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2EE19">
      <w:pPr>
        <w:pStyle w:val="2"/>
        <w:jc w:val="both"/>
        <w:rPr>
          <w:rFonts w:ascii="微软雅黑" w:hAnsi="微软雅黑" w:eastAsia="微软雅黑" w:cs="微软雅黑"/>
          <w:b/>
          <w:spacing w:val="-20"/>
          <w:kern w:val="44"/>
          <w:sz w:val="40"/>
          <w:szCs w:val="22"/>
          <w:highlight w:val="none"/>
        </w:rPr>
      </w:pPr>
      <w:bookmarkStart w:id="0" w:name="_Toc1934"/>
      <w:bookmarkStart w:id="1" w:name="_Toc13297"/>
      <w:bookmarkStart w:id="2" w:name="_Toc7971"/>
      <w:bookmarkStart w:id="3" w:name="_Toc216582826"/>
      <w:bookmarkStart w:id="4" w:name="_Toc219175639"/>
      <w:bookmarkStart w:id="5" w:name="_Toc16093"/>
      <w:bookmarkStart w:id="6" w:name="_Toc31636"/>
      <w:bookmarkStart w:id="7" w:name="_Toc12442"/>
      <w:bookmarkStart w:id="8" w:name="_Toc31645"/>
      <w:bookmarkStart w:id="9" w:name="_Toc507399907"/>
      <w:bookmarkStart w:id="10" w:name="_Toc4177"/>
      <w:bookmarkStart w:id="11" w:name="_Toc218935355"/>
      <w:bookmarkStart w:id="12" w:name="_Toc22083"/>
      <w:bookmarkStart w:id="13" w:name="_Toc32647"/>
      <w:bookmarkStart w:id="14" w:name="_Toc29241"/>
      <w:bookmarkStart w:id="15" w:name="_Toc27286"/>
      <w:bookmarkStart w:id="16" w:name="_Toc17321"/>
      <w:bookmarkStart w:id="17" w:name="_Toc3501"/>
      <w:bookmarkStart w:id="18" w:name="_Toc13057"/>
      <w:bookmarkStart w:id="19" w:name="_Toc11880"/>
      <w:bookmarkStart w:id="20" w:name="_Toc515647832"/>
    </w:p>
    <w:p w14:paraId="4D169C61">
      <w:pPr>
        <w:pStyle w:val="9"/>
        <w:spacing w:line="480" w:lineRule="auto"/>
        <w:ind w:firstLine="0"/>
        <w:jc w:val="center"/>
        <w:rPr>
          <w:rFonts w:hint="eastAsia" w:ascii="微软雅黑" w:hAnsi="微软雅黑" w:eastAsia="微软雅黑" w:cs="微软雅黑"/>
          <w:b/>
          <w:bCs/>
          <w:sz w:val="28"/>
          <w:szCs w:val="36"/>
          <w:highlight w:val="none"/>
          <w:lang w:eastAsia="zh-CN"/>
        </w:rPr>
      </w:pPr>
      <w:r>
        <w:rPr>
          <w:rFonts w:hint="eastAsia" w:ascii="微软雅黑" w:hAnsi="微软雅黑" w:eastAsia="微软雅黑" w:cs="微软雅黑"/>
          <w:b/>
          <w:sz w:val="52"/>
          <w:szCs w:val="52"/>
          <w:highlight w:val="none"/>
          <w:lang w:eastAsia="zh-CN"/>
        </w:rPr>
        <w:t>疏勒县第一幼儿园改造提升项目</w:t>
      </w:r>
    </w:p>
    <w:p w14:paraId="27FDF6AB">
      <w:pPr>
        <w:pStyle w:val="9"/>
        <w:spacing w:line="480" w:lineRule="auto"/>
        <w:ind w:firstLine="0"/>
        <w:jc w:val="center"/>
        <w:rPr>
          <w:rFonts w:hint="eastAsia" w:ascii="微软雅黑" w:hAnsi="微软雅黑" w:eastAsia="微软雅黑" w:cs="微软雅黑"/>
          <w:b/>
          <w:bCs/>
          <w:sz w:val="32"/>
          <w:szCs w:val="40"/>
          <w:highlight w:val="none"/>
          <w:lang w:eastAsia="zh-CN"/>
        </w:rPr>
      </w:pPr>
      <w:r>
        <w:rPr>
          <w:rFonts w:hint="eastAsia" w:ascii="微软雅黑" w:hAnsi="微软雅黑" w:eastAsia="微软雅黑" w:cs="微软雅黑"/>
          <w:b/>
          <w:bCs/>
          <w:sz w:val="32"/>
          <w:szCs w:val="40"/>
          <w:highlight w:val="none"/>
        </w:rPr>
        <w:t>项 目 编 号：</w:t>
      </w:r>
      <w:r>
        <w:rPr>
          <w:rFonts w:hint="eastAsia" w:ascii="微软雅黑" w:hAnsi="微软雅黑" w:eastAsia="微软雅黑" w:cs="微软雅黑"/>
          <w:b/>
          <w:bCs/>
          <w:sz w:val="32"/>
          <w:szCs w:val="40"/>
          <w:highlight w:val="none"/>
          <w:lang w:eastAsia="zh-CN"/>
        </w:rPr>
        <w:t>25LS-(CS)002</w:t>
      </w:r>
    </w:p>
    <w:p w14:paraId="647997DB">
      <w:pPr>
        <w:rPr>
          <w:highlight w:val="none"/>
        </w:rPr>
      </w:pPr>
    </w:p>
    <w:p w14:paraId="36D60CFD">
      <w:pPr>
        <w:pStyle w:val="2"/>
        <w:ind w:firstLine="2881" w:firstLineChars="600"/>
        <w:jc w:val="both"/>
        <w:rPr>
          <w:rFonts w:ascii="微软雅黑" w:hAnsi="微软雅黑" w:eastAsia="微软雅黑" w:cs="微软雅黑"/>
          <w:b/>
          <w:bCs/>
          <w:sz w:val="48"/>
          <w:szCs w:val="48"/>
          <w:highlight w:val="none"/>
        </w:rPr>
      </w:pPr>
      <w:r>
        <w:rPr>
          <w:rFonts w:hint="eastAsia" w:ascii="微软雅黑" w:hAnsi="微软雅黑" w:eastAsia="微软雅黑" w:cs="微软雅黑"/>
          <w:b/>
          <w:bCs/>
          <w:sz w:val="48"/>
          <w:szCs w:val="48"/>
          <w:highlight w:val="none"/>
        </w:rPr>
        <w:t>磋 商 文 件</w:t>
      </w:r>
    </w:p>
    <w:p w14:paraId="30AA402F">
      <w:pPr>
        <w:spacing w:line="240" w:lineRule="atLeast"/>
        <w:jc w:val="center"/>
        <w:rPr>
          <w:rFonts w:ascii="微软雅黑" w:hAnsi="微软雅黑" w:eastAsia="微软雅黑" w:cs="微软雅黑"/>
          <w:b/>
          <w:sz w:val="48"/>
          <w:szCs w:val="48"/>
          <w:highlight w:val="none"/>
        </w:rPr>
      </w:pPr>
    </w:p>
    <w:p w14:paraId="161ED5A4">
      <w:pPr>
        <w:spacing w:line="480" w:lineRule="auto"/>
        <w:rPr>
          <w:rFonts w:ascii="微软雅黑" w:hAnsi="微软雅黑" w:eastAsia="微软雅黑" w:cs="微软雅黑"/>
          <w:highlight w:val="none"/>
        </w:rPr>
      </w:pPr>
    </w:p>
    <w:p w14:paraId="0726B91A">
      <w:pPr>
        <w:spacing w:line="240" w:lineRule="atLeast"/>
        <w:ind w:left="420" w:leftChars="0" w:firstLine="420" w:firstLineChars="0"/>
        <w:outlineLvl w:val="9"/>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采</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购</w:t>
      </w:r>
      <w:r>
        <w:rPr>
          <w:rFonts w:hint="eastAsia" w:ascii="微软雅黑" w:hAnsi="微软雅黑" w:eastAsia="微软雅黑" w:cs="微软雅黑"/>
          <w:b/>
          <w:color w:val="auto"/>
          <w:sz w:val="28"/>
          <w:szCs w:val="28"/>
          <w:highlight w:val="none"/>
          <w:lang w:val="en-US" w:eastAsia="zh-CN"/>
        </w:rPr>
        <w:t xml:space="preserve"> 人</w:t>
      </w:r>
      <w:r>
        <w:rPr>
          <w:rFonts w:hint="eastAsia" w:ascii="微软雅黑" w:hAnsi="微软雅黑" w:eastAsia="微软雅黑" w:cs="微软雅黑"/>
          <w:b/>
          <w:color w:val="auto"/>
          <w:sz w:val="28"/>
          <w:szCs w:val="28"/>
          <w:highlight w:val="none"/>
        </w:rPr>
        <w:t>：</w:t>
      </w:r>
      <w:r>
        <w:rPr>
          <w:rFonts w:hint="eastAsia" w:ascii="微软雅黑" w:hAnsi="微软雅黑" w:eastAsia="微软雅黑" w:cs="微软雅黑"/>
          <w:b/>
          <w:color w:val="auto"/>
          <w:sz w:val="28"/>
          <w:szCs w:val="28"/>
          <w:highlight w:val="none"/>
          <w:u w:val="single"/>
          <w:lang w:val="en-US" w:eastAsia="zh-CN"/>
        </w:rPr>
        <w:t xml:space="preserve">          疏勒县第一幼儿园          </w:t>
      </w:r>
      <w:r>
        <w:rPr>
          <w:rFonts w:hint="eastAsia" w:ascii="微软雅黑" w:hAnsi="微软雅黑" w:eastAsia="微软雅黑" w:cs="微软雅黑"/>
          <w:b/>
          <w:color w:val="auto"/>
          <w:sz w:val="28"/>
          <w:szCs w:val="28"/>
          <w:highlight w:val="none"/>
        </w:rPr>
        <w:t xml:space="preserve">  </w:t>
      </w:r>
    </w:p>
    <w:p w14:paraId="3DC1C0CD">
      <w:pPr>
        <w:ind w:left="420" w:leftChars="0" w:firstLine="420" w:firstLineChars="0"/>
        <w:outlineLvl w:val="9"/>
        <w:rPr>
          <w:rFonts w:hint="eastAsia" w:ascii="微软雅黑" w:hAnsi="微软雅黑" w:eastAsia="微软雅黑" w:cs="微软雅黑"/>
          <w:b/>
          <w:color w:val="auto"/>
          <w:sz w:val="28"/>
          <w:szCs w:val="28"/>
          <w:highlight w:val="none"/>
          <w:u w:val="single"/>
        </w:rPr>
      </w:pPr>
      <w:r>
        <w:rPr>
          <w:rFonts w:hint="eastAsia" w:ascii="微软雅黑" w:hAnsi="微软雅黑" w:eastAsia="微软雅黑" w:cs="微软雅黑"/>
          <w:b/>
          <w:color w:val="auto"/>
          <w:sz w:val="28"/>
          <w:szCs w:val="28"/>
          <w:highlight w:val="none"/>
        </w:rPr>
        <w:t>联</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系</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人：</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万莉莉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rPr>
        <w:t xml:space="preserve">      </w:t>
      </w:r>
    </w:p>
    <w:p w14:paraId="389296DE">
      <w:pPr>
        <w:spacing w:line="360" w:lineRule="auto"/>
        <w:ind w:left="420" w:leftChars="0" w:firstLine="420" w:firstLineChars="0"/>
        <w:outlineLvl w:val="9"/>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b/>
          <w:color w:val="auto"/>
          <w:sz w:val="28"/>
          <w:szCs w:val="28"/>
          <w:highlight w:val="none"/>
        </w:rPr>
        <w:t>联系电话：</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13239726971</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p>
    <w:p w14:paraId="0AED9B19">
      <w:pPr>
        <w:pStyle w:val="8"/>
        <w:ind w:left="2940" w:leftChars="0"/>
        <w:outlineLvl w:val="9"/>
        <w:rPr>
          <w:rFonts w:hint="eastAsia" w:ascii="微软雅黑" w:hAnsi="微软雅黑" w:eastAsia="微软雅黑" w:cs="微软雅黑"/>
          <w:color w:val="auto"/>
          <w:sz w:val="28"/>
          <w:szCs w:val="28"/>
          <w:highlight w:val="none"/>
        </w:rPr>
      </w:pPr>
    </w:p>
    <w:p w14:paraId="63889769">
      <w:pPr>
        <w:spacing w:line="240" w:lineRule="atLeast"/>
        <w:ind w:left="420" w:leftChars="0" w:firstLine="420" w:firstLineChars="0"/>
        <w:outlineLvl w:val="9"/>
        <w:rPr>
          <w:rFonts w:hint="default" w:ascii="微软雅黑" w:hAnsi="微软雅黑" w:eastAsia="微软雅黑" w:cs="微软雅黑"/>
          <w:b/>
          <w:color w:val="auto"/>
          <w:sz w:val="28"/>
          <w:szCs w:val="28"/>
          <w:highlight w:val="none"/>
          <w:u w:val="single"/>
          <w:lang w:val="en-US" w:eastAsia="zh-CN"/>
        </w:rPr>
      </w:pPr>
      <w:r>
        <w:rPr>
          <w:rFonts w:hint="eastAsia" w:ascii="微软雅黑" w:hAnsi="微软雅黑" w:eastAsia="微软雅黑" w:cs="微软雅黑"/>
          <w:b/>
          <w:color w:val="auto"/>
          <w:sz w:val="28"/>
          <w:szCs w:val="28"/>
          <w:highlight w:val="none"/>
        </w:rPr>
        <w:t>代理机构：</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lang w:eastAsia="zh-CN"/>
        </w:rPr>
        <w:t>喀什联胜项目管理有限责任公司</w:t>
      </w:r>
      <w:r>
        <w:rPr>
          <w:rFonts w:hint="eastAsia" w:ascii="微软雅黑" w:hAnsi="微软雅黑" w:eastAsia="微软雅黑" w:cs="微软雅黑"/>
          <w:b/>
          <w:color w:val="auto"/>
          <w:sz w:val="28"/>
          <w:szCs w:val="28"/>
          <w:highlight w:val="none"/>
          <w:u w:val="single"/>
          <w:lang w:val="en-US" w:eastAsia="zh-CN"/>
        </w:rPr>
        <w:t xml:space="preserve">    </w:t>
      </w:r>
    </w:p>
    <w:p w14:paraId="36558F90">
      <w:pPr>
        <w:spacing w:line="240" w:lineRule="atLeast"/>
        <w:ind w:left="420" w:leftChars="0" w:firstLine="420" w:firstLineChars="0"/>
        <w:outlineLvl w:val="9"/>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联</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系</w:t>
      </w:r>
      <w:r>
        <w:rPr>
          <w:rFonts w:hint="eastAsia" w:ascii="微软雅黑" w:hAnsi="微软雅黑" w:eastAsia="微软雅黑" w:cs="微软雅黑"/>
          <w:b/>
          <w:color w:val="auto"/>
          <w:sz w:val="28"/>
          <w:szCs w:val="28"/>
          <w:highlight w:val="none"/>
          <w:lang w:val="en-US" w:eastAsia="zh-CN"/>
        </w:rPr>
        <w:t xml:space="preserve"> </w:t>
      </w:r>
      <w:r>
        <w:rPr>
          <w:rFonts w:hint="eastAsia" w:ascii="微软雅黑" w:hAnsi="微软雅黑" w:eastAsia="微软雅黑" w:cs="微软雅黑"/>
          <w:b/>
          <w:color w:val="auto"/>
          <w:sz w:val="28"/>
          <w:szCs w:val="28"/>
          <w:highlight w:val="none"/>
        </w:rPr>
        <w:t>人：</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eastAsia="zh-CN"/>
        </w:rPr>
        <w:t>巩丽</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rPr>
        <w:t xml:space="preserve">      </w:t>
      </w:r>
    </w:p>
    <w:p w14:paraId="1779C6F1">
      <w:pPr>
        <w:spacing w:line="240" w:lineRule="atLeast"/>
        <w:ind w:left="420" w:leftChars="0" w:firstLine="420" w:firstLineChars="0"/>
        <w:outlineLvl w:val="9"/>
        <w:rPr>
          <w:rFonts w:hint="eastAsia" w:ascii="微软雅黑" w:hAnsi="微软雅黑" w:eastAsia="微软雅黑" w:cs="微软雅黑"/>
          <w:b/>
          <w:bCs/>
          <w:color w:val="auto"/>
          <w:sz w:val="32"/>
          <w:szCs w:val="40"/>
          <w:highlight w:val="none"/>
        </w:rPr>
      </w:pPr>
      <w:r>
        <w:rPr>
          <w:rFonts w:hint="eastAsia" w:ascii="微软雅黑" w:hAnsi="微软雅黑" w:eastAsia="微软雅黑" w:cs="微软雅黑"/>
          <w:b/>
          <w:color w:val="auto"/>
          <w:sz w:val="28"/>
          <w:szCs w:val="28"/>
          <w:highlight w:val="none"/>
        </w:rPr>
        <w:t>联系电话：</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lang w:eastAsia="zh-CN"/>
        </w:rPr>
        <w:t>19190038815</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u w:val="single"/>
          <w:lang w:val="en-US" w:eastAsia="zh-CN"/>
        </w:rPr>
        <w:t xml:space="preserve">     </w:t>
      </w:r>
      <w:r>
        <w:rPr>
          <w:rFonts w:hint="eastAsia" w:ascii="微软雅黑" w:hAnsi="微软雅黑" w:eastAsia="微软雅黑" w:cs="微软雅黑"/>
          <w:b/>
          <w:color w:val="auto"/>
          <w:sz w:val="28"/>
          <w:szCs w:val="28"/>
          <w:highlight w:val="none"/>
          <w:u w:val="single"/>
        </w:rPr>
        <w:t xml:space="preserve"> </w:t>
      </w:r>
      <w:r>
        <w:rPr>
          <w:rFonts w:hint="eastAsia" w:ascii="微软雅黑" w:hAnsi="微软雅黑" w:eastAsia="微软雅黑" w:cs="微软雅黑"/>
          <w:b/>
          <w:color w:val="auto"/>
          <w:sz w:val="28"/>
          <w:szCs w:val="28"/>
          <w:highlight w:val="none"/>
        </w:rPr>
        <w:t xml:space="preserve">   </w:t>
      </w:r>
    </w:p>
    <w:p w14:paraId="625BC354">
      <w:pPr>
        <w:spacing w:line="240" w:lineRule="atLeast"/>
        <w:jc w:val="center"/>
        <w:rPr>
          <w:rFonts w:ascii="微软雅黑" w:hAnsi="微软雅黑" w:eastAsia="微软雅黑" w:cs="微软雅黑"/>
          <w:b/>
          <w:sz w:val="28"/>
          <w:szCs w:val="28"/>
          <w:highlight w:val="none"/>
        </w:rPr>
      </w:pPr>
    </w:p>
    <w:p w14:paraId="18EC66B0">
      <w:pPr>
        <w:spacing w:line="240" w:lineRule="atLeast"/>
        <w:jc w:val="center"/>
        <w:rPr>
          <w:rFonts w:ascii="微软雅黑" w:hAnsi="微软雅黑" w:eastAsia="微软雅黑" w:cs="微软雅黑"/>
          <w:b/>
          <w:sz w:val="28"/>
          <w:szCs w:val="28"/>
          <w:highlight w:val="none"/>
        </w:rPr>
      </w:pPr>
    </w:p>
    <w:p w14:paraId="3F1E1E48">
      <w:pPr>
        <w:spacing w:line="240" w:lineRule="atLeast"/>
        <w:jc w:val="center"/>
        <w:rPr>
          <w:rFonts w:ascii="微软雅黑" w:hAnsi="微软雅黑" w:eastAsia="微软雅黑" w:cs="微软雅黑"/>
          <w:b/>
          <w:sz w:val="28"/>
          <w:szCs w:val="28"/>
          <w:highlight w:val="none"/>
        </w:rPr>
      </w:pPr>
    </w:p>
    <w:p w14:paraId="7FFCAD05">
      <w:pPr>
        <w:jc w:val="center"/>
        <w:rPr>
          <w:rFonts w:hint="eastAsia" w:ascii="微软雅黑" w:hAnsi="微软雅黑" w:eastAsia="微软雅黑" w:cs="微软雅黑"/>
          <w:b/>
          <w:bCs/>
          <w:sz w:val="24"/>
          <w:highlight w:val="none"/>
        </w:rPr>
      </w:pPr>
    </w:p>
    <w:p w14:paraId="263AEAB1">
      <w:pPr>
        <w:jc w:val="center"/>
        <w:rPr>
          <w:rFonts w:hint="eastAsia" w:ascii="微软雅黑" w:hAnsi="微软雅黑" w:eastAsia="微软雅黑" w:cs="微软雅黑"/>
          <w:b/>
          <w:bCs/>
          <w:sz w:val="24"/>
          <w:highlight w:val="none"/>
        </w:rPr>
      </w:pPr>
    </w:p>
    <w:p w14:paraId="593CB985">
      <w:pPr>
        <w:jc w:val="center"/>
        <w:rPr>
          <w:rFonts w:hint="eastAsia" w:ascii="微软雅黑" w:hAnsi="微软雅黑" w:eastAsia="微软雅黑" w:cs="微软雅黑"/>
          <w:b/>
          <w:bCs/>
          <w:sz w:val="24"/>
          <w:highlight w:val="none"/>
        </w:rPr>
      </w:pPr>
    </w:p>
    <w:p w14:paraId="1859CDED">
      <w:pPr>
        <w:jc w:val="center"/>
        <w:rPr>
          <w:rFonts w:hint="eastAsia" w:ascii="微软雅黑" w:hAnsi="微软雅黑" w:eastAsia="微软雅黑" w:cs="微软雅黑"/>
          <w:b/>
          <w:bCs/>
          <w:sz w:val="24"/>
          <w:highlight w:val="none"/>
        </w:rPr>
      </w:pPr>
    </w:p>
    <w:p w14:paraId="538F6998">
      <w:pPr>
        <w:jc w:val="center"/>
        <w:rPr>
          <w:rFonts w:hint="eastAsia" w:ascii="微软雅黑" w:hAnsi="微软雅黑" w:eastAsia="微软雅黑" w:cs="微软雅黑"/>
          <w:b/>
          <w:bCs/>
          <w:sz w:val="24"/>
          <w:highlight w:val="none"/>
        </w:rPr>
      </w:pPr>
    </w:p>
    <w:p w14:paraId="195DBC25">
      <w:pPr>
        <w:ind w:firstLine="0"/>
        <w:jc w:val="center"/>
        <w:rPr>
          <w:rFonts w:hint="eastAsia" w:ascii="微软雅黑" w:hAnsi="微软雅黑" w:eastAsia="微软雅黑" w:cs="微软雅黑"/>
          <w:b/>
          <w:bCs/>
          <w:sz w:val="24"/>
          <w:highlight w:val="none"/>
        </w:rPr>
        <w:sectPr>
          <w:headerReference r:id="rId3" w:type="default"/>
          <w:footerReference r:id="rId4" w:type="default"/>
          <w:pgSz w:w="11906" w:h="16838"/>
          <w:pgMar w:top="1440" w:right="1797" w:bottom="1440" w:left="1797" w:header="680" w:footer="992" w:gutter="0"/>
          <w:pgNumType w:fmt="decimal" w:start="1"/>
          <w:cols w:space="0" w:num="1"/>
          <w:docGrid w:linePitch="312" w:charSpace="0"/>
        </w:sectPr>
      </w:pPr>
    </w:p>
    <w:p w14:paraId="5A872E9C">
      <w:pPr>
        <w:rPr>
          <w:highlight w:val="none"/>
        </w:rPr>
      </w:pPr>
    </w:p>
    <w:p w14:paraId="11454A5F">
      <w:pPr>
        <w:ind w:firstLine="0"/>
        <w:jc w:val="center"/>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目   录</w:t>
      </w:r>
      <w:bookmarkStart w:id="21" w:name="_Toc17230"/>
      <w:bookmarkStart w:id="22" w:name="_Toc8627"/>
      <w:bookmarkStart w:id="23" w:name="_Toc515647798"/>
      <w:bookmarkStart w:id="24" w:name="_Toc1148"/>
      <w:bookmarkStart w:id="25" w:name="_Toc16548"/>
      <w:bookmarkStart w:id="26" w:name="_Toc216582804"/>
      <w:bookmarkStart w:id="27" w:name="_Toc22782"/>
      <w:bookmarkStart w:id="28" w:name="_Toc11115"/>
      <w:bookmarkStart w:id="29" w:name="_Toc25253"/>
    </w:p>
    <w:p w14:paraId="18128A9C">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TOC \o "1-2" \h \u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_Toc32565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32"/>
          <w:highlight w:val="none"/>
        </w:rPr>
        <w:t>第1章</w:t>
      </w:r>
      <w:r>
        <w:rPr>
          <w:rFonts w:hint="eastAsia" w:ascii="微软雅黑" w:hAnsi="微软雅黑" w:eastAsia="微软雅黑" w:cs="微软雅黑"/>
          <w:szCs w:val="32"/>
          <w:highlight w:val="none"/>
        </w:rPr>
        <w:t xml:space="preserve"> </w:t>
      </w:r>
      <w:r>
        <w:rPr>
          <w:rFonts w:hint="eastAsia" w:ascii="微软雅黑" w:hAnsi="微软雅黑" w:eastAsia="微软雅黑" w:cs="微软雅黑"/>
          <w:bCs/>
          <w:szCs w:val="32"/>
          <w:highlight w:val="none"/>
        </w:rPr>
        <w:t>供应商须知</w:t>
      </w:r>
      <w:r>
        <w:rPr>
          <w:highlight w:val="none"/>
        </w:rPr>
        <w:tab/>
      </w:r>
      <w:r>
        <w:rPr>
          <w:highlight w:val="none"/>
        </w:rPr>
        <w:fldChar w:fldCharType="begin"/>
      </w:r>
      <w:r>
        <w:rPr>
          <w:highlight w:val="none"/>
        </w:rPr>
        <w:instrText xml:space="preserve"> PAGEREF _Toc32565 \h </w:instrText>
      </w:r>
      <w:r>
        <w:rPr>
          <w:highlight w:val="none"/>
        </w:rPr>
        <w:fldChar w:fldCharType="separate"/>
      </w:r>
      <w:r>
        <w:rPr>
          <w:highlight w:val="none"/>
        </w:rPr>
        <w:t>1</w:t>
      </w:r>
      <w:r>
        <w:rPr>
          <w:highlight w:val="none"/>
        </w:rPr>
        <w:fldChar w:fldCharType="end"/>
      </w:r>
      <w:r>
        <w:rPr>
          <w:rFonts w:hint="eastAsia" w:ascii="微软雅黑" w:hAnsi="微软雅黑" w:eastAsia="微软雅黑" w:cs="微软雅黑"/>
          <w:szCs w:val="24"/>
          <w:highlight w:val="none"/>
        </w:rPr>
        <w:fldChar w:fldCharType="end"/>
      </w:r>
    </w:p>
    <w:p w14:paraId="453D65D0">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_Toc13590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8"/>
          <w:highlight w:val="none"/>
        </w:rPr>
        <w:t>一   总 则</w:t>
      </w:r>
      <w:r>
        <w:rPr>
          <w:highlight w:val="none"/>
        </w:rPr>
        <w:tab/>
      </w:r>
      <w:r>
        <w:rPr>
          <w:highlight w:val="none"/>
        </w:rPr>
        <w:fldChar w:fldCharType="begin"/>
      </w:r>
      <w:r>
        <w:rPr>
          <w:highlight w:val="none"/>
        </w:rPr>
        <w:instrText xml:space="preserve"> PAGEREF _Toc13590 \h </w:instrText>
      </w:r>
      <w:r>
        <w:rPr>
          <w:highlight w:val="none"/>
        </w:rPr>
        <w:fldChar w:fldCharType="separate"/>
      </w:r>
      <w:r>
        <w:rPr>
          <w:highlight w:val="none"/>
        </w:rPr>
        <w:t>1</w:t>
      </w:r>
      <w:r>
        <w:rPr>
          <w:highlight w:val="none"/>
        </w:rPr>
        <w:fldChar w:fldCharType="end"/>
      </w:r>
      <w:r>
        <w:rPr>
          <w:rFonts w:hint="eastAsia" w:ascii="微软雅黑" w:hAnsi="微软雅黑" w:eastAsia="微软雅黑" w:cs="微软雅黑"/>
          <w:szCs w:val="24"/>
          <w:highlight w:val="none"/>
        </w:rPr>
        <w:fldChar w:fldCharType="end"/>
      </w:r>
    </w:p>
    <w:p w14:paraId="6894AE0C">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_Toc15495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8"/>
          <w:highlight w:val="none"/>
        </w:rPr>
        <w:t>二   磋商文件</w:t>
      </w:r>
      <w:r>
        <w:rPr>
          <w:highlight w:val="none"/>
        </w:rPr>
        <w:tab/>
      </w:r>
      <w:r>
        <w:rPr>
          <w:highlight w:val="none"/>
        </w:rPr>
        <w:fldChar w:fldCharType="begin"/>
      </w:r>
      <w:r>
        <w:rPr>
          <w:highlight w:val="none"/>
        </w:rPr>
        <w:instrText xml:space="preserve"> PAGEREF _Toc15495 \h </w:instrText>
      </w:r>
      <w:r>
        <w:rPr>
          <w:highlight w:val="none"/>
        </w:rPr>
        <w:fldChar w:fldCharType="separate"/>
      </w:r>
      <w:r>
        <w:rPr>
          <w:highlight w:val="none"/>
        </w:rPr>
        <w:t>2</w:t>
      </w:r>
      <w:r>
        <w:rPr>
          <w:highlight w:val="none"/>
        </w:rPr>
        <w:fldChar w:fldCharType="end"/>
      </w:r>
      <w:r>
        <w:rPr>
          <w:rFonts w:hint="eastAsia" w:ascii="微软雅黑" w:hAnsi="微软雅黑" w:eastAsia="微软雅黑" w:cs="微软雅黑"/>
          <w:szCs w:val="24"/>
          <w:highlight w:val="none"/>
        </w:rPr>
        <w:fldChar w:fldCharType="end"/>
      </w:r>
    </w:p>
    <w:p w14:paraId="27392062">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_Toc16802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8"/>
          <w:highlight w:val="none"/>
        </w:rPr>
        <w:t>三   响应文件的编制</w:t>
      </w:r>
      <w:r>
        <w:rPr>
          <w:highlight w:val="none"/>
        </w:rPr>
        <w:tab/>
      </w:r>
      <w:r>
        <w:rPr>
          <w:highlight w:val="none"/>
        </w:rPr>
        <w:fldChar w:fldCharType="begin"/>
      </w:r>
      <w:r>
        <w:rPr>
          <w:highlight w:val="none"/>
        </w:rPr>
        <w:instrText xml:space="preserve"> PAGEREF _Toc16802 \h </w:instrText>
      </w:r>
      <w:r>
        <w:rPr>
          <w:highlight w:val="none"/>
        </w:rPr>
        <w:fldChar w:fldCharType="separate"/>
      </w:r>
      <w:r>
        <w:rPr>
          <w:highlight w:val="none"/>
        </w:rPr>
        <w:t>3</w:t>
      </w:r>
      <w:r>
        <w:rPr>
          <w:highlight w:val="none"/>
        </w:rPr>
        <w:fldChar w:fldCharType="end"/>
      </w:r>
      <w:r>
        <w:rPr>
          <w:rFonts w:hint="eastAsia" w:ascii="微软雅黑" w:hAnsi="微软雅黑" w:eastAsia="微软雅黑" w:cs="微软雅黑"/>
          <w:szCs w:val="24"/>
          <w:highlight w:val="none"/>
        </w:rPr>
        <w:fldChar w:fldCharType="end"/>
      </w:r>
    </w:p>
    <w:p w14:paraId="60D80257">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_Toc23543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四   响应文件的递交</w:t>
      </w:r>
      <w:r>
        <w:rPr>
          <w:highlight w:val="none"/>
        </w:rPr>
        <w:tab/>
      </w:r>
      <w:r>
        <w:rPr>
          <w:highlight w:val="none"/>
        </w:rPr>
        <w:fldChar w:fldCharType="begin"/>
      </w:r>
      <w:r>
        <w:rPr>
          <w:highlight w:val="none"/>
        </w:rPr>
        <w:instrText xml:space="preserve"> PAGEREF _Toc23543 \h </w:instrText>
      </w:r>
      <w:r>
        <w:rPr>
          <w:highlight w:val="none"/>
        </w:rPr>
        <w:fldChar w:fldCharType="separate"/>
      </w:r>
      <w:r>
        <w:rPr>
          <w:highlight w:val="none"/>
        </w:rPr>
        <w:t>5</w:t>
      </w:r>
      <w:r>
        <w:rPr>
          <w:highlight w:val="none"/>
        </w:rPr>
        <w:fldChar w:fldCharType="end"/>
      </w:r>
      <w:r>
        <w:rPr>
          <w:rFonts w:hint="eastAsia" w:ascii="微软雅黑" w:hAnsi="微软雅黑" w:eastAsia="微软雅黑" w:cs="微软雅黑"/>
          <w:szCs w:val="24"/>
          <w:highlight w:val="none"/>
        </w:rPr>
        <w:fldChar w:fldCharType="end"/>
      </w:r>
    </w:p>
    <w:p w14:paraId="723C107B">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_Toc23608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五   磋商及评审</w:t>
      </w:r>
      <w:r>
        <w:rPr>
          <w:highlight w:val="none"/>
        </w:rPr>
        <w:tab/>
      </w:r>
      <w:r>
        <w:rPr>
          <w:highlight w:val="none"/>
        </w:rPr>
        <w:fldChar w:fldCharType="begin"/>
      </w:r>
      <w:r>
        <w:rPr>
          <w:highlight w:val="none"/>
        </w:rPr>
        <w:instrText xml:space="preserve"> PAGEREF _Toc23608 \h </w:instrText>
      </w:r>
      <w:r>
        <w:rPr>
          <w:highlight w:val="none"/>
        </w:rPr>
        <w:fldChar w:fldCharType="separate"/>
      </w:r>
      <w:r>
        <w:rPr>
          <w:highlight w:val="none"/>
        </w:rPr>
        <w:t>6</w:t>
      </w:r>
      <w:r>
        <w:rPr>
          <w:highlight w:val="none"/>
        </w:rPr>
        <w:fldChar w:fldCharType="end"/>
      </w:r>
      <w:r>
        <w:rPr>
          <w:rFonts w:hint="eastAsia" w:ascii="微软雅黑" w:hAnsi="微软雅黑" w:eastAsia="微软雅黑" w:cs="微软雅黑"/>
          <w:szCs w:val="24"/>
          <w:highlight w:val="none"/>
        </w:rPr>
        <w:fldChar w:fldCharType="end"/>
      </w:r>
    </w:p>
    <w:p w14:paraId="217BDF6A">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_Toc18726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六   确定成交</w:t>
      </w:r>
      <w:r>
        <w:rPr>
          <w:highlight w:val="none"/>
        </w:rPr>
        <w:tab/>
      </w:r>
      <w:r>
        <w:rPr>
          <w:highlight w:val="none"/>
        </w:rPr>
        <w:fldChar w:fldCharType="begin"/>
      </w:r>
      <w:r>
        <w:rPr>
          <w:highlight w:val="none"/>
        </w:rPr>
        <w:instrText xml:space="preserve"> PAGEREF _Toc18726 \h </w:instrText>
      </w:r>
      <w:r>
        <w:rPr>
          <w:highlight w:val="none"/>
        </w:rPr>
        <w:fldChar w:fldCharType="separate"/>
      </w:r>
      <w:r>
        <w:rPr>
          <w:highlight w:val="none"/>
        </w:rPr>
        <w:t>11</w:t>
      </w:r>
      <w:r>
        <w:rPr>
          <w:highlight w:val="none"/>
        </w:rPr>
        <w:fldChar w:fldCharType="end"/>
      </w:r>
      <w:r>
        <w:rPr>
          <w:rFonts w:hint="eastAsia" w:ascii="微软雅黑" w:hAnsi="微软雅黑" w:eastAsia="微软雅黑" w:cs="微软雅黑"/>
          <w:szCs w:val="24"/>
          <w:highlight w:val="none"/>
        </w:rPr>
        <w:fldChar w:fldCharType="end"/>
      </w:r>
    </w:p>
    <w:p w14:paraId="0AB524BC">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_Toc26364 </w:instrText>
      </w:r>
      <w:r>
        <w:rPr>
          <w:rFonts w:hint="eastAsia" w:ascii="微软雅黑" w:hAnsi="微软雅黑" w:eastAsia="微软雅黑" w:cs="微软雅黑"/>
          <w:szCs w:val="24"/>
          <w:highlight w:val="none"/>
        </w:rPr>
        <w:fldChar w:fldCharType="separate"/>
      </w:r>
      <w:r>
        <w:rPr>
          <w:rFonts w:ascii="微软雅黑" w:hAnsi="微软雅黑" w:eastAsia="微软雅黑" w:cs="微软雅黑"/>
          <w:bCs/>
          <w:kern w:val="2"/>
          <w:szCs w:val="28"/>
          <w:highlight w:val="none"/>
          <w:lang w:val="en-US" w:eastAsia="zh-CN" w:bidi="ar-SA"/>
        </w:rPr>
        <w:t>第2章</w:t>
      </w:r>
      <w:r>
        <w:rPr>
          <w:rFonts w:hint="eastAsia" w:ascii="微软雅黑" w:hAnsi="微软雅黑" w:eastAsia="微软雅黑" w:cs="微软雅黑"/>
          <w:bCs/>
          <w:kern w:val="2"/>
          <w:szCs w:val="28"/>
          <w:highlight w:val="none"/>
          <w:lang w:val="en-US" w:eastAsia="zh-CN" w:bidi="ar-SA"/>
        </w:rPr>
        <w:t xml:space="preserve">  </w:t>
      </w:r>
      <w:r>
        <w:rPr>
          <w:rFonts w:hint="eastAsia" w:ascii="微软雅黑" w:hAnsi="微软雅黑" w:eastAsia="微软雅黑" w:cs="微软雅黑"/>
          <w:bCs/>
          <w:szCs w:val="28"/>
          <w:highlight w:val="none"/>
        </w:rPr>
        <w:t>响应文件格式</w:t>
      </w:r>
      <w:r>
        <w:rPr>
          <w:highlight w:val="none"/>
        </w:rPr>
        <w:tab/>
      </w:r>
      <w:r>
        <w:rPr>
          <w:highlight w:val="none"/>
        </w:rPr>
        <w:fldChar w:fldCharType="begin"/>
      </w:r>
      <w:r>
        <w:rPr>
          <w:highlight w:val="none"/>
        </w:rPr>
        <w:instrText xml:space="preserve"> PAGEREF _Toc26364 \h </w:instrText>
      </w:r>
      <w:r>
        <w:rPr>
          <w:highlight w:val="none"/>
        </w:rPr>
        <w:fldChar w:fldCharType="separate"/>
      </w:r>
      <w:r>
        <w:rPr>
          <w:highlight w:val="none"/>
        </w:rPr>
        <w:t>17</w:t>
      </w:r>
      <w:r>
        <w:rPr>
          <w:highlight w:val="none"/>
        </w:rPr>
        <w:fldChar w:fldCharType="end"/>
      </w:r>
      <w:r>
        <w:rPr>
          <w:rFonts w:hint="eastAsia" w:ascii="微软雅黑" w:hAnsi="微软雅黑" w:eastAsia="微软雅黑" w:cs="微软雅黑"/>
          <w:szCs w:val="24"/>
          <w:highlight w:val="none"/>
        </w:rPr>
        <w:fldChar w:fldCharType="end"/>
      </w:r>
    </w:p>
    <w:p w14:paraId="6002D5DC">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_Toc5767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rPr>
        <w:t xml:space="preserve">第一部分 </w:t>
      </w:r>
      <w:r>
        <w:rPr>
          <w:rFonts w:hint="eastAsia" w:ascii="微软雅黑" w:hAnsi="微软雅黑" w:eastAsia="微软雅黑" w:cs="微软雅黑"/>
          <w:szCs w:val="28"/>
          <w:highlight w:val="none"/>
        </w:rPr>
        <w:t>磋商</w:t>
      </w:r>
      <w:r>
        <w:rPr>
          <w:rFonts w:hint="eastAsia" w:ascii="微软雅黑" w:hAnsi="微软雅黑" w:eastAsia="微软雅黑" w:cs="微软雅黑"/>
          <w:bCs/>
          <w:szCs w:val="28"/>
          <w:highlight w:val="none"/>
        </w:rPr>
        <w:t>一览表及资格证明文件</w:t>
      </w:r>
      <w:r>
        <w:rPr>
          <w:highlight w:val="none"/>
        </w:rPr>
        <w:tab/>
      </w:r>
      <w:r>
        <w:rPr>
          <w:highlight w:val="none"/>
        </w:rPr>
        <w:fldChar w:fldCharType="begin"/>
      </w:r>
      <w:r>
        <w:rPr>
          <w:highlight w:val="none"/>
        </w:rPr>
        <w:instrText xml:space="preserve"> PAGEREF _Toc5767 \h </w:instrText>
      </w:r>
      <w:r>
        <w:rPr>
          <w:highlight w:val="none"/>
        </w:rPr>
        <w:fldChar w:fldCharType="separate"/>
      </w:r>
      <w:r>
        <w:rPr>
          <w:highlight w:val="none"/>
        </w:rPr>
        <w:t>17</w:t>
      </w:r>
      <w:r>
        <w:rPr>
          <w:highlight w:val="none"/>
        </w:rPr>
        <w:fldChar w:fldCharType="end"/>
      </w:r>
      <w:r>
        <w:rPr>
          <w:rFonts w:hint="eastAsia" w:ascii="微软雅黑" w:hAnsi="微软雅黑" w:eastAsia="微软雅黑" w:cs="微软雅黑"/>
          <w:szCs w:val="24"/>
          <w:highlight w:val="none"/>
        </w:rPr>
        <w:fldChar w:fldCharType="end"/>
      </w:r>
    </w:p>
    <w:p w14:paraId="02A0B0F2">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_Toc2030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2"/>
          <w:highlight w:val="none"/>
        </w:rPr>
        <w:t>第二部分  商务及技术文件</w:t>
      </w:r>
      <w:r>
        <w:rPr>
          <w:highlight w:val="none"/>
        </w:rPr>
        <w:tab/>
      </w:r>
      <w:r>
        <w:rPr>
          <w:highlight w:val="none"/>
        </w:rPr>
        <w:fldChar w:fldCharType="begin"/>
      </w:r>
      <w:r>
        <w:rPr>
          <w:highlight w:val="none"/>
        </w:rPr>
        <w:instrText xml:space="preserve"> PAGEREF _Toc2030 \h </w:instrText>
      </w:r>
      <w:r>
        <w:rPr>
          <w:highlight w:val="none"/>
        </w:rPr>
        <w:fldChar w:fldCharType="separate"/>
      </w:r>
      <w:r>
        <w:rPr>
          <w:highlight w:val="none"/>
        </w:rPr>
        <w:t>24</w:t>
      </w:r>
      <w:r>
        <w:rPr>
          <w:highlight w:val="none"/>
        </w:rPr>
        <w:fldChar w:fldCharType="end"/>
      </w:r>
      <w:r>
        <w:rPr>
          <w:rFonts w:hint="eastAsia" w:ascii="微软雅黑" w:hAnsi="微软雅黑" w:eastAsia="微软雅黑" w:cs="微软雅黑"/>
          <w:szCs w:val="24"/>
          <w:highlight w:val="none"/>
        </w:rPr>
        <w:fldChar w:fldCharType="end"/>
      </w:r>
    </w:p>
    <w:p w14:paraId="22543678">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_Toc8719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24"/>
          <w:highlight w:val="none"/>
        </w:rPr>
        <w:t>第3章  磋商邀请</w:t>
      </w:r>
      <w:r>
        <w:rPr>
          <w:highlight w:val="none"/>
        </w:rPr>
        <w:tab/>
      </w:r>
      <w:r>
        <w:rPr>
          <w:highlight w:val="none"/>
        </w:rPr>
        <w:fldChar w:fldCharType="begin"/>
      </w:r>
      <w:r>
        <w:rPr>
          <w:highlight w:val="none"/>
        </w:rPr>
        <w:instrText xml:space="preserve"> PAGEREF _Toc8719 \h </w:instrText>
      </w:r>
      <w:r>
        <w:rPr>
          <w:highlight w:val="none"/>
        </w:rPr>
        <w:fldChar w:fldCharType="separate"/>
      </w:r>
      <w:r>
        <w:rPr>
          <w:highlight w:val="none"/>
        </w:rPr>
        <w:t>42</w:t>
      </w:r>
      <w:r>
        <w:rPr>
          <w:highlight w:val="none"/>
        </w:rPr>
        <w:fldChar w:fldCharType="end"/>
      </w:r>
      <w:r>
        <w:rPr>
          <w:rFonts w:hint="eastAsia" w:ascii="微软雅黑" w:hAnsi="微软雅黑" w:eastAsia="微软雅黑" w:cs="微软雅黑"/>
          <w:szCs w:val="24"/>
          <w:highlight w:val="none"/>
        </w:rPr>
        <w:fldChar w:fldCharType="end"/>
      </w:r>
    </w:p>
    <w:p w14:paraId="75B62673">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_Toc32092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highlight w:val="none"/>
        </w:rPr>
        <w:t>第4章  供应商须知资料表</w:t>
      </w:r>
      <w:r>
        <w:rPr>
          <w:highlight w:val="none"/>
        </w:rPr>
        <w:tab/>
      </w:r>
      <w:r>
        <w:rPr>
          <w:highlight w:val="none"/>
        </w:rPr>
        <w:fldChar w:fldCharType="begin"/>
      </w:r>
      <w:r>
        <w:rPr>
          <w:highlight w:val="none"/>
        </w:rPr>
        <w:instrText xml:space="preserve"> PAGEREF _Toc32092 \h </w:instrText>
      </w:r>
      <w:r>
        <w:rPr>
          <w:highlight w:val="none"/>
        </w:rPr>
        <w:fldChar w:fldCharType="separate"/>
      </w:r>
      <w:r>
        <w:rPr>
          <w:highlight w:val="none"/>
        </w:rPr>
        <w:t>46</w:t>
      </w:r>
      <w:r>
        <w:rPr>
          <w:highlight w:val="none"/>
        </w:rPr>
        <w:fldChar w:fldCharType="end"/>
      </w:r>
      <w:r>
        <w:rPr>
          <w:rFonts w:hint="eastAsia" w:ascii="微软雅黑" w:hAnsi="微软雅黑" w:eastAsia="微软雅黑" w:cs="微软雅黑"/>
          <w:szCs w:val="24"/>
          <w:highlight w:val="none"/>
        </w:rPr>
        <w:fldChar w:fldCharType="end"/>
      </w:r>
    </w:p>
    <w:p w14:paraId="26F93803">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_Toc20565 </w:instrText>
      </w:r>
      <w:r>
        <w:rPr>
          <w:rFonts w:hint="eastAsia" w:ascii="微软雅黑" w:hAnsi="微软雅黑" w:eastAsia="微软雅黑" w:cs="微软雅黑"/>
          <w:szCs w:val="24"/>
          <w:highlight w:val="none"/>
        </w:rPr>
        <w:fldChar w:fldCharType="separate"/>
      </w:r>
      <w:r>
        <w:rPr>
          <w:rFonts w:ascii="微软雅黑" w:hAnsi="微软雅黑" w:eastAsia="微软雅黑" w:cs="微软雅黑"/>
          <w:szCs w:val="32"/>
          <w:highlight w:val="none"/>
        </w:rPr>
        <w:t xml:space="preserve">第5章 </w:t>
      </w:r>
      <w:r>
        <w:rPr>
          <w:rFonts w:hint="eastAsia" w:ascii="微软雅黑" w:hAnsi="微软雅黑" w:eastAsia="微软雅黑" w:cs="微软雅黑"/>
          <w:szCs w:val="32"/>
          <w:highlight w:val="none"/>
        </w:rPr>
        <w:t>采购需求及项目要求</w:t>
      </w:r>
      <w:r>
        <w:rPr>
          <w:rFonts w:hint="eastAsia" w:ascii="微软雅黑" w:hAnsi="微软雅黑" w:eastAsia="微软雅黑" w:cs="微软雅黑"/>
          <w:bCs/>
          <w:szCs w:val="32"/>
          <w:highlight w:val="none"/>
          <w:lang w:val="en-US" w:eastAsia="zh-CN"/>
        </w:rPr>
        <w:t>（详见工程量清单）</w:t>
      </w:r>
      <w:r>
        <w:rPr>
          <w:highlight w:val="none"/>
        </w:rPr>
        <w:tab/>
      </w:r>
      <w:r>
        <w:rPr>
          <w:highlight w:val="none"/>
        </w:rPr>
        <w:fldChar w:fldCharType="begin"/>
      </w:r>
      <w:r>
        <w:rPr>
          <w:highlight w:val="none"/>
        </w:rPr>
        <w:instrText xml:space="preserve"> PAGEREF _Toc20565 \h </w:instrText>
      </w:r>
      <w:r>
        <w:rPr>
          <w:highlight w:val="none"/>
        </w:rPr>
        <w:fldChar w:fldCharType="separate"/>
      </w:r>
      <w:r>
        <w:rPr>
          <w:highlight w:val="none"/>
        </w:rPr>
        <w:t>50</w:t>
      </w:r>
      <w:r>
        <w:rPr>
          <w:highlight w:val="none"/>
        </w:rPr>
        <w:fldChar w:fldCharType="end"/>
      </w:r>
      <w:r>
        <w:rPr>
          <w:rFonts w:hint="eastAsia" w:ascii="微软雅黑" w:hAnsi="微软雅黑" w:eastAsia="微软雅黑" w:cs="微软雅黑"/>
          <w:szCs w:val="24"/>
          <w:highlight w:val="none"/>
        </w:rPr>
        <w:fldChar w:fldCharType="end"/>
      </w:r>
    </w:p>
    <w:p w14:paraId="0F867EF6">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_Toc17144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32"/>
          <w:highlight w:val="none"/>
          <w:lang w:val="en-US" w:eastAsia="zh-CN"/>
        </w:rPr>
        <w:t>一、项目要求如下：</w:t>
      </w:r>
      <w:r>
        <w:rPr>
          <w:highlight w:val="none"/>
        </w:rPr>
        <w:tab/>
      </w:r>
      <w:r>
        <w:rPr>
          <w:highlight w:val="none"/>
        </w:rPr>
        <w:fldChar w:fldCharType="begin"/>
      </w:r>
      <w:r>
        <w:rPr>
          <w:highlight w:val="none"/>
        </w:rPr>
        <w:instrText xml:space="preserve"> PAGEREF _Toc17144 \h </w:instrText>
      </w:r>
      <w:r>
        <w:rPr>
          <w:highlight w:val="none"/>
        </w:rPr>
        <w:fldChar w:fldCharType="separate"/>
      </w:r>
      <w:r>
        <w:rPr>
          <w:highlight w:val="none"/>
        </w:rPr>
        <w:t>50</w:t>
      </w:r>
      <w:r>
        <w:rPr>
          <w:highlight w:val="none"/>
        </w:rPr>
        <w:fldChar w:fldCharType="end"/>
      </w:r>
      <w:r>
        <w:rPr>
          <w:rFonts w:hint="eastAsia" w:ascii="微软雅黑" w:hAnsi="微软雅黑" w:eastAsia="微软雅黑" w:cs="微软雅黑"/>
          <w:szCs w:val="24"/>
          <w:highlight w:val="none"/>
        </w:rPr>
        <w:fldChar w:fldCharType="end"/>
      </w:r>
    </w:p>
    <w:p w14:paraId="694F3735">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_Toc6615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lang w:val="en-US" w:eastAsia="zh-CN"/>
        </w:rPr>
        <w:t>二、工程量清单说明：</w:t>
      </w:r>
      <w:r>
        <w:rPr>
          <w:highlight w:val="none"/>
        </w:rPr>
        <w:tab/>
      </w:r>
      <w:r>
        <w:rPr>
          <w:highlight w:val="none"/>
        </w:rPr>
        <w:fldChar w:fldCharType="begin"/>
      </w:r>
      <w:r>
        <w:rPr>
          <w:highlight w:val="none"/>
        </w:rPr>
        <w:instrText xml:space="preserve"> PAGEREF _Toc6615 \h </w:instrText>
      </w:r>
      <w:r>
        <w:rPr>
          <w:highlight w:val="none"/>
        </w:rPr>
        <w:fldChar w:fldCharType="separate"/>
      </w:r>
      <w:r>
        <w:rPr>
          <w:highlight w:val="none"/>
        </w:rPr>
        <w:t>52</w:t>
      </w:r>
      <w:r>
        <w:rPr>
          <w:highlight w:val="none"/>
        </w:rPr>
        <w:fldChar w:fldCharType="end"/>
      </w:r>
      <w:r>
        <w:rPr>
          <w:rFonts w:hint="eastAsia" w:ascii="微软雅黑" w:hAnsi="微软雅黑" w:eastAsia="微软雅黑" w:cs="微软雅黑"/>
          <w:szCs w:val="24"/>
          <w:highlight w:val="none"/>
        </w:rPr>
        <w:fldChar w:fldCharType="end"/>
      </w:r>
    </w:p>
    <w:p w14:paraId="35FEFC54">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_Toc29845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lang w:val="en-US" w:eastAsia="zh-CN"/>
        </w:rPr>
        <w:t>三、投标报价说明：</w:t>
      </w:r>
      <w:r>
        <w:rPr>
          <w:highlight w:val="none"/>
        </w:rPr>
        <w:tab/>
      </w:r>
      <w:r>
        <w:rPr>
          <w:highlight w:val="none"/>
        </w:rPr>
        <w:fldChar w:fldCharType="begin"/>
      </w:r>
      <w:r>
        <w:rPr>
          <w:highlight w:val="none"/>
        </w:rPr>
        <w:instrText xml:space="preserve"> PAGEREF _Toc29845 \h </w:instrText>
      </w:r>
      <w:r>
        <w:rPr>
          <w:highlight w:val="none"/>
        </w:rPr>
        <w:fldChar w:fldCharType="separate"/>
      </w:r>
      <w:r>
        <w:rPr>
          <w:highlight w:val="none"/>
        </w:rPr>
        <w:t>52</w:t>
      </w:r>
      <w:r>
        <w:rPr>
          <w:highlight w:val="none"/>
        </w:rPr>
        <w:fldChar w:fldCharType="end"/>
      </w:r>
      <w:r>
        <w:rPr>
          <w:rFonts w:hint="eastAsia" w:ascii="微软雅黑" w:hAnsi="微软雅黑" w:eastAsia="微软雅黑" w:cs="微软雅黑"/>
          <w:szCs w:val="24"/>
          <w:highlight w:val="none"/>
        </w:rPr>
        <w:fldChar w:fldCharType="end"/>
      </w:r>
    </w:p>
    <w:p w14:paraId="6DFC83DE">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_Toc17211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lang w:val="en-US" w:eastAsia="zh-CN"/>
        </w:rPr>
        <w:t xml:space="preserve">四、 </w:t>
      </w:r>
      <w:r>
        <w:rPr>
          <w:rFonts w:hint="eastAsia" w:ascii="微软雅黑" w:hAnsi="微软雅黑" w:eastAsia="微软雅黑" w:cs="微软雅黑"/>
          <w:bCs/>
          <w:szCs w:val="28"/>
          <w:highlight w:val="none"/>
          <w:lang w:val="en-US" w:eastAsia="zh-CN"/>
        </w:rPr>
        <w:t>户外游戏设施（货物类部分）采购内容</w:t>
      </w:r>
      <w:r>
        <w:rPr>
          <w:highlight w:val="none"/>
        </w:rPr>
        <w:tab/>
      </w:r>
      <w:r>
        <w:rPr>
          <w:highlight w:val="none"/>
        </w:rPr>
        <w:fldChar w:fldCharType="begin"/>
      </w:r>
      <w:r>
        <w:rPr>
          <w:highlight w:val="none"/>
        </w:rPr>
        <w:instrText xml:space="preserve"> PAGEREF _Toc17211 \h </w:instrText>
      </w:r>
      <w:r>
        <w:rPr>
          <w:highlight w:val="none"/>
        </w:rPr>
        <w:fldChar w:fldCharType="separate"/>
      </w:r>
      <w:r>
        <w:rPr>
          <w:highlight w:val="none"/>
        </w:rPr>
        <w:t>53</w:t>
      </w:r>
      <w:r>
        <w:rPr>
          <w:highlight w:val="none"/>
        </w:rPr>
        <w:fldChar w:fldCharType="end"/>
      </w:r>
      <w:r>
        <w:rPr>
          <w:rFonts w:hint="eastAsia" w:ascii="微软雅黑" w:hAnsi="微软雅黑" w:eastAsia="微软雅黑" w:cs="微软雅黑"/>
          <w:szCs w:val="24"/>
          <w:highlight w:val="none"/>
        </w:rPr>
        <w:fldChar w:fldCharType="end"/>
      </w:r>
    </w:p>
    <w:p w14:paraId="43A1E7B6">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_Toc984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szCs w:val="28"/>
          <w:highlight w:val="none"/>
          <w:lang w:val="en-US" w:eastAsia="zh-CN"/>
        </w:rPr>
        <w:t xml:space="preserve">五、 </w:t>
      </w:r>
      <w:r>
        <w:rPr>
          <w:rFonts w:hint="eastAsia" w:ascii="微软雅黑" w:hAnsi="微软雅黑" w:eastAsia="微软雅黑" w:cs="微软雅黑"/>
          <w:bCs/>
          <w:szCs w:val="28"/>
          <w:highlight w:val="none"/>
          <w:lang w:val="en-US" w:eastAsia="zh-CN"/>
        </w:rPr>
        <w:t>工程量清单 （工程类部分）（另附）</w:t>
      </w:r>
      <w:r>
        <w:rPr>
          <w:highlight w:val="none"/>
        </w:rPr>
        <w:tab/>
      </w:r>
      <w:r>
        <w:rPr>
          <w:highlight w:val="none"/>
        </w:rPr>
        <w:fldChar w:fldCharType="begin"/>
      </w:r>
      <w:r>
        <w:rPr>
          <w:highlight w:val="none"/>
        </w:rPr>
        <w:instrText xml:space="preserve"> PAGEREF _Toc984 \h </w:instrText>
      </w:r>
      <w:r>
        <w:rPr>
          <w:highlight w:val="none"/>
        </w:rPr>
        <w:fldChar w:fldCharType="separate"/>
      </w:r>
      <w:r>
        <w:rPr>
          <w:highlight w:val="none"/>
        </w:rPr>
        <w:t>69</w:t>
      </w:r>
      <w:r>
        <w:rPr>
          <w:highlight w:val="none"/>
        </w:rPr>
        <w:fldChar w:fldCharType="end"/>
      </w:r>
      <w:r>
        <w:rPr>
          <w:rFonts w:hint="eastAsia" w:ascii="微软雅黑" w:hAnsi="微软雅黑" w:eastAsia="微软雅黑" w:cs="微软雅黑"/>
          <w:szCs w:val="24"/>
          <w:highlight w:val="none"/>
        </w:rPr>
        <w:fldChar w:fldCharType="end"/>
      </w:r>
    </w:p>
    <w:p w14:paraId="143B8588">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_Toc16479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 xml:space="preserve">六、 </w:t>
      </w:r>
      <w:r>
        <w:rPr>
          <w:rFonts w:hint="eastAsia" w:ascii="微软雅黑" w:hAnsi="微软雅黑" w:eastAsia="微软雅黑" w:cs="微软雅黑"/>
          <w:bCs/>
          <w:szCs w:val="28"/>
          <w:highlight w:val="none"/>
          <w:lang w:val="en-US" w:eastAsia="zh-CN"/>
        </w:rPr>
        <w:t>图纸（如有，另附）</w:t>
      </w:r>
      <w:r>
        <w:rPr>
          <w:highlight w:val="none"/>
        </w:rPr>
        <w:tab/>
      </w:r>
      <w:r>
        <w:rPr>
          <w:highlight w:val="none"/>
        </w:rPr>
        <w:fldChar w:fldCharType="begin"/>
      </w:r>
      <w:r>
        <w:rPr>
          <w:highlight w:val="none"/>
        </w:rPr>
        <w:instrText xml:space="preserve"> PAGEREF _Toc16479 \h </w:instrText>
      </w:r>
      <w:r>
        <w:rPr>
          <w:highlight w:val="none"/>
        </w:rPr>
        <w:fldChar w:fldCharType="separate"/>
      </w:r>
      <w:r>
        <w:rPr>
          <w:highlight w:val="none"/>
        </w:rPr>
        <w:t>69</w:t>
      </w:r>
      <w:r>
        <w:rPr>
          <w:highlight w:val="none"/>
        </w:rPr>
        <w:fldChar w:fldCharType="end"/>
      </w:r>
      <w:r>
        <w:rPr>
          <w:rFonts w:hint="eastAsia" w:ascii="微软雅黑" w:hAnsi="微软雅黑" w:eastAsia="微软雅黑" w:cs="微软雅黑"/>
          <w:szCs w:val="24"/>
          <w:highlight w:val="none"/>
        </w:rPr>
        <w:fldChar w:fldCharType="end"/>
      </w:r>
    </w:p>
    <w:p w14:paraId="4AE4B334">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_Toc1631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highlight w:val="none"/>
        </w:rPr>
        <w:t>第6章 评审方法和标准</w:t>
      </w:r>
      <w:r>
        <w:rPr>
          <w:highlight w:val="none"/>
        </w:rPr>
        <w:tab/>
      </w:r>
      <w:r>
        <w:rPr>
          <w:highlight w:val="none"/>
        </w:rPr>
        <w:fldChar w:fldCharType="begin"/>
      </w:r>
      <w:r>
        <w:rPr>
          <w:highlight w:val="none"/>
        </w:rPr>
        <w:instrText xml:space="preserve"> PAGEREF _Toc1631 \h </w:instrText>
      </w:r>
      <w:r>
        <w:rPr>
          <w:highlight w:val="none"/>
        </w:rPr>
        <w:fldChar w:fldCharType="separate"/>
      </w:r>
      <w:r>
        <w:rPr>
          <w:highlight w:val="none"/>
        </w:rPr>
        <w:t>70</w:t>
      </w:r>
      <w:r>
        <w:rPr>
          <w:highlight w:val="none"/>
        </w:rPr>
        <w:fldChar w:fldCharType="end"/>
      </w:r>
      <w:r>
        <w:rPr>
          <w:rFonts w:hint="eastAsia" w:ascii="微软雅黑" w:hAnsi="微软雅黑" w:eastAsia="微软雅黑" w:cs="微软雅黑"/>
          <w:szCs w:val="24"/>
          <w:highlight w:val="none"/>
        </w:rPr>
        <w:fldChar w:fldCharType="end"/>
      </w:r>
    </w:p>
    <w:p w14:paraId="53A20130">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_Toc28201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初步评审—资格性审查表</w:t>
      </w:r>
      <w:r>
        <w:rPr>
          <w:highlight w:val="none"/>
        </w:rPr>
        <w:tab/>
      </w:r>
      <w:r>
        <w:rPr>
          <w:highlight w:val="none"/>
        </w:rPr>
        <w:fldChar w:fldCharType="begin"/>
      </w:r>
      <w:r>
        <w:rPr>
          <w:highlight w:val="none"/>
        </w:rPr>
        <w:instrText xml:space="preserve"> PAGEREF _Toc28201 \h </w:instrText>
      </w:r>
      <w:r>
        <w:rPr>
          <w:highlight w:val="none"/>
        </w:rPr>
        <w:fldChar w:fldCharType="separate"/>
      </w:r>
      <w:r>
        <w:rPr>
          <w:highlight w:val="none"/>
        </w:rPr>
        <w:t>75</w:t>
      </w:r>
      <w:r>
        <w:rPr>
          <w:highlight w:val="none"/>
        </w:rPr>
        <w:fldChar w:fldCharType="end"/>
      </w:r>
      <w:r>
        <w:rPr>
          <w:rFonts w:hint="eastAsia" w:ascii="微软雅黑" w:hAnsi="微软雅黑" w:eastAsia="微软雅黑" w:cs="微软雅黑"/>
          <w:szCs w:val="24"/>
          <w:highlight w:val="none"/>
        </w:rPr>
        <w:fldChar w:fldCharType="end"/>
      </w:r>
    </w:p>
    <w:p w14:paraId="63B49868">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_Toc20698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初步评审—符合性审查表</w:t>
      </w:r>
      <w:r>
        <w:rPr>
          <w:highlight w:val="none"/>
        </w:rPr>
        <w:tab/>
      </w:r>
      <w:r>
        <w:rPr>
          <w:highlight w:val="none"/>
        </w:rPr>
        <w:fldChar w:fldCharType="begin"/>
      </w:r>
      <w:r>
        <w:rPr>
          <w:highlight w:val="none"/>
        </w:rPr>
        <w:instrText xml:space="preserve"> PAGEREF _Toc20698 \h </w:instrText>
      </w:r>
      <w:r>
        <w:rPr>
          <w:highlight w:val="none"/>
        </w:rPr>
        <w:fldChar w:fldCharType="separate"/>
      </w:r>
      <w:r>
        <w:rPr>
          <w:highlight w:val="none"/>
        </w:rPr>
        <w:t>76</w:t>
      </w:r>
      <w:r>
        <w:rPr>
          <w:highlight w:val="none"/>
        </w:rPr>
        <w:fldChar w:fldCharType="end"/>
      </w:r>
      <w:r>
        <w:rPr>
          <w:rFonts w:hint="eastAsia" w:ascii="微软雅黑" w:hAnsi="微软雅黑" w:eastAsia="微软雅黑" w:cs="微软雅黑"/>
          <w:szCs w:val="24"/>
          <w:highlight w:val="none"/>
        </w:rPr>
        <w:fldChar w:fldCharType="end"/>
      </w:r>
    </w:p>
    <w:p w14:paraId="477DDDB1">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_Toc17484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highlight w:val="none"/>
        </w:rPr>
        <w:t>综合评分表</w:t>
      </w:r>
      <w:r>
        <w:rPr>
          <w:highlight w:val="none"/>
        </w:rPr>
        <w:tab/>
      </w:r>
      <w:r>
        <w:rPr>
          <w:highlight w:val="none"/>
        </w:rPr>
        <w:fldChar w:fldCharType="begin"/>
      </w:r>
      <w:r>
        <w:rPr>
          <w:highlight w:val="none"/>
        </w:rPr>
        <w:instrText xml:space="preserve"> PAGEREF _Toc17484 \h </w:instrText>
      </w:r>
      <w:r>
        <w:rPr>
          <w:highlight w:val="none"/>
        </w:rPr>
        <w:fldChar w:fldCharType="separate"/>
      </w:r>
      <w:r>
        <w:rPr>
          <w:highlight w:val="none"/>
        </w:rPr>
        <w:t>77</w:t>
      </w:r>
      <w:r>
        <w:rPr>
          <w:highlight w:val="none"/>
        </w:rPr>
        <w:fldChar w:fldCharType="end"/>
      </w:r>
      <w:r>
        <w:rPr>
          <w:rFonts w:hint="eastAsia" w:ascii="微软雅黑" w:hAnsi="微软雅黑" w:eastAsia="微软雅黑" w:cs="微软雅黑"/>
          <w:szCs w:val="24"/>
          <w:highlight w:val="none"/>
        </w:rPr>
        <w:fldChar w:fldCharType="end"/>
      </w:r>
    </w:p>
    <w:p w14:paraId="4459F1F5">
      <w:pPr>
        <w:pStyle w:val="20"/>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_Toc6746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bCs/>
          <w:kern w:val="44"/>
          <w:szCs w:val="20"/>
          <w:highlight w:val="none"/>
        </w:rPr>
        <w:t>第7章 合同格式 （仅做参考，以实际情况为准）</w:t>
      </w:r>
      <w:r>
        <w:rPr>
          <w:highlight w:val="none"/>
        </w:rPr>
        <w:tab/>
      </w:r>
      <w:r>
        <w:rPr>
          <w:highlight w:val="none"/>
        </w:rPr>
        <w:fldChar w:fldCharType="begin"/>
      </w:r>
      <w:r>
        <w:rPr>
          <w:highlight w:val="none"/>
        </w:rPr>
        <w:instrText xml:space="preserve"> PAGEREF _Toc6746 \h </w:instrText>
      </w:r>
      <w:r>
        <w:rPr>
          <w:highlight w:val="none"/>
        </w:rPr>
        <w:fldChar w:fldCharType="separate"/>
      </w:r>
      <w:r>
        <w:rPr>
          <w:highlight w:val="none"/>
        </w:rPr>
        <w:t>81</w:t>
      </w:r>
      <w:r>
        <w:rPr>
          <w:highlight w:val="none"/>
        </w:rPr>
        <w:fldChar w:fldCharType="end"/>
      </w:r>
      <w:r>
        <w:rPr>
          <w:rFonts w:hint="eastAsia" w:ascii="微软雅黑" w:hAnsi="微软雅黑" w:eastAsia="微软雅黑" w:cs="微软雅黑"/>
          <w:szCs w:val="24"/>
          <w:highlight w:val="none"/>
        </w:rPr>
        <w:fldChar w:fldCharType="end"/>
      </w:r>
    </w:p>
    <w:p w14:paraId="2D2549CD">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_Toc15922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第一节  合同条款</w:t>
      </w:r>
      <w:r>
        <w:rPr>
          <w:highlight w:val="none"/>
        </w:rPr>
        <w:tab/>
      </w:r>
      <w:r>
        <w:rPr>
          <w:highlight w:val="none"/>
        </w:rPr>
        <w:fldChar w:fldCharType="begin"/>
      </w:r>
      <w:r>
        <w:rPr>
          <w:highlight w:val="none"/>
        </w:rPr>
        <w:instrText xml:space="preserve"> PAGEREF _Toc15922 \h </w:instrText>
      </w:r>
      <w:r>
        <w:rPr>
          <w:highlight w:val="none"/>
        </w:rPr>
        <w:fldChar w:fldCharType="separate"/>
      </w:r>
      <w:r>
        <w:rPr>
          <w:highlight w:val="none"/>
        </w:rPr>
        <w:t>81</w:t>
      </w:r>
      <w:r>
        <w:rPr>
          <w:highlight w:val="none"/>
        </w:rPr>
        <w:fldChar w:fldCharType="end"/>
      </w:r>
      <w:r>
        <w:rPr>
          <w:rFonts w:hint="eastAsia" w:ascii="微软雅黑" w:hAnsi="微软雅黑" w:eastAsia="微软雅黑" w:cs="微软雅黑"/>
          <w:szCs w:val="24"/>
          <w:highlight w:val="none"/>
        </w:rPr>
        <w:fldChar w:fldCharType="end"/>
      </w:r>
    </w:p>
    <w:p w14:paraId="28EE38B1">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_Toc31502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第二节  专用合同条款</w:t>
      </w:r>
      <w:r>
        <w:rPr>
          <w:highlight w:val="none"/>
        </w:rPr>
        <w:tab/>
      </w:r>
      <w:r>
        <w:rPr>
          <w:highlight w:val="none"/>
        </w:rPr>
        <w:fldChar w:fldCharType="begin"/>
      </w:r>
      <w:r>
        <w:rPr>
          <w:highlight w:val="none"/>
        </w:rPr>
        <w:instrText xml:space="preserve"> PAGEREF _Toc31502 \h </w:instrText>
      </w:r>
      <w:r>
        <w:rPr>
          <w:highlight w:val="none"/>
        </w:rPr>
        <w:fldChar w:fldCharType="separate"/>
      </w:r>
      <w:r>
        <w:rPr>
          <w:highlight w:val="none"/>
        </w:rPr>
        <w:t>81</w:t>
      </w:r>
      <w:r>
        <w:rPr>
          <w:highlight w:val="none"/>
        </w:rPr>
        <w:fldChar w:fldCharType="end"/>
      </w:r>
      <w:r>
        <w:rPr>
          <w:rFonts w:hint="eastAsia" w:ascii="微软雅黑" w:hAnsi="微软雅黑" w:eastAsia="微软雅黑" w:cs="微软雅黑"/>
          <w:szCs w:val="24"/>
          <w:highlight w:val="none"/>
        </w:rPr>
        <w:fldChar w:fldCharType="end"/>
      </w:r>
    </w:p>
    <w:p w14:paraId="78224AE7">
      <w:pPr>
        <w:pStyle w:val="23"/>
        <w:tabs>
          <w:tab w:val="right" w:leader="dot" w:pos="8312"/>
        </w:tabs>
        <w:rPr>
          <w:highlight w:val="none"/>
        </w:rPr>
      </w:pPr>
      <w:r>
        <w:rPr>
          <w:rFonts w:hint="eastAsia" w:ascii="微软雅黑" w:hAnsi="微软雅黑" w:eastAsia="微软雅黑" w:cs="微软雅黑"/>
          <w:szCs w:val="24"/>
          <w:highlight w:val="none"/>
        </w:rPr>
        <w:fldChar w:fldCharType="begin"/>
      </w:r>
      <w:r>
        <w:rPr>
          <w:rFonts w:hint="eastAsia" w:ascii="微软雅黑" w:hAnsi="微软雅黑" w:eastAsia="微软雅黑" w:cs="微软雅黑"/>
          <w:szCs w:val="24"/>
          <w:highlight w:val="none"/>
        </w:rPr>
        <w:instrText xml:space="preserve"> HYPERLINK \l _Toc15357 </w:instrText>
      </w:r>
      <w:r>
        <w:rPr>
          <w:rFonts w:hint="eastAsia" w:ascii="微软雅黑" w:hAnsi="微软雅黑" w:eastAsia="微软雅黑" w:cs="微软雅黑"/>
          <w:szCs w:val="24"/>
          <w:highlight w:val="none"/>
        </w:rPr>
        <w:fldChar w:fldCharType="separate"/>
      </w:r>
      <w:r>
        <w:rPr>
          <w:rFonts w:hint="eastAsia" w:ascii="微软雅黑" w:hAnsi="微软雅黑" w:eastAsia="微软雅黑" w:cs="微软雅黑"/>
          <w:szCs w:val="30"/>
          <w:highlight w:val="none"/>
        </w:rPr>
        <w:t>第三节 合同文件格式</w:t>
      </w:r>
      <w:r>
        <w:rPr>
          <w:highlight w:val="none"/>
        </w:rPr>
        <w:tab/>
      </w:r>
      <w:r>
        <w:rPr>
          <w:highlight w:val="none"/>
        </w:rPr>
        <w:fldChar w:fldCharType="begin"/>
      </w:r>
      <w:r>
        <w:rPr>
          <w:highlight w:val="none"/>
        </w:rPr>
        <w:instrText xml:space="preserve"> PAGEREF _Toc15357 \h </w:instrText>
      </w:r>
      <w:r>
        <w:rPr>
          <w:highlight w:val="none"/>
        </w:rPr>
        <w:fldChar w:fldCharType="separate"/>
      </w:r>
      <w:r>
        <w:rPr>
          <w:highlight w:val="none"/>
        </w:rPr>
        <w:t>102</w:t>
      </w:r>
      <w:r>
        <w:rPr>
          <w:highlight w:val="none"/>
        </w:rPr>
        <w:fldChar w:fldCharType="end"/>
      </w:r>
      <w:r>
        <w:rPr>
          <w:rFonts w:hint="eastAsia" w:ascii="微软雅黑" w:hAnsi="微软雅黑" w:eastAsia="微软雅黑" w:cs="微软雅黑"/>
          <w:szCs w:val="24"/>
          <w:highlight w:val="none"/>
        </w:rPr>
        <w:fldChar w:fldCharType="end"/>
      </w:r>
    </w:p>
    <w:p w14:paraId="34730916">
      <w:pPr>
        <w:ind w:firstLine="0"/>
        <w:jc w:val="center"/>
        <w:rPr>
          <w:rFonts w:ascii="微软雅黑" w:hAnsi="微软雅黑" w:eastAsia="微软雅黑" w:cs="微软雅黑"/>
          <w:szCs w:val="24"/>
          <w:highlight w:val="none"/>
        </w:rPr>
      </w:pPr>
      <w:r>
        <w:rPr>
          <w:rFonts w:hint="eastAsia" w:ascii="微软雅黑" w:hAnsi="微软雅黑" w:eastAsia="微软雅黑" w:cs="微软雅黑"/>
          <w:szCs w:val="24"/>
          <w:highlight w:val="none"/>
        </w:rPr>
        <w:fldChar w:fldCharType="end"/>
      </w:r>
      <w:r>
        <w:rPr>
          <w:rFonts w:hint="eastAsia" w:ascii="微软雅黑" w:hAnsi="微软雅黑" w:eastAsia="微软雅黑" w:cs="微软雅黑"/>
          <w:szCs w:val="24"/>
          <w:highlight w:val="none"/>
        </w:rPr>
        <w:t xml:space="preserve">      </w:t>
      </w:r>
    </w:p>
    <w:p w14:paraId="2566EB44">
      <w:pPr>
        <w:pStyle w:val="8"/>
        <w:ind w:firstLine="0"/>
        <w:jc w:val="center"/>
        <w:rPr>
          <w:rFonts w:ascii="微软雅黑" w:hAnsi="微软雅黑" w:eastAsia="微软雅黑" w:cs="微软雅黑"/>
          <w:szCs w:val="24"/>
          <w:highlight w:val="none"/>
        </w:rPr>
        <w:sectPr>
          <w:footerReference r:id="rId5" w:type="default"/>
          <w:pgSz w:w="11906" w:h="16838"/>
          <w:pgMar w:top="1440" w:right="1797" w:bottom="1440" w:left="1797" w:header="680" w:footer="992" w:gutter="0"/>
          <w:pgNumType w:fmt="decimal" w:start="1"/>
          <w:cols w:space="0" w:num="1"/>
          <w:docGrid w:linePitch="312" w:charSpace="0"/>
        </w:sectPr>
      </w:pPr>
    </w:p>
    <w:bookmarkEnd w:id="21"/>
    <w:bookmarkEnd w:id="22"/>
    <w:bookmarkEnd w:id="23"/>
    <w:bookmarkEnd w:id="24"/>
    <w:bookmarkEnd w:id="25"/>
    <w:bookmarkEnd w:id="26"/>
    <w:bookmarkEnd w:id="27"/>
    <w:bookmarkEnd w:id="28"/>
    <w:bookmarkEnd w:id="29"/>
    <w:p w14:paraId="0113B363">
      <w:pPr>
        <w:pStyle w:val="8"/>
        <w:ind w:firstLine="0"/>
        <w:jc w:val="center"/>
        <w:outlineLvl w:val="0"/>
        <w:rPr>
          <w:rFonts w:ascii="微软雅黑" w:hAnsi="微软雅黑" w:eastAsia="微软雅黑" w:cs="微软雅黑"/>
          <w:sz w:val="32"/>
          <w:szCs w:val="32"/>
          <w:highlight w:val="none"/>
        </w:rPr>
      </w:pPr>
      <w:bookmarkStart w:id="30" w:name="_Toc32628"/>
      <w:bookmarkStart w:id="31" w:name="_Toc32565"/>
      <w:bookmarkStart w:id="32" w:name="_Toc17867"/>
      <w:bookmarkStart w:id="33" w:name="_Toc29770"/>
      <w:bookmarkStart w:id="34" w:name="_Toc24882"/>
      <w:bookmarkStart w:id="35" w:name="_Toc728"/>
      <w:bookmarkStart w:id="36" w:name="_Toc515647802"/>
      <w:bookmarkStart w:id="37" w:name="_Toc702"/>
      <w:bookmarkStart w:id="38" w:name="_Toc3574"/>
      <w:bookmarkStart w:id="39" w:name="_Toc216582812"/>
      <w:r>
        <w:rPr>
          <w:rFonts w:hint="eastAsia" w:ascii="微软雅黑" w:hAnsi="微软雅黑" w:eastAsia="微软雅黑" w:cs="微软雅黑"/>
          <w:b/>
          <w:bCs/>
          <w:sz w:val="32"/>
          <w:szCs w:val="32"/>
          <w:highlight w:val="none"/>
        </w:rPr>
        <w:t>第1章</w:t>
      </w:r>
      <w:r>
        <w:rPr>
          <w:rFonts w:hint="eastAsia" w:ascii="微软雅黑" w:hAnsi="微软雅黑" w:eastAsia="微软雅黑" w:cs="微软雅黑"/>
          <w:sz w:val="32"/>
          <w:szCs w:val="32"/>
          <w:highlight w:val="none"/>
        </w:rPr>
        <w:t xml:space="preserve"> </w:t>
      </w:r>
      <w:bookmarkStart w:id="40" w:name="_Toc515647756"/>
      <w:r>
        <w:rPr>
          <w:rFonts w:hint="eastAsia" w:ascii="微软雅黑" w:hAnsi="微软雅黑" w:eastAsia="微软雅黑" w:cs="微软雅黑"/>
          <w:b/>
          <w:bCs/>
          <w:sz w:val="32"/>
          <w:szCs w:val="32"/>
          <w:highlight w:val="none"/>
        </w:rPr>
        <w:t>供应商须知</w:t>
      </w:r>
      <w:bookmarkEnd w:id="30"/>
      <w:bookmarkEnd w:id="31"/>
      <w:bookmarkEnd w:id="32"/>
      <w:bookmarkEnd w:id="40"/>
    </w:p>
    <w:p w14:paraId="2066EF68">
      <w:pPr>
        <w:pStyle w:val="6"/>
        <w:snapToGrid w:val="0"/>
        <w:spacing w:before="0" w:line="360" w:lineRule="exact"/>
        <w:ind w:left="1080" w:leftChars="257" w:hanging="540"/>
        <w:textAlignment w:val="baseline"/>
        <w:rPr>
          <w:rFonts w:ascii="微软雅黑" w:hAnsi="微软雅黑" w:eastAsia="微软雅黑" w:cs="微软雅黑"/>
          <w:sz w:val="28"/>
          <w:szCs w:val="28"/>
          <w:highlight w:val="none"/>
        </w:rPr>
      </w:pPr>
      <w:bookmarkStart w:id="41" w:name="_Toc520356143"/>
      <w:bookmarkStart w:id="42" w:name="_Toc216582805"/>
      <w:bookmarkStart w:id="43" w:name="_Toc515647757"/>
      <w:bookmarkStart w:id="44" w:name="_Toc30955"/>
      <w:bookmarkStart w:id="45" w:name="_Toc21215"/>
      <w:bookmarkStart w:id="46" w:name="_Toc21015"/>
      <w:bookmarkStart w:id="47" w:name="_Toc13952"/>
      <w:bookmarkStart w:id="48" w:name="_Toc13590"/>
      <w:bookmarkStart w:id="49" w:name="_Toc11227"/>
      <w:r>
        <w:rPr>
          <w:rFonts w:hint="eastAsia" w:ascii="微软雅黑" w:hAnsi="微软雅黑" w:eastAsia="微软雅黑" w:cs="微软雅黑"/>
          <w:sz w:val="28"/>
          <w:szCs w:val="28"/>
          <w:highlight w:val="none"/>
        </w:rPr>
        <w:t xml:space="preserve">一   </w:t>
      </w:r>
      <w:bookmarkEnd w:id="41"/>
      <w:bookmarkEnd w:id="42"/>
      <w:bookmarkEnd w:id="43"/>
      <w:r>
        <w:rPr>
          <w:rFonts w:hint="eastAsia" w:ascii="微软雅黑" w:hAnsi="微软雅黑" w:eastAsia="微软雅黑" w:cs="微软雅黑"/>
          <w:sz w:val="28"/>
          <w:szCs w:val="28"/>
          <w:highlight w:val="none"/>
        </w:rPr>
        <w:t>总 则</w:t>
      </w:r>
      <w:bookmarkEnd w:id="44"/>
      <w:bookmarkEnd w:id="45"/>
      <w:bookmarkEnd w:id="46"/>
      <w:bookmarkEnd w:id="47"/>
      <w:bookmarkEnd w:id="48"/>
      <w:bookmarkEnd w:id="49"/>
    </w:p>
    <w:p w14:paraId="03AC7D98">
      <w:pPr>
        <w:pStyle w:val="10"/>
        <w:spacing w:before="0" w:after="0" w:line="360" w:lineRule="exact"/>
        <w:rPr>
          <w:rFonts w:ascii="微软雅黑" w:hAnsi="微软雅黑" w:eastAsia="微软雅黑" w:cs="微软雅黑"/>
          <w:b/>
          <w:bCs/>
          <w:highlight w:val="none"/>
          <w:u w:val="none"/>
        </w:rPr>
      </w:pPr>
      <w:bookmarkStart w:id="50" w:name="_Toc520356144"/>
      <w:bookmarkStart w:id="51" w:name="_Toc333"/>
      <w:bookmarkStart w:id="52" w:name="_Toc16847"/>
      <w:bookmarkStart w:id="53" w:name="_Toc13517"/>
      <w:bookmarkStart w:id="54" w:name="_Toc31685"/>
      <w:bookmarkStart w:id="55" w:name="_Toc12861"/>
      <w:bookmarkStart w:id="56" w:name="_Toc11808"/>
      <w:bookmarkStart w:id="57" w:name="_Toc515647758"/>
      <w:bookmarkStart w:id="58" w:name="_Toc15441"/>
      <w:bookmarkStart w:id="59" w:name="_Toc32189"/>
      <w:bookmarkStart w:id="60" w:name="_Toc29554"/>
      <w:bookmarkStart w:id="61" w:name="_Toc32623"/>
      <w:bookmarkStart w:id="62" w:name="_Toc2450"/>
      <w:bookmarkStart w:id="63" w:name="_Toc9722"/>
      <w:bookmarkStart w:id="64" w:name="_Toc14590"/>
      <w:bookmarkStart w:id="65" w:name="_Toc22176"/>
      <w:r>
        <w:rPr>
          <w:rFonts w:hint="eastAsia" w:ascii="微软雅黑" w:hAnsi="微软雅黑" w:eastAsia="微软雅黑" w:cs="微软雅黑"/>
          <w:b/>
          <w:bCs/>
          <w:highlight w:val="none"/>
          <w:u w:val="none"/>
        </w:rPr>
        <w:t>1.采购人、采购代理机构及</w:t>
      </w:r>
      <w:bookmarkEnd w:id="50"/>
      <w:bookmarkEnd w:id="51"/>
      <w:bookmarkEnd w:id="52"/>
      <w:bookmarkEnd w:id="53"/>
      <w:bookmarkEnd w:id="54"/>
      <w:bookmarkEnd w:id="55"/>
      <w:bookmarkEnd w:id="56"/>
      <w:bookmarkEnd w:id="57"/>
      <w:bookmarkEnd w:id="58"/>
      <w:bookmarkEnd w:id="59"/>
      <w:bookmarkEnd w:id="60"/>
      <w:bookmarkEnd w:id="61"/>
      <w:bookmarkEnd w:id="62"/>
      <w:r>
        <w:rPr>
          <w:rFonts w:hint="eastAsia" w:ascii="微软雅黑" w:hAnsi="微软雅黑" w:eastAsia="微软雅黑" w:cs="微软雅黑"/>
          <w:b/>
          <w:bCs/>
          <w:highlight w:val="none"/>
          <w:u w:val="none"/>
        </w:rPr>
        <w:t>供应商</w:t>
      </w:r>
      <w:bookmarkEnd w:id="63"/>
      <w:bookmarkEnd w:id="64"/>
      <w:bookmarkEnd w:id="65"/>
    </w:p>
    <w:p w14:paraId="611F2A8E">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1.1    采购人：是指依法开展政府采购活动的国家机关、事业单位、团体组织。</w:t>
      </w:r>
    </w:p>
    <w:p w14:paraId="5DEBB5D0">
      <w:pPr>
        <w:spacing w:line="360" w:lineRule="exact"/>
        <w:ind w:firstLine="720" w:firstLineChars="300"/>
        <w:rPr>
          <w:rFonts w:ascii="微软雅黑" w:hAnsi="微软雅黑" w:eastAsia="微软雅黑" w:cs="微软雅黑"/>
          <w:sz w:val="24"/>
          <w:highlight w:val="none"/>
        </w:rPr>
      </w:pPr>
      <w:r>
        <w:rPr>
          <w:rFonts w:hint="eastAsia" w:ascii="微软雅黑" w:hAnsi="微软雅黑" w:eastAsia="微软雅黑" w:cs="微软雅黑"/>
          <w:sz w:val="24"/>
          <w:highlight w:val="none"/>
        </w:rPr>
        <w:t>本项目的采购人见</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w:t>
      </w:r>
    </w:p>
    <w:p w14:paraId="3727F278">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1.2    采购代理机构：是指在集中采购机构或从事采购代理业务的社会中介机构。本项目的采购代理机构见</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w:t>
      </w:r>
    </w:p>
    <w:p w14:paraId="0266DDA6">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   供应商：是指向采购人提供货物、工程或者服务的法人、非法人组织或者自然人。本项目的供应商及其</w:t>
      </w:r>
      <w:r>
        <w:rPr>
          <w:rFonts w:hint="eastAsia" w:ascii="微软雅黑" w:hAnsi="微软雅黑" w:eastAsia="微软雅黑" w:cs="微软雅黑"/>
          <w:sz w:val="24"/>
          <w:highlight w:val="none"/>
          <w:lang w:val="en-US" w:eastAsia="zh-CN"/>
        </w:rPr>
        <w:t>工程</w:t>
      </w:r>
      <w:r>
        <w:rPr>
          <w:rFonts w:hint="eastAsia" w:ascii="微软雅黑" w:hAnsi="微软雅黑" w:eastAsia="微软雅黑" w:cs="微软雅黑"/>
          <w:sz w:val="24"/>
          <w:highlight w:val="none"/>
        </w:rPr>
        <w:t>须满足以下条件：</w:t>
      </w:r>
    </w:p>
    <w:p w14:paraId="0BD80399">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在中华人民共和国境内注册，能够独立承担民事责任，有生产或供应能力的本国供应商。</w:t>
      </w:r>
    </w:p>
    <w:p w14:paraId="408A8E89">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1.3.2  具备《中华人民共和国政府采购法》第二十二条关于供应商条件的规定，遵守本项目采购人本级和上级财政部门政府采购的有关规定。</w:t>
      </w:r>
    </w:p>
    <w:p w14:paraId="509804E1">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1.3.3   以采购代理机构认可的方式获得了本项目的磋商文件。</w:t>
      </w:r>
    </w:p>
    <w:p w14:paraId="4A910A1F">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1.3.4   符合</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中规定的其他要求。</w:t>
      </w:r>
    </w:p>
    <w:p w14:paraId="1C1B0729">
      <w:pPr>
        <w:pStyle w:val="17"/>
        <w:ind w:firstLine="0" w:firstLineChars="0"/>
        <w:rPr>
          <w:highlight w:val="none"/>
        </w:rPr>
      </w:pPr>
      <w:r>
        <w:rPr>
          <w:rFonts w:hint="eastAsia"/>
          <w:highlight w:val="none"/>
        </w:rPr>
        <w:t xml:space="preserve">1.3.5  </w:t>
      </w:r>
      <w:r>
        <w:rPr>
          <w:rFonts w:hint="eastAsia" w:ascii="微软雅黑" w:hAnsi="微软雅黑" w:eastAsia="微软雅黑" w:cs="微软雅黑"/>
          <w:b w:val="0"/>
          <w:highlight w:val="none"/>
        </w:rPr>
        <w:t xml:space="preserve"> 若供应商须知资料表中写明专门面向中小企业采购的，如供应商为非中小企业，其磋商将被认定为</w:t>
      </w:r>
      <w:r>
        <w:rPr>
          <w:rFonts w:hint="eastAsia" w:ascii="微软雅黑" w:hAnsi="微软雅黑" w:eastAsia="微软雅黑" w:cs="微软雅黑"/>
          <w:bCs/>
          <w:highlight w:val="none"/>
        </w:rPr>
        <w:t>磋商无效</w:t>
      </w:r>
      <w:r>
        <w:rPr>
          <w:rFonts w:hint="eastAsia" w:ascii="微软雅黑" w:hAnsi="微软雅黑" w:eastAsia="微软雅黑" w:cs="微软雅黑"/>
          <w:b w:val="0"/>
          <w:highlight w:val="none"/>
        </w:rPr>
        <w:t>。</w:t>
      </w:r>
    </w:p>
    <w:p w14:paraId="51CBB65A">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    如</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中允许联合体磋商，对联合体规定如下：</w:t>
      </w:r>
    </w:p>
    <w:p w14:paraId="3DA40B24">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1.4.1   两个以上供应商可以组成一个磋商联合体，以一个供应商的身份磋商。</w:t>
      </w:r>
    </w:p>
    <w:p w14:paraId="62F44621">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1.4.2   联合体各方均应符合《中华人民共和国政府采购法》第二十二条规定的条件。</w:t>
      </w:r>
    </w:p>
    <w:p w14:paraId="46BE4DA9">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1.4.3   采购人根据采购项目对供应商的特殊要求，联合体中至少应当有一方符合相关规定。</w:t>
      </w:r>
    </w:p>
    <w:p w14:paraId="6F6FBC44">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1.4.4   联合体各方应签订共同磋商协议，明确约定联合体各方承担的工作和相应的责任，并将共同磋商协议连同作为响应文件第一部分的内容提交。</w:t>
      </w:r>
    </w:p>
    <w:p w14:paraId="0CCB9D85">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1.4.5   大中型企业、其他自然人、法人或者非法人组织与小型、微型企业组成联合体共同参加磋商，共同磋商协议中应写明小型、微型企业的协议合同金额占到共同磋商协议磋商总金额的比例。</w:t>
      </w:r>
    </w:p>
    <w:p w14:paraId="1FC32C2A">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1.4.6  联合体中有同类资质的供应商按照联合体分工承担相同工作的，按照较低的资质等级确定联合体的资质等级。</w:t>
      </w:r>
    </w:p>
    <w:p w14:paraId="31A71A36">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1.4.7  以联合体形式参加政府采购活动的，联合体各方不得再单独参加或者与其他供应商另外组成联合体参加本项目磋商，否则相关磋商将被认定为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AB8B4C5">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1.4.8   对联合体磋商的其他资格要求见</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w:t>
      </w:r>
    </w:p>
    <w:p w14:paraId="0991CF31">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1.5    单位负责人为同一人或者存在直接控股、管理关系的不同供应商，其相关磋商将被认定为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5B1F4C3E">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1.6    供应商在磋商过程中不得向采购人提供、给予任何有价值的物品，影响其正常决策行为。一经发现，其将被认定为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0D0512B7">
      <w:pPr>
        <w:pStyle w:val="10"/>
        <w:spacing w:before="0" w:after="0" w:line="360" w:lineRule="exact"/>
        <w:rPr>
          <w:rFonts w:ascii="微软雅黑" w:hAnsi="微软雅黑" w:eastAsia="微软雅黑" w:cs="微软雅黑"/>
          <w:b/>
          <w:bCs/>
          <w:highlight w:val="none"/>
          <w:u w:val="none"/>
        </w:rPr>
      </w:pPr>
      <w:bookmarkStart w:id="66" w:name="_Toc9526"/>
      <w:bookmarkStart w:id="67" w:name="_Toc15757"/>
      <w:bookmarkStart w:id="68" w:name="_Toc12139"/>
      <w:bookmarkStart w:id="69" w:name="_Toc25491"/>
      <w:bookmarkStart w:id="70" w:name="_Toc7800"/>
      <w:bookmarkStart w:id="71" w:name="_Toc1403"/>
      <w:bookmarkStart w:id="72" w:name="_Toc16053"/>
      <w:bookmarkStart w:id="73" w:name="_Toc515647759"/>
      <w:bookmarkStart w:id="74" w:name="_Toc1760"/>
      <w:bookmarkStart w:id="75" w:name="_Toc28511"/>
      <w:bookmarkStart w:id="76" w:name="_Toc4429"/>
      <w:bookmarkStart w:id="77" w:name="_Toc5286"/>
      <w:bookmarkStart w:id="78" w:name="_Toc10189"/>
      <w:bookmarkStart w:id="79" w:name="_Toc27814"/>
      <w:bookmarkStart w:id="80" w:name="_Toc13872"/>
      <w:bookmarkStart w:id="81" w:name="_Toc26900"/>
      <w:r>
        <w:rPr>
          <w:rFonts w:hint="eastAsia" w:ascii="微软雅黑" w:hAnsi="微软雅黑" w:eastAsia="微软雅黑" w:cs="微软雅黑"/>
          <w:b/>
          <w:bCs/>
          <w:highlight w:val="none"/>
          <w:u w:val="none"/>
        </w:rPr>
        <w:t>2.资金来源</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6A971CCA">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2.1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本项目的采购人已获得足以支付本次招标后所签订的合同项下的资金（包括财政性资金和本项目采购中无法与财政性资金分割的非财政性资金）。</w:t>
      </w:r>
    </w:p>
    <w:p w14:paraId="7362FC76">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2.2    项目预算金额和分项或标项最高限价</w:t>
      </w:r>
      <w:r>
        <w:rPr>
          <w:rFonts w:hint="eastAsia" w:ascii="微软雅黑" w:hAnsi="微软雅黑" w:eastAsia="微软雅黑" w:cs="微软雅黑"/>
          <w:sz w:val="24"/>
          <w:highlight w:val="none"/>
          <w:u w:val="single"/>
        </w:rPr>
        <w:t>见供应商须知资料表</w:t>
      </w:r>
      <w:r>
        <w:rPr>
          <w:rFonts w:hint="eastAsia" w:ascii="微软雅黑" w:hAnsi="微软雅黑" w:eastAsia="微软雅黑" w:cs="微软雅黑"/>
          <w:sz w:val="24"/>
          <w:highlight w:val="none"/>
        </w:rPr>
        <w:t>。</w:t>
      </w:r>
    </w:p>
    <w:p w14:paraId="02121D4C">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2.3    供应商报价超过磋商文件规定的预算金额或者分项、标项最高限价的，其磋商将被认定为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686C2642">
      <w:pPr>
        <w:pStyle w:val="10"/>
        <w:spacing w:before="0" w:after="0" w:line="360" w:lineRule="exact"/>
        <w:rPr>
          <w:rFonts w:ascii="微软雅黑" w:hAnsi="微软雅黑" w:eastAsia="微软雅黑" w:cs="微软雅黑"/>
          <w:b/>
          <w:bCs/>
          <w:highlight w:val="none"/>
          <w:u w:val="none"/>
        </w:rPr>
      </w:pPr>
      <w:bookmarkStart w:id="82" w:name="_Toc3974"/>
      <w:bookmarkStart w:id="83" w:name="_Toc9586"/>
      <w:bookmarkStart w:id="84" w:name="_Toc520356145"/>
      <w:bookmarkStart w:id="85" w:name="_Toc14612"/>
      <w:bookmarkStart w:id="86" w:name="_Toc5207"/>
      <w:bookmarkStart w:id="87" w:name="_Toc27475"/>
      <w:bookmarkStart w:id="88" w:name="_Toc20799"/>
      <w:bookmarkStart w:id="89" w:name="_Toc20526"/>
      <w:bookmarkStart w:id="90" w:name="_Toc29481"/>
      <w:bookmarkStart w:id="91" w:name="_Toc16114"/>
      <w:bookmarkStart w:id="92" w:name="_Toc4293"/>
      <w:bookmarkStart w:id="93" w:name="_Toc22731"/>
      <w:bookmarkStart w:id="94" w:name="_Toc14525"/>
      <w:bookmarkStart w:id="95" w:name="_Toc15936"/>
      <w:bookmarkStart w:id="96" w:name="_Toc515647760"/>
      <w:bookmarkStart w:id="97" w:name="_Toc2269"/>
      <w:bookmarkStart w:id="98" w:name="_Toc30650"/>
      <w:r>
        <w:rPr>
          <w:rFonts w:hint="eastAsia" w:ascii="微软雅黑" w:hAnsi="微软雅黑" w:eastAsia="微软雅黑" w:cs="微软雅黑"/>
          <w:b/>
          <w:bCs/>
          <w:highlight w:val="none"/>
          <w:u w:val="none"/>
        </w:rPr>
        <w:t>3.磋商费用</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D2A323">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不论磋商的结果如何，供应商应承担所有与准备和参加磋商有关的费用。</w:t>
      </w:r>
    </w:p>
    <w:p w14:paraId="479D4A29">
      <w:pPr>
        <w:pStyle w:val="10"/>
        <w:spacing w:before="0" w:after="0" w:line="360" w:lineRule="exact"/>
        <w:rPr>
          <w:rFonts w:ascii="微软雅黑" w:hAnsi="微软雅黑" w:eastAsia="微软雅黑" w:cs="微软雅黑"/>
          <w:b/>
          <w:bCs/>
          <w:highlight w:val="none"/>
          <w:u w:val="none"/>
        </w:rPr>
      </w:pPr>
      <w:bookmarkStart w:id="99" w:name="_Toc4133"/>
      <w:bookmarkStart w:id="100" w:name="_Toc4463"/>
      <w:bookmarkStart w:id="101" w:name="_Toc5655"/>
      <w:bookmarkStart w:id="102" w:name="_Toc21641"/>
      <w:bookmarkStart w:id="103" w:name="_Toc8165"/>
      <w:bookmarkStart w:id="104" w:name="_Toc6116"/>
      <w:bookmarkStart w:id="105" w:name="_Toc27687"/>
      <w:bookmarkStart w:id="106" w:name="_Toc515647761"/>
      <w:bookmarkStart w:id="107" w:name="_Toc1198"/>
      <w:bookmarkStart w:id="108" w:name="_Toc12920"/>
      <w:bookmarkStart w:id="109" w:name="_Toc6806"/>
      <w:bookmarkStart w:id="110" w:name="_Toc16328"/>
      <w:bookmarkStart w:id="111" w:name="_Toc14718"/>
      <w:bookmarkStart w:id="112" w:name="_Toc23668"/>
      <w:bookmarkStart w:id="113" w:name="_Toc5853"/>
      <w:r>
        <w:rPr>
          <w:rFonts w:hint="eastAsia" w:ascii="微软雅黑" w:hAnsi="微软雅黑" w:eastAsia="微软雅黑" w:cs="微软雅黑"/>
          <w:b/>
          <w:bCs/>
          <w:highlight w:val="none"/>
          <w:u w:val="none"/>
        </w:rPr>
        <w:t>4.适用法律</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A3ACF3F">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本项目采购人、采购代理机构、供应商、磋商小组的相关行为均受《中华人民共和国政府采购法》、《中华人民共和国政府采购法实施条例》、中华人民共和国财政部令74号《政府采购非招标采购方式管理办法》及本项目本级和上级财政部门政府采购有关规定的约束，其权利受到上述法律法规的保护。</w:t>
      </w:r>
    </w:p>
    <w:p w14:paraId="1D1E6BCC">
      <w:pPr>
        <w:spacing w:line="360" w:lineRule="exact"/>
        <w:rPr>
          <w:rFonts w:ascii="微软雅黑" w:hAnsi="微软雅黑" w:eastAsia="微软雅黑" w:cs="微软雅黑"/>
          <w:sz w:val="24"/>
          <w:highlight w:val="none"/>
        </w:rPr>
      </w:pPr>
    </w:p>
    <w:p w14:paraId="4CC2529D">
      <w:pPr>
        <w:pStyle w:val="6"/>
        <w:snapToGrid w:val="0"/>
        <w:spacing w:before="0" w:line="360" w:lineRule="exact"/>
        <w:ind w:left="1080" w:leftChars="257" w:hanging="540"/>
        <w:textAlignment w:val="baseline"/>
        <w:rPr>
          <w:rFonts w:ascii="微软雅黑" w:hAnsi="微软雅黑" w:eastAsia="微软雅黑" w:cs="微软雅黑"/>
          <w:sz w:val="28"/>
          <w:szCs w:val="28"/>
          <w:highlight w:val="none"/>
        </w:rPr>
      </w:pPr>
      <w:bookmarkStart w:id="114" w:name="_Toc520356146"/>
      <w:bookmarkStart w:id="115" w:name="_Toc6385"/>
      <w:bookmarkStart w:id="116" w:name="_Toc12561"/>
      <w:bookmarkStart w:id="117" w:name="_Toc216582806"/>
      <w:bookmarkStart w:id="118" w:name="_Toc4365"/>
      <w:bookmarkStart w:id="119" w:name="_Toc21566"/>
      <w:bookmarkStart w:id="120" w:name="_Toc515647762"/>
      <w:bookmarkStart w:id="121" w:name="_Toc30409"/>
      <w:bookmarkStart w:id="122" w:name="_Toc15495"/>
      <w:r>
        <w:rPr>
          <w:rFonts w:hint="eastAsia" w:ascii="微软雅黑" w:hAnsi="微软雅黑" w:eastAsia="微软雅黑" w:cs="微软雅黑"/>
          <w:sz w:val="28"/>
          <w:szCs w:val="28"/>
          <w:highlight w:val="none"/>
        </w:rPr>
        <w:t xml:space="preserve">二   </w:t>
      </w:r>
      <w:bookmarkEnd w:id="114"/>
      <w:bookmarkEnd w:id="115"/>
      <w:bookmarkEnd w:id="116"/>
      <w:bookmarkEnd w:id="117"/>
      <w:bookmarkEnd w:id="118"/>
      <w:bookmarkEnd w:id="119"/>
      <w:bookmarkEnd w:id="120"/>
      <w:r>
        <w:rPr>
          <w:rFonts w:hint="eastAsia" w:ascii="微软雅黑" w:hAnsi="微软雅黑" w:eastAsia="微软雅黑" w:cs="微软雅黑"/>
          <w:sz w:val="28"/>
          <w:szCs w:val="28"/>
          <w:highlight w:val="none"/>
        </w:rPr>
        <w:t>磋商文件</w:t>
      </w:r>
      <w:bookmarkEnd w:id="121"/>
      <w:bookmarkEnd w:id="122"/>
    </w:p>
    <w:p w14:paraId="43650957">
      <w:pPr>
        <w:pStyle w:val="10"/>
        <w:spacing w:before="0" w:after="0" w:line="360" w:lineRule="exact"/>
        <w:rPr>
          <w:rFonts w:ascii="微软雅黑" w:hAnsi="微软雅黑" w:eastAsia="微软雅黑" w:cs="微软雅黑"/>
          <w:b/>
          <w:bCs/>
          <w:highlight w:val="none"/>
          <w:u w:val="none"/>
        </w:rPr>
      </w:pPr>
      <w:bookmarkStart w:id="123" w:name="_Toc21275"/>
      <w:bookmarkStart w:id="124" w:name="_Toc22962"/>
      <w:bookmarkStart w:id="125" w:name="_Toc2004"/>
      <w:bookmarkStart w:id="126" w:name="_Toc29550"/>
      <w:bookmarkStart w:id="127" w:name="_Toc15173"/>
      <w:bookmarkStart w:id="128" w:name="_Toc18213"/>
      <w:bookmarkStart w:id="129" w:name="_Toc16447"/>
      <w:bookmarkStart w:id="130" w:name="_Toc520356147"/>
      <w:bookmarkStart w:id="131" w:name="_Toc515647763"/>
      <w:bookmarkStart w:id="132" w:name="_Toc25743"/>
      <w:bookmarkStart w:id="133" w:name="_Toc4818"/>
      <w:bookmarkStart w:id="134" w:name="_Toc14084"/>
      <w:bookmarkStart w:id="135" w:name="_Toc18490"/>
      <w:bookmarkStart w:id="136" w:name="_Toc24971"/>
      <w:bookmarkStart w:id="137" w:name="_Toc11557"/>
      <w:bookmarkStart w:id="138" w:name="_Toc15203"/>
      <w:r>
        <w:rPr>
          <w:rFonts w:hint="eastAsia" w:ascii="微软雅黑" w:hAnsi="微软雅黑" w:eastAsia="微软雅黑" w:cs="微软雅黑"/>
          <w:b/>
          <w:bCs/>
          <w:highlight w:val="none"/>
          <w:u w:val="none"/>
        </w:rPr>
        <w:t>5.磋商文件构成</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E46433E">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5.1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磋商文件分为三册共7章，内容如下：</w:t>
      </w:r>
    </w:p>
    <w:p w14:paraId="593EE295">
      <w:pPr>
        <w:spacing w:line="3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第一册</w:t>
      </w:r>
    </w:p>
    <w:p w14:paraId="308840D5">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第1章 供应商须知</w:t>
      </w:r>
    </w:p>
    <w:p w14:paraId="3F8171F3">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第2章 响应文件格式</w:t>
      </w:r>
    </w:p>
    <w:p w14:paraId="6031316A">
      <w:pPr>
        <w:spacing w:line="360" w:lineRule="exact"/>
        <w:ind w:left="899" w:leftChars="228" w:hanging="420" w:hangingChars="1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第二册</w:t>
      </w:r>
    </w:p>
    <w:p w14:paraId="4F342F7B">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第3章 磋商邀请</w:t>
      </w:r>
    </w:p>
    <w:p w14:paraId="0888EA43">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第4章 供应商须知资料表</w:t>
      </w:r>
    </w:p>
    <w:p w14:paraId="6A5D8885">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第5章 </w:t>
      </w:r>
      <w:r>
        <w:rPr>
          <w:rFonts w:hint="eastAsia" w:ascii="微软雅黑" w:hAnsi="微软雅黑" w:eastAsia="微软雅黑" w:cs="微软雅黑"/>
          <w:sz w:val="24"/>
          <w:highlight w:val="none"/>
          <w:lang w:val="en-US" w:eastAsia="zh-CN"/>
        </w:rPr>
        <w:t>采购</w:t>
      </w:r>
      <w:r>
        <w:rPr>
          <w:rFonts w:hint="eastAsia" w:ascii="微软雅黑" w:hAnsi="微软雅黑" w:eastAsia="微软雅黑" w:cs="微软雅黑"/>
          <w:sz w:val="24"/>
          <w:highlight w:val="none"/>
        </w:rPr>
        <w:t xml:space="preserve">需求及项目要求 </w:t>
      </w:r>
    </w:p>
    <w:p w14:paraId="1DB1F816">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第6章 评标方法和标准</w:t>
      </w:r>
    </w:p>
    <w:p w14:paraId="6163AA22">
      <w:pPr>
        <w:spacing w:line="360" w:lineRule="exact"/>
        <w:ind w:left="899" w:leftChars="228" w:hanging="420" w:hangingChars="1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第三册</w:t>
      </w:r>
    </w:p>
    <w:p w14:paraId="5F6CC667">
      <w:pPr>
        <w:spacing w:line="360" w:lineRule="exact"/>
        <w:ind w:left="898" w:leftChars="342" w:hanging="180" w:hangingChars="75"/>
        <w:rPr>
          <w:rFonts w:ascii="微软雅黑" w:hAnsi="微软雅黑" w:eastAsia="微软雅黑" w:cs="微软雅黑"/>
          <w:sz w:val="24"/>
          <w:highlight w:val="none"/>
        </w:rPr>
      </w:pPr>
      <w:r>
        <w:rPr>
          <w:rFonts w:hint="eastAsia" w:ascii="微软雅黑" w:hAnsi="微软雅黑" w:eastAsia="微软雅黑" w:cs="微软雅黑"/>
          <w:sz w:val="24"/>
          <w:highlight w:val="none"/>
        </w:rPr>
        <w:t>第7章 政府采购合同</w:t>
      </w:r>
    </w:p>
    <w:p w14:paraId="25587CC5">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5.2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如本文件的前后内容不一致，以最后描述为准。</w:t>
      </w:r>
    </w:p>
    <w:p w14:paraId="475A3DE7">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5.3    供应商应认真阅读磋商文件所有的事项、格式、条款和技术规范等。如供应商没有按照磋商文件要求提交全部资料，或者响应文件没有对磋商文件在各方面都做出实质性响应，可能导致其磋商将被认定为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2A4F62CD">
      <w:pPr>
        <w:pStyle w:val="10"/>
        <w:spacing w:before="0" w:after="0" w:line="360" w:lineRule="exact"/>
        <w:rPr>
          <w:rFonts w:ascii="微软雅黑" w:hAnsi="微软雅黑" w:eastAsia="微软雅黑" w:cs="微软雅黑"/>
          <w:b/>
          <w:bCs/>
          <w:highlight w:val="none"/>
          <w:u w:val="none"/>
        </w:rPr>
      </w:pPr>
      <w:bookmarkStart w:id="139" w:name="_Toc515904805"/>
      <w:bookmarkStart w:id="140" w:name="_Toc520356148"/>
      <w:bookmarkStart w:id="141" w:name="_Toc28731"/>
      <w:bookmarkStart w:id="142" w:name="_Toc16379"/>
      <w:bookmarkStart w:id="143" w:name="_Toc4480"/>
      <w:bookmarkStart w:id="144" w:name="_Toc19275"/>
      <w:bookmarkStart w:id="145" w:name="_Toc1227"/>
      <w:bookmarkStart w:id="146" w:name="_Toc25866"/>
      <w:bookmarkStart w:id="147" w:name="_Toc31401"/>
      <w:bookmarkStart w:id="148" w:name="_Toc26044"/>
      <w:bookmarkStart w:id="149" w:name="_Toc20202"/>
      <w:bookmarkStart w:id="150" w:name="_Toc9232"/>
      <w:bookmarkStart w:id="151" w:name="_Toc24067"/>
      <w:bookmarkStart w:id="152" w:name="_Toc10034"/>
      <w:bookmarkStart w:id="153" w:name="_Toc21231"/>
      <w:bookmarkStart w:id="154" w:name="_Toc1117"/>
      <w:bookmarkStart w:id="155" w:name="_Toc14910"/>
      <w:r>
        <w:rPr>
          <w:rFonts w:hint="eastAsia" w:ascii="微软雅黑" w:hAnsi="微软雅黑" w:eastAsia="微软雅黑" w:cs="微软雅黑"/>
          <w:b/>
          <w:bCs/>
          <w:highlight w:val="none"/>
          <w:u w:val="none"/>
        </w:rPr>
        <w:t>6.磋商文件的澄清</w:t>
      </w:r>
      <w:bookmarkEnd w:id="139"/>
      <w:bookmarkEnd w:id="140"/>
      <w:r>
        <w:rPr>
          <w:rFonts w:hint="eastAsia" w:ascii="微软雅黑" w:hAnsi="微软雅黑" w:eastAsia="微软雅黑" w:cs="微软雅黑"/>
          <w:b/>
          <w:bCs/>
          <w:highlight w:val="none"/>
          <w:u w:val="none"/>
        </w:rPr>
        <w:t>与修改</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D1B946E">
      <w:pPr>
        <w:pStyle w:val="8"/>
        <w:spacing w:line="360" w:lineRule="exact"/>
        <w:ind w:left="840" w:hanging="840" w:hangingChars="350"/>
        <w:rPr>
          <w:rFonts w:ascii="微软雅黑" w:hAnsi="微软雅黑" w:eastAsia="微软雅黑" w:cs="微软雅黑"/>
          <w:szCs w:val="24"/>
          <w:highlight w:val="none"/>
        </w:rPr>
      </w:pPr>
      <w:r>
        <w:rPr>
          <w:rFonts w:hint="eastAsia" w:ascii="微软雅黑" w:hAnsi="微软雅黑" w:eastAsia="微软雅黑" w:cs="微软雅黑"/>
          <w:szCs w:val="24"/>
          <w:highlight w:val="none"/>
        </w:rPr>
        <w:t>6.1    为了保证对磋商文件的澄清和修改满足法律的时限要求，任何要求对磋商文件进行澄清的供应商，均应在磋商截止时间五个工作日前，以书面形式将澄清要求通知采购人或采购代理机构。</w:t>
      </w:r>
    </w:p>
    <w:p w14:paraId="12AABDF2">
      <w:pPr>
        <w:pStyle w:val="8"/>
        <w:spacing w:line="360" w:lineRule="exact"/>
        <w:ind w:left="840" w:hanging="840" w:hangingChars="350"/>
        <w:rPr>
          <w:rFonts w:ascii="微软雅黑" w:hAnsi="微软雅黑" w:eastAsia="微软雅黑" w:cs="微软雅黑"/>
          <w:szCs w:val="24"/>
          <w:highlight w:val="none"/>
        </w:rPr>
      </w:pPr>
      <w:bookmarkStart w:id="156" w:name="_Toc515904806"/>
      <w:bookmarkStart w:id="157" w:name="_Ref467378678"/>
      <w:bookmarkStart w:id="158" w:name="_Toc520356149"/>
      <w:r>
        <w:rPr>
          <w:rFonts w:hint="eastAsia" w:ascii="微软雅黑" w:hAnsi="微软雅黑" w:eastAsia="微软雅黑" w:cs="微软雅黑"/>
          <w:szCs w:val="24"/>
          <w:highlight w:val="none"/>
        </w:rPr>
        <w:t>6.2</w:t>
      </w:r>
      <w:r>
        <w:rPr>
          <w:rFonts w:hint="eastAsia" w:ascii="微软雅黑" w:hAnsi="微软雅黑" w:eastAsia="微软雅黑" w:cs="微软雅黑"/>
          <w:szCs w:val="24"/>
          <w:highlight w:val="none"/>
        </w:rPr>
        <w:tab/>
      </w:r>
      <w:r>
        <w:rPr>
          <w:rFonts w:hint="eastAsia" w:ascii="微软雅黑" w:hAnsi="微软雅黑" w:eastAsia="微软雅黑" w:cs="微软雅黑"/>
          <w:szCs w:val="24"/>
          <w:highlight w:val="none"/>
        </w:rPr>
        <w:t>采购人可主动地或在解答供应商提出的澄清问题时对磋商文件进行澄清或修改。采购代理机构将以发布澄清（更正）公告的方式，澄清或修改磋商文件，澄清或修改内容作为磋商文件的组成部分。</w:t>
      </w:r>
    </w:p>
    <w:p w14:paraId="6833E493">
      <w:pPr>
        <w:pStyle w:val="8"/>
        <w:spacing w:line="360" w:lineRule="exact"/>
        <w:ind w:left="840" w:hanging="840" w:hangingChars="350"/>
        <w:rPr>
          <w:rFonts w:ascii="微软雅黑" w:hAnsi="微软雅黑" w:eastAsia="微软雅黑" w:cs="微软雅黑"/>
          <w:szCs w:val="24"/>
          <w:highlight w:val="none"/>
        </w:rPr>
      </w:pPr>
      <w:r>
        <w:rPr>
          <w:rFonts w:hint="eastAsia" w:ascii="微软雅黑" w:hAnsi="微软雅黑" w:eastAsia="微软雅黑" w:cs="微软雅黑"/>
          <w:szCs w:val="24"/>
          <w:highlight w:val="none"/>
        </w:rPr>
        <w:t>6.3</w:t>
      </w:r>
      <w:r>
        <w:rPr>
          <w:rFonts w:hint="eastAsia" w:ascii="微软雅黑" w:hAnsi="微软雅黑" w:eastAsia="微软雅黑" w:cs="微软雅黑"/>
          <w:szCs w:val="24"/>
          <w:highlight w:val="none"/>
        </w:rPr>
        <w:tab/>
      </w:r>
      <w:r>
        <w:rPr>
          <w:rFonts w:hint="eastAsia" w:ascii="微软雅黑" w:hAnsi="微软雅黑" w:eastAsia="微软雅黑" w:cs="微软雅黑"/>
          <w:szCs w:val="24"/>
          <w:highlight w:val="none"/>
        </w:rPr>
        <w:t>澄清或者修改的内容可能影响响应文件编制的，采购代理机构将以书面形式通知所有购买磋商文件的潜在供应商，并对其具有约束力。供应商在收到上述通知后，应及时向采购代理机构回函确认。</w:t>
      </w:r>
    </w:p>
    <w:p w14:paraId="14B78997">
      <w:pPr>
        <w:pStyle w:val="10"/>
        <w:spacing w:before="0" w:after="0" w:line="360" w:lineRule="exact"/>
        <w:rPr>
          <w:rFonts w:ascii="微软雅黑" w:hAnsi="微软雅黑" w:eastAsia="微软雅黑" w:cs="微软雅黑"/>
          <w:b/>
          <w:bCs/>
          <w:highlight w:val="none"/>
          <w:u w:val="none"/>
        </w:rPr>
      </w:pPr>
      <w:bookmarkStart w:id="159" w:name="_Toc14569"/>
      <w:bookmarkStart w:id="160" w:name="_Toc978"/>
      <w:bookmarkStart w:id="161" w:name="_Toc5103"/>
      <w:bookmarkStart w:id="162" w:name="_Toc11187"/>
      <w:bookmarkStart w:id="163" w:name="_Toc10823"/>
      <w:bookmarkStart w:id="164" w:name="_Toc3118"/>
      <w:bookmarkStart w:id="165" w:name="_Toc8561"/>
      <w:bookmarkStart w:id="166" w:name="_Toc17766"/>
      <w:bookmarkStart w:id="167" w:name="_Toc25635"/>
      <w:bookmarkStart w:id="168" w:name="_Toc517"/>
      <w:bookmarkStart w:id="169" w:name="_Toc17274"/>
      <w:bookmarkStart w:id="170" w:name="_Toc23945"/>
      <w:bookmarkStart w:id="171" w:name="_Toc12558"/>
      <w:bookmarkStart w:id="172" w:name="_Toc22107"/>
      <w:bookmarkStart w:id="173" w:name="_Toc1073"/>
      <w:r>
        <w:rPr>
          <w:rFonts w:hint="eastAsia" w:ascii="微软雅黑" w:hAnsi="微软雅黑" w:eastAsia="微软雅黑" w:cs="微软雅黑"/>
          <w:b/>
          <w:bCs/>
          <w:highlight w:val="none"/>
          <w:u w:val="none"/>
        </w:rPr>
        <w:t>7</w:t>
      </w:r>
      <w:bookmarkEnd w:id="156"/>
      <w:bookmarkEnd w:id="157"/>
      <w:bookmarkEnd w:id="158"/>
      <w:r>
        <w:rPr>
          <w:rFonts w:hint="eastAsia" w:ascii="微软雅黑" w:hAnsi="微软雅黑" w:eastAsia="微软雅黑" w:cs="微软雅黑"/>
          <w:b/>
          <w:bCs/>
          <w:highlight w:val="none"/>
          <w:u w:val="none"/>
        </w:rPr>
        <w:t>.磋商截止时间的顺延</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B9E9C6C">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为使供应商准备磋商时有足够的时间对磋商文件的澄清或者修改部分进行研究，采购人将依法决定是否顺延磋商截止时间。</w:t>
      </w:r>
      <w:bookmarkStart w:id="174" w:name="_Toc516367020"/>
      <w:bookmarkStart w:id="175" w:name="_Toc216582807"/>
      <w:bookmarkStart w:id="176" w:name="_Toc7636"/>
      <w:bookmarkStart w:id="177" w:name="_Toc30808"/>
      <w:bookmarkStart w:id="178" w:name="_Toc515647766"/>
      <w:bookmarkStart w:id="179" w:name="_Toc520356150"/>
    </w:p>
    <w:p w14:paraId="3173CB26">
      <w:pPr>
        <w:tabs>
          <w:tab w:val="left" w:pos="900"/>
        </w:tabs>
        <w:spacing w:line="360" w:lineRule="exact"/>
        <w:ind w:hanging="540"/>
        <w:rPr>
          <w:rFonts w:ascii="微软雅黑" w:hAnsi="微软雅黑" w:eastAsia="微软雅黑" w:cs="微软雅黑"/>
          <w:sz w:val="24"/>
          <w:highlight w:val="none"/>
        </w:rPr>
      </w:pPr>
    </w:p>
    <w:p w14:paraId="12141A18">
      <w:pPr>
        <w:pStyle w:val="8"/>
        <w:rPr>
          <w:rFonts w:ascii="微软雅黑" w:hAnsi="微软雅黑" w:eastAsia="微软雅黑" w:cs="微软雅黑"/>
          <w:szCs w:val="24"/>
          <w:highlight w:val="none"/>
        </w:rPr>
      </w:pPr>
    </w:p>
    <w:p w14:paraId="0CA65398">
      <w:pPr>
        <w:pStyle w:val="9"/>
        <w:rPr>
          <w:highlight w:val="none"/>
        </w:rPr>
      </w:pPr>
    </w:p>
    <w:p w14:paraId="48608111">
      <w:pPr>
        <w:pStyle w:val="6"/>
        <w:snapToGrid w:val="0"/>
        <w:spacing w:before="0" w:line="360" w:lineRule="exact"/>
        <w:ind w:left="1080" w:leftChars="257" w:hanging="540"/>
        <w:textAlignment w:val="baseline"/>
        <w:rPr>
          <w:rFonts w:ascii="微软雅黑" w:hAnsi="微软雅黑" w:eastAsia="微软雅黑" w:cs="微软雅黑"/>
          <w:sz w:val="28"/>
          <w:szCs w:val="28"/>
          <w:highlight w:val="none"/>
        </w:rPr>
      </w:pPr>
      <w:bookmarkStart w:id="180" w:name="_Toc29522"/>
      <w:bookmarkStart w:id="181" w:name="_Toc13965"/>
      <w:bookmarkStart w:id="182" w:name="_Toc16802"/>
      <w:bookmarkStart w:id="183" w:name="_Toc13121"/>
      <w:r>
        <w:rPr>
          <w:rFonts w:hint="eastAsia" w:ascii="微软雅黑" w:hAnsi="微软雅黑" w:eastAsia="微软雅黑" w:cs="微软雅黑"/>
          <w:sz w:val="28"/>
          <w:szCs w:val="28"/>
          <w:highlight w:val="none"/>
        </w:rPr>
        <w:t xml:space="preserve">三   </w:t>
      </w:r>
      <w:bookmarkEnd w:id="174"/>
      <w:r>
        <w:rPr>
          <w:rFonts w:hint="eastAsia" w:ascii="微软雅黑" w:hAnsi="微软雅黑" w:eastAsia="微软雅黑" w:cs="微软雅黑"/>
          <w:sz w:val="28"/>
          <w:szCs w:val="28"/>
          <w:highlight w:val="none"/>
        </w:rPr>
        <w:t>响应文件的编制</w:t>
      </w:r>
      <w:bookmarkEnd w:id="175"/>
      <w:bookmarkEnd w:id="176"/>
      <w:bookmarkEnd w:id="177"/>
      <w:bookmarkEnd w:id="178"/>
      <w:bookmarkEnd w:id="179"/>
      <w:bookmarkEnd w:id="180"/>
      <w:bookmarkEnd w:id="181"/>
      <w:bookmarkEnd w:id="182"/>
      <w:bookmarkEnd w:id="183"/>
    </w:p>
    <w:p w14:paraId="45F16668">
      <w:pPr>
        <w:pStyle w:val="7"/>
        <w:rPr>
          <w:highlight w:val="none"/>
        </w:rPr>
      </w:pPr>
    </w:p>
    <w:p w14:paraId="5CAF3D7F">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184" w:name="_Toc31904"/>
      <w:bookmarkStart w:id="185" w:name="_Toc3553"/>
      <w:bookmarkStart w:id="186" w:name="_Toc19644"/>
      <w:bookmarkStart w:id="187" w:name="_Toc4525"/>
      <w:bookmarkStart w:id="188" w:name="_Toc14330"/>
      <w:bookmarkStart w:id="189" w:name="_Toc11594"/>
      <w:bookmarkStart w:id="190" w:name="_Toc520356151"/>
      <w:bookmarkStart w:id="191" w:name="_Toc21848"/>
      <w:bookmarkStart w:id="192" w:name="_Toc515647767"/>
      <w:bookmarkStart w:id="193" w:name="_Toc21122"/>
      <w:bookmarkStart w:id="194" w:name="_Toc7786"/>
      <w:bookmarkStart w:id="195" w:name="_Toc17359"/>
      <w:bookmarkStart w:id="196" w:name="_Toc21065"/>
      <w:bookmarkStart w:id="197" w:name="_Toc20273"/>
      <w:bookmarkStart w:id="198" w:name="_Toc18381"/>
      <w:bookmarkStart w:id="199" w:name="_Toc516367021"/>
      <w:r>
        <w:rPr>
          <w:rFonts w:hint="eastAsia" w:ascii="微软雅黑" w:hAnsi="微软雅黑" w:eastAsia="微软雅黑" w:cs="微软雅黑"/>
          <w:b/>
          <w:bCs/>
          <w:highlight w:val="none"/>
          <w:u w:color="000000"/>
        </w:rPr>
        <w:t>8.磋商范围及响应文件成交准和计量单位的使用</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9358790">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项目有分包的，供应商可对磋商文件其中某一个或几个分包</w:t>
      </w:r>
      <w:r>
        <w:rPr>
          <w:rFonts w:hint="eastAsia" w:ascii="微软雅黑" w:hAnsi="微软雅黑" w:eastAsia="微软雅黑" w:cs="微软雅黑"/>
          <w:sz w:val="24"/>
          <w:highlight w:val="none"/>
          <w:lang w:val="en-US" w:eastAsia="zh-CN"/>
        </w:rPr>
        <w:t>工程</w:t>
      </w:r>
      <w:r>
        <w:rPr>
          <w:rFonts w:hint="eastAsia" w:ascii="微软雅黑" w:hAnsi="微软雅黑" w:eastAsia="微软雅黑" w:cs="微软雅黑"/>
          <w:sz w:val="24"/>
          <w:highlight w:val="none"/>
        </w:rPr>
        <w:t>进行磋商，除非在</w:t>
      </w:r>
      <w:r>
        <w:rPr>
          <w:rFonts w:hint="eastAsia" w:ascii="微软雅黑" w:hAnsi="微软雅黑" w:eastAsia="微软雅黑" w:cs="微软雅黑"/>
          <w:sz w:val="24"/>
          <w:highlight w:val="none"/>
          <w:u w:val="single" w:color="000000"/>
        </w:rPr>
        <w:t>供应商须知资料表</w:t>
      </w:r>
      <w:r>
        <w:rPr>
          <w:rFonts w:hint="eastAsia" w:ascii="微软雅黑" w:hAnsi="微软雅黑" w:eastAsia="微软雅黑" w:cs="微软雅黑"/>
          <w:sz w:val="24"/>
          <w:highlight w:val="none"/>
        </w:rPr>
        <w:t>中另有规定。</w:t>
      </w:r>
    </w:p>
    <w:p w14:paraId="03721A83">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8.2     供应商应当对所投分包磋商文件中“采购需求”所列的所有内容进行磋商，如仅响应某一包中的部分内容，其该包磋商将被认定为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94AF53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8.3     无论磋商文件第5章服务需求中是否要求，供应商所投</w:t>
      </w:r>
      <w:r>
        <w:rPr>
          <w:rFonts w:hint="eastAsia" w:ascii="微软雅黑" w:hAnsi="微软雅黑" w:eastAsia="微软雅黑" w:cs="微软雅黑"/>
          <w:sz w:val="24"/>
          <w:highlight w:val="none"/>
          <w:lang w:val="en-US" w:eastAsia="zh-CN"/>
        </w:rPr>
        <w:t>工程</w:t>
      </w:r>
      <w:r>
        <w:rPr>
          <w:rFonts w:hint="eastAsia" w:ascii="微软雅黑" w:hAnsi="微软雅黑" w:eastAsia="微软雅黑" w:cs="微软雅黑"/>
          <w:sz w:val="24"/>
          <w:highlight w:val="none"/>
        </w:rPr>
        <w:t>均应符合国家强制性标准。</w:t>
      </w:r>
    </w:p>
    <w:p w14:paraId="18CDB751">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8.4     除磋商文件中有特殊要求外，响应文件中所使用的计量单位，应采用中华人民共和国法定计量单位。</w:t>
      </w:r>
    </w:p>
    <w:p w14:paraId="70079CEF">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200" w:name="_Ref467306195"/>
      <w:bookmarkStart w:id="201" w:name="_Toc516367022"/>
      <w:bookmarkStart w:id="202" w:name="_Ref467306676"/>
      <w:bookmarkStart w:id="203" w:name="_Toc520356152"/>
      <w:bookmarkStart w:id="204" w:name="_Toc9855"/>
      <w:bookmarkStart w:id="205" w:name="_Toc26395"/>
      <w:bookmarkStart w:id="206" w:name="_Toc22161"/>
      <w:bookmarkStart w:id="207" w:name="_Toc515647768"/>
      <w:bookmarkStart w:id="208" w:name="_Toc23747"/>
      <w:bookmarkStart w:id="209" w:name="_Toc10364"/>
      <w:bookmarkStart w:id="210" w:name="_Toc26580"/>
      <w:bookmarkStart w:id="211" w:name="_Toc3006"/>
      <w:bookmarkStart w:id="212" w:name="_Toc2582"/>
      <w:bookmarkStart w:id="213" w:name="_Toc28670"/>
      <w:bookmarkStart w:id="214" w:name="_Toc28307"/>
      <w:bookmarkStart w:id="215" w:name="_Toc13837"/>
      <w:bookmarkStart w:id="216" w:name="_Toc26502"/>
      <w:r>
        <w:rPr>
          <w:rFonts w:hint="eastAsia" w:ascii="微软雅黑" w:hAnsi="微软雅黑" w:eastAsia="微软雅黑" w:cs="微软雅黑"/>
          <w:b/>
          <w:bCs/>
          <w:highlight w:val="none"/>
          <w:u w:color="000000"/>
        </w:rPr>
        <w:t>9.</w:t>
      </w:r>
      <w:bookmarkEnd w:id="200"/>
      <w:bookmarkEnd w:id="201"/>
      <w:bookmarkEnd w:id="202"/>
      <w:r>
        <w:rPr>
          <w:rFonts w:hint="eastAsia" w:ascii="微软雅黑" w:hAnsi="微软雅黑" w:eastAsia="微软雅黑" w:cs="微软雅黑"/>
          <w:b/>
          <w:bCs/>
          <w:highlight w:val="none"/>
          <w:u w:color="000000"/>
        </w:rPr>
        <w:t>响应文件构成</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A9E32A0">
      <w:pPr>
        <w:tabs>
          <w:tab w:val="left" w:pos="900"/>
          <w:tab w:val="left" w:pos="5580"/>
        </w:tabs>
        <w:snapToGrid w:val="0"/>
        <w:spacing w:line="360" w:lineRule="exact"/>
        <w:ind w:left="960" w:hanging="960" w:hangingChars="400"/>
        <w:jc w:val="left"/>
        <w:textAlignment w:val="baseline"/>
        <w:rPr>
          <w:rFonts w:ascii="微软雅黑" w:hAnsi="微软雅黑" w:eastAsia="微软雅黑" w:cs="微软雅黑"/>
          <w:sz w:val="24"/>
          <w:highlight w:val="none"/>
          <w:u w:val="single" w:color="000000"/>
        </w:rPr>
      </w:pPr>
      <w:bookmarkStart w:id="217" w:name="_Ref467052588"/>
      <w:r>
        <w:rPr>
          <w:rFonts w:hint="eastAsia" w:ascii="微软雅黑" w:hAnsi="微软雅黑" w:eastAsia="微软雅黑" w:cs="微软雅黑"/>
          <w:sz w:val="24"/>
          <w:highlight w:val="none"/>
        </w:rPr>
        <w:t xml:space="preserve">9.1    </w:t>
      </w:r>
      <w:r>
        <w:rPr>
          <w:rFonts w:hint="eastAsia" w:ascii="微软雅黑" w:hAnsi="微软雅黑" w:eastAsia="微软雅黑" w:cs="微软雅黑"/>
          <w:sz w:val="24"/>
          <w:highlight w:val="none"/>
        </w:rPr>
        <w:t xml:space="preserve"> </w:t>
      </w:r>
      <w:r>
        <w:rPr>
          <w:rFonts w:hint="eastAsia" w:ascii="微软雅黑" w:hAnsi="微软雅黑" w:eastAsia="微软雅黑" w:cs="微软雅黑"/>
          <w:b/>
          <w:bCs/>
          <w:sz w:val="24"/>
          <w:highlight w:val="none"/>
          <w:u w:val="single" w:color="000000"/>
        </w:rPr>
        <w:t>供应商应完整地按磋商文件提供的响应文件格式及要求编写响应文件，响应文件应包括“磋商一览表及资格证明文件”和“商务及技术文件”两部分</w:t>
      </w:r>
      <w:r>
        <w:rPr>
          <w:rFonts w:hint="eastAsia" w:ascii="微软雅黑" w:hAnsi="微软雅黑" w:eastAsia="微软雅黑" w:cs="微软雅黑"/>
          <w:b/>
          <w:bCs/>
          <w:sz w:val="24"/>
          <w:highlight w:val="none"/>
          <w:u w:val="single" w:color="000000"/>
          <w:lang w:eastAsia="zh-CN"/>
        </w:rPr>
        <w:t>，</w:t>
      </w:r>
      <w:r>
        <w:rPr>
          <w:rFonts w:hint="eastAsia" w:ascii="微软雅黑" w:hAnsi="微软雅黑" w:eastAsia="微软雅黑" w:cs="微软雅黑"/>
          <w:b/>
          <w:bCs/>
          <w:sz w:val="24"/>
          <w:highlight w:val="none"/>
          <w:u w:val="single" w:color="000000"/>
          <w:lang w:val="en-US" w:eastAsia="zh-CN"/>
        </w:rPr>
        <w:t>两部分须合并上传至政采云投标客户端商务技术文件模块</w:t>
      </w:r>
      <w:r>
        <w:rPr>
          <w:rFonts w:hint="eastAsia" w:ascii="微软雅黑" w:hAnsi="微软雅黑" w:eastAsia="微软雅黑" w:cs="微软雅黑"/>
          <w:b/>
          <w:bCs/>
          <w:sz w:val="24"/>
          <w:highlight w:val="none"/>
          <w:u w:val="single" w:color="000000"/>
        </w:rPr>
        <w:t>。供应商应承担上传响应文件失误产生的任何后果。</w:t>
      </w:r>
    </w:p>
    <w:p w14:paraId="43FE131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9.2    上述文件应按照磋商文件规定的格式填写、签署和盖章。</w:t>
      </w:r>
      <w:bookmarkEnd w:id="217"/>
    </w:p>
    <w:p w14:paraId="6D2C8CE7">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218" w:name="_Toc8626"/>
      <w:bookmarkStart w:id="219" w:name="_Toc5860"/>
      <w:bookmarkStart w:id="220" w:name="_Toc516367023"/>
      <w:bookmarkStart w:id="221" w:name="_Toc23205"/>
      <w:bookmarkStart w:id="222" w:name="_Toc520356153"/>
      <w:bookmarkStart w:id="223" w:name="_Toc28330"/>
      <w:bookmarkStart w:id="224" w:name="_Toc20824"/>
      <w:bookmarkStart w:id="225" w:name="_Toc9708"/>
      <w:bookmarkStart w:id="226" w:name="_Toc4291"/>
      <w:bookmarkStart w:id="227" w:name="_Toc515647769"/>
      <w:bookmarkStart w:id="228" w:name="_Toc22481"/>
      <w:bookmarkStart w:id="229" w:name="_Toc4601"/>
      <w:bookmarkStart w:id="230" w:name="_Toc6860"/>
      <w:bookmarkStart w:id="231" w:name="_Toc10379"/>
      <w:bookmarkStart w:id="232" w:name="_Toc5569"/>
      <w:r>
        <w:rPr>
          <w:rFonts w:hint="eastAsia" w:ascii="微软雅黑" w:hAnsi="微软雅黑" w:eastAsia="微软雅黑" w:cs="微软雅黑"/>
          <w:b/>
          <w:bCs/>
          <w:highlight w:val="none"/>
          <w:u w:color="000000"/>
        </w:rPr>
        <w:t>10.证明磋商标的的合格性和符合磋商文件规定的技术文件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34E6D54">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供应商应提交证明文件，证明其磋商内容符合磋商文件规定。该证明文件是响应文件的一部分。</w:t>
      </w:r>
    </w:p>
    <w:p w14:paraId="1C6EA0DA">
      <w:pPr>
        <w:snapToGrid w:val="0"/>
        <w:spacing w:line="360" w:lineRule="exact"/>
        <w:ind w:left="900" w:hanging="900" w:hangingChars="375"/>
        <w:textAlignment w:val="baseline"/>
        <w:rPr>
          <w:rFonts w:ascii="微软雅黑" w:hAnsi="微软雅黑" w:eastAsia="微软雅黑" w:cs="微软雅黑"/>
          <w:sz w:val="24"/>
          <w:highlight w:val="none"/>
        </w:rPr>
      </w:pPr>
      <w:bookmarkStart w:id="233" w:name="_Ref467306244"/>
      <w:r>
        <w:rPr>
          <w:rFonts w:hint="eastAsia" w:ascii="微软雅黑" w:hAnsi="微软雅黑" w:eastAsia="微软雅黑" w:cs="微软雅黑"/>
          <w:sz w:val="24"/>
          <w:highlight w:val="none"/>
        </w:rPr>
        <w:t>10.2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上款所述的证明文件，可以是文字资料、图纸和数据，</w:t>
      </w:r>
      <w:bookmarkEnd w:id="233"/>
      <w:r>
        <w:rPr>
          <w:rFonts w:hint="eastAsia" w:ascii="微软雅黑" w:hAnsi="微软雅黑" w:eastAsia="微软雅黑" w:cs="微软雅黑"/>
          <w:sz w:val="24"/>
          <w:highlight w:val="none"/>
        </w:rPr>
        <w:t>它包括：</w:t>
      </w:r>
    </w:p>
    <w:p w14:paraId="7962E7F8">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10.2.1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服务主要技术指标和性能的详细说明；</w:t>
      </w:r>
    </w:p>
    <w:p w14:paraId="0A1265DB">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10.2.2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对照磋商文件技术规格，逐条说明所提供服务及伴随的工程和服务已对磋商文件的技术规格做出了实质性的响应，或申明与技术规格条文的偏差和例外。</w:t>
      </w:r>
    </w:p>
    <w:p w14:paraId="31BED89B">
      <w:pPr>
        <w:pStyle w:val="10"/>
        <w:snapToGrid w:val="0"/>
        <w:spacing w:before="0" w:after="0" w:line="360" w:lineRule="exact"/>
        <w:textAlignment w:val="baseline"/>
        <w:rPr>
          <w:rFonts w:ascii="微软雅黑" w:hAnsi="微软雅黑" w:eastAsia="微软雅黑" w:cs="微软雅黑"/>
          <w:b/>
          <w:bCs/>
          <w:highlight w:val="none"/>
          <w:u w:color="000000"/>
        </w:rPr>
      </w:pPr>
      <w:bookmarkStart w:id="234" w:name="_Toc3460"/>
      <w:bookmarkStart w:id="235" w:name="_Toc27117"/>
      <w:bookmarkStart w:id="236" w:name="_Toc515647770"/>
      <w:bookmarkStart w:id="237" w:name="_Toc2248"/>
      <w:bookmarkStart w:id="238" w:name="_Toc6864"/>
      <w:bookmarkStart w:id="239" w:name="_Toc520356155"/>
      <w:bookmarkStart w:id="240" w:name="_Toc5859"/>
      <w:bookmarkStart w:id="241" w:name="_Toc26676"/>
      <w:bookmarkStart w:id="242" w:name="_Toc5239"/>
      <w:bookmarkStart w:id="243" w:name="_Toc11843"/>
      <w:bookmarkStart w:id="244" w:name="_Toc9025"/>
      <w:bookmarkStart w:id="245" w:name="_Toc23231"/>
      <w:bookmarkStart w:id="246" w:name="_Toc16854"/>
      <w:bookmarkStart w:id="247" w:name="_Toc7241"/>
      <w:bookmarkStart w:id="248" w:name="_Toc10592"/>
      <w:r>
        <w:rPr>
          <w:rFonts w:hint="eastAsia" w:ascii="微软雅黑" w:hAnsi="微软雅黑" w:eastAsia="微软雅黑" w:cs="微软雅黑"/>
          <w:b/>
          <w:bCs/>
          <w:highlight w:val="none"/>
          <w:u w:color="000000"/>
        </w:rPr>
        <w:t>11.磋商报价</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2667DD4D">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所有磋商均以人民币报价。供应商的磋商报价应遵守《中华人民共和国价格法》。同时，根据《中华人民共和国政府采购法》第二条的规定，为保证公平竞争，如有服务主体部分的赠与行为，其磋商将被认定为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6DAE4F96">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供应商应在磋商分项报价表上标明磋商</w:t>
      </w:r>
      <w:r>
        <w:rPr>
          <w:rFonts w:hint="eastAsia" w:ascii="微软雅黑" w:hAnsi="微软雅黑" w:eastAsia="微软雅黑" w:cs="微软雅黑"/>
          <w:sz w:val="24"/>
          <w:highlight w:val="none"/>
          <w:lang w:val="en-US" w:eastAsia="zh-CN"/>
        </w:rPr>
        <w:t>工程</w:t>
      </w:r>
      <w:r>
        <w:rPr>
          <w:rFonts w:hint="eastAsia" w:ascii="微软雅黑" w:hAnsi="微软雅黑" w:eastAsia="微软雅黑" w:cs="微软雅黑"/>
          <w:sz w:val="24"/>
          <w:highlight w:val="none"/>
        </w:rPr>
        <w:t>及相关服务的单价（如适用）和总价，并由法定代表人。</w:t>
      </w:r>
    </w:p>
    <w:p w14:paraId="5F862825">
      <w:pPr>
        <w:rPr>
          <w:rFonts w:ascii="微软雅黑" w:hAnsi="微软雅黑" w:eastAsia="微软雅黑" w:cs="微软雅黑"/>
          <w:sz w:val="24"/>
          <w:highlight w:val="none"/>
        </w:rPr>
      </w:pPr>
      <w:bookmarkStart w:id="249" w:name="_Toc645"/>
      <w:bookmarkStart w:id="250" w:name="_Toc8884"/>
      <w:r>
        <w:rPr>
          <w:rFonts w:hint="eastAsia" w:ascii="微软雅黑" w:hAnsi="微软雅黑" w:eastAsia="微软雅黑" w:cs="微软雅黑"/>
          <w:sz w:val="24"/>
          <w:highlight w:val="none"/>
        </w:rPr>
        <w:t>11.3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磋商分项报价表上的价格。</w:t>
      </w:r>
      <w:bookmarkEnd w:id="249"/>
      <w:bookmarkEnd w:id="250"/>
    </w:p>
    <w:p w14:paraId="38D4FB0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供应商所报的各分项磋商单价在合同履行过程中是固定不变的，不得以任何理由予以变更。任何包含价格调整要求的磋商，其磋商将被认定为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9366877">
      <w:pPr>
        <w:snapToGrid w:val="0"/>
        <w:spacing w:line="360" w:lineRule="exact"/>
        <w:ind w:left="900" w:hanging="900" w:hangingChars="375"/>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11.5</w:t>
      </w:r>
      <w:r>
        <w:rPr>
          <w:rFonts w:hint="eastAsia" w:ascii="微软雅黑" w:hAnsi="微软雅黑" w:eastAsia="微软雅黑" w:cs="微软雅黑"/>
          <w:sz w:val="24"/>
          <w:highlight w:val="none"/>
        </w:rPr>
        <w:tab/>
      </w:r>
      <w:r>
        <w:rPr>
          <w:rFonts w:hint="eastAsia" w:ascii="微软雅黑" w:hAnsi="微软雅黑" w:eastAsia="微软雅黑" w:cs="微软雅黑"/>
          <w:b/>
          <w:bCs/>
          <w:sz w:val="24"/>
          <w:highlight w:val="none"/>
        </w:rPr>
        <w:t>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w:t>
      </w:r>
    </w:p>
    <w:p w14:paraId="2AA20994">
      <w:pPr>
        <w:pStyle w:val="10"/>
        <w:snapToGrid w:val="0"/>
        <w:spacing w:before="0" w:after="0" w:line="360" w:lineRule="exact"/>
        <w:textAlignment w:val="baseline"/>
        <w:rPr>
          <w:rFonts w:ascii="微软雅黑" w:hAnsi="微软雅黑" w:eastAsia="微软雅黑" w:cs="微软雅黑"/>
          <w:b/>
          <w:bCs/>
          <w:highlight w:val="none"/>
          <w:u w:color="000000"/>
        </w:rPr>
      </w:pPr>
      <w:bookmarkStart w:id="251" w:name="_Toc20519"/>
      <w:bookmarkStart w:id="252" w:name="_Toc32121"/>
      <w:bookmarkStart w:id="253" w:name="_Toc32756"/>
      <w:bookmarkStart w:id="254" w:name="_Toc31526"/>
      <w:bookmarkStart w:id="255" w:name="_Ref467306513"/>
      <w:bookmarkStart w:id="256" w:name="_Toc30640"/>
      <w:bookmarkStart w:id="257" w:name="_Toc520356156"/>
      <w:bookmarkStart w:id="258" w:name="_Toc9763"/>
      <w:bookmarkStart w:id="259" w:name="_Toc515647771"/>
      <w:bookmarkStart w:id="260" w:name="_Toc19405"/>
      <w:bookmarkStart w:id="261" w:name="_Toc11514"/>
      <w:bookmarkStart w:id="262" w:name="_Toc22742"/>
      <w:bookmarkStart w:id="263" w:name="_Toc16693"/>
      <w:bookmarkStart w:id="264" w:name="_Toc3852"/>
      <w:bookmarkStart w:id="265" w:name="_Toc9482"/>
      <w:bookmarkStart w:id="266" w:name="_Toc17788"/>
      <w:r>
        <w:rPr>
          <w:rFonts w:hint="eastAsia" w:ascii="微软雅黑" w:hAnsi="微软雅黑" w:eastAsia="微软雅黑" w:cs="微软雅黑"/>
          <w:b/>
          <w:bCs/>
          <w:highlight w:val="none"/>
          <w:u w:color="000000"/>
        </w:rPr>
        <w:t>12.磋商保证金</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8CA5F38">
      <w:pPr>
        <w:snapToGrid w:val="0"/>
        <w:spacing w:line="360" w:lineRule="exact"/>
        <w:ind w:left="900" w:hanging="900" w:hangingChars="375"/>
        <w:textAlignment w:val="baseline"/>
        <w:rPr>
          <w:rFonts w:ascii="微软雅黑" w:hAnsi="微软雅黑" w:eastAsia="微软雅黑" w:cs="微软雅黑"/>
          <w:sz w:val="24"/>
          <w:highlight w:val="none"/>
        </w:rPr>
      </w:pPr>
      <w:bookmarkStart w:id="267" w:name="_Ref467306302"/>
      <w:r>
        <w:rPr>
          <w:rFonts w:hint="eastAsia" w:ascii="微软雅黑" w:hAnsi="微软雅黑" w:eastAsia="微软雅黑" w:cs="微软雅黑"/>
          <w:sz w:val="24"/>
          <w:highlight w:val="none"/>
        </w:rPr>
        <w:t>12.1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供应商应提交</w:t>
      </w:r>
      <w:r>
        <w:rPr>
          <w:rFonts w:hint="eastAsia" w:ascii="微软雅黑" w:hAnsi="微软雅黑" w:eastAsia="微软雅黑" w:cs="微软雅黑"/>
          <w:sz w:val="24"/>
          <w:highlight w:val="none"/>
          <w:u w:val="single" w:color="000000"/>
        </w:rPr>
        <w:t>供应商须知资料表</w:t>
      </w:r>
      <w:r>
        <w:rPr>
          <w:rFonts w:hint="eastAsia" w:ascii="微软雅黑" w:hAnsi="微软雅黑" w:eastAsia="微软雅黑" w:cs="微软雅黑"/>
          <w:sz w:val="24"/>
          <w:highlight w:val="none"/>
        </w:rPr>
        <w:t>中规定的磋商保证金</w:t>
      </w:r>
      <w:bookmarkEnd w:id="267"/>
      <w:r>
        <w:rPr>
          <w:rFonts w:hint="eastAsia" w:ascii="微软雅黑" w:hAnsi="微软雅黑" w:eastAsia="微软雅黑" w:cs="微软雅黑"/>
          <w:sz w:val="24"/>
          <w:highlight w:val="none"/>
        </w:rPr>
        <w:t>，并作为其磋商的一部分。</w:t>
      </w:r>
    </w:p>
    <w:p w14:paraId="639EDEFA">
      <w:pPr>
        <w:rPr>
          <w:rFonts w:ascii="微软雅黑" w:hAnsi="微软雅黑" w:eastAsia="微软雅黑" w:cs="微软雅黑"/>
          <w:sz w:val="24"/>
          <w:highlight w:val="none"/>
        </w:rPr>
      </w:pPr>
      <w:bookmarkStart w:id="268" w:name="_Toc13787"/>
      <w:bookmarkStart w:id="269" w:name="_Toc16081"/>
      <w:r>
        <w:rPr>
          <w:rFonts w:hint="eastAsia" w:ascii="微软雅黑" w:hAnsi="微软雅黑" w:eastAsia="微软雅黑" w:cs="微软雅黑"/>
          <w:sz w:val="24"/>
          <w:highlight w:val="none"/>
        </w:rPr>
        <w:t>12.2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供应商存在下列情形的，磋商保证金不予退还：</w:t>
      </w:r>
      <w:bookmarkEnd w:id="268"/>
      <w:bookmarkEnd w:id="269"/>
    </w:p>
    <w:p w14:paraId="6AC8CA2F">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（1）在磋商有效期内，撤销磋商的；</w:t>
      </w:r>
    </w:p>
    <w:p w14:paraId="116AD936">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（2）成交后不按本须知第30条的规定与采购人签订合同的；</w:t>
      </w:r>
    </w:p>
    <w:p w14:paraId="522DB4A0">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（3）成交后不按本须知第31条的规定提交履约保证金的；</w:t>
      </w:r>
    </w:p>
    <w:p w14:paraId="65A62DE9">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（4）成交后不按本须知第32条的规定缴纳成交服务费的；</w:t>
      </w:r>
    </w:p>
    <w:p w14:paraId="5AE34C0C">
      <w:pPr>
        <w:pStyle w:val="16"/>
        <w:tabs>
          <w:tab w:val="left" w:pos="2240"/>
        </w:tabs>
        <w:snapToGrid w:val="0"/>
        <w:spacing w:line="360" w:lineRule="exact"/>
        <w:ind w:left="300" w:hanging="300" w:hangingChars="125"/>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（5）存在其他违法违规行为的。</w:t>
      </w:r>
    </w:p>
    <w:p w14:paraId="016CE87A">
      <w:pPr>
        <w:snapToGrid w:val="0"/>
        <w:spacing w:line="360" w:lineRule="exact"/>
        <w:ind w:left="900" w:hanging="900" w:hangingChars="375"/>
        <w:textAlignment w:val="baseline"/>
        <w:rPr>
          <w:rFonts w:ascii="微软雅黑" w:hAnsi="微软雅黑" w:eastAsia="微软雅黑" w:cs="微软雅黑"/>
          <w:sz w:val="24"/>
          <w:highlight w:val="none"/>
        </w:rPr>
      </w:pPr>
      <w:bookmarkStart w:id="270" w:name="_Ref467306336"/>
      <w:r>
        <w:rPr>
          <w:rFonts w:hint="eastAsia" w:ascii="微软雅黑" w:hAnsi="微软雅黑" w:eastAsia="微软雅黑" w:cs="微软雅黑"/>
          <w:sz w:val="24"/>
          <w:highlight w:val="none"/>
        </w:rPr>
        <w:t>12.3</w:t>
      </w:r>
      <w:r>
        <w:rPr>
          <w:rFonts w:hint="eastAsia" w:ascii="微软雅黑" w:hAnsi="微软雅黑" w:eastAsia="微软雅黑" w:cs="微软雅黑"/>
          <w:sz w:val="24"/>
          <w:highlight w:val="none"/>
        </w:rPr>
        <w:tab/>
      </w:r>
      <w:bookmarkEnd w:id="270"/>
      <w:r>
        <w:rPr>
          <w:rFonts w:hint="eastAsia" w:ascii="微软雅黑" w:hAnsi="微软雅黑" w:eastAsia="微软雅黑" w:cs="微软雅黑"/>
          <w:sz w:val="24"/>
          <w:highlight w:val="none"/>
        </w:rPr>
        <w:t>政府采购信用担保试点范围内的项目，接受符合财政部门规定的政府采购磋商担保函。</w:t>
      </w:r>
    </w:p>
    <w:p w14:paraId="60D728D7">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供应商未按本须知第12.1和12.3条规定提交磋商保证金的，其磋商将被认定为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5A4C564B">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12.4.1  采用电汇形式的，一般可以实时入账。</w:t>
      </w:r>
    </w:p>
    <w:p w14:paraId="40080F11">
      <w:pPr>
        <w:snapToGrid w:val="0"/>
        <w:spacing w:line="360" w:lineRule="exact"/>
        <w:ind w:left="960" w:hanging="960" w:hangingChars="4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12.4.2  采用支票形式的，供应商则应充分考虑支票入账时间，以确保磋商保证金能按时进入指定账户。根据银行信息交换和付款时间，支票从递交至实际入账一般需要4-5个工作日。如供应商未及时提交支票或支票不符合银行委托收款要求（如污损、折叠、胶装等），导致磋商保证金不能按时进入指定账户的，将按照磋商文件的第22.2条相关规定处理。</w:t>
      </w:r>
    </w:p>
    <w:p w14:paraId="11F16207">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12.5   联合体磋商的，可以由联合体中的一方或者共同提交磋商保证金。以一方名义提交磋商保证金的，对联合体各方均具有约束力。</w:t>
      </w:r>
    </w:p>
    <w:p w14:paraId="768CD8E5">
      <w:pPr>
        <w:rPr>
          <w:rFonts w:ascii="微软雅黑" w:hAnsi="微软雅黑" w:eastAsia="微软雅黑" w:cs="微软雅黑"/>
          <w:sz w:val="24"/>
          <w:highlight w:val="none"/>
        </w:rPr>
      </w:pPr>
      <w:bookmarkStart w:id="271" w:name="_Toc5189"/>
      <w:bookmarkStart w:id="272" w:name="_Toc143"/>
      <w:r>
        <w:rPr>
          <w:rFonts w:hint="eastAsia" w:ascii="微软雅黑" w:hAnsi="微软雅黑" w:eastAsia="微软雅黑" w:cs="微软雅黑"/>
          <w:sz w:val="24"/>
          <w:highlight w:val="none"/>
        </w:rPr>
        <w:t>12.6</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磋商保证金的退还</w:t>
      </w:r>
      <w:bookmarkEnd w:id="271"/>
      <w:bookmarkEnd w:id="272"/>
    </w:p>
    <w:p w14:paraId="019937F5">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12.6.1  成交人应在与采购人签订合同之日起5个工作日内，及时联系保证金收受机构办理磋商保证金无息退还手续。</w:t>
      </w:r>
    </w:p>
    <w:p w14:paraId="2FE7735E">
      <w:pPr>
        <w:snapToGrid w:val="0"/>
        <w:spacing w:line="360" w:lineRule="exact"/>
        <w:ind w:left="960" w:hanging="960" w:hangingChars="4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12.6.2  未成交供应商的磋商保证金将在成交通知书发出之日暨成交结果公告公布之日起5个工作日内无息退还。供应商应及时联系保证金收受机构办理退还磋商保证金手续。</w:t>
      </w:r>
    </w:p>
    <w:p w14:paraId="55BF4ADC">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12.6.3  政府采购磋商担保函不予退回。</w:t>
      </w:r>
    </w:p>
    <w:p w14:paraId="2C812A61">
      <w:pPr>
        <w:snapToGrid w:val="0"/>
        <w:spacing w:line="360" w:lineRule="exact"/>
        <w:ind w:left="960" w:hanging="960" w:hangingChars="4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12.7    因供应商自身原因导致无法及时退还的，采购人或采购代理机构将不承担相应责任。</w:t>
      </w:r>
    </w:p>
    <w:p w14:paraId="671A33CC">
      <w:pPr>
        <w:pStyle w:val="10"/>
        <w:snapToGrid w:val="0"/>
        <w:spacing w:before="0" w:after="0" w:line="360" w:lineRule="exact"/>
        <w:textAlignment w:val="baseline"/>
        <w:rPr>
          <w:rFonts w:ascii="微软雅黑" w:hAnsi="微软雅黑" w:eastAsia="微软雅黑" w:cs="微软雅黑"/>
          <w:b/>
          <w:bCs/>
          <w:highlight w:val="none"/>
          <w:u w:color="000000"/>
        </w:rPr>
      </w:pPr>
      <w:bookmarkStart w:id="273" w:name="_Toc29124"/>
      <w:bookmarkStart w:id="274" w:name="_Toc23570"/>
      <w:bookmarkStart w:id="275" w:name="_Toc13562"/>
      <w:bookmarkStart w:id="276" w:name="_Toc3815"/>
      <w:bookmarkStart w:id="277" w:name="_Toc520356157"/>
      <w:bookmarkStart w:id="278" w:name="_Toc325"/>
      <w:bookmarkStart w:id="279" w:name="_Toc28268"/>
      <w:bookmarkStart w:id="280" w:name="_Toc515647772"/>
      <w:bookmarkStart w:id="281" w:name="_Toc3567"/>
      <w:bookmarkStart w:id="282" w:name="_Toc20387"/>
      <w:bookmarkStart w:id="283" w:name="_Toc1400"/>
      <w:bookmarkStart w:id="284" w:name="_Toc16046"/>
      <w:bookmarkStart w:id="285" w:name="_Toc21509"/>
      <w:bookmarkStart w:id="286" w:name="_Toc32569"/>
      <w:bookmarkStart w:id="287" w:name="_Toc23590"/>
      <w:r>
        <w:rPr>
          <w:rFonts w:hint="eastAsia" w:ascii="微软雅黑" w:hAnsi="微软雅黑" w:eastAsia="微软雅黑" w:cs="微软雅黑"/>
          <w:b/>
          <w:bCs/>
          <w:highlight w:val="none"/>
          <w:u w:color="000000"/>
        </w:rPr>
        <w:t>13.磋商有效期</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EA0B624">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磋商应在</w:t>
      </w:r>
      <w:r>
        <w:rPr>
          <w:rFonts w:hint="eastAsia" w:ascii="微软雅黑" w:hAnsi="微软雅黑" w:eastAsia="微软雅黑" w:cs="微软雅黑"/>
          <w:sz w:val="24"/>
          <w:highlight w:val="none"/>
          <w:u w:val="single" w:color="000000"/>
        </w:rPr>
        <w:t>供应商须知资料表</w:t>
      </w:r>
      <w:r>
        <w:rPr>
          <w:rFonts w:hint="eastAsia" w:ascii="微软雅黑" w:hAnsi="微软雅黑" w:eastAsia="微软雅黑" w:cs="微软雅黑"/>
          <w:sz w:val="24"/>
          <w:highlight w:val="none"/>
        </w:rPr>
        <w:t>中规定时间内保持有效。磋商有效期不满足要求的磋商，其磋商将被认定为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5F39D3B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为保证有充分时间签订合同，采购人或采购代理机构可根据实际情况，在原磋商有效期截止之前，要求供应商延长响应文件的有效期。接受该要求的供应商将不会被要求和允许修正其磋商，且本须知中有关磋商保证金的要求须在延长的有效期内继续有效。供应商可以拒绝延长磋商有效期的要求，其磋商保证金将及时无息退还。上述要求和答复都应以书面形式提交。</w:t>
      </w:r>
    </w:p>
    <w:p w14:paraId="4E4C4B87">
      <w:pPr>
        <w:pStyle w:val="10"/>
        <w:spacing w:before="0" w:after="0" w:line="360" w:lineRule="exact"/>
        <w:rPr>
          <w:rFonts w:ascii="微软雅黑" w:hAnsi="微软雅黑" w:eastAsia="微软雅黑" w:cs="微软雅黑"/>
          <w:b/>
          <w:bCs/>
          <w:highlight w:val="none"/>
          <w:u w:val="none"/>
        </w:rPr>
      </w:pPr>
      <w:bookmarkStart w:id="288" w:name="_Toc520356158"/>
      <w:bookmarkStart w:id="289" w:name="_Toc515647773"/>
      <w:bookmarkStart w:id="290" w:name="_Toc16503"/>
      <w:bookmarkStart w:id="291" w:name="_Toc30127"/>
      <w:bookmarkStart w:id="292" w:name="_Toc6302"/>
      <w:bookmarkStart w:id="293" w:name="_Toc6286"/>
      <w:bookmarkStart w:id="294" w:name="_Toc29619"/>
      <w:bookmarkStart w:id="295" w:name="_Toc26703"/>
      <w:bookmarkStart w:id="296" w:name="_Toc3271"/>
      <w:bookmarkStart w:id="297" w:name="_Toc4425"/>
      <w:bookmarkStart w:id="298" w:name="_Toc17720"/>
      <w:bookmarkStart w:id="299" w:name="_Toc3558"/>
      <w:bookmarkStart w:id="300" w:name="_Toc24787"/>
      <w:bookmarkStart w:id="301" w:name="_Toc28003"/>
      <w:bookmarkStart w:id="302" w:name="_Toc17074"/>
      <w:bookmarkStart w:id="303" w:name="_Toc493"/>
      <w:bookmarkStart w:id="304" w:name="_Toc9672"/>
      <w:bookmarkStart w:id="305" w:name="_Toc10391"/>
      <w:bookmarkStart w:id="306" w:name="_Toc515647774"/>
      <w:bookmarkStart w:id="307" w:name="_Toc11179"/>
      <w:bookmarkStart w:id="308" w:name="_Toc8711"/>
      <w:bookmarkStart w:id="309" w:name="_Toc8824"/>
      <w:bookmarkStart w:id="310" w:name="_Toc216582808"/>
      <w:bookmarkStart w:id="311" w:name="_Toc520356159"/>
      <w:bookmarkStart w:id="312" w:name="_Toc16865"/>
      <w:r>
        <w:rPr>
          <w:rFonts w:hint="eastAsia" w:ascii="微软雅黑" w:hAnsi="微软雅黑" w:eastAsia="微软雅黑" w:cs="微软雅黑"/>
          <w:b/>
          <w:bCs/>
          <w:highlight w:val="none"/>
          <w:u w:val="none"/>
        </w:rPr>
        <w:t>14.响应文件的签署</w:t>
      </w:r>
      <w:bookmarkEnd w:id="288"/>
      <w:r>
        <w:rPr>
          <w:rFonts w:hint="eastAsia" w:ascii="微软雅黑" w:hAnsi="微软雅黑" w:eastAsia="微软雅黑" w:cs="微软雅黑"/>
          <w:b/>
          <w:bCs/>
          <w:highlight w:val="none"/>
          <w:u w:val="none"/>
        </w:rPr>
        <w:t>及规定</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90F925F">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14.1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供应商应按</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中的规定，准备和递交（加密上传）电子响应文件。</w:t>
      </w:r>
    </w:p>
    <w:p w14:paraId="1CAD288A">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所有投标文件应按照</w:t>
      </w:r>
      <w:r>
        <w:rPr>
          <w:rFonts w:hint="eastAsia" w:ascii="微软雅黑" w:hAnsi="微软雅黑" w:eastAsia="微软雅黑" w:cs="微软雅黑"/>
          <w:sz w:val="24"/>
          <w:highlight w:val="none"/>
          <w:lang w:eastAsia="zh-CN"/>
        </w:rPr>
        <w:t>磋商</w:t>
      </w:r>
      <w:r>
        <w:rPr>
          <w:rFonts w:hint="eastAsia" w:ascii="微软雅黑" w:hAnsi="微软雅黑" w:eastAsia="微软雅黑" w:cs="微软雅黑"/>
          <w:sz w:val="24"/>
          <w:highlight w:val="none"/>
        </w:rPr>
        <w:t>文件规定的格式填写、签署和盖章。</w:t>
      </w:r>
    </w:p>
    <w:p w14:paraId="68051415">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响应文件因字迹潦草、表达不清或装订不当所引起的后果由供应商负责。</w:t>
      </w:r>
    </w:p>
    <w:p w14:paraId="7403C266">
      <w:pPr>
        <w:outlineLvl w:val="9"/>
        <w:rPr>
          <w:rFonts w:ascii="微软雅黑" w:hAnsi="微软雅黑" w:eastAsia="微软雅黑" w:cs="微软雅黑"/>
          <w:highlight w:val="none"/>
        </w:rPr>
      </w:pPr>
      <w:bookmarkStart w:id="313" w:name="_Toc1463"/>
    </w:p>
    <w:p w14:paraId="67336683">
      <w:pPr>
        <w:pStyle w:val="6"/>
        <w:rPr>
          <w:rFonts w:ascii="微软雅黑" w:hAnsi="微软雅黑" w:eastAsia="微软雅黑" w:cs="微软雅黑"/>
          <w:highlight w:val="none"/>
        </w:rPr>
      </w:pPr>
      <w:bookmarkStart w:id="314" w:name="_Toc23543"/>
      <w:bookmarkStart w:id="315" w:name="_Toc6362"/>
      <w:r>
        <w:rPr>
          <w:rFonts w:hint="eastAsia" w:ascii="微软雅黑" w:hAnsi="微软雅黑" w:eastAsia="微软雅黑" w:cs="微软雅黑"/>
          <w:highlight w:val="none"/>
        </w:rPr>
        <w:t>四   响应文件的递交</w:t>
      </w:r>
      <w:bookmarkEnd w:id="306"/>
      <w:bookmarkEnd w:id="307"/>
      <w:bookmarkEnd w:id="308"/>
      <w:bookmarkEnd w:id="309"/>
      <w:bookmarkEnd w:id="310"/>
      <w:bookmarkEnd w:id="311"/>
      <w:bookmarkEnd w:id="312"/>
      <w:bookmarkEnd w:id="313"/>
      <w:bookmarkEnd w:id="314"/>
      <w:bookmarkEnd w:id="315"/>
    </w:p>
    <w:p w14:paraId="67FA6846">
      <w:pPr>
        <w:numPr>
          <w:ilvl w:val="0"/>
          <w:numId w:val="2"/>
        </w:numPr>
        <w:spacing w:line="360" w:lineRule="exact"/>
        <w:outlineLvl w:val="2"/>
        <w:rPr>
          <w:rFonts w:ascii="微软雅黑" w:hAnsi="微软雅黑" w:eastAsia="微软雅黑" w:cs="微软雅黑"/>
          <w:b/>
          <w:bCs/>
          <w:sz w:val="24"/>
          <w:highlight w:val="none"/>
        </w:rPr>
      </w:pPr>
      <w:bookmarkStart w:id="316" w:name="_Toc20727"/>
      <w:bookmarkStart w:id="317" w:name="_Toc8317"/>
      <w:bookmarkStart w:id="318" w:name="_Toc14401"/>
      <w:bookmarkStart w:id="319" w:name="_Toc9937"/>
      <w:bookmarkStart w:id="320" w:name="_Toc4337"/>
      <w:bookmarkStart w:id="321" w:name="_Toc4338"/>
      <w:bookmarkStart w:id="322" w:name="_Toc27010"/>
      <w:bookmarkStart w:id="323" w:name="_Toc7478"/>
      <w:bookmarkStart w:id="324" w:name="_Toc26069"/>
      <w:bookmarkStart w:id="325" w:name="_Toc7238"/>
      <w:bookmarkStart w:id="326" w:name="_Toc520356161"/>
      <w:bookmarkStart w:id="327" w:name="_Toc11639"/>
      <w:bookmarkStart w:id="328" w:name="_Toc12751"/>
      <w:bookmarkStart w:id="329" w:name="_Toc9452"/>
      <w:bookmarkStart w:id="330" w:name="_Toc18350"/>
      <w:bookmarkStart w:id="331" w:name="_Toc9840"/>
      <w:bookmarkStart w:id="332" w:name="_Toc515647776"/>
      <w:bookmarkStart w:id="333" w:name="_Toc24025"/>
      <w:bookmarkStart w:id="334" w:name="_Toc31921"/>
      <w:bookmarkStart w:id="335" w:name="_Toc3372"/>
      <w:bookmarkStart w:id="336" w:name="_Toc8557"/>
      <w:bookmarkStart w:id="337" w:name="_Toc216582809"/>
      <w:bookmarkStart w:id="338" w:name="_Toc12436"/>
      <w:bookmarkStart w:id="339" w:name="_Toc515647778"/>
      <w:bookmarkStart w:id="340" w:name="_Toc27283"/>
      <w:bookmarkStart w:id="341" w:name="_Toc520356163"/>
      <w:bookmarkStart w:id="342" w:name="_Toc28398"/>
      <w:r>
        <w:rPr>
          <w:rFonts w:hint="eastAsia" w:ascii="微软雅黑" w:hAnsi="微软雅黑" w:eastAsia="微软雅黑" w:cs="微软雅黑"/>
          <w:b/>
          <w:bCs/>
          <w:sz w:val="24"/>
          <w:highlight w:val="none"/>
        </w:rPr>
        <w:t>响应文件的密封和标记</w:t>
      </w:r>
      <w:bookmarkEnd w:id="316"/>
      <w:bookmarkEnd w:id="317"/>
      <w:bookmarkEnd w:id="318"/>
      <w:bookmarkEnd w:id="319"/>
      <w:bookmarkEnd w:id="320"/>
      <w:bookmarkEnd w:id="321"/>
    </w:p>
    <w:p w14:paraId="18A82D1A">
      <w:pPr>
        <w:numPr>
          <w:ilvl w:val="1"/>
          <w:numId w:val="2"/>
        </w:num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 xml:space="preserve"> 为方便评审及进行资格审查，供应商应完整地按招标文件提供的响应文件格式及要求编写响应文件， 供应商须在磋商截止时间前完成在系统上递交电子响应文件。供应商的电子响应文件是经过 CA 证书加密后上传提交的，任何单位或个人均无法在磋商截止时间(即开标时间)之前查看或篡改，不存在泄密风险。（严格按照政采云电子投标流程制作并上传电子响应文件）。</w:t>
      </w:r>
    </w:p>
    <w:p w14:paraId="69CE5263">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15.2  供应商因自身原因导致电子投标文件无法导入电子评标系统的，该响应文件视为无效文件。</w:t>
      </w:r>
    </w:p>
    <w:p w14:paraId="78DC2137">
      <w:pPr>
        <w:pStyle w:val="2"/>
        <w:rPr>
          <w:rFonts w:ascii="微软雅黑" w:hAnsi="微软雅黑" w:eastAsia="微软雅黑" w:cs="微软雅黑"/>
          <w:sz w:val="24"/>
          <w:highlight w:val="none"/>
        </w:rPr>
      </w:pPr>
      <w:r>
        <w:rPr>
          <w:rFonts w:hint="eastAsia" w:ascii="微软雅黑" w:hAnsi="微软雅黑" w:eastAsia="微软雅黑" w:cs="微软雅黑"/>
          <w:sz w:val="24"/>
          <w:highlight w:val="none"/>
        </w:rPr>
        <w:t>15.3  电子投标文件具有法律效力,与其他形式的响应文件在内容和格式上等同，若投标文件与招标文件要求不一致，其内容影响中标结果时，责任由供应商自行承担。</w:t>
      </w:r>
    </w:p>
    <w:p w14:paraId="0278EA33">
      <w:pPr>
        <w:pStyle w:val="10"/>
        <w:snapToGrid w:val="0"/>
        <w:spacing w:before="0" w:after="0" w:line="360" w:lineRule="exact"/>
        <w:textAlignment w:val="baseline"/>
        <w:rPr>
          <w:rFonts w:ascii="微软雅黑" w:hAnsi="微软雅黑" w:eastAsia="微软雅黑" w:cs="微软雅黑"/>
          <w:b/>
          <w:bCs/>
          <w:highlight w:val="none"/>
          <w:u w:color="000000"/>
        </w:rPr>
      </w:pPr>
      <w:bookmarkStart w:id="343" w:name="_Toc24710"/>
      <w:bookmarkStart w:id="344" w:name="_Toc4096"/>
      <w:bookmarkStart w:id="345" w:name="_Toc28317"/>
      <w:r>
        <w:rPr>
          <w:rFonts w:hint="eastAsia" w:ascii="微软雅黑" w:hAnsi="微软雅黑" w:eastAsia="微软雅黑" w:cs="微软雅黑"/>
          <w:b/>
          <w:bCs/>
          <w:highlight w:val="none"/>
          <w:u w:color="000000"/>
        </w:rPr>
        <w:t>16.磋商截止</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43"/>
      <w:bookmarkEnd w:id="344"/>
      <w:bookmarkEnd w:id="345"/>
    </w:p>
    <w:p w14:paraId="7131774D">
      <w:pPr>
        <w:spacing w:line="360" w:lineRule="exact"/>
        <w:rPr>
          <w:rFonts w:ascii="微软雅黑" w:hAnsi="微软雅黑" w:eastAsia="微软雅黑" w:cs="微软雅黑"/>
          <w:sz w:val="24"/>
          <w:highlight w:val="none"/>
        </w:rPr>
      </w:pPr>
      <w:bookmarkStart w:id="346" w:name="_Toc11003"/>
      <w:bookmarkStart w:id="347" w:name="_Toc22201"/>
      <w:bookmarkStart w:id="348" w:name="_Toc31057"/>
      <w:bookmarkStart w:id="349" w:name="_Toc27719"/>
      <w:bookmarkStart w:id="350" w:name="_Toc520356162"/>
      <w:bookmarkStart w:id="351" w:name="_Toc23557"/>
      <w:bookmarkStart w:id="352" w:name="_Toc18594"/>
      <w:bookmarkStart w:id="353" w:name="_Toc7274"/>
      <w:bookmarkStart w:id="354" w:name="_Toc29943"/>
      <w:bookmarkStart w:id="355" w:name="_Toc24275"/>
      <w:bookmarkStart w:id="356" w:name="_Toc515647777"/>
      <w:bookmarkStart w:id="357" w:name="_Toc21926"/>
      <w:bookmarkStart w:id="358" w:name="_Toc18537"/>
      <w:bookmarkStart w:id="359" w:name="_Toc10299"/>
      <w:bookmarkStart w:id="360" w:name="_Toc3014"/>
      <w:r>
        <w:rPr>
          <w:rFonts w:hint="eastAsia" w:ascii="微软雅黑" w:hAnsi="微软雅黑" w:eastAsia="微软雅黑" w:cs="微软雅黑"/>
          <w:sz w:val="24"/>
          <w:highlight w:val="none"/>
        </w:rPr>
        <w:t>16.1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供应商应在供应商须知资料表中规定的投标截止时间前，将响应文件上传到采购公告中规定的地点。</w:t>
      </w:r>
      <w:r>
        <w:rPr>
          <w:rFonts w:hint="eastAsia" w:ascii="微软雅黑" w:hAnsi="微软雅黑" w:eastAsia="微软雅黑" w:cs="微软雅黑"/>
          <w:b/>
          <w:bCs/>
          <w:sz w:val="24"/>
          <w:highlight w:val="none"/>
        </w:rPr>
        <w:t>解密时间30分钟，逾期未解密的视为投标无效。</w:t>
      </w:r>
    </w:p>
    <w:p w14:paraId="25BCD95C">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采购人和采购代理机构有权按本须知的规定，延迟投标截止时间。在此情况下，采购人、采购代理机构和供应商受投标截止时间制约的所有权利和义务均应延长至新的截止时间。</w:t>
      </w:r>
    </w:p>
    <w:p w14:paraId="1E1CF9F9">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采购人和采购代理机构将拒绝接收在投标截止时间后上传的响应文件。</w:t>
      </w:r>
    </w:p>
    <w:p w14:paraId="0FE8754A">
      <w:pPr>
        <w:pStyle w:val="10"/>
        <w:snapToGrid w:val="0"/>
        <w:spacing w:before="0" w:after="0" w:line="360" w:lineRule="exact"/>
        <w:textAlignment w:val="baseline"/>
        <w:rPr>
          <w:rFonts w:ascii="微软雅黑" w:hAnsi="微软雅黑" w:eastAsia="微软雅黑" w:cs="微软雅黑"/>
          <w:b/>
          <w:bCs/>
          <w:highlight w:val="none"/>
          <w:u w:color="000000"/>
        </w:rPr>
      </w:pPr>
      <w:bookmarkStart w:id="361" w:name="_Toc2703"/>
      <w:bookmarkStart w:id="362" w:name="_Toc23536"/>
      <w:bookmarkStart w:id="363" w:name="_Toc1269"/>
      <w:r>
        <w:rPr>
          <w:rFonts w:hint="eastAsia" w:ascii="微软雅黑" w:hAnsi="微软雅黑" w:eastAsia="微软雅黑" w:cs="微软雅黑"/>
          <w:b/>
          <w:bCs/>
          <w:highlight w:val="none"/>
          <w:u w:color="000000"/>
        </w:rPr>
        <w:t>17.响应文件的接收、修改与撤回</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3AF5DC7">
      <w:pPr>
        <w:spacing w:line="360" w:lineRule="exact"/>
        <w:rPr>
          <w:rFonts w:ascii="微软雅黑" w:hAnsi="微软雅黑" w:eastAsia="微软雅黑" w:cs="微软雅黑"/>
          <w:sz w:val="24"/>
          <w:highlight w:val="none"/>
        </w:rPr>
      </w:pPr>
      <w:bookmarkStart w:id="364" w:name="_Toc910"/>
      <w:r>
        <w:rPr>
          <w:rFonts w:hint="eastAsia" w:ascii="微软雅黑" w:hAnsi="微软雅黑" w:eastAsia="微软雅黑" w:cs="微软雅黑"/>
          <w:sz w:val="24"/>
          <w:highlight w:val="none"/>
        </w:rPr>
        <w:t>17.1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在投标截止时间后上传的响应文件的，采购人和采购代理机构将拒绝接收。</w:t>
      </w:r>
    </w:p>
    <w:p w14:paraId="101336F1">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上传响应文件以后，如果供应商要进行修改或撤回磋商，供应商对响应文件的修改或撤回通知应按本须知规定编制、标记。采购人和采购代理机构将予以接收，并视为响应文件的组成部分。</w:t>
      </w:r>
    </w:p>
    <w:p w14:paraId="2C3940A6">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17.3</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在投标截止时间之后，采购人和采购代理机构不接受供应商主动对其响应文件做任何修改。</w:t>
      </w:r>
    </w:p>
    <w:p w14:paraId="69AD8212">
      <w:pPr>
        <w:rPr>
          <w:rFonts w:ascii="微软雅黑" w:hAnsi="微软雅黑" w:eastAsia="微软雅黑" w:cs="微软雅黑"/>
          <w:sz w:val="24"/>
          <w:highlight w:val="none"/>
        </w:rPr>
      </w:pPr>
      <w:bookmarkStart w:id="365" w:name="_Toc16482"/>
      <w:bookmarkStart w:id="366" w:name="_Toc2296"/>
      <w:bookmarkStart w:id="367" w:name="_Toc14514"/>
      <w:r>
        <w:rPr>
          <w:rFonts w:hint="eastAsia" w:ascii="微软雅黑" w:hAnsi="微软雅黑" w:eastAsia="微软雅黑" w:cs="微软雅黑"/>
          <w:sz w:val="24"/>
          <w:highlight w:val="none"/>
        </w:rPr>
        <w:t>17.4</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采购人和采购代理机构对所接收响应文件概不退回。</w:t>
      </w:r>
      <w:bookmarkEnd w:id="365"/>
      <w:bookmarkEnd w:id="366"/>
      <w:bookmarkEnd w:id="367"/>
    </w:p>
    <w:p w14:paraId="71AB780D">
      <w:pPr>
        <w:pStyle w:val="8"/>
        <w:rPr>
          <w:highlight w:val="none"/>
        </w:rPr>
      </w:pPr>
    </w:p>
    <w:p w14:paraId="716D9EF9">
      <w:pPr>
        <w:pStyle w:val="9"/>
        <w:rPr>
          <w:highlight w:val="none"/>
        </w:rPr>
      </w:pPr>
    </w:p>
    <w:p w14:paraId="1F490387">
      <w:pPr>
        <w:pStyle w:val="6"/>
        <w:rPr>
          <w:rFonts w:ascii="微软雅黑" w:hAnsi="微软雅黑" w:eastAsia="微软雅黑" w:cs="微软雅黑"/>
          <w:highlight w:val="none"/>
        </w:rPr>
      </w:pPr>
      <w:bookmarkStart w:id="368" w:name="_Toc18577"/>
      <w:bookmarkStart w:id="369" w:name="_Toc23608"/>
      <w:bookmarkStart w:id="370" w:name="_Toc16681"/>
      <w:r>
        <w:rPr>
          <w:rFonts w:hint="eastAsia" w:ascii="微软雅黑" w:hAnsi="微软雅黑" w:eastAsia="微软雅黑" w:cs="微软雅黑"/>
          <w:highlight w:val="none"/>
        </w:rPr>
        <w:t>五   磋商及</w:t>
      </w:r>
      <w:bookmarkEnd w:id="337"/>
      <w:bookmarkEnd w:id="338"/>
      <w:bookmarkEnd w:id="339"/>
      <w:bookmarkEnd w:id="340"/>
      <w:bookmarkEnd w:id="341"/>
      <w:bookmarkEnd w:id="342"/>
      <w:bookmarkEnd w:id="364"/>
      <w:r>
        <w:rPr>
          <w:rFonts w:hint="eastAsia" w:ascii="微软雅黑" w:hAnsi="微软雅黑" w:eastAsia="微软雅黑" w:cs="微软雅黑"/>
          <w:highlight w:val="none"/>
        </w:rPr>
        <w:t>评审</w:t>
      </w:r>
      <w:bookmarkEnd w:id="368"/>
      <w:bookmarkEnd w:id="369"/>
      <w:bookmarkEnd w:id="370"/>
    </w:p>
    <w:p w14:paraId="16ECBD8F">
      <w:pPr>
        <w:pStyle w:val="7"/>
        <w:rPr>
          <w:highlight w:val="none"/>
        </w:rPr>
      </w:pPr>
    </w:p>
    <w:p w14:paraId="5C48F700">
      <w:pPr>
        <w:pStyle w:val="10"/>
        <w:spacing w:before="0" w:line="360" w:lineRule="exact"/>
        <w:rPr>
          <w:rFonts w:ascii="微软雅黑" w:hAnsi="微软雅黑" w:eastAsia="微软雅黑" w:cs="微软雅黑"/>
          <w:b/>
          <w:bCs/>
          <w:highlight w:val="none"/>
        </w:rPr>
      </w:pPr>
      <w:bookmarkStart w:id="371" w:name="_Toc1741"/>
      <w:bookmarkStart w:id="372" w:name="_Toc21418"/>
      <w:bookmarkStart w:id="373" w:name="_Toc4771"/>
      <w:bookmarkStart w:id="374" w:name="_Toc7186"/>
      <w:bookmarkStart w:id="375" w:name="_Toc23772"/>
      <w:bookmarkStart w:id="376" w:name="_Toc30037"/>
      <w:bookmarkStart w:id="377" w:name="_Toc9432"/>
      <w:bookmarkStart w:id="378" w:name="_Toc25345"/>
      <w:bookmarkStart w:id="379" w:name="_Toc10415"/>
      <w:bookmarkStart w:id="380" w:name="_Toc32409"/>
      <w:bookmarkStart w:id="381" w:name="_Toc24922"/>
      <w:bookmarkStart w:id="382" w:name="_Toc11762"/>
      <w:bookmarkStart w:id="383" w:name="_Toc515647779"/>
      <w:bookmarkStart w:id="384" w:name="_Toc63"/>
      <w:bookmarkStart w:id="385" w:name="_Toc954"/>
      <w:bookmarkStart w:id="386" w:name="_Toc28057"/>
      <w:bookmarkStart w:id="387" w:name="_Toc23987"/>
      <w:bookmarkStart w:id="388" w:name="_Toc11726"/>
      <w:bookmarkStart w:id="389" w:name="_Toc4265"/>
      <w:bookmarkStart w:id="390" w:name="_Toc1738"/>
      <w:bookmarkStart w:id="391" w:name="_Toc7345"/>
      <w:bookmarkStart w:id="392" w:name="_Toc520356164"/>
      <w:bookmarkStart w:id="393" w:name="_Toc520356165"/>
      <w:bookmarkStart w:id="394" w:name="_Toc26266"/>
      <w:bookmarkStart w:id="395" w:name="_Toc22792"/>
      <w:bookmarkStart w:id="396" w:name="_Toc21372"/>
      <w:bookmarkStart w:id="397" w:name="_Toc10746"/>
      <w:bookmarkStart w:id="398" w:name="_Toc10550"/>
      <w:bookmarkStart w:id="399" w:name="_Toc19296"/>
      <w:bookmarkStart w:id="400" w:name="_Toc21667"/>
      <w:bookmarkStart w:id="401" w:name="_Toc515647780"/>
      <w:bookmarkStart w:id="402" w:name="_Toc4063"/>
      <w:bookmarkStart w:id="403" w:name="_Toc18233"/>
      <w:bookmarkStart w:id="404" w:name="_Toc3080"/>
      <w:bookmarkStart w:id="405" w:name="_Toc5052"/>
      <w:bookmarkStart w:id="406" w:name="_Toc28586"/>
      <w:bookmarkStart w:id="407" w:name="_Toc2316"/>
      <w:bookmarkStart w:id="408" w:name="_Toc22770"/>
      <w:bookmarkStart w:id="409" w:name="_Toc18228"/>
      <w:r>
        <w:rPr>
          <w:rFonts w:hint="eastAsia" w:ascii="微软雅黑" w:hAnsi="微软雅黑" w:eastAsia="微软雅黑" w:cs="微软雅黑"/>
          <w:b/>
          <w:bCs/>
          <w:highlight w:val="none"/>
        </w:rPr>
        <w:t>18.开标</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2EF562E">
      <w:pPr>
        <w:numPr>
          <w:ilvl w:val="1"/>
          <w:numId w:val="3"/>
        </w:numPr>
        <w:spacing w:line="360" w:lineRule="exact"/>
        <w:ind w:left="900" w:hanging="900" w:hangingChars="375"/>
        <w:rPr>
          <w:rFonts w:ascii="微软雅黑" w:hAnsi="微软雅黑" w:eastAsia="微软雅黑" w:cs="微软雅黑"/>
          <w:sz w:val="24"/>
          <w:highlight w:val="none"/>
        </w:rPr>
      </w:pPr>
      <w:bookmarkStart w:id="410" w:name="_Toc25205"/>
      <w:bookmarkStart w:id="411" w:name="_Toc2280"/>
      <w:bookmarkStart w:id="412" w:name="_Toc29601"/>
      <w:r>
        <w:rPr>
          <w:rFonts w:hint="eastAsia" w:ascii="微软雅黑" w:hAnsi="微软雅黑" w:eastAsia="微软雅黑" w:cs="微软雅黑"/>
          <w:sz w:val="24"/>
          <w:highlight w:val="none"/>
        </w:rPr>
        <w:t>采购人和采购代理机构将按</w:t>
      </w:r>
      <w:r>
        <w:rPr>
          <w:rFonts w:hint="eastAsia" w:ascii="微软雅黑" w:hAnsi="微软雅黑" w:eastAsia="微软雅黑" w:cs="微软雅黑"/>
          <w:sz w:val="24"/>
          <w:highlight w:val="none"/>
          <w:u w:val="single"/>
        </w:rPr>
        <w:t>供应商须知资料表</w:t>
      </w:r>
      <w:r>
        <w:rPr>
          <w:rFonts w:hint="eastAsia" w:ascii="微软雅黑" w:hAnsi="微软雅黑" w:eastAsia="微软雅黑" w:cs="微软雅黑"/>
          <w:sz w:val="24"/>
          <w:highlight w:val="none"/>
        </w:rPr>
        <w:t>中规定的磋商时间和地点组织磋商并邀请所有供应商代表参加。</w:t>
      </w:r>
    </w:p>
    <w:p w14:paraId="51C37240">
      <w:pPr>
        <w:numPr>
          <w:ilvl w:val="1"/>
          <w:numId w:val="3"/>
        </w:num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到磋商截止时间，对供应商上传的响应文件进行解密，解密时长为30分钟。供应商须在规定时间内使用CA锁在政采云平台解密，解密失败或未在规定时间内解密，将无法参加下一阶段的磋商，将被认定为无效磋商。</w:t>
      </w:r>
      <w:r>
        <w:rPr>
          <w:rFonts w:hint="eastAsia" w:ascii="微软雅黑" w:hAnsi="微软雅黑" w:eastAsia="微软雅黑" w:cs="微软雅黑"/>
          <w:b/>
          <w:bCs/>
          <w:sz w:val="24"/>
          <w:highlight w:val="none"/>
        </w:rPr>
        <w:t>请供应商提前调试好CA锁，确定在操作时能正常使用。</w:t>
      </w:r>
      <w:r>
        <w:rPr>
          <w:rFonts w:hint="eastAsia" w:ascii="微软雅黑" w:hAnsi="微软雅黑" w:eastAsia="微软雅黑" w:cs="微软雅黑"/>
          <w:sz w:val="24"/>
          <w:highlight w:val="none"/>
        </w:rPr>
        <w:t xml:space="preserve">  </w:t>
      </w:r>
    </w:p>
    <w:p w14:paraId="7B3942FB">
      <w:pPr>
        <w:numPr>
          <w:ilvl w:val="1"/>
          <w:numId w:val="3"/>
        </w:num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在开标记录时，代理机构开启签字时段，</w:t>
      </w:r>
      <w:r>
        <w:rPr>
          <w:rFonts w:hint="eastAsia" w:ascii="微软雅黑" w:hAnsi="微软雅黑" w:eastAsia="微软雅黑" w:cs="微软雅黑"/>
          <w:b/>
          <w:bCs/>
          <w:sz w:val="24"/>
          <w:highlight w:val="none"/>
        </w:rPr>
        <w:t>须供应商使用CA锁在政采云平台进行签字确认报价</w:t>
      </w:r>
      <w:r>
        <w:rPr>
          <w:rFonts w:hint="eastAsia" w:ascii="微软雅黑" w:hAnsi="微软雅黑" w:eastAsia="微软雅黑" w:cs="微软雅黑"/>
          <w:sz w:val="24"/>
          <w:highlight w:val="none"/>
        </w:rPr>
        <w:t>。</w:t>
      </w:r>
    </w:p>
    <w:p w14:paraId="52AEFBB9">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18.4   在评审磋商环节，</w:t>
      </w:r>
      <w:r>
        <w:rPr>
          <w:rFonts w:hint="eastAsia" w:ascii="微软雅黑" w:hAnsi="微软雅黑" w:eastAsia="微软雅黑" w:cs="微软雅黑"/>
          <w:b/>
          <w:bCs/>
          <w:sz w:val="24"/>
          <w:highlight w:val="none"/>
        </w:rPr>
        <w:t>须供应商提前调试电脑是否可以正常视频通话</w:t>
      </w:r>
      <w:r>
        <w:rPr>
          <w:rFonts w:hint="eastAsia" w:ascii="微软雅黑" w:hAnsi="微软雅黑" w:eastAsia="微软雅黑" w:cs="微软雅黑"/>
          <w:sz w:val="24"/>
          <w:highlight w:val="none"/>
        </w:rPr>
        <w:t>，与评审专家进行一对一的磋商。</w:t>
      </w:r>
    </w:p>
    <w:p w14:paraId="65FB2E73">
      <w:pPr>
        <w:snapToGrid w:val="0"/>
        <w:spacing w:line="360" w:lineRule="exact"/>
        <w:ind w:left="720" w:hanging="720" w:hangingChars="300"/>
        <w:textAlignment w:val="baseline"/>
        <w:outlineLvl w:val="2"/>
        <w:rPr>
          <w:rFonts w:ascii="微软雅黑" w:hAnsi="微软雅黑" w:eastAsia="微软雅黑" w:cs="微软雅黑"/>
          <w:b/>
          <w:bCs/>
          <w:sz w:val="24"/>
          <w:highlight w:val="none"/>
        </w:rPr>
      </w:pPr>
      <w:bookmarkStart w:id="413" w:name="_Toc26746"/>
      <w:bookmarkStart w:id="414" w:name="_Toc16190"/>
      <w:bookmarkStart w:id="415" w:name="_Toc21483"/>
      <w:r>
        <w:rPr>
          <w:rFonts w:hint="eastAsia" w:ascii="微软雅黑" w:hAnsi="微软雅黑" w:eastAsia="微软雅黑" w:cs="微软雅黑"/>
          <w:b/>
          <w:bCs/>
          <w:sz w:val="24"/>
          <w:highlight w:val="none"/>
        </w:rPr>
        <w:t>19.</w:t>
      </w:r>
      <w:bookmarkEnd w:id="393"/>
      <w:r>
        <w:rPr>
          <w:rFonts w:hint="eastAsia" w:ascii="微软雅黑" w:hAnsi="微软雅黑" w:eastAsia="微软雅黑" w:cs="微软雅黑"/>
          <w:b/>
          <w:bCs/>
          <w:sz w:val="24"/>
          <w:highlight w:val="none"/>
        </w:rPr>
        <w:t>资格审查及组建</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ascii="微软雅黑" w:hAnsi="微软雅黑" w:eastAsia="微软雅黑" w:cs="微软雅黑"/>
          <w:b/>
          <w:bCs/>
          <w:sz w:val="24"/>
          <w:highlight w:val="none"/>
        </w:rPr>
        <w:t>磋商小组</w:t>
      </w:r>
      <w:bookmarkEnd w:id="413"/>
      <w:bookmarkEnd w:id="414"/>
      <w:bookmarkEnd w:id="415"/>
    </w:p>
    <w:p w14:paraId="0918BE26">
      <w:pPr>
        <w:snapToGrid w:val="0"/>
        <w:spacing w:line="360" w:lineRule="exact"/>
        <w:ind w:left="720" w:hanging="720" w:hangingChars="3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19.1 采购人或采购代理机构依据法律法规和磋商文件中规定的内容，对供应商的资格进行审查，本项目审查内容如下：</w:t>
      </w:r>
    </w:p>
    <w:p w14:paraId="66141213">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1.具备有效的营业执照；</w:t>
      </w:r>
    </w:p>
    <w:p w14:paraId="25DF50C4">
      <w:pPr>
        <w:spacing w:line="360" w:lineRule="exact"/>
        <w:ind w:firstLine="480" w:firstLineChars="200"/>
        <w:rPr>
          <w:rFonts w:hint="eastAsia" w:ascii="微软雅黑" w:hAnsi="微软雅黑" w:eastAsia="微软雅黑" w:cs="微软雅黑"/>
          <w:b/>
          <w:bCs/>
          <w:sz w:val="24"/>
          <w:highlight w:val="none"/>
          <w:lang w:eastAsia="zh-CN"/>
        </w:rPr>
      </w:pPr>
      <w:r>
        <w:rPr>
          <w:rFonts w:hint="eastAsia" w:ascii="微软雅黑" w:hAnsi="微软雅黑" w:eastAsia="微软雅黑" w:cs="微软雅黑"/>
          <w:b/>
          <w:bCs/>
          <w:sz w:val="24"/>
          <w:highlight w:val="none"/>
        </w:rPr>
        <w:t>2.</w:t>
      </w:r>
      <w:r>
        <w:rPr>
          <w:rFonts w:hint="eastAsia" w:ascii="微软雅黑" w:hAnsi="微软雅黑" w:eastAsia="微软雅黑" w:cs="微软雅黑"/>
          <w:b/>
          <w:bCs/>
          <w:sz w:val="24"/>
          <w:highlight w:val="none"/>
          <w:lang w:eastAsia="zh-CN"/>
        </w:rPr>
        <w:t>供应商须具有有效的建筑工程施工总承包贰级（含）及以上资质，并取得有效的《安全生产许可证》；</w:t>
      </w:r>
    </w:p>
    <w:p w14:paraId="7B421F38">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3.</w:t>
      </w:r>
      <w:r>
        <w:rPr>
          <w:rFonts w:hint="eastAsia" w:ascii="微软雅黑" w:hAnsi="微软雅黑" w:eastAsia="微软雅黑" w:cs="微软雅黑"/>
          <w:b/>
          <w:bCs/>
          <w:sz w:val="24"/>
          <w:highlight w:val="none"/>
          <w:lang w:eastAsia="zh-CN"/>
        </w:rPr>
        <w:t>项目负责人须具备建筑工程贰级(含)及以上注册建造师执业资格, 具备有效的安全生产考核合格证书（B类）</w:t>
      </w:r>
      <w:r>
        <w:rPr>
          <w:rFonts w:hint="eastAsia" w:ascii="微软雅黑" w:hAnsi="微软雅黑" w:eastAsia="微软雅黑" w:cs="微软雅黑"/>
          <w:b/>
          <w:bCs/>
          <w:sz w:val="24"/>
          <w:highlight w:val="none"/>
        </w:rPr>
        <w:t>，且未担任其他在施建设项目的项目负责人并出具无在建承诺书；</w:t>
      </w:r>
    </w:p>
    <w:p w14:paraId="0D758B50">
      <w:pPr>
        <w:spacing w:line="360" w:lineRule="exact"/>
        <w:ind w:firstLine="480" w:firstLineChars="200"/>
        <w:rPr>
          <w:rFonts w:hint="eastAsia" w:ascii="微软雅黑" w:hAnsi="微软雅黑" w:eastAsia="微软雅黑" w:cs="微软雅黑"/>
          <w:b/>
          <w:bCs/>
          <w:sz w:val="24"/>
          <w:highlight w:val="none"/>
          <w:lang w:eastAsia="zh-CN"/>
        </w:rPr>
      </w:pPr>
      <w:r>
        <w:rPr>
          <w:rFonts w:hint="eastAsia" w:ascii="微软雅黑" w:hAnsi="微软雅黑" w:eastAsia="微软雅黑" w:cs="微软雅黑"/>
          <w:b/>
          <w:bCs/>
          <w:sz w:val="24"/>
          <w:highlight w:val="none"/>
        </w:rPr>
        <w:t>4.</w:t>
      </w:r>
      <w:r>
        <w:rPr>
          <w:rFonts w:hint="eastAsia" w:ascii="微软雅黑" w:hAnsi="微软雅黑" w:eastAsia="微软雅黑" w:cs="微软雅黑"/>
          <w:b/>
          <w:bCs/>
          <w:sz w:val="24"/>
          <w:highlight w:val="none"/>
          <w:lang w:eastAsia="zh-CN"/>
        </w:rPr>
        <w:t>法定代表人资格证明（法定代表人需提供身份证）；</w:t>
      </w:r>
    </w:p>
    <w:p w14:paraId="028F306E">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5.</w:t>
      </w:r>
      <w:r>
        <w:rPr>
          <w:rFonts w:hint="eastAsia" w:ascii="微软雅黑" w:hAnsi="微软雅黑" w:eastAsia="微软雅黑" w:cs="微软雅黑"/>
          <w:b/>
          <w:bCs/>
          <w:sz w:val="24"/>
          <w:highlight w:val="none"/>
          <w:lang w:eastAsia="zh-CN"/>
        </w:rPr>
        <w:t>提供2023年度或2024年度的财务审计报告（成立未满十二个月的新公司可提供近三个月内任意一个月的银行资信证明）</w:t>
      </w:r>
      <w:r>
        <w:rPr>
          <w:rFonts w:hint="eastAsia" w:ascii="微软雅黑" w:hAnsi="微软雅黑" w:eastAsia="微软雅黑" w:cs="微软雅黑"/>
          <w:b/>
          <w:bCs/>
          <w:sz w:val="24"/>
          <w:highlight w:val="none"/>
        </w:rPr>
        <w:t>；</w:t>
      </w:r>
    </w:p>
    <w:p w14:paraId="1A45A046">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6.依法缴纳近六个月内任意</w:t>
      </w:r>
      <w:r>
        <w:rPr>
          <w:rFonts w:hint="eastAsia" w:ascii="微软雅黑" w:hAnsi="微软雅黑" w:eastAsia="微软雅黑" w:cs="微软雅黑"/>
          <w:b/>
          <w:bCs/>
          <w:sz w:val="24"/>
          <w:highlight w:val="none"/>
          <w:lang w:eastAsia="zh-CN"/>
        </w:rPr>
        <w:t>一个月</w:t>
      </w:r>
      <w:r>
        <w:rPr>
          <w:rFonts w:hint="eastAsia" w:ascii="微软雅黑" w:hAnsi="微软雅黑" w:eastAsia="微软雅黑" w:cs="微软雅黑"/>
          <w:b/>
          <w:bCs/>
          <w:sz w:val="24"/>
          <w:highlight w:val="none"/>
        </w:rPr>
        <w:t>的社会保险证明；</w:t>
      </w:r>
    </w:p>
    <w:p w14:paraId="4C5BA6E5">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7.依法缴纳近六个月内任意</w:t>
      </w:r>
      <w:r>
        <w:rPr>
          <w:rFonts w:hint="eastAsia" w:ascii="微软雅黑" w:hAnsi="微软雅黑" w:eastAsia="微软雅黑" w:cs="微软雅黑"/>
          <w:b/>
          <w:bCs/>
          <w:sz w:val="24"/>
          <w:highlight w:val="none"/>
          <w:lang w:eastAsia="zh-CN"/>
        </w:rPr>
        <w:t>一个月</w:t>
      </w:r>
      <w:r>
        <w:rPr>
          <w:rFonts w:hint="eastAsia" w:ascii="微软雅黑" w:hAnsi="微软雅黑" w:eastAsia="微软雅黑" w:cs="微软雅黑"/>
          <w:b/>
          <w:bCs/>
          <w:sz w:val="24"/>
          <w:highlight w:val="none"/>
        </w:rPr>
        <w:t>的税收证明；</w:t>
      </w:r>
    </w:p>
    <w:p w14:paraId="4577B6C0">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8.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76F9D0C7">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rPr>
        <w:t>9. 参加政府采购活动前三年内在经营活动中没有重大违法记录的书面声明；</w:t>
      </w:r>
    </w:p>
    <w:p w14:paraId="7BFFCFE6">
      <w:pPr>
        <w:spacing w:line="360" w:lineRule="exact"/>
        <w:ind w:firstLine="480" w:firstLineChars="200"/>
        <w:rPr>
          <w:rFonts w:hint="eastAsia" w:ascii="微软雅黑" w:hAnsi="微软雅黑" w:eastAsia="微软雅黑" w:cs="微软雅黑"/>
          <w:b/>
          <w:bCs/>
          <w:sz w:val="24"/>
          <w:highlight w:val="none"/>
          <w:lang w:eastAsia="zh-CN"/>
        </w:rPr>
      </w:pPr>
      <w:r>
        <w:rPr>
          <w:rFonts w:hint="eastAsia" w:ascii="微软雅黑" w:hAnsi="微软雅黑" w:eastAsia="微软雅黑" w:cs="微软雅黑"/>
          <w:b/>
          <w:bCs/>
          <w:sz w:val="24"/>
          <w:highlight w:val="none"/>
          <w:lang w:val="en-US" w:eastAsia="zh-CN"/>
        </w:rPr>
        <w:t xml:space="preserve">10. </w:t>
      </w:r>
      <w:r>
        <w:rPr>
          <w:rFonts w:hint="eastAsia" w:ascii="微软雅黑" w:hAnsi="微软雅黑" w:eastAsia="微软雅黑" w:cs="微软雅黑"/>
          <w:b/>
          <w:bCs/>
          <w:sz w:val="24"/>
          <w:highlight w:val="none"/>
        </w:rPr>
        <w:t>具备履行合同所必需的设备和专业技术能力的证明材料</w:t>
      </w:r>
      <w:r>
        <w:rPr>
          <w:rFonts w:hint="eastAsia" w:ascii="微软雅黑" w:hAnsi="微软雅黑" w:eastAsia="微软雅黑" w:cs="微软雅黑"/>
          <w:b/>
          <w:bCs/>
          <w:sz w:val="24"/>
          <w:highlight w:val="none"/>
          <w:lang w:eastAsia="zh-CN"/>
        </w:rPr>
        <w:t>；</w:t>
      </w:r>
    </w:p>
    <w:p w14:paraId="08D8ABD1">
      <w:pPr>
        <w:spacing w:line="360" w:lineRule="exact"/>
        <w:ind w:firstLine="480" w:firstLineChars="200"/>
        <w:rPr>
          <w:rFonts w:hint="eastAsia" w:ascii="微软雅黑" w:hAnsi="微软雅黑" w:eastAsia="微软雅黑" w:cs="微软雅黑"/>
          <w:b/>
          <w:bCs/>
          <w:sz w:val="24"/>
          <w:highlight w:val="none"/>
        </w:rPr>
      </w:pPr>
      <w:r>
        <w:rPr>
          <w:rFonts w:hint="eastAsia" w:ascii="微软雅黑" w:hAnsi="微软雅黑" w:eastAsia="微软雅黑" w:cs="微软雅黑"/>
          <w:b/>
          <w:bCs/>
          <w:sz w:val="24"/>
          <w:highlight w:val="none"/>
          <w:lang w:val="en-US" w:eastAsia="zh-CN"/>
        </w:rPr>
        <w:t>11</w:t>
      </w:r>
      <w:r>
        <w:rPr>
          <w:rFonts w:hint="eastAsia" w:ascii="微软雅黑" w:hAnsi="微软雅黑" w:eastAsia="微软雅黑" w:cs="微软雅黑"/>
          <w:b/>
          <w:bCs/>
          <w:sz w:val="24"/>
          <w:highlight w:val="none"/>
        </w:rPr>
        <w:t xml:space="preserve">. </w:t>
      </w:r>
      <w:r>
        <w:rPr>
          <w:rFonts w:hint="eastAsia" w:ascii="微软雅黑" w:hAnsi="微软雅黑" w:eastAsia="微软雅黑" w:cs="微软雅黑"/>
          <w:b/>
          <w:bCs/>
          <w:sz w:val="24"/>
          <w:highlight w:val="none"/>
          <w:lang w:val="en-US" w:eastAsia="zh-CN"/>
        </w:rPr>
        <w:t>缴纳磋商保证金的有</w:t>
      </w:r>
      <w:r>
        <w:rPr>
          <w:rFonts w:hint="eastAsia" w:ascii="微软雅黑" w:hAnsi="微软雅黑" w:eastAsia="微软雅黑" w:cs="微软雅黑"/>
          <w:b/>
          <w:bCs/>
          <w:i w:val="0"/>
          <w:color w:val="auto"/>
          <w:spacing w:val="0"/>
          <w:w w:val="100"/>
          <w:sz w:val="24"/>
          <w:szCs w:val="24"/>
          <w:highlight w:val="none"/>
          <w:lang w:val="en-US" w:eastAsia="zh-CN"/>
        </w:rPr>
        <w:t>效凭证；</w:t>
      </w:r>
    </w:p>
    <w:p w14:paraId="3083E819">
      <w:pPr>
        <w:spacing w:line="360" w:lineRule="exact"/>
        <w:ind w:left="239" w:leftChars="114" w:firstLine="240" w:firstLineChars="100"/>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各供应商应注意以下事项：①本项目要求各投标供应商提供“</w:t>
      </w:r>
      <w:r>
        <w:rPr>
          <w:rFonts w:hint="eastAsia" w:ascii="微软雅黑" w:hAnsi="微软雅黑" w:eastAsia="微软雅黑" w:cs="微软雅黑"/>
          <w:b/>
          <w:bCs/>
          <w:sz w:val="24"/>
          <w:highlight w:val="none"/>
          <w:lang w:eastAsia="zh-CN"/>
        </w:rPr>
        <w:t>依法缴纳近六个月内任意一个月的税收证明</w:t>
      </w:r>
      <w:r>
        <w:rPr>
          <w:rFonts w:hint="eastAsia" w:ascii="微软雅黑" w:hAnsi="微软雅黑" w:eastAsia="微软雅黑" w:cs="微软雅黑"/>
          <w:b/>
          <w:bCs/>
          <w:sz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税收证明（“税种”不可为养老保险、医疗保险、失业保险、工伤保险和生育保险）。</w:t>
      </w:r>
    </w:p>
    <w:p w14:paraId="0749D338">
      <w:pPr>
        <w:spacing w:line="360" w:lineRule="exact"/>
        <w:ind w:firstLine="480" w:firstLineChars="200"/>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未通过资格审查的供应商不进入评标；通过资格审查的供应商不足三家的，不得评标。</w:t>
      </w:r>
    </w:p>
    <w:p w14:paraId="57BCD1EA">
      <w:pPr>
        <w:snapToGrid w:val="0"/>
        <w:spacing w:line="360" w:lineRule="exact"/>
        <w:ind w:left="734" w:hanging="734" w:hangingChars="306"/>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19.2   采购人或采购代理机构将在磋商前1个工作日至磋商截止后1小时的期间内查询供应商的信用记录。供应商存在不良信用记录的，其磋商将被认定为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208BA8A">
      <w:pPr>
        <w:snapToGrid w:val="0"/>
        <w:spacing w:line="360" w:lineRule="exact"/>
        <w:ind w:left="734" w:hanging="734" w:hangingChars="306"/>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19.2.1 不良信用记录指：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以联合体形式参加磋商的，联合体任何成员存在以上不良信用记录的，联合体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10715DCB">
      <w:pPr>
        <w:pStyle w:val="8"/>
        <w:snapToGrid w:val="0"/>
        <w:spacing w:line="360" w:lineRule="exact"/>
        <w:ind w:left="850" w:hanging="849" w:hangingChars="354"/>
        <w:jc w:val="both"/>
        <w:textAlignment w:val="baseline"/>
        <w:rPr>
          <w:rFonts w:ascii="微软雅黑" w:hAnsi="微软雅黑" w:eastAsia="微软雅黑" w:cs="微软雅黑"/>
          <w:szCs w:val="24"/>
          <w:highlight w:val="none"/>
        </w:rPr>
      </w:pPr>
      <w:r>
        <w:rPr>
          <w:rFonts w:hint="eastAsia" w:ascii="微软雅黑" w:hAnsi="微软雅黑" w:eastAsia="微软雅黑" w:cs="微软雅黑"/>
          <w:szCs w:val="24"/>
          <w:highlight w:val="none"/>
        </w:rPr>
        <w:t>19.2.2 查询及记录方式：采购人或采购代理机构经办人将查询网页打印、签字并存档备查。供应商不良信用记录以采购人或采购代理机构查询结果为准。在本磋商文件规定的查询时间之后，网站信息发生的任何变更均不再作为评审依据。</w:t>
      </w:r>
    </w:p>
    <w:p w14:paraId="50ED644D">
      <w:pPr>
        <w:pStyle w:val="8"/>
        <w:snapToGrid w:val="0"/>
        <w:spacing w:line="360" w:lineRule="exact"/>
        <w:ind w:firstLine="0"/>
        <w:jc w:val="both"/>
        <w:textAlignment w:val="baseline"/>
        <w:rPr>
          <w:rFonts w:ascii="微软雅黑" w:hAnsi="微软雅黑" w:eastAsia="微软雅黑" w:cs="微软雅黑"/>
          <w:szCs w:val="24"/>
          <w:highlight w:val="none"/>
        </w:rPr>
      </w:pPr>
      <w:r>
        <w:rPr>
          <w:rFonts w:hint="eastAsia" w:ascii="微软雅黑" w:hAnsi="微软雅黑" w:eastAsia="微软雅黑" w:cs="微软雅黑"/>
          <w:szCs w:val="24"/>
          <w:highlight w:val="none"/>
        </w:rPr>
        <w:t>供应商自行提供的与网站信息不一致的其他证明材料亦不作为资格审查依据。</w:t>
      </w:r>
    </w:p>
    <w:p w14:paraId="7D5C026A">
      <w:pPr>
        <w:snapToGrid w:val="0"/>
        <w:spacing w:line="360" w:lineRule="exact"/>
        <w:ind w:left="850" w:hanging="849" w:hangingChars="354"/>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19.3   </w:t>
      </w:r>
      <w:bookmarkStart w:id="416" w:name="_Toc520356166"/>
      <w:r>
        <w:rPr>
          <w:rFonts w:hint="eastAsia" w:ascii="微软雅黑" w:hAnsi="微软雅黑" w:eastAsia="微软雅黑" w:cs="微软雅黑"/>
          <w:sz w:val="24"/>
          <w:highlight w:val="none"/>
        </w:rPr>
        <w:t>按照《中华人民共和国政府采购法》、《中华人民共和国政府采购法实施条例》及本项目本级和上级财政部门的有关规定依法组建3名磋商小组，负责评审工作。</w:t>
      </w:r>
    </w:p>
    <w:p w14:paraId="2976223F">
      <w:pPr>
        <w:pStyle w:val="10"/>
        <w:snapToGrid w:val="0"/>
        <w:spacing w:before="0" w:after="0" w:line="360" w:lineRule="exact"/>
        <w:textAlignment w:val="baseline"/>
        <w:rPr>
          <w:rFonts w:ascii="微软雅黑" w:hAnsi="微软雅黑" w:eastAsia="微软雅黑" w:cs="微软雅黑"/>
          <w:b/>
          <w:bCs/>
          <w:highlight w:val="none"/>
          <w:u w:color="000000"/>
          <w:bdr w:val="single" w:color="auto" w:sz="4" w:space="0"/>
        </w:rPr>
      </w:pPr>
      <w:bookmarkStart w:id="417" w:name="_Toc29938"/>
      <w:bookmarkStart w:id="418" w:name="_Toc17557"/>
      <w:bookmarkStart w:id="419" w:name="_Toc17520"/>
      <w:bookmarkStart w:id="420" w:name="_Toc19949"/>
      <w:bookmarkStart w:id="421" w:name="_Toc15335"/>
      <w:bookmarkStart w:id="422" w:name="_Toc22740"/>
      <w:bookmarkStart w:id="423" w:name="_Toc515647781"/>
      <w:bookmarkStart w:id="424" w:name="_Toc16136"/>
      <w:bookmarkStart w:id="425" w:name="_Toc29043"/>
      <w:bookmarkStart w:id="426" w:name="_Toc32252"/>
      <w:bookmarkStart w:id="427" w:name="_Toc28479"/>
      <w:bookmarkStart w:id="428" w:name="_Toc10117"/>
      <w:bookmarkStart w:id="429" w:name="_Toc4558"/>
      <w:bookmarkStart w:id="430" w:name="_Toc32528"/>
      <w:r>
        <w:rPr>
          <w:rFonts w:hint="eastAsia" w:ascii="微软雅黑" w:hAnsi="微软雅黑" w:eastAsia="微软雅黑" w:cs="微软雅黑"/>
          <w:b/>
          <w:bCs/>
          <w:highlight w:val="none"/>
          <w:u w:color="000000"/>
        </w:rPr>
        <w:t>20.</w:t>
      </w:r>
      <w:bookmarkEnd w:id="416"/>
      <w:r>
        <w:rPr>
          <w:rFonts w:hint="eastAsia" w:ascii="微软雅黑" w:hAnsi="微软雅黑" w:eastAsia="微软雅黑" w:cs="微软雅黑"/>
          <w:b/>
          <w:bCs/>
          <w:highlight w:val="none"/>
          <w:u w:color="000000"/>
        </w:rPr>
        <w:t>响应文件符合性审查与澄清</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02C5B36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20.1   符合性审查是指依据磋商文件的规定，从响应文件的有效性和完整性对磋商文件的响应程度进行审查，以确定是否对磋商文件的实质性要求做出响应。</w:t>
      </w:r>
      <w:bookmarkStart w:id="431" w:name="_Hlt522424701"/>
      <w:bookmarkEnd w:id="431"/>
      <w:bookmarkStart w:id="432" w:name="_Toc520356167"/>
    </w:p>
    <w:p w14:paraId="387ED21E">
      <w:pPr>
        <w:rPr>
          <w:rFonts w:ascii="微软雅黑" w:hAnsi="微软雅黑" w:eastAsia="微软雅黑" w:cs="微软雅黑"/>
          <w:sz w:val="24"/>
          <w:highlight w:val="none"/>
        </w:rPr>
      </w:pPr>
      <w:bookmarkStart w:id="433" w:name="_Toc27061"/>
      <w:bookmarkStart w:id="434" w:name="_Toc23282"/>
      <w:r>
        <w:rPr>
          <w:rFonts w:hint="eastAsia" w:ascii="微软雅黑" w:hAnsi="微软雅黑" w:eastAsia="微软雅黑" w:cs="微软雅黑"/>
          <w:sz w:val="24"/>
          <w:highlight w:val="none"/>
        </w:rPr>
        <w:t>20.2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响应文件的澄清</w:t>
      </w:r>
      <w:bookmarkEnd w:id="433"/>
      <w:bookmarkEnd w:id="434"/>
    </w:p>
    <w:p w14:paraId="249043FA">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20.2.1  在评审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23D78867">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20.2.2  供应商的的澄清、说明或补正将作为响应文件的一部分。</w:t>
      </w:r>
    </w:p>
    <w:p w14:paraId="1513E143">
      <w:pPr>
        <w:rPr>
          <w:rFonts w:ascii="微软雅黑" w:hAnsi="微软雅黑" w:eastAsia="微软雅黑" w:cs="微软雅黑"/>
          <w:sz w:val="24"/>
          <w:highlight w:val="none"/>
        </w:rPr>
      </w:pPr>
      <w:bookmarkStart w:id="435" w:name="_Toc20775"/>
      <w:bookmarkStart w:id="436" w:name="_Toc987"/>
      <w:r>
        <w:rPr>
          <w:rFonts w:hint="eastAsia" w:ascii="微软雅黑" w:hAnsi="微软雅黑" w:eastAsia="微软雅黑" w:cs="微软雅黑"/>
          <w:sz w:val="24"/>
          <w:highlight w:val="none"/>
        </w:rPr>
        <w:t>20.3  响应文件报价出现前后不一致的，按照下列规定修正：</w:t>
      </w:r>
      <w:bookmarkEnd w:id="435"/>
      <w:bookmarkEnd w:id="436"/>
    </w:p>
    <w:p w14:paraId="13E3FB24">
      <w:pPr>
        <w:snapToGrid w:val="0"/>
        <w:spacing w:line="360" w:lineRule="exact"/>
        <w:ind w:left="1020" w:hanging="1020" w:hangingChars="42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（一）响应文件中磋商报价表（报价表）内容与响应文件中相应内容不一致的，以磋商报价表（报价表）为准；</w:t>
      </w:r>
    </w:p>
    <w:p w14:paraId="5B5F1CC8">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　　   （二）大写金额和小写金额不一致的，以大写金额为准；</w:t>
      </w:r>
    </w:p>
    <w:p w14:paraId="5B1523A9">
      <w:pPr>
        <w:snapToGrid w:val="0"/>
        <w:spacing w:line="360" w:lineRule="exact"/>
        <w:ind w:left="1020" w:hanging="1020" w:hangingChars="42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（三）单价金额小数点或者百分比有明显错位的，以磋商报价表的总价为准，并修改单价；</w:t>
      </w:r>
    </w:p>
    <w:p w14:paraId="6CD642DB">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（四）总价金额与按单价汇总金额不一致的，以单价金额计算结果为准。</w:t>
      </w:r>
    </w:p>
    <w:p w14:paraId="1719138D">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同时出现两种以上不一致的，按照前款规定的顺序修正。修正后的报价按照第20.2条的规定经供应商确认后产生约束力，供应商不确认的，其磋商将被认定为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10AB5934">
      <w:pPr>
        <w:snapToGrid w:val="0"/>
        <w:spacing w:line="360" w:lineRule="exact"/>
        <w:ind w:firstLine="120" w:firstLineChars="5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对不同文字文本响应文件的解释发生异议的，以中文文本为准。</w:t>
      </w:r>
    </w:p>
    <w:p w14:paraId="3840D34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20.4   如一个分包内只有一种产品，不同供应商所投产品为同一品牌的，按如下方式处理：</w:t>
      </w:r>
    </w:p>
    <w:p w14:paraId="17C933D8">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20.4.1  本项目使用综合评分法，提供相同品牌产品且通过资格审查、符合性审查的不同供应商，按一家供应商计算，评审后得分最高的同品牌供应商获得成交人推荐资格；评审得分相同的，由采购人或者采购人委托磋商小组按照磋商文件中评审办法规定的方式确定一个供应商获得成交人推荐资格；未规定的采取随机抽取方式确定，其他同品牌供应商不作为成交候选人。</w:t>
      </w:r>
    </w:p>
    <w:p w14:paraId="54BA8A9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20.5   供应商所投产品如被列入财政部与国家主管部门颁发的节能产品目录或环境标志产品目录或无线局域网产品目录，应提供相关证明，在评审时予以优先采购，具体优先采购办法见第六章评审方法和标准。</w:t>
      </w:r>
    </w:p>
    <w:p w14:paraId="6C142385">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如采购人所采购产品为政府强制采购的节能产品，供应商所投产品的品牌及型号必须为清单中有效期内产品并提供证明文件，否则其磋商将被认定为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w:t>
      </w:r>
    </w:p>
    <w:p w14:paraId="474853D6">
      <w:pPr>
        <w:pStyle w:val="10"/>
        <w:tabs>
          <w:tab w:val="left" w:pos="2002"/>
        </w:tabs>
        <w:rPr>
          <w:rFonts w:ascii="微软雅黑" w:hAnsi="微软雅黑" w:eastAsia="微软雅黑" w:cs="微软雅黑"/>
          <w:b/>
          <w:bCs/>
          <w:highlight w:val="none"/>
        </w:rPr>
      </w:pPr>
      <w:bookmarkStart w:id="437" w:name="_Toc22254"/>
      <w:bookmarkStart w:id="438" w:name="_Toc6364"/>
      <w:bookmarkStart w:id="439" w:name="_Toc4817"/>
      <w:bookmarkStart w:id="440" w:name="_Toc6695"/>
      <w:bookmarkStart w:id="441" w:name="_Toc515647782"/>
      <w:bookmarkStart w:id="442" w:name="_Toc17827"/>
      <w:bookmarkStart w:id="443" w:name="_Toc1939"/>
      <w:bookmarkStart w:id="444" w:name="_Toc27164"/>
      <w:bookmarkStart w:id="445" w:name="_Toc28934"/>
      <w:bookmarkStart w:id="446" w:name="_Toc5445"/>
      <w:bookmarkStart w:id="447" w:name="_Toc9469"/>
      <w:bookmarkStart w:id="448" w:name="_Toc30430"/>
      <w:bookmarkStart w:id="449" w:name="_Toc10844"/>
      <w:r>
        <w:rPr>
          <w:rFonts w:hint="eastAsia" w:ascii="微软雅黑" w:hAnsi="微软雅黑" w:eastAsia="微软雅黑" w:cs="微软雅黑"/>
          <w:b/>
          <w:bCs/>
          <w:highlight w:val="none"/>
        </w:rPr>
        <w:t>21.磋商偏离</w:t>
      </w:r>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微软雅黑" w:hAnsi="微软雅黑" w:eastAsia="微软雅黑" w:cs="微软雅黑"/>
          <w:b/>
          <w:bCs/>
          <w:highlight w:val="none"/>
        </w:rPr>
        <w:tab/>
      </w:r>
    </w:p>
    <w:p w14:paraId="4CBFF0AB">
      <w:pPr>
        <w:snapToGrid w:val="0"/>
        <w:spacing w:line="360" w:lineRule="exact"/>
        <w:ind w:left="641" w:hanging="640" w:hangingChars="267"/>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磋商小组可以接受响应文件中不构成实质性偏离的不正规或不一致。</w:t>
      </w:r>
    </w:p>
    <w:p w14:paraId="698B8373">
      <w:pPr>
        <w:pStyle w:val="10"/>
        <w:rPr>
          <w:rFonts w:ascii="微软雅黑" w:hAnsi="微软雅黑" w:eastAsia="微软雅黑" w:cs="微软雅黑"/>
          <w:b/>
          <w:bCs/>
          <w:highlight w:val="none"/>
        </w:rPr>
      </w:pPr>
      <w:bookmarkStart w:id="450" w:name="_Toc515647783"/>
      <w:bookmarkStart w:id="451" w:name="_Toc108"/>
      <w:bookmarkStart w:id="452" w:name="_Toc23480"/>
      <w:bookmarkStart w:id="453" w:name="_Toc2275"/>
      <w:bookmarkStart w:id="454" w:name="_Toc13775"/>
      <w:bookmarkStart w:id="455" w:name="_Toc31191"/>
      <w:bookmarkStart w:id="456" w:name="_Toc2292"/>
      <w:bookmarkStart w:id="457" w:name="_Toc29137"/>
      <w:bookmarkStart w:id="458" w:name="_Toc28289"/>
      <w:bookmarkStart w:id="459" w:name="_Toc31451"/>
      <w:bookmarkStart w:id="460" w:name="_Toc4950"/>
      <w:bookmarkStart w:id="461" w:name="_Toc6092"/>
      <w:bookmarkStart w:id="462" w:name="_Toc14291"/>
      <w:bookmarkStart w:id="463" w:name="_Toc27546"/>
      <w:r>
        <w:rPr>
          <w:rFonts w:hint="eastAsia" w:ascii="微软雅黑" w:hAnsi="微软雅黑" w:eastAsia="微软雅黑" w:cs="微软雅黑"/>
          <w:b/>
          <w:bCs/>
          <w:highlight w:val="none"/>
        </w:rPr>
        <w:t>22.</w:t>
      </w:r>
      <w:bookmarkEnd w:id="450"/>
      <w:r>
        <w:rPr>
          <w:rFonts w:hint="eastAsia" w:ascii="微软雅黑" w:hAnsi="微软雅黑" w:eastAsia="微软雅黑" w:cs="微软雅黑"/>
          <w:b/>
          <w:bCs/>
          <w:highlight w:val="none"/>
        </w:rPr>
        <w:t>磋商无效</w:t>
      </w:r>
      <w:bookmarkEnd w:id="451"/>
      <w:bookmarkEnd w:id="452"/>
      <w:bookmarkEnd w:id="453"/>
      <w:bookmarkEnd w:id="454"/>
      <w:bookmarkEnd w:id="455"/>
      <w:bookmarkEnd w:id="456"/>
      <w:bookmarkEnd w:id="457"/>
      <w:bookmarkEnd w:id="458"/>
      <w:bookmarkEnd w:id="459"/>
      <w:bookmarkEnd w:id="460"/>
      <w:bookmarkEnd w:id="461"/>
      <w:bookmarkEnd w:id="462"/>
      <w:bookmarkEnd w:id="463"/>
    </w:p>
    <w:p w14:paraId="20F31E71">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22.1   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w:t>
      </w:r>
      <w:r>
        <w:rPr>
          <w:rFonts w:hint="eastAsia" w:ascii="微软雅黑" w:hAnsi="微软雅黑" w:eastAsia="微软雅黑" w:cs="微软雅黑"/>
          <w:b/>
          <w:bCs/>
          <w:sz w:val="24"/>
          <w:highlight w:val="none"/>
        </w:rPr>
        <w:t>磋商无效</w:t>
      </w:r>
      <w:r>
        <w:rPr>
          <w:rFonts w:hint="eastAsia" w:ascii="微软雅黑" w:hAnsi="微软雅黑" w:eastAsia="微软雅黑" w:cs="微软雅黑"/>
          <w:sz w:val="24"/>
          <w:highlight w:val="none"/>
        </w:rPr>
        <w:t>。供应商不得通过修正或撤销不符合要求的偏离，从而使其磋商成为实质上响应的磋商。</w:t>
      </w:r>
    </w:p>
    <w:p w14:paraId="264C9DA1">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磋商小组决定磋商的响应性只根据磋商文件要求、响应文件内容及财政主管部门指定相关信息发布媒体。</w:t>
      </w:r>
    </w:p>
    <w:p w14:paraId="7DF302B8">
      <w:pPr>
        <w:snapToGrid w:val="0"/>
        <w:spacing w:line="360" w:lineRule="exact"/>
        <w:ind w:left="900" w:hanging="900" w:hangingChars="375"/>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22.2</w:t>
      </w:r>
      <w:r>
        <w:rPr>
          <w:rFonts w:hint="eastAsia" w:ascii="微软雅黑" w:hAnsi="微软雅黑" w:eastAsia="微软雅黑" w:cs="微软雅黑"/>
          <w:sz w:val="24"/>
          <w:highlight w:val="none"/>
        </w:rPr>
        <w:tab/>
      </w:r>
      <w:r>
        <w:rPr>
          <w:rFonts w:hint="eastAsia" w:ascii="微软雅黑" w:hAnsi="微软雅黑" w:eastAsia="微软雅黑" w:cs="微软雅黑"/>
          <w:b/>
          <w:bCs/>
          <w:sz w:val="24"/>
          <w:highlight w:val="none"/>
        </w:rPr>
        <w:t>如发现下列情况之一的，其磋商将被认定为磋商无效：（以下情形应当在磋商文件中规定，并以醒目的方式标明）</w:t>
      </w:r>
    </w:p>
    <w:p w14:paraId="7C09D3B6">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（1）未按磋商文件规定的形式和金额提交磋商保证金的；</w:t>
      </w:r>
    </w:p>
    <w:p w14:paraId="4BD3B82E">
      <w:pPr>
        <w:snapToGrid w:val="0"/>
        <w:spacing w:line="360" w:lineRule="exact"/>
        <w:ind w:firstLine="720" w:firstLineChars="30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（2）未按照磋商文件规定要求签署、盖章的；</w:t>
      </w:r>
    </w:p>
    <w:p w14:paraId="62CD301B">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（3）未满足磋商文件中技术条款的实质性要求；</w:t>
      </w:r>
    </w:p>
    <w:p w14:paraId="53B3F7DC">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（4）与其他供应商串通磋商，或者与招标人串通磋商；</w:t>
      </w:r>
    </w:p>
    <w:p w14:paraId="715A0FD8">
      <w:pPr>
        <w:snapToGrid w:val="0"/>
        <w:spacing w:line="360" w:lineRule="exact"/>
        <w:ind w:firstLine="720" w:firstLineChars="300"/>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（5）属于磋商文件规定的其他磋商无效情形；</w:t>
      </w:r>
    </w:p>
    <w:p w14:paraId="37F1758D">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（6）磋商小组认为供应商的报价明显低于其他通过符合性检查供应商的报价，有可能影响履约的，且供应商未按照规定证明其报价合理性的；</w:t>
      </w:r>
    </w:p>
    <w:p w14:paraId="4C5A01AB">
      <w:pPr>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（7）响应文件含有采购人不能接受的附加条件的；</w:t>
      </w:r>
    </w:p>
    <w:p w14:paraId="7CE31B9A">
      <w:pPr>
        <w:tabs>
          <w:tab w:val="left" w:pos="0"/>
        </w:tabs>
        <w:snapToGrid w:val="0"/>
        <w:spacing w:line="360" w:lineRule="exact"/>
        <w:ind w:left="239" w:leftChars="114" w:firstLine="511" w:firstLineChars="213"/>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（8）不符合法规和磋商文件中规定的其他实质性要求的。</w:t>
      </w:r>
    </w:p>
    <w:p w14:paraId="0909361E">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22.3   有下列情形之一的，属于恶意串通，对供应商依照政府采购法第七十七条第一款的规定追究法律责任，对采购人、采购代理机构及其工作人员依照政府采购法第七十二条的规定追究法律责任：</w:t>
      </w:r>
    </w:p>
    <w:p w14:paraId="2C90C12A">
      <w:pPr>
        <w:snapToGrid w:val="0"/>
        <w:spacing w:line="360" w:lineRule="exact"/>
        <w:ind w:firstLine="240" w:firstLineChars="1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（1）供应商直接或者间接从采购人或者采购代理机构处获得其他供应商的相关情况并修改其投标文件或者响应文件；</w:t>
      </w:r>
    </w:p>
    <w:p w14:paraId="2C3D715C">
      <w:pPr>
        <w:snapToGrid w:val="0"/>
        <w:spacing w:line="360" w:lineRule="exact"/>
        <w:ind w:firstLine="240" w:firstLineChars="10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（2）供应商按照采购人或者采购代理机构的授意撤换、修改投标文件或者响应文件；</w:t>
      </w:r>
    </w:p>
    <w:p w14:paraId="3CDA4805">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（3）供应商之间协商报价、技术方案等投标文件或者响应文件的实质性内容；</w:t>
      </w:r>
    </w:p>
    <w:p w14:paraId="124CDBC7">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（4）属于同一集团、协会、商会等组织成员的供应商按照该组织要求协同参加政府采购活动；</w:t>
      </w:r>
    </w:p>
    <w:p w14:paraId="51DCBEAA">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（5）供应商之间事先约定由某一特定供应商</w:t>
      </w:r>
      <w:r>
        <w:rPr>
          <w:rFonts w:hint="eastAsia" w:ascii="微软雅黑" w:hAnsi="微软雅黑" w:eastAsia="微软雅黑" w:cs="微软雅黑"/>
          <w:sz w:val="24"/>
          <w:highlight w:val="none"/>
          <w:lang w:val="en-US" w:eastAsia="zh-CN"/>
        </w:rPr>
        <w:t>中标</w:t>
      </w:r>
      <w:r>
        <w:rPr>
          <w:rFonts w:hint="eastAsia" w:ascii="微软雅黑" w:hAnsi="微软雅黑" w:eastAsia="微软雅黑" w:cs="微软雅黑"/>
          <w:sz w:val="24"/>
          <w:highlight w:val="none"/>
        </w:rPr>
        <w:t>、成交；</w:t>
      </w:r>
    </w:p>
    <w:p w14:paraId="592DE140">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（6）供应商之间商定部分供应商放弃参加政府采购活动或者放弃</w:t>
      </w:r>
      <w:r>
        <w:rPr>
          <w:rFonts w:hint="eastAsia" w:ascii="微软雅黑" w:hAnsi="微软雅黑" w:eastAsia="微软雅黑" w:cs="微软雅黑"/>
          <w:sz w:val="24"/>
          <w:highlight w:val="none"/>
          <w:lang w:val="en-US" w:eastAsia="zh-CN"/>
        </w:rPr>
        <w:t>中标</w:t>
      </w:r>
      <w:r>
        <w:rPr>
          <w:rFonts w:hint="eastAsia" w:ascii="微软雅黑" w:hAnsi="微软雅黑" w:eastAsia="微软雅黑" w:cs="微软雅黑"/>
          <w:sz w:val="24"/>
          <w:highlight w:val="none"/>
        </w:rPr>
        <w:t>、成交；</w:t>
      </w:r>
    </w:p>
    <w:p w14:paraId="059DC36D">
      <w:pPr>
        <w:snapToGrid w:val="0"/>
        <w:spacing w:line="360" w:lineRule="exact"/>
        <w:ind w:hanging="1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（7）供应商与采购人或者采购代理机构之间、供应商相互之间，为谋求特定供应商</w:t>
      </w:r>
      <w:r>
        <w:rPr>
          <w:rFonts w:hint="eastAsia" w:ascii="微软雅黑" w:hAnsi="微软雅黑" w:eastAsia="微软雅黑" w:cs="微软雅黑"/>
          <w:sz w:val="24"/>
          <w:highlight w:val="none"/>
          <w:lang w:val="en-US" w:eastAsia="zh-CN"/>
        </w:rPr>
        <w:t>中标</w:t>
      </w:r>
      <w:r>
        <w:rPr>
          <w:rFonts w:hint="eastAsia" w:ascii="微软雅黑" w:hAnsi="微软雅黑" w:eastAsia="微软雅黑" w:cs="微软雅黑"/>
          <w:sz w:val="24"/>
          <w:highlight w:val="none"/>
        </w:rPr>
        <w:t>、成交或者排斥其他供应商的其他串通行为。</w:t>
      </w:r>
    </w:p>
    <w:p w14:paraId="386E7151">
      <w:pPr>
        <w:pStyle w:val="10"/>
        <w:rPr>
          <w:rFonts w:ascii="微软雅黑" w:hAnsi="微软雅黑" w:eastAsia="微软雅黑" w:cs="微软雅黑"/>
          <w:b/>
          <w:highlight w:val="none"/>
        </w:rPr>
      </w:pPr>
      <w:bookmarkStart w:id="464" w:name="_Toc13652"/>
      <w:bookmarkStart w:id="465" w:name="_Toc18636"/>
      <w:bookmarkStart w:id="466" w:name="_Toc21841"/>
      <w:bookmarkStart w:id="467" w:name="_Toc515647784"/>
      <w:bookmarkStart w:id="468" w:name="_Toc26269"/>
      <w:bookmarkStart w:id="469" w:name="_Toc6091"/>
      <w:bookmarkStart w:id="470" w:name="_Toc24100"/>
      <w:bookmarkStart w:id="471" w:name="_Toc11099"/>
      <w:bookmarkStart w:id="472" w:name="_Toc5075"/>
      <w:bookmarkStart w:id="473" w:name="_Toc30567"/>
      <w:bookmarkStart w:id="474" w:name="_Toc3834"/>
      <w:bookmarkStart w:id="475" w:name="_Toc22903"/>
      <w:bookmarkStart w:id="476" w:name="_Toc28827"/>
      <w:bookmarkStart w:id="477" w:name="_Toc22941"/>
      <w:r>
        <w:rPr>
          <w:rFonts w:hint="eastAsia" w:ascii="微软雅黑" w:hAnsi="微软雅黑" w:eastAsia="微软雅黑" w:cs="微软雅黑"/>
          <w:b/>
          <w:highlight w:val="none"/>
        </w:rPr>
        <w:t>23.</w:t>
      </w:r>
      <w:bookmarkEnd w:id="432"/>
      <w:r>
        <w:rPr>
          <w:rFonts w:hint="eastAsia" w:ascii="微软雅黑" w:hAnsi="微软雅黑" w:eastAsia="微软雅黑" w:cs="微软雅黑"/>
          <w:b/>
          <w:highlight w:val="none"/>
        </w:rPr>
        <w:t>比较与评价</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9758BE6">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23.1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经符合性审查合格的响应文件，磋商小组将根据磋商文件确定的评审方法和标准，对其技术部分和商务部分作进一步的比较和评价。</w:t>
      </w:r>
    </w:p>
    <w:p w14:paraId="169235C6">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23.2  </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评审严格按照磋商文件的要求和条件进行。根据实际情况，在</w:t>
      </w:r>
      <w:r>
        <w:rPr>
          <w:rFonts w:hint="eastAsia" w:ascii="微软雅黑" w:hAnsi="微软雅黑" w:eastAsia="微软雅黑" w:cs="微软雅黑"/>
          <w:sz w:val="24"/>
          <w:highlight w:val="none"/>
          <w:u w:val="single" w:color="000000"/>
        </w:rPr>
        <w:t>供应商须知资料表</w:t>
      </w:r>
      <w:r>
        <w:rPr>
          <w:rFonts w:hint="eastAsia" w:ascii="微软雅黑" w:hAnsi="微软雅黑" w:eastAsia="微软雅黑" w:cs="微软雅黑"/>
          <w:sz w:val="24"/>
          <w:highlight w:val="none"/>
        </w:rPr>
        <w:t>中规定采用下列一种评审方法，详细评审标准见磋商文件</w:t>
      </w:r>
      <w:r>
        <w:rPr>
          <w:rFonts w:hint="eastAsia" w:ascii="微软雅黑" w:hAnsi="微软雅黑" w:eastAsia="微软雅黑" w:cs="微软雅黑"/>
          <w:b/>
          <w:sz w:val="24"/>
          <w:highlight w:val="none"/>
        </w:rPr>
        <w:t>第六章：</w:t>
      </w:r>
    </w:p>
    <w:p w14:paraId="5605C8C9">
      <w:pPr>
        <w:pStyle w:val="16"/>
        <w:spacing w:line="360" w:lineRule="exact"/>
        <w:ind w:left="900" w:hanging="900" w:hangingChars="375"/>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综合评分法，是指响应文件满足磋商文件全部实质性要求，且按照评审因素的量化指标评审得分最高的供应商为成交候选人的评审方法。</w:t>
      </w:r>
    </w:p>
    <w:p w14:paraId="314A3035">
      <w:pPr>
        <w:spacing w:line="360" w:lineRule="exact"/>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本项目采用综合评分法。</w:t>
      </w:r>
    </w:p>
    <w:p w14:paraId="06062959">
      <w:pPr>
        <w:widowControl/>
        <w:spacing w:line="400" w:lineRule="exact"/>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 xml:space="preserve">23.3   </w:t>
      </w:r>
      <w:r>
        <w:rPr>
          <w:rFonts w:hint="eastAsia" w:ascii="微软雅黑" w:hAnsi="微软雅黑" w:eastAsia="微软雅黑" w:cs="微软雅黑"/>
          <w:b/>
          <w:bCs/>
          <w:sz w:val="24"/>
          <w:highlight w:val="none"/>
        </w:rPr>
        <w:t>本项目专门面向中小企业，根据《关于进一步加大政府采购支持中小企业力度的通知》（财库〔2022〕19号）、《政府采购促进中小企业发展管理办法》（财库[2020]46号）、《财政部司法部关于政府采购支持监狱企业发展有关问题的通知》（财库〔2014〕68号）及《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报价不进行扣除。</w:t>
      </w:r>
    </w:p>
    <w:p w14:paraId="079AFAEC">
      <w:pPr>
        <w:pStyle w:val="10"/>
        <w:rPr>
          <w:rFonts w:ascii="微软雅黑" w:hAnsi="微软雅黑" w:eastAsia="微软雅黑" w:cs="微软雅黑"/>
          <w:b/>
          <w:bCs/>
          <w:highlight w:val="none"/>
        </w:rPr>
      </w:pPr>
      <w:bookmarkStart w:id="478" w:name="_Toc520356168"/>
      <w:bookmarkStart w:id="479" w:name="_Toc26402"/>
      <w:bookmarkStart w:id="480" w:name="_Toc1621"/>
      <w:bookmarkStart w:id="481" w:name="_Toc19218"/>
      <w:bookmarkStart w:id="482" w:name="_Toc27067"/>
      <w:bookmarkStart w:id="483" w:name="_Toc224"/>
      <w:bookmarkStart w:id="484" w:name="_Toc6073"/>
      <w:bookmarkStart w:id="485" w:name="_Toc31084"/>
      <w:r>
        <w:rPr>
          <w:rFonts w:hint="eastAsia" w:ascii="微软雅黑" w:hAnsi="微软雅黑" w:eastAsia="微软雅黑" w:cs="微软雅黑"/>
          <w:b/>
          <w:bCs/>
          <w:highlight w:val="none"/>
        </w:rPr>
        <w:t>24</w:t>
      </w:r>
      <w:bookmarkEnd w:id="478"/>
      <w:r>
        <w:rPr>
          <w:rFonts w:hint="eastAsia" w:ascii="微软雅黑" w:hAnsi="微软雅黑" w:eastAsia="微软雅黑" w:cs="微软雅黑"/>
          <w:b/>
          <w:bCs/>
          <w:highlight w:val="none"/>
        </w:rPr>
        <w:t>.废标</w:t>
      </w:r>
      <w:bookmarkEnd w:id="479"/>
      <w:bookmarkEnd w:id="480"/>
      <w:bookmarkEnd w:id="481"/>
      <w:bookmarkEnd w:id="482"/>
      <w:bookmarkEnd w:id="483"/>
      <w:bookmarkEnd w:id="484"/>
      <w:bookmarkEnd w:id="485"/>
    </w:p>
    <w:p w14:paraId="6C736F5B">
      <w:pPr>
        <w:spacing w:line="360" w:lineRule="exact"/>
        <w:ind w:left="60" w:hanging="60" w:hangingChars="25"/>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出现下列情形之一，将导致项目废标：</w:t>
      </w:r>
      <w:r>
        <w:rPr>
          <w:rFonts w:hint="eastAsia" w:ascii="微软雅黑" w:hAnsi="微软雅黑" w:eastAsia="微软雅黑" w:cs="微软雅黑"/>
          <w:sz w:val="24"/>
          <w:highlight w:val="none"/>
        </w:rPr>
        <w:t xml:space="preserve"> </w:t>
      </w:r>
    </w:p>
    <w:p w14:paraId="25F13298">
      <w:pPr>
        <w:spacing w:line="360" w:lineRule="exact"/>
        <w:ind w:left="900" w:hanging="900" w:hangingChars="375"/>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b/>
          <w:bCs/>
          <w:sz w:val="24"/>
          <w:highlight w:val="none"/>
        </w:rPr>
        <w:t>（1）符合专业条件的供应商或者对磋商文件做实质性响应的供应商不足三家；</w:t>
      </w:r>
    </w:p>
    <w:p w14:paraId="707B05FC">
      <w:pPr>
        <w:spacing w:line="360" w:lineRule="exact"/>
        <w:ind w:left="900" w:hanging="900" w:hangingChars="375"/>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ab/>
      </w:r>
      <w:r>
        <w:rPr>
          <w:rFonts w:hint="eastAsia" w:ascii="微软雅黑" w:hAnsi="微软雅黑" w:eastAsia="微软雅黑" w:cs="微软雅黑"/>
          <w:b/>
          <w:bCs/>
          <w:sz w:val="24"/>
          <w:highlight w:val="none"/>
        </w:rPr>
        <w:t>（2）出现影响采购公正的违法、违规行为的；</w:t>
      </w:r>
    </w:p>
    <w:p w14:paraId="44AAA2EE">
      <w:pPr>
        <w:spacing w:line="360" w:lineRule="exact"/>
        <w:ind w:firstLine="840" w:firstLineChars="350"/>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（3）供应商的报价均超过了采购预算，采购人不能支付的；</w:t>
      </w:r>
    </w:p>
    <w:p w14:paraId="5066F477">
      <w:pPr>
        <w:spacing w:line="360" w:lineRule="exact"/>
        <w:ind w:firstLine="840" w:firstLineChars="350"/>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 xml:space="preserve">（4）因重大变故，采购任务取消的。  </w:t>
      </w:r>
      <w:r>
        <w:rPr>
          <w:rFonts w:hint="eastAsia" w:ascii="微软雅黑" w:hAnsi="微软雅黑" w:eastAsia="微软雅黑" w:cs="微软雅黑"/>
          <w:sz w:val="24"/>
          <w:highlight w:val="none"/>
        </w:rPr>
        <w:t xml:space="preserve"> </w:t>
      </w:r>
    </w:p>
    <w:p w14:paraId="0ACB1442">
      <w:pPr>
        <w:pStyle w:val="10"/>
        <w:rPr>
          <w:rFonts w:ascii="微软雅黑" w:hAnsi="微软雅黑" w:eastAsia="微软雅黑" w:cs="微软雅黑"/>
          <w:b/>
          <w:bCs/>
          <w:highlight w:val="none"/>
        </w:rPr>
      </w:pPr>
      <w:bookmarkStart w:id="486" w:name="_Toc9285"/>
      <w:bookmarkStart w:id="487" w:name="_Toc8706"/>
      <w:bookmarkStart w:id="488" w:name="_Toc14646"/>
      <w:bookmarkStart w:id="489" w:name="_Toc23725"/>
      <w:bookmarkStart w:id="490" w:name="_Toc10657"/>
      <w:bookmarkStart w:id="491" w:name="_Toc21697"/>
      <w:r>
        <w:rPr>
          <w:rFonts w:hint="eastAsia" w:ascii="微软雅黑" w:hAnsi="微软雅黑" w:eastAsia="微软雅黑" w:cs="微软雅黑"/>
          <w:b/>
          <w:bCs/>
          <w:highlight w:val="none"/>
        </w:rPr>
        <w:t>25.保密原则</w:t>
      </w:r>
      <w:bookmarkEnd w:id="486"/>
      <w:bookmarkEnd w:id="487"/>
      <w:bookmarkEnd w:id="488"/>
      <w:bookmarkEnd w:id="489"/>
      <w:bookmarkEnd w:id="490"/>
      <w:bookmarkEnd w:id="491"/>
    </w:p>
    <w:p w14:paraId="00F18DD2">
      <w:pPr>
        <w:rPr>
          <w:rFonts w:ascii="微软雅黑" w:hAnsi="微软雅黑" w:eastAsia="微软雅黑" w:cs="微软雅黑"/>
          <w:sz w:val="24"/>
          <w:highlight w:val="none"/>
        </w:rPr>
      </w:pPr>
      <w:bookmarkStart w:id="492" w:name="_Toc7423"/>
      <w:bookmarkStart w:id="493" w:name="_Toc14916"/>
      <w:r>
        <w:rPr>
          <w:rFonts w:hint="eastAsia" w:ascii="微软雅黑" w:hAnsi="微软雅黑" w:eastAsia="微软雅黑" w:cs="微软雅黑"/>
          <w:sz w:val="24"/>
          <w:highlight w:val="none"/>
        </w:rPr>
        <w:t>25.1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评审将在严格保密的情况下进行。</w:t>
      </w:r>
      <w:bookmarkEnd w:id="492"/>
      <w:bookmarkEnd w:id="493"/>
    </w:p>
    <w:p w14:paraId="1D0F61A2">
      <w:pPr>
        <w:spacing w:line="360" w:lineRule="exact"/>
        <w:ind w:left="900" w:hanging="900" w:hangingChars="375"/>
        <w:rPr>
          <w:rFonts w:ascii="微软雅黑" w:hAnsi="微软雅黑" w:eastAsia="微软雅黑" w:cs="微软雅黑"/>
          <w:sz w:val="24"/>
          <w:highlight w:val="none"/>
        </w:rPr>
      </w:pPr>
      <w:r>
        <w:rPr>
          <w:rFonts w:hint="eastAsia" w:ascii="微软雅黑" w:hAnsi="微软雅黑" w:eastAsia="微软雅黑" w:cs="微软雅黑"/>
          <w:sz w:val="24"/>
          <w:highlight w:val="none"/>
        </w:rPr>
        <w:t>25.2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政府采购评审专家应当遵守评审工作纪律，不得泄露评审文件、评审情况和评审中获悉的商业秘密。</w:t>
      </w:r>
    </w:p>
    <w:p w14:paraId="0E34DE6B">
      <w:pPr>
        <w:pStyle w:val="8"/>
        <w:rPr>
          <w:highlight w:val="none"/>
        </w:rPr>
      </w:pPr>
    </w:p>
    <w:p w14:paraId="0747F418">
      <w:pPr>
        <w:pStyle w:val="6"/>
        <w:rPr>
          <w:rFonts w:ascii="微软雅黑" w:hAnsi="微软雅黑" w:eastAsia="微软雅黑" w:cs="微软雅黑"/>
          <w:highlight w:val="none"/>
        </w:rPr>
      </w:pPr>
      <w:bookmarkStart w:id="494" w:name="_Toc31410"/>
      <w:bookmarkStart w:id="495" w:name="_Toc15411"/>
      <w:bookmarkStart w:id="496" w:name="_Toc1491"/>
      <w:bookmarkStart w:id="497" w:name="_Toc23096"/>
      <w:bookmarkStart w:id="498" w:name="_Toc18726"/>
      <w:bookmarkStart w:id="499" w:name="_Toc10711"/>
      <w:bookmarkStart w:id="500" w:name="_Toc13741"/>
      <w:r>
        <w:rPr>
          <w:rFonts w:hint="eastAsia" w:ascii="微软雅黑" w:hAnsi="微软雅黑" w:eastAsia="微软雅黑" w:cs="微软雅黑"/>
          <w:highlight w:val="none"/>
        </w:rPr>
        <w:t>六   确定</w:t>
      </w:r>
      <w:bookmarkEnd w:id="494"/>
      <w:bookmarkEnd w:id="495"/>
      <w:bookmarkEnd w:id="496"/>
      <w:bookmarkEnd w:id="497"/>
      <w:r>
        <w:rPr>
          <w:rFonts w:hint="eastAsia" w:ascii="微软雅黑" w:hAnsi="微软雅黑" w:eastAsia="微软雅黑" w:cs="微软雅黑"/>
          <w:highlight w:val="none"/>
        </w:rPr>
        <w:t>成交</w:t>
      </w:r>
      <w:bookmarkEnd w:id="498"/>
      <w:bookmarkEnd w:id="499"/>
      <w:bookmarkEnd w:id="500"/>
    </w:p>
    <w:p w14:paraId="6EF880FB">
      <w:pPr>
        <w:pStyle w:val="7"/>
        <w:rPr>
          <w:highlight w:val="none"/>
        </w:rPr>
      </w:pPr>
    </w:p>
    <w:p w14:paraId="2D4742F8">
      <w:pPr>
        <w:pStyle w:val="10"/>
        <w:snapToGrid w:val="0"/>
        <w:spacing w:before="0" w:after="0" w:line="360" w:lineRule="exact"/>
        <w:textAlignment w:val="baseline"/>
        <w:rPr>
          <w:rFonts w:ascii="微软雅黑" w:hAnsi="微软雅黑" w:eastAsia="微软雅黑" w:cs="微软雅黑"/>
          <w:b/>
          <w:bCs/>
          <w:highlight w:val="none"/>
          <w:u w:color="000000"/>
        </w:rPr>
      </w:pPr>
      <w:bookmarkStart w:id="501" w:name="_Toc520356170"/>
      <w:bookmarkStart w:id="502" w:name="_Toc7555"/>
      <w:bookmarkStart w:id="503" w:name="_Toc515647788"/>
      <w:bookmarkStart w:id="504" w:name="_Toc23762"/>
      <w:bookmarkStart w:id="505" w:name="_Toc7632"/>
      <w:bookmarkStart w:id="506" w:name="_Toc23617"/>
      <w:bookmarkStart w:id="507" w:name="_Toc20726"/>
      <w:bookmarkStart w:id="508" w:name="_Toc6240"/>
      <w:bookmarkStart w:id="509" w:name="_Toc20156"/>
      <w:bookmarkStart w:id="510" w:name="_Toc3186"/>
      <w:bookmarkStart w:id="511" w:name="_Ref467307010"/>
      <w:bookmarkStart w:id="512" w:name="_Toc10858"/>
      <w:bookmarkStart w:id="513" w:name="_Toc4774"/>
      <w:bookmarkStart w:id="514" w:name="_Toc6596"/>
      <w:bookmarkStart w:id="515" w:name="_Toc15848"/>
      <w:bookmarkStart w:id="516" w:name="_Toc8936"/>
      <w:r>
        <w:rPr>
          <w:rFonts w:hint="eastAsia" w:ascii="微软雅黑" w:hAnsi="微软雅黑" w:eastAsia="微软雅黑" w:cs="微软雅黑"/>
          <w:b/>
          <w:bCs/>
          <w:highlight w:val="none"/>
          <w:u w:color="000000"/>
        </w:rPr>
        <w:t>26.成交候选人的确定原则及标准</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A0C3392">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对实质上响应磋商文件的供应商按下列方法进行排序，确定投标候选人：</w:t>
      </w:r>
    </w:p>
    <w:p w14:paraId="7842827D">
      <w:pPr>
        <w:snapToGrid w:val="0"/>
        <w:spacing w:line="36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采用综合评分法的，评审结果按评审后得分由高到低顺序排列。得分相同的，按修正和扣除后的投标报价由低到高顺序排列。得分与投标报价均相同的处理方式详见磋商文件第6章。</w:t>
      </w:r>
    </w:p>
    <w:p w14:paraId="3E901563">
      <w:pPr>
        <w:spacing w:line="360" w:lineRule="exact"/>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本项目采用综合评分法。</w:t>
      </w:r>
    </w:p>
    <w:p w14:paraId="04C2376B">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517" w:name="_Toc23951"/>
      <w:bookmarkStart w:id="518" w:name="_Toc17933"/>
      <w:bookmarkStart w:id="519" w:name="_Toc9653"/>
      <w:bookmarkStart w:id="520" w:name="_Toc1728"/>
      <w:bookmarkStart w:id="521" w:name="_Toc922"/>
      <w:bookmarkStart w:id="522" w:name="_Toc17164"/>
      <w:bookmarkStart w:id="523" w:name="_Toc20084"/>
      <w:bookmarkStart w:id="524" w:name="_Toc18340"/>
      <w:bookmarkStart w:id="525" w:name="_Toc16846"/>
      <w:bookmarkStart w:id="526" w:name="_Toc15113"/>
      <w:bookmarkStart w:id="527" w:name="_Toc14558"/>
      <w:bookmarkStart w:id="528" w:name="_Toc3720"/>
      <w:bookmarkStart w:id="529" w:name="_Toc1644"/>
      <w:bookmarkStart w:id="530" w:name="_Toc515647799"/>
      <w:bookmarkStart w:id="531" w:name="_Toc22796"/>
      <w:bookmarkStart w:id="532" w:name="_Toc9538"/>
      <w:bookmarkStart w:id="533" w:name="_Toc26168"/>
      <w:bookmarkStart w:id="534" w:name="_Toc350"/>
      <w:bookmarkStart w:id="535" w:name="_Toc16186"/>
      <w:bookmarkStart w:id="536" w:name="_Toc18045"/>
      <w:bookmarkStart w:id="537" w:name="_Toc21748"/>
      <w:r>
        <w:rPr>
          <w:rFonts w:hint="eastAsia" w:ascii="微软雅黑" w:hAnsi="微软雅黑" w:eastAsia="微软雅黑" w:cs="微软雅黑"/>
          <w:b/>
          <w:bCs/>
          <w:highlight w:val="none"/>
          <w:u w:color="000000"/>
        </w:rPr>
        <w:t>27.确定成交候选人和</w:t>
      </w:r>
      <w:bookmarkEnd w:id="517"/>
      <w:bookmarkEnd w:id="518"/>
      <w:bookmarkEnd w:id="519"/>
      <w:r>
        <w:rPr>
          <w:rFonts w:hint="eastAsia" w:ascii="微软雅黑" w:hAnsi="微软雅黑" w:eastAsia="微软雅黑" w:cs="微软雅黑"/>
          <w:b/>
          <w:bCs/>
          <w:highlight w:val="none"/>
          <w:u w:color="000000"/>
        </w:rPr>
        <w:t>成交人</w:t>
      </w:r>
      <w:bookmarkEnd w:id="520"/>
      <w:bookmarkEnd w:id="521"/>
      <w:bookmarkEnd w:id="522"/>
      <w:bookmarkEnd w:id="523"/>
      <w:bookmarkEnd w:id="524"/>
      <w:bookmarkEnd w:id="525"/>
      <w:bookmarkEnd w:id="526"/>
      <w:bookmarkEnd w:id="527"/>
      <w:bookmarkEnd w:id="528"/>
      <w:bookmarkEnd w:id="529"/>
    </w:p>
    <w:p w14:paraId="5C27801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磋商小组将根据评审标准，按</w:t>
      </w:r>
      <w:r>
        <w:rPr>
          <w:rFonts w:hint="eastAsia" w:ascii="微软雅黑" w:hAnsi="微软雅黑" w:eastAsia="微软雅黑" w:cs="微软雅黑"/>
          <w:sz w:val="24"/>
          <w:highlight w:val="none"/>
          <w:u w:val="single" w:color="000000"/>
        </w:rPr>
        <w:t>供应商须知资料表中</w:t>
      </w:r>
      <w:r>
        <w:rPr>
          <w:rFonts w:hint="eastAsia" w:ascii="微软雅黑" w:hAnsi="微软雅黑" w:eastAsia="微软雅黑" w:cs="微软雅黑"/>
          <w:sz w:val="24"/>
          <w:highlight w:val="none"/>
        </w:rPr>
        <w:t>规定数量推荐成交候选人；或根据采购人的委托，直接确定成交人。</w:t>
      </w:r>
    </w:p>
    <w:p w14:paraId="5DC0D6CA">
      <w:pPr>
        <w:pStyle w:val="10"/>
        <w:tabs>
          <w:tab w:val="left" w:pos="900"/>
        </w:tabs>
        <w:snapToGrid w:val="0"/>
        <w:spacing w:before="0" w:after="0" w:line="360" w:lineRule="exact"/>
        <w:textAlignment w:val="baseline"/>
        <w:rPr>
          <w:rFonts w:ascii="微软雅黑" w:hAnsi="微软雅黑" w:eastAsia="微软雅黑" w:cs="微软雅黑"/>
          <w:b/>
          <w:bCs/>
          <w:highlight w:val="none"/>
          <w:u w:color="000000"/>
        </w:rPr>
      </w:pPr>
      <w:bookmarkStart w:id="538" w:name="_Toc520356173"/>
      <w:bookmarkStart w:id="539" w:name="_Ref467306874"/>
      <w:bookmarkStart w:id="540" w:name="_Toc8389"/>
      <w:bookmarkStart w:id="541" w:name="_Toc24602"/>
      <w:bookmarkStart w:id="542" w:name="_Toc20600"/>
      <w:bookmarkStart w:id="543" w:name="_Toc2091"/>
      <w:bookmarkStart w:id="544" w:name="_Toc249"/>
      <w:bookmarkStart w:id="545" w:name="_Toc28562"/>
      <w:bookmarkStart w:id="546" w:name="_Toc515647790"/>
      <w:bookmarkStart w:id="547" w:name="_Toc26851"/>
      <w:bookmarkStart w:id="548" w:name="_Toc12652"/>
      <w:bookmarkStart w:id="549" w:name="_Toc7729"/>
      <w:bookmarkStart w:id="550" w:name="_Toc23033"/>
      <w:bookmarkStart w:id="551" w:name="_Toc4188"/>
      <w:bookmarkStart w:id="552" w:name="_Toc30689"/>
      <w:bookmarkStart w:id="553" w:name="_Toc20633"/>
      <w:r>
        <w:rPr>
          <w:rFonts w:hint="eastAsia" w:ascii="微软雅黑" w:hAnsi="微软雅黑" w:eastAsia="微软雅黑" w:cs="微软雅黑"/>
          <w:b/>
          <w:bCs/>
          <w:highlight w:val="none"/>
          <w:u w:color="000000"/>
        </w:rPr>
        <w:t>28.</w:t>
      </w:r>
      <w:bookmarkEnd w:id="538"/>
      <w:bookmarkEnd w:id="539"/>
      <w:r>
        <w:rPr>
          <w:rFonts w:hint="eastAsia" w:ascii="微软雅黑" w:hAnsi="微软雅黑" w:eastAsia="微软雅黑" w:cs="微软雅黑"/>
          <w:b/>
          <w:bCs/>
          <w:highlight w:val="none"/>
          <w:u w:color="000000"/>
        </w:rPr>
        <w:t>采购任务取消</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7BA7692A">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因重大变故采购任务取消时，采购人有权拒绝任何供应商成交，且对受影响的供应商不承担任何责任。</w:t>
      </w:r>
      <w:bookmarkStart w:id="554" w:name="_Toc520356174"/>
    </w:p>
    <w:p w14:paraId="69927841">
      <w:pPr>
        <w:pStyle w:val="10"/>
        <w:snapToGrid w:val="0"/>
        <w:spacing w:before="0" w:after="0" w:line="360" w:lineRule="exact"/>
        <w:textAlignment w:val="baseline"/>
        <w:rPr>
          <w:rFonts w:ascii="微软雅黑" w:hAnsi="微软雅黑" w:eastAsia="微软雅黑" w:cs="微软雅黑"/>
          <w:b/>
          <w:bCs/>
          <w:highlight w:val="none"/>
          <w:u w:color="000000"/>
        </w:rPr>
      </w:pPr>
      <w:bookmarkStart w:id="555" w:name="_Toc29022"/>
      <w:bookmarkStart w:id="556" w:name="_Toc15270"/>
      <w:bookmarkStart w:id="557" w:name="_Toc7681"/>
      <w:bookmarkStart w:id="558" w:name="_Toc6223"/>
      <w:bookmarkStart w:id="559" w:name="_Toc515647791"/>
      <w:bookmarkStart w:id="560" w:name="_Toc25680"/>
      <w:bookmarkStart w:id="561" w:name="_Toc26091"/>
      <w:bookmarkStart w:id="562" w:name="_Toc7938"/>
      <w:bookmarkStart w:id="563" w:name="_Toc30170"/>
      <w:bookmarkStart w:id="564" w:name="_Toc2321"/>
      <w:bookmarkStart w:id="565" w:name="_Toc25659"/>
      <w:bookmarkStart w:id="566" w:name="_Toc31099"/>
      <w:bookmarkStart w:id="567" w:name="_Toc29249"/>
      <w:r>
        <w:rPr>
          <w:rFonts w:hint="eastAsia" w:ascii="微软雅黑" w:hAnsi="微软雅黑" w:eastAsia="微软雅黑" w:cs="微软雅黑"/>
          <w:b/>
          <w:bCs/>
          <w:highlight w:val="none"/>
          <w:u w:color="000000"/>
        </w:rPr>
        <w:t>29.</w:t>
      </w:r>
      <w:bookmarkEnd w:id="554"/>
      <w:r>
        <w:rPr>
          <w:rFonts w:hint="eastAsia" w:ascii="微软雅黑" w:hAnsi="微软雅黑" w:eastAsia="微软雅黑" w:cs="微软雅黑"/>
          <w:b/>
          <w:bCs/>
          <w:highlight w:val="none"/>
          <w:u w:color="000000"/>
        </w:rPr>
        <w:t>成交通知书和招标结果通知书</w:t>
      </w:r>
      <w:bookmarkEnd w:id="555"/>
      <w:bookmarkEnd w:id="556"/>
      <w:bookmarkEnd w:id="557"/>
      <w:bookmarkEnd w:id="558"/>
      <w:bookmarkEnd w:id="559"/>
      <w:bookmarkEnd w:id="560"/>
      <w:bookmarkEnd w:id="561"/>
      <w:bookmarkEnd w:id="562"/>
      <w:bookmarkEnd w:id="563"/>
      <w:bookmarkEnd w:id="564"/>
      <w:bookmarkEnd w:id="565"/>
      <w:bookmarkEnd w:id="566"/>
      <w:bookmarkEnd w:id="567"/>
    </w:p>
    <w:p w14:paraId="3C658968">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29.1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在磋商有效期内，成交人确定后，采购人或者采购代理机构发布成交公告，同时以书面形式向成交人发出成交通知书。</w:t>
      </w:r>
    </w:p>
    <w:p w14:paraId="572ED928">
      <w:pPr>
        <w:rPr>
          <w:rFonts w:ascii="微软雅黑" w:hAnsi="微软雅黑" w:eastAsia="微软雅黑" w:cs="微软雅黑"/>
          <w:sz w:val="24"/>
          <w:highlight w:val="none"/>
        </w:rPr>
      </w:pPr>
      <w:bookmarkStart w:id="568" w:name="_Toc10041"/>
      <w:bookmarkStart w:id="569" w:name="_Toc16488"/>
      <w:r>
        <w:rPr>
          <w:rFonts w:hint="eastAsia" w:ascii="微软雅黑" w:hAnsi="微软雅黑" w:eastAsia="微软雅黑" w:cs="微软雅黑"/>
          <w:sz w:val="24"/>
          <w:highlight w:val="none"/>
        </w:rPr>
        <w:t>29.2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成交通知书是合同的组成部分。</w:t>
      </w:r>
      <w:bookmarkEnd w:id="568"/>
      <w:bookmarkEnd w:id="569"/>
    </w:p>
    <w:p w14:paraId="09C5DF28">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29.3    招标结果通知书和成交通知书同时发出。招标结果通知书中将告知未通过资格审查的供应商未通过的原因；采用综合评分法评审的，还将告知未成交人本人的评审得分和排序。</w:t>
      </w:r>
    </w:p>
    <w:p w14:paraId="40D014A0">
      <w:pPr>
        <w:pStyle w:val="10"/>
        <w:snapToGrid w:val="0"/>
        <w:spacing w:before="0" w:after="0" w:line="360" w:lineRule="exact"/>
        <w:textAlignment w:val="baseline"/>
        <w:rPr>
          <w:rFonts w:ascii="微软雅黑" w:hAnsi="微软雅黑" w:eastAsia="微软雅黑" w:cs="微软雅黑"/>
          <w:b/>
          <w:bCs/>
          <w:highlight w:val="none"/>
        </w:rPr>
      </w:pPr>
      <w:bookmarkStart w:id="570" w:name="_Toc530"/>
      <w:bookmarkStart w:id="571" w:name="_Toc25628"/>
      <w:bookmarkStart w:id="572" w:name="_Toc15063"/>
      <w:bookmarkStart w:id="573" w:name="_Toc520356175"/>
      <w:bookmarkStart w:id="574" w:name="_Toc515647792"/>
      <w:bookmarkStart w:id="575" w:name="_Toc307"/>
      <w:bookmarkStart w:id="576" w:name="_Toc790"/>
      <w:bookmarkStart w:id="577" w:name="_Ref467307204"/>
      <w:bookmarkStart w:id="578" w:name="_Toc19431"/>
      <w:bookmarkStart w:id="579" w:name="_Toc11296"/>
      <w:bookmarkStart w:id="580" w:name="_Ref467306377"/>
      <w:bookmarkStart w:id="581" w:name="_Ref467306978"/>
      <w:bookmarkStart w:id="582" w:name="_Toc8474"/>
      <w:bookmarkStart w:id="583" w:name="_Toc1076"/>
      <w:bookmarkStart w:id="584" w:name="_Toc7779"/>
      <w:bookmarkStart w:id="585" w:name="_Toc22868"/>
      <w:bookmarkStart w:id="586" w:name="_Ref467307062"/>
      <w:bookmarkStart w:id="587" w:name="_Toc11614"/>
      <w:bookmarkStart w:id="588" w:name="_Toc21500"/>
      <w:r>
        <w:rPr>
          <w:rFonts w:hint="eastAsia" w:ascii="微软雅黑" w:hAnsi="微软雅黑" w:eastAsia="微软雅黑" w:cs="微软雅黑"/>
          <w:b/>
          <w:bCs/>
          <w:highlight w:val="none"/>
        </w:rPr>
        <w:t>30.签订合同</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069FFCFD">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成交人应当自发出成交通知书之日起30日内，与采购人签订合同。</w:t>
      </w:r>
    </w:p>
    <w:p w14:paraId="2186ED74">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30.2</w:t>
      </w:r>
      <w:r>
        <w:rPr>
          <w:rFonts w:hint="eastAsia" w:ascii="微软雅黑" w:hAnsi="微软雅黑" w:eastAsia="微软雅黑" w:cs="微软雅黑"/>
          <w:sz w:val="24"/>
          <w:highlight w:val="none"/>
        </w:rPr>
        <w:tab/>
      </w:r>
      <w:bookmarkStart w:id="589" w:name="_Toc520356176"/>
      <w:bookmarkStart w:id="590" w:name="_Ref467307090"/>
      <w:bookmarkStart w:id="591" w:name="_Ref467306425"/>
      <w:r>
        <w:rPr>
          <w:rFonts w:hint="eastAsia" w:ascii="微软雅黑" w:hAnsi="微软雅黑" w:eastAsia="微软雅黑" w:cs="微软雅黑"/>
          <w:sz w:val="24"/>
          <w:highlight w:val="none"/>
        </w:rPr>
        <w:t>磋商文件、成交人的响应文件及其澄清文件等，均为签订合同的依据。</w:t>
      </w:r>
    </w:p>
    <w:p w14:paraId="0F5FD60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30.3   成交人拒绝与采购人签订合同的，采购人可以按照评审报告推荐的成交</w:t>
      </w:r>
    </w:p>
    <w:p w14:paraId="11E0A2B8">
      <w:pPr>
        <w:snapToGrid w:val="0"/>
        <w:spacing w:line="360" w:lineRule="exact"/>
        <w:ind w:firstLine="60" w:firstLineChars="2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候选人名单排序，确定下一成交候选人为成交人，也可以重新开展政府采购活动。</w:t>
      </w:r>
    </w:p>
    <w:p w14:paraId="4C03B263">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30.4   当出现法规规定的</w:t>
      </w:r>
      <w:r>
        <w:rPr>
          <w:rFonts w:hint="eastAsia" w:ascii="微软雅黑" w:hAnsi="微软雅黑" w:eastAsia="微软雅黑" w:cs="微软雅黑"/>
          <w:b/>
          <w:sz w:val="24"/>
          <w:highlight w:val="none"/>
        </w:rPr>
        <w:t>成交无效或成交结果无效</w:t>
      </w:r>
      <w:r>
        <w:rPr>
          <w:rFonts w:hint="eastAsia" w:ascii="微软雅黑" w:hAnsi="微软雅黑" w:eastAsia="微软雅黑" w:cs="微软雅黑"/>
          <w:sz w:val="24"/>
          <w:highlight w:val="none"/>
        </w:rPr>
        <w:t>情形时，采购人可与排名下一位的成交候选人另行签订合同，或依法重新开展采购活动。</w:t>
      </w:r>
    </w:p>
    <w:p w14:paraId="31BA7429">
      <w:pPr>
        <w:pStyle w:val="10"/>
        <w:snapToGrid w:val="0"/>
        <w:spacing w:before="0" w:after="0" w:line="360" w:lineRule="exact"/>
        <w:textAlignment w:val="baseline"/>
        <w:rPr>
          <w:rFonts w:ascii="微软雅黑" w:hAnsi="微软雅黑" w:eastAsia="微软雅黑" w:cs="微软雅黑"/>
          <w:b/>
          <w:bCs/>
          <w:highlight w:val="none"/>
        </w:rPr>
      </w:pPr>
      <w:bookmarkStart w:id="592" w:name="_Toc19957"/>
      <w:bookmarkStart w:id="593" w:name="_Toc14839"/>
      <w:bookmarkStart w:id="594" w:name="_Toc10911"/>
      <w:bookmarkStart w:id="595" w:name="_Toc8404"/>
      <w:bookmarkStart w:id="596" w:name="_Toc15573"/>
      <w:bookmarkStart w:id="597" w:name="_Toc32546"/>
      <w:bookmarkStart w:id="598" w:name="_Toc22928"/>
      <w:bookmarkStart w:id="599" w:name="_Toc24808"/>
      <w:bookmarkStart w:id="600" w:name="_Toc1963"/>
      <w:bookmarkStart w:id="601" w:name="_Toc515647793"/>
      <w:bookmarkStart w:id="602" w:name="_Toc6921"/>
      <w:bookmarkStart w:id="603" w:name="_Toc32532"/>
      <w:bookmarkStart w:id="604" w:name="_Toc22555"/>
      <w:bookmarkStart w:id="605" w:name="_Toc14080"/>
      <w:r>
        <w:rPr>
          <w:rFonts w:hint="eastAsia" w:ascii="微软雅黑" w:hAnsi="微软雅黑" w:eastAsia="微软雅黑" w:cs="微软雅黑"/>
          <w:b/>
          <w:bCs/>
          <w:highlight w:val="none"/>
        </w:rPr>
        <w:t>31.履约保证金</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071CA611">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31.1</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成交人应按照供应商须知资料表规定向采购人缴纳履约保证金。</w:t>
      </w:r>
    </w:p>
    <w:p w14:paraId="360A23B9">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31.2</w:t>
      </w:r>
      <w:r>
        <w:rPr>
          <w:rFonts w:hint="eastAsia" w:ascii="微软雅黑" w:hAnsi="微软雅黑" w:eastAsia="微软雅黑" w:cs="微软雅黑"/>
          <w:sz w:val="24"/>
          <w:highlight w:val="none"/>
        </w:rPr>
        <w:tab/>
      </w:r>
      <w:r>
        <w:rPr>
          <w:rFonts w:hint="eastAsia" w:ascii="微软雅黑" w:hAnsi="微软雅黑" w:eastAsia="微软雅黑" w:cs="微软雅黑"/>
          <w:sz w:val="24"/>
          <w:highlight w:val="none"/>
        </w:rPr>
        <w:t>政府采购利用担保试点范围内的项目，除31.1规定的情形外，成交人也可以按照财政部门的规定，向采购人提供合格的履约担保函。</w:t>
      </w:r>
    </w:p>
    <w:p w14:paraId="7317F6DF">
      <w:pPr>
        <w:snapToGrid w:val="0"/>
        <w:spacing w:line="360" w:lineRule="exact"/>
        <w:jc w:val="left"/>
        <w:textAlignment w:val="baseline"/>
        <w:rPr>
          <w:rFonts w:ascii="微软雅黑" w:hAnsi="微软雅黑" w:eastAsia="微软雅黑" w:cs="微软雅黑"/>
          <w:bCs/>
          <w:sz w:val="24"/>
          <w:highlight w:val="none"/>
          <w:u w:val="single" w:color="000000"/>
        </w:rPr>
      </w:pPr>
      <w:bookmarkStart w:id="606" w:name="_Toc5352"/>
      <w:bookmarkStart w:id="607" w:name="_Toc7088"/>
      <w:bookmarkStart w:id="608" w:name="_Toc14350"/>
      <w:bookmarkStart w:id="609" w:name="_Toc32107"/>
      <w:bookmarkStart w:id="610" w:name="_Toc1888"/>
      <w:bookmarkStart w:id="611" w:name="_Toc13783"/>
      <w:r>
        <w:rPr>
          <w:rFonts w:hint="eastAsia" w:ascii="微软雅黑" w:hAnsi="微软雅黑" w:eastAsia="微软雅黑" w:cs="微软雅黑"/>
          <w:sz w:val="24"/>
          <w:highlight w:val="none"/>
        </w:rPr>
        <w:t>31.3   如果成交人没有按照上述履约保证金的规定执行，将视为放弃成交资格，成交人的磋商保证金将不予退还。在此情况下，采购人可确定下一候选</w:t>
      </w:r>
      <w:r>
        <w:rPr>
          <w:rFonts w:hint="eastAsia" w:ascii="微软雅黑" w:hAnsi="微软雅黑" w:eastAsia="微软雅黑" w:cs="微软雅黑"/>
          <w:bCs/>
          <w:sz w:val="24"/>
          <w:highlight w:val="none"/>
        </w:rPr>
        <w:t>人为成交人，也可以重新开展采购活动。</w:t>
      </w:r>
      <w:bookmarkEnd w:id="606"/>
      <w:bookmarkEnd w:id="607"/>
      <w:bookmarkEnd w:id="608"/>
      <w:bookmarkEnd w:id="609"/>
      <w:bookmarkEnd w:id="610"/>
      <w:bookmarkEnd w:id="611"/>
    </w:p>
    <w:p w14:paraId="55E51B96">
      <w:pPr>
        <w:pStyle w:val="10"/>
        <w:snapToGrid w:val="0"/>
        <w:spacing w:before="0" w:after="0" w:line="360" w:lineRule="exact"/>
        <w:textAlignment w:val="baseline"/>
        <w:rPr>
          <w:rFonts w:ascii="微软雅黑" w:hAnsi="微软雅黑" w:eastAsia="微软雅黑" w:cs="微软雅黑"/>
          <w:b/>
          <w:bCs/>
          <w:highlight w:val="none"/>
        </w:rPr>
      </w:pPr>
      <w:bookmarkStart w:id="612" w:name="_Toc16384"/>
      <w:bookmarkStart w:id="613" w:name="_Toc4864"/>
      <w:bookmarkStart w:id="614" w:name="_Toc29652"/>
      <w:bookmarkStart w:id="615" w:name="_Toc23392"/>
      <w:bookmarkStart w:id="616" w:name="_Toc27934"/>
      <w:bookmarkStart w:id="617" w:name="_Toc7508"/>
      <w:bookmarkStart w:id="618" w:name="_Toc10734"/>
      <w:bookmarkStart w:id="619" w:name="_Toc3090"/>
      <w:bookmarkStart w:id="620" w:name="_Toc20197"/>
      <w:bookmarkStart w:id="621" w:name="_Toc24119"/>
      <w:bookmarkStart w:id="622" w:name="_Toc29408"/>
      <w:bookmarkStart w:id="623" w:name="_Toc13870"/>
      <w:bookmarkStart w:id="624" w:name="_Toc31215"/>
      <w:bookmarkStart w:id="625" w:name="_Toc515647794"/>
      <w:r>
        <w:rPr>
          <w:rFonts w:hint="eastAsia" w:ascii="微软雅黑" w:hAnsi="微软雅黑" w:eastAsia="微软雅黑" w:cs="微软雅黑"/>
          <w:b/>
          <w:bCs/>
          <w:highlight w:val="none"/>
        </w:rPr>
        <w:t>32.成交服务费</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33701867">
      <w:pPr>
        <w:snapToGrid w:val="0"/>
        <w:spacing w:line="360" w:lineRule="exact"/>
        <w:jc w:val="left"/>
        <w:textAlignment w:val="baseline"/>
        <w:rPr>
          <w:rFonts w:ascii="微软雅黑" w:hAnsi="微软雅黑" w:eastAsia="微软雅黑" w:cs="微软雅黑"/>
          <w:bCs/>
          <w:sz w:val="24"/>
          <w:highlight w:val="none"/>
        </w:rPr>
      </w:pPr>
      <w:r>
        <w:rPr>
          <w:rFonts w:hint="eastAsia" w:ascii="微软雅黑" w:hAnsi="微软雅黑" w:eastAsia="微软雅黑" w:cs="微软雅黑"/>
          <w:bCs/>
          <w:sz w:val="24"/>
          <w:highlight w:val="none"/>
        </w:rPr>
        <w:t xml:space="preserve">   </w:t>
      </w:r>
      <w:bookmarkStart w:id="626" w:name="_Toc23886"/>
      <w:bookmarkStart w:id="627" w:name="_Toc3808"/>
      <w:bookmarkStart w:id="628" w:name="_Toc30095"/>
      <w:bookmarkStart w:id="629" w:name="_Toc6649"/>
      <w:bookmarkStart w:id="630" w:name="_Toc31147"/>
      <w:bookmarkStart w:id="631" w:name="_Toc30285"/>
      <w:r>
        <w:rPr>
          <w:rFonts w:hint="eastAsia" w:ascii="微软雅黑" w:hAnsi="微软雅黑" w:eastAsia="微软雅黑" w:cs="微软雅黑"/>
          <w:bCs/>
          <w:sz w:val="24"/>
          <w:highlight w:val="none"/>
        </w:rPr>
        <w:t>成交人须按照磋商须知资料表规定，向采购代理机构支付成交服务费。</w:t>
      </w:r>
      <w:bookmarkEnd w:id="626"/>
      <w:bookmarkEnd w:id="627"/>
      <w:bookmarkEnd w:id="628"/>
      <w:bookmarkEnd w:id="629"/>
      <w:bookmarkEnd w:id="630"/>
      <w:bookmarkEnd w:id="631"/>
    </w:p>
    <w:p w14:paraId="6E3153CD">
      <w:pPr>
        <w:pStyle w:val="10"/>
        <w:snapToGrid w:val="0"/>
        <w:spacing w:before="0" w:after="0" w:line="360" w:lineRule="exact"/>
        <w:textAlignment w:val="baseline"/>
        <w:rPr>
          <w:rFonts w:ascii="微软雅黑" w:hAnsi="微软雅黑" w:eastAsia="微软雅黑" w:cs="微软雅黑"/>
          <w:b/>
          <w:bCs/>
          <w:highlight w:val="none"/>
        </w:rPr>
      </w:pPr>
      <w:bookmarkStart w:id="632" w:name="_Toc18903"/>
      <w:bookmarkStart w:id="633" w:name="_Toc11343"/>
      <w:bookmarkStart w:id="634" w:name="_Toc2073"/>
      <w:bookmarkStart w:id="635" w:name="_Toc28128"/>
      <w:bookmarkStart w:id="636" w:name="_Toc7049"/>
      <w:bookmarkStart w:id="637" w:name="_Toc515647795"/>
      <w:bookmarkStart w:id="638" w:name="_Toc5403"/>
      <w:bookmarkStart w:id="639" w:name="_Toc32437"/>
      <w:bookmarkStart w:id="640" w:name="_Toc26134"/>
      <w:bookmarkStart w:id="641" w:name="_Toc31549"/>
      <w:bookmarkStart w:id="642" w:name="_Toc3666"/>
      <w:bookmarkStart w:id="643" w:name="_Toc16461"/>
      <w:bookmarkStart w:id="644" w:name="_Toc6923"/>
      <w:bookmarkStart w:id="645" w:name="_Toc1343"/>
      <w:r>
        <w:rPr>
          <w:rFonts w:hint="eastAsia" w:ascii="微软雅黑" w:hAnsi="微软雅黑" w:eastAsia="微软雅黑" w:cs="微软雅黑"/>
          <w:b/>
          <w:bCs/>
          <w:highlight w:val="none"/>
        </w:rPr>
        <w:t>33.政府采购信用担保</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1B23F645">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33.1   本项目是否属于信用担保试点范围见供应商须知资料表。</w:t>
      </w:r>
    </w:p>
    <w:p w14:paraId="23705BD3">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   如属于政府采购信用担保试点范围内，中小型企业供应商可以自由按照财政部门的规定，采用磋商担保、履约担保和融资担保。</w:t>
      </w:r>
    </w:p>
    <w:p w14:paraId="2B77AD10">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33.2.1 供应商递交的磋商担保函和履约担保函应符合本磋商文件的规定。</w:t>
      </w:r>
    </w:p>
    <w:p w14:paraId="3284879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33.2.2 成交人可以采取融资担保的形式为政府采购项目履约进行融资。</w:t>
      </w:r>
    </w:p>
    <w:p w14:paraId="6A015131">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33.2.3 合格的政府采购专业信用担保机构名单见供应商须知资料表。</w:t>
      </w:r>
    </w:p>
    <w:p w14:paraId="3AE942F7">
      <w:pPr>
        <w:pStyle w:val="10"/>
        <w:snapToGrid w:val="0"/>
        <w:spacing w:before="0" w:after="0" w:line="360" w:lineRule="exact"/>
        <w:textAlignment w:val="baseline"/>
        <w:rPr>
          <w:rFonts w:ascii="微软雅黑" w:hAnsi="微软雅黑" w:eastAsia="微软雅黑" w:cs="微软雅黑"/>
          <w:b/>
          <w:bCs/>
          <w:highlight w:val="none"/>
          <w:u w:color="000000"/>
        </w:rPr>
      </w:pPr>
      <w:bookmarkStart w:id="646" w:name="_Toc7616"/>
      <w:bookmarkStart w:id="647" w:name="_Toc25649"/>
      <w:bookmarkStart w:id="648" w:name="_Toc2133"/>
      <w:bookmarkStart w:id="649" w:name="_Toc28874"/>
      <w:bookmarkStart w:id="650" w:name="_Toc515647796"/>
      <w:bookmarkStart w:id="651" w:name="_Toc23999"/>
      <w:bookmarkStart w:id="652" w:name="_Toc15842"/>
      <w:bookmarkStart w:id="653" w:name="_Toc16394"/>
      <w:bookmarkStart w:id="654" w:name="_Toc15545"/>
      <w:bookmarkStart w:id="655" w:name="_Toc7391"/>
      <w:bookmarkStart w:id="656" w:name="_Toc30093"/>
      <w:bookmarkStart w:id="657" w:name="_Toc11720"/>
      <w:r>
        <w:rPr>
          <w:rFonts w:hint="eastAsia" w:ascii="微软雅黑" w:hAnsi="微软雅黑" w:eastAsia="微软雅黑" w:cs="微软雅黑"/>
          <w:b/>
          <w:bCs/>
          <w:highlight w:val="none"/>
          <w:u w:color="000000"/>
        </w:rPr>
        <w:t>34.廉洁自律规定</w:t>
      </w:r>
      <w:bookmarkEnd w:id="646"/>
      <w:bookmarkEnd w:id="647"/>
      <w:bookmarkEnd w:id="648"/>
      <w:bookmarkEnd w:id="649"/>
      <w:bookmarkEnd w:id="650"/>
      <w:bookmarkEnd w:id="651"/>
      <w:bookmarkEnd w:id="652"/>
      <w:bookmarkEnd w:id="653"/>
      <w:bookmarkEnd w:id="654"/>
      <w:bookmarkEnd w:id="655"/>
      <w:bookmarkEnd w:id="656"/>
      <w:bookmarkEnd w:id="657"/>
    </w:p>
    <w:p w14:paraId="3B7050C5">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34.1   采购代理机构工作人员不得以不正当手段获取政府采购代理业务，不得与采购人、供应商恶意串通操纵政府采购活动。</w:t>
      </w:r>
    </w:p>
    <w:p w14:paraId="5704CF0C">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34.2   采购代理机构工作人员不得接受采购人或者供应商组织的宴请、旅游、娱乐，不得收受礼品、现金、有价证券等，不得向采购人或者供应商报销应当由个人承担的费用。</w:t>
      </w:r>
    </w:p>
    <w:p w14:paraId="7821D79E">
      <w:pPr>
        <w:pStyle w:val="10"/>
        <w:snapToGrid w:val="0"/>
        <w:spacing w:before="0" w:after="0" w:line="360" w:lineRule="exact"/>
        <w:textAlignment w:val="baseline"/>
        <w:rPr>
          <w:rFonts w:ascii="微软雅黑" w:hAnsi="微软雅黑" w:eastAsia="微软雅黑" w:cs="微软雅黑"/>
          <w:b/>
          <w:bCs/>
          <w:highlight w:val="none"/>
          <w:u w:color="000000"/>
        </w:rPr>
      </w:pPr>
      <w:bookmarkStart w:id="658" w:name="_Toc25480"/>
      <w:bookmarkStart w:id="659" w:name="_Toc515647797"/>
      <w:bookmarkStart w:id="660" w:name="_Toc25440"/>
      <w:bookmarkStart w:id="661" w:name="_Toc1011"/>
      <w:bookmarkStart w:id="662" w:name="_Toc30935"/>
      <w:bookmarkStart w:id="663" w:name="_Toc24873"/>
      <w:bookmarkStart w:id="664" w:name="_Toc19883"/>
      <w:bookmarkStart w:id="665" w:name="_Toc11586"/>
      <w:bookmarkStart w:id="666" w:name="_Toc22002"/>
      <w:bookmarkStart w:id="667" w:name="_Toc17910"/>
      <w:bookmarkStart w:id="668" w:name="_Toc3386"/>
      <w:bookmarkStart w:id="669" w:name="_Toc9179"/>
      <w:bookmarkStart w:id="670" w:name="_Toc26674"/>
      <w:r>
        <w:rPr>
          <w:rFonts w:hint="eastAsia" w:ascii="微软雅黑" w:hAnsi="微软雅黑" w:eastAsia="微软雅黑" w:cs="微软雅黑"/>
          <w:b/>
          <w:bCs/>
          <w:highlight w:val="none"/>
          <w:u w:color="000000"/>
        </w:rPr>
        <w:t>35.人员回避</w:t>
      </w:r>
      <w:bookmarkEnd w:id="658"/>
      <w:bookmarkEnd w:id="659"/>
      <w:bookmarkEnd w:id="660"/>
      <w:bookmarkEnd w:id="661"/>
      <w:bookmarkEnd w:id="662"/>
      <w:bookmarkEnd w:id="663"/>
      <w:bookmarkEnd w:id="664"/>
      <w:bookmarkEnd w:id="665"/>
      <w:bookmarkEnd w:id="666"/>
      <w:bookmarkEnd w:id="667"/>
      <w:bookmarkEnd w:id="668"/>
      <w:bookmarkEnd w:id="669"/>
      <w:bookmarkEnd w:id="670"/>
    </w:p>
    <w:p w14:paraId="258271B6">
      <w:pPr>
        <w:snapToGrid w:val="0"/>
        <w:spacing w:line="36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供应商认为采购人员及其相关人员有法律法规所列与其他供应商有利害关系的，可以向采购人或采购代理机构书面提出回避申请，并说明理由。</w:t>
      </w:r>
    </w:p>
    <w:p w14:paraId="40DF7D06">
      <w:pPr>
        <w:pStyle w:val="10"/>
        <w:snapToGrid w:val="0"/>
        <w:spacing w:before="0" w:after="0" w:line="360" w:lineRule="exact"/>
        <w:textAlignment w:val="baseline"/>
        <w:rPr>
          <w:rFonts w:ascii="微软雅黑" w:hAnsi="微软雅黑" w:eastAsia="微软雅黑" w:cs="微软雅黑"/>
          <w:b/>
          <w:bCs/>
          <w:highlight w:val="none"/>
          <w:u w:color="000000"/>
        </w:rPr>
      </w:pPr>
      <w:bookmarkStart w:id="671" w:name="_Toc30280"/>
      <w:bookmarkStart w:id="672" w:name="_Toc23729"/>
      <w:bookmarkStart w:id="673" w:name="_Toc1524"/>
      <w:bookmarkStart w:id="674" w:name="_Toc7453"/>
      <w:bookmarkStart w:id="675" w:name="_Toc24801"/>
      <w:bookmarkStart w:id="676" w:name="_Toc25962"/>
      <w:bookmarkStart w:id="677" w:name="_Toc15825"/>
      <w:bookmarkStart w:id="678" w:name="_Toc25393"/>
      <w:bookmarkStart w:id="679" w:name="_Toc30723"/>
      <w:bookmarkStart w:id="680" w:name="_Toc10836"/>
      <w:bookmarkStart w:id="681" w:name="_Toc24595"/>
      <w:r>
        <w:rPr>
          <w:rFonts w:hint="eastAsia" w:ascii="微软雅黑" w:hAnsi="微软雅黑" w:eastAsia="微软雅黑" w:cs="微软雅黑"/>
          <w:b/>
          <w:bCs/>
          <w:highlight w:val="none"/>
          <w:u w:color="000000"/>
        </w:rPr>
        <w:t>36.质疑与接收</w:t>
      </w:r>
      <w:bookmarkEnd w:id="671"/>
      <w:bookmarkEnd w:id="672"/>
      <w:bookmarkEnd w:id="673"/>
      <w:bookmarkEnd w:id="674"/>
      <w:bookmarkEnd w:id="675"/>
      <w:bookmarkEnd w:id="676"/>
      <w:bookmarkEnd w:id="677"/>
      <w:bookmarkEnd w:id="678"/>
      <w:bookmarkEnd w:id="679"/>
      <w:bookmarkEnd w:id="680"/>
      <w:bookmarkEnd w:id="681"/>
    </w:p>
    <w:p w14:paraId="2E8A9BFC">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   供应商认为磋商文件、招标过程和成交结果使自己的权益受到损害的，可以根据《中华人民共和国政府采购法》、《中华人民共和国政府采购法实施条例》、《政府采购竞争性磋商采购方式管理暂行办法》和《政府采购质疑和投诉办法》的有关规定，依法向采购人或其委托的代理机构提出质疑。</w:t>
      </w:r>
    </w:p>
    <w:p w14:paraId="503CA790">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441B2DB">
      <w:pPr>
        <w:spacing w:line="400" w:lineRule="exact"/>
        <w:ind w:left="958" w:leftChars="456" w:firstLine="60" w:firstLineChars="2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超出法定质疑期的、重复提出的、分次提出的或内容、形式不符合《政府采购质疑和投诉办法》的，质疑供应商将依法承担不利后果。</w:t>
      </w:r>
    </w:p>
    <w:p w14:paraId="7393DF6E">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36.3   代理机构质疑函接收部门、联系电话和通讯地址, 见供应商须知资料表。</w:t>
      </w:r>
    </w:p>
    <w:p w14:paraId="0A59707E">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36.4   质疑的提出</w:t>
      </w:r>
    </w:p>
    <w:p w14:paraId="18888991">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36.5   本磋商文件中所称质疑及答复，是指参加本次采购活动的供应商对政府采购活动中的磋商文件、采购过程和成交结果向采购方提出质疑，采购方答复质疑的行为。</w:t>
      </w:r>
    </w:p>
    <w:p w14:paraId="32C287F0">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36.6   供应商认为磋商文件、采购过程和成交结果使自己的权益受到损害的，可以在知道或者应知其权益受到损害之日起7个工作日内，以书面形式向采购方提出质疑。供应商应知其权益受到损害之日，是指：</w:t>
      </w:r>
    </w:p>
    <w:p w14:paraId="18576373">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（一）对可以质疑的磋商文件提出质疑的，为收到磋商文件之日或者磋商文件公告期限届满之日；</w:t>
      </w:r>
    </w:p>
    <w:p w14:paraId="4D8B06BC">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（二）对采购过程提出质疑的，为各采购程序环节结束之日；</w:t>
      </w:r>
    </w:p>
    <w:p w14:paraId="167EC70E">
      <w:pPr>
        <w:spacing w:line="400" w:lineRule="exact"/>
        <w:ind w:firstLine="720" w:firstLineChars="3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（三）对成交结果提出质疑的，为成交结果公告期限届满之日。</w:t>
      </w:r>
    </w:p>
    <w:p w14:paraId="51AC1C74">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36.7   对可以质疑的磋商文件提出质疑的，质疑人为参与本项目的报价方或潜在报价方。可质疑的文件为采购公告以及磋商文件（包括属于其组成部分的澄清、修改、补充文件和评审标准、合同文本等）。</w:t>
      </w:r>
    </w:p>
    <w:p w14:paraId="3A194E47">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36.8   对采购过程和成交结果提出质疑的，质疑人为直接参与本项目的报价方。采购过程,即从采购项目信息公告发布起到成交结果公告止，包括磋商文件的发出、提交响应文件、响应文件开启、评审等各个采购程序环节。</w:t>
      </w:r>
    </w:p>
    <w:p w14:paraId="48AC9335">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36.9   提出质疑应当符合下列条件：</w:t>
      </w:r>
    </w:p>
    <w:p w14:paraId="57EB4DAA">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（一）质疑主体应当符合有关规定；</w:t>
      </w:r>
    </w:p>
    <w:p w14:paraId="11208E48">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（二）在质疑法定期限内提出；</w:t>
      </w:r>
    </w:p>
    <w:p w14:paraId="1C91C71D">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（三）属于可以提出质疑的政府采购事项受理范围和本项目采购人的管辖权范围；</w:t>
      </w:r>
    </w:p>
    <w:p w14:paraId="64FD5E52">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（四）政府采购法律、法规、规章规定的其他条件。</w:t>
      </w:r>
    </w:p>
    <w:p w14:paraId="37A9AD71">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36.10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BA8380B">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36.11  质疑人所提供的证明材料应当具有真实性、合法性以及与质疑事项的关联性和证明力，否则不能作为认定该质疑事项成立的依据。</w:t>
      </w:r>
    </w:p>
    <w:p w14:paraId="35BDD178">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36.12  质疑人提出质疑时应当提交质疑函。质疑函包括下列内容：</w:t>
      </w:r>
    </w:p>
    <w:p w14:paraId="76FB675F">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（一）提出质疑的质疑人的名称、地址、邮编、联系人及联系电话等；</w:t>
      </w:r>
    </w:p>
    <w:p w14:paraId="265BDB0D">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（二）质疑项目的名称、编号；</w:t>
      </w:r>
    </w:p>
    <w:p w14:paraId="0E290C61">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（三）质疑事项；</w:t>
      </w:r>
    </w:p>
    <w:p w14:paraId="31B5DEAB">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（四）事实依据和证明材料；</w:t>
      </w:r>
    </w:p>
    <w:p w14:paraId="29507BB3">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（五）法律依据；</w:t>
      </w:r>
    </w:p>
    <w:p w14:paraId="2CB66CB8">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（六）提出质疑的日期。</w:t>
      </w:r>
    </w:p>
    <w:p w14:paraId="146ADA32">
      <w:pPr>
        <w:spacing w:line="400" w:lineRule="exact"/>
        <w:ind w:left="958" w:leftChars="456" w:firstLine="60" w:firstLineChars="2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22EF2DA2">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36.13  质疑人可以委托代理人进行质疑。代理人应当提交授权委托书。授权委托书应当载明委托代理的具体权限、期限和相关事项。</w:t>
      </w:r>
    </w:p>
    <w:p w14:paraId="6DC3817B">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36.14  质疑的审查和受理</w:t>
      </w:r>
    </w:p>
    <w:p w14:paraId="40017E9F">
      <w:pPr>
        <w:spacing w:line="400" w:lineRule="exact"/>
        <w:ind w:left="840" w:leftChars="4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采购方在收到质疑函后应当及时审查是否符合质疑受理条件，对符合质疑受理条件的，及时予以受理。</w:t>
      </w:r>
    </w:p>
    <w:p w14:paraId="2168B51A">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36.15  对不符合质疑受理条件的，分别按照下列不同情形予以处理：</w:t>
      </w:r>
    </w:p>
    <w:p w14:paraId="18C3E6EC">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（一）质疑函内容不符合规定的，告知质疑人进行修改并重新提出质疑。修改后质疑事项仍不具体、不明确或者最终递交质疑函的时间超过质疑法定期限的，不予受理；</w:t>
      </w:r>
    </w:p>
    <w:p w14:paraId="5F4D27A5">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（二）质疑主体不符合有关规定的，告知质疑人不予受理；</w:t>
      </w:r>
    </w:p>
    <w:p w14:paraId="1CD5D58B">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（三）超过质疑法定期限提出质疑的，告知质疑人不予受理；</w:t>
      </w:r>
    </w:p>
    <w:p w14:paraId="07B70650">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（四）对不属于可以提出质疑的政府采购事项提出质疑的，告知质疑人不予受理；</w:t>
      </w:r>
    </w:p>
    <w:p w14:paraId="728C34E2">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（五）质疑不属于本项目采购方管辖的，告知质疑人向有管辖权的采购人提出质疑；</w:t>
      </w:r>
    </w:p>
    <w:p w14:paraId="026A4BC7">
      <w:pPr>
        <w:spacing w:line="400" w:lineRule="exact"/>
        <w:ind w:left="898" w:leftChars="342" w:hanging="180" w:hangingChars="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（六）质疑不符合其他条件的，告知质疑人不予受理。</w:t>
      </w:r>
    </w:p>
    <w:p w14:paraId="7BDA94EC">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36.16  质疑的处理和答复</w:t>
      </w:r>
    </w:p>
    <w:p w14:paraId="5812B656">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36.17  采购方受理质疑后，将及时把质疑函发送给被质疑人，并要求其在一定限期内提交书面答复，同时提供有关证据、依据和相关材料。</w:t>
      </w:r>
    </w:p>
    <w:p w14:paraId="2B32A730">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36.18  对于质疑事项中涉及的问题较多、情况比较复杂的，为了全面查清事实、取得充分的证据，采购方认为有必要时，可以进行调查取证或者组织质证。</w:t>
      </w:r>
    </w:p>
    <w:p w14:paraId="23C89F21">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36.19  对评审过程、成交结果提出质疑的，采购方可以组织原评审委员会协助答复质疑。</w:t>
      </w:r>
    </w:p>
    <w:p w14:paraId="4BD5806A">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36.20  质疑处理过程中，质疑人书面申请撤回质疑的，将终止质疑处理程序。</w:t>
      </w:r>
    </w:p>
    <w:p w14:paraId="6ED6C448">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36.21  质疑人拒绝配合采购方依法对质疑进行调查处理的，采购方将按质疑人自动撤回质疑处理；被质疑人拒绝配合采购方依法对质疑进行调查处理的，采购方将视同其认可质疑事项。</w:t>
      </w:r>
    </w:p>
    <w:p w14:paraId="0A31A473">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36.22  质疑人拒绝配合采购方依法对质疑进行调查处理的，采购方将按质疑人自动撤回质疑处理；被质疑人拒绝配合采购方依法对质疑进行调查处理的，采购方将视同其认可质疑事项。</w:t>
      </w:r>
    </w:p>
    <w:p w14:paraId="37983479">
      <w:pPr>
        <w:spacing w:line="400" w:lineRule="exact"/>
        <w:ind w:left="900" w:hanging="900" w:hangingChars="37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36.23  采购方将在正式受理质疑后7个工作日内作出答复。</w:t>
      </w:r>
    </w:p>
    <w:p w14:paraId="1DF3D90E">
      <w:pPr>
        <w:pStyle w:val="33"/>
        <w:spacing w:line="400" w:lineRule="exact"/>
        <w:rPr>
          <w:rFonts w:ascii="微软雅黑" w:hAnsi="微软雅黑" w:eastAsia="微软雅黑" w:cs="微软雅黑"/>
          <w:highlight w:val="none"/>
        </w:rPr>
      </w:pPr>
      <w:r>
        <w:rPr>
          <w:rFonts w:hint="eastAsia" w:ascii="微软雅黑" w:hAnsi="微软雅黑" w:eastAsia="微软雅黑" w:cs="微软雅黑"/>
          <w:highlight w:val="none"/>
        </w:rPr>
        <w:t>36.24  质疑答复应当包括下列内容：</w:t>
      </w:r>
    </w:p>
    <w:p w14:paraId="7DBA466B">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（一）质疑人的姓名或者名称；</w:t>
      </w:r>
    </w:p>
    <w:p w14:paraId="07B1D000">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（二）收到质疑函的日期、质疑项目名称及编号；</w:t>
      </w:r>
    </w:p>
    <w:p w14:paraId="57590CF4">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（三）质疑事项、质疑答复的具体内容、事实依据和法律依据；</w:t>
      </w:r>
    </w:p>
    <w:p w14:paraId="7B467C61">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（四）告知质疑供应商依法投诉的权利；</w:t>
      </w:r>
    </w:p>
    <w:p w14:paraId="3EE41D27">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（五）质疑答复人名称；</w:t>
      </w:r>
    </w:p>
    <w:p w14:paraId="21005E6D">
      <w:pPr>
        <w:pStyle w:val="33"/>
        <w:spacing w:line="400" w:lineRule="exact"/>
        <w:ind w:left="840" w:leftChars="400"/>
        <w:rPr>
          <w:rFonts w:ascii="微软雅黑" w:hAnsi="微软雅黑" w:eastAsia="微软雅黑" w:cs="微软雅黑"/>
          <w:highlight w:val="none"/>
        </w:rPr>
      </w:pPr>
      <w:r>
        <w:rPr>
          <w:rFonts w:hint="eastAsia" w:ascii="微软雅黑" w:hAnsi="微软雅黑" w:eastAsia="微软雅黑" w:cs="微软雅黑"/>
          <w:highlight w:val="none"/>
        </w:rPr>
        <w:t>（六）答复质疑的日期。</w:t>
      </w:r>
      <w:bookmarkStart w:id="682" w:name="_Toc14949"/>
      <w:bookmarkStart w:id="683" w:name="_Toc24577"/>
    </w:p>
    <w:p w14:paraId="6072E678">
      <w:pPr>
        <w:pStyle w:val="8"/>
        <w:rPr>
          <w:highlight w:val="none"/>
        </w:rPr>
      </w:pPr>
    </w:p>
    <w:p w14:paraId="02B64E2E">
      <w:pPr>
        <w:pStyle w:val="9"/>
        <w:rPr>
          <w:highlight w:val="none"/>
        </w:rPr>
      </w:pPr>
    </w:p>
    <w:p w14:paraId="4A8E0E59">
      <w:pPr>
        <w:pStyle w:val="10"/>
        <w:jc w:val="center"/>
        <w:rPr>
          <w:rFonts w:ascii="微软雅黑" w:hAnsi="微软雅黑" w:eastAsia="微软雅黑" w:cs="微软雅黑"/>
          <w:b/>
          <w:bCs/>
          <w:highlight w:val="none"/>
          <w:u w:val="none"/>
        </w:rPr>
      </w:pPr>
      <w:bookmarkStart w:id="684" w:name="_Toc20238"/>
      <w:bookmarkStart w:id="685" w:name="_Toc17963"/>
      <w:bookmarkStart w:id="686" w:name="_Toc23398"/>
      <w:r>
        <w:rPr>
          <w:rFonts w:hint="eastAsia" w:ascii="微软雅黑" w:hAnsi="微软雅黑" w:eastAsia="微软雅黑" w:cs="微软雅黑"/>
          <w:b/>
          <w:bCs/>
          <w:highlight w:val="none"/>
          <w:u w:val="none"/>
        </w:rPr>
        <w:t>质疑函范本</w:t>
      </w:r>
      <w:bookmarkEnd w:id="682"/>
      <w:bookmarkEnd w:id="683"/>
      <w:bookmarkEnd w:id="684"/>
      <w:bookmarkEnd w:id="685"/>
      <w:bookmarkEnd w:id="686"/>
    </w:p>
    <w:p w14:paraId="5E5007FB">
      <w:pPr>
        <w:pStyle w:val="8"/>
        <w:rPr>
          <w:highlight w:val="none"/>
        </w:rPr>
      </w:pPr>
    </w:p>
    <w:p w14:paraId="270A90CF">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一、质疑供应商基本信息</w:t>
      </w:r>
    </w:p>
    <w:p w14:paraId="17E56362">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质疑供应商：</w:t>
      </w:r>
      <w:r>
        <w:rPr>
          <w:rFonts w:hint="eastAsia" w:ascii="微软雅黑" w:hAnsi="微软雅黑" w:eastAsia="微软雅黑" w:cs="微软雅黑"/>
          <w:sz w:val="24"/>
          <w:highlight w:val="none"/>
          <w:u w:val="dotted" w:color="000000"/>
        </w:rPr>
        <w:t xml:space="preserve">                                        </w:t>
      </w:r>
    </w:p>
    <w:p w14:paraId="6F9FD037">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地址：</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邮编：</w:t>
      </w:r>
      <w:r>
        <w:rPr>
          <w:rFonts w:hint="eastAsia" w:ascii="微软雅黑" w:hAnsi="微软雅黑" w:eastAsia="微软雅黑" w:cs="微软雅黑"/>
          <w:sz w:val="24"/>
          <w:highlight w:val="none"/>
          <w:u w:val="dotted" w:color="000000"/>
        </w:rPr>
        <w:t xml:space="preserve">                                                   </w:t>
      </w:r>
    </w:p>
    <w:p w14:paraId="438C746F">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联系人：</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dotted" w:color="000000"/>
        </w:rPr>
        <w:t xml:space="preserve">                              </w:t>
      </w:r>
    </w:p>
    <w:p w14:paraId="01F32CD6">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授权代表：</w:t>
      </w:r>
      <w:r>
        <w:rPr>
          <w:rFonts w:hint="eastAsia" w:ascii="微软雅黑" w:hAnsi="微软雅黑" w:eastAsia="微软雅黑" w:cs="微软雅黑"/>
          <w:sz w:val="24"/>
          <w:highlight w:val="none"/>
          <w:u w:val="dotted" w:color="000000"/>
        </w:rPr>
        <w:t xml:space="preserve">                                          </w:t>
      </w:r>
    </w:p>
    <w:p w14:paraId="5F21BBDF">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 xml:space="preserve"> </w:t>
      </w:r>
    </w:p>
    <w:p w14:paraId="39009566">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地址： </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邮编：</w:t>
      </w:r>
      <w:r>
        <w:rPr>
          <w:rFonts w:hint="eastAsia" w:ascii="微软雅黑" w:hAnsi="微软雅黑" w:eastAsia="微软雅黑" w:cs="微软雅黑"/>
          <w:sz w:val="24"/>
          <w:highlight w:val="none"/>
          <w:u w:val="dotted" w:color="000000"/>
        </w:rPr>
        <w:t xml:space="preserve">                                                </w:t>
      </w:r>
    </w:p>
    <w:p w14:paraId="47F6B7A1">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二、质疑项目基本情况</w:t>
      </w:r>
    </w:p>
    <w:p w14:paraId="6EAB076A">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质疑项目的名称：</w:t>
      </w:r>
      <w:r>
        <w:rPr>
          <w:rFonts w:hint="eastAsia" w:ascii="微软雅黑" w:hAnsi="微软雅黑" w:eastAsia="微软雅黑" w:cs="微软雅黑"/>
          <w:sz w:val="24"/>
          <w:highlight w:val="none"/>
          <w:u w:val="dotted" w:color="000000"/>
        </w:rPr>
        <w:t xml:space="preserve">                                      </w:t>
      </w:r>
    </w:p>
    <w:p w14:paraId="4FFFA853">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质疑项目的编号：</w:t>
      </w:r>
      <w:r>
        <w:rPr>
          <w:rFonts w:hint="eastAsia" w:ascii="微软雅黑" w:hAnsi="微软雅黑" w:eastAsia="微软雅黑" w:cs="微软雅黑"/>
          <w:sz w:val="24"/>
          <w:highlight w:val="none"/>
          <w:u w:val="dotted" w:color="000000"/>
        </w:rPr>
        <w:t xml:space="preserve">               </w:t>
      </w:r>
      <w:r>
        <w:rPr>
          <w:rFonts w:hint="eastAsia" w:ascii="微软雅黑" w:hAnsi="微软雅黑" w:eastAsia="微软雅黑" w:cs="微软雅黑"/>
          <w:sz w:val="24"/>
          <w:highlight w:val="none"/>
        </w:rPr>
        <w:t>包号：</w:t>
      </w:r>
      <w:r>
        <w:rPr>
          <w:rFonts w:hint="eastAsia" w:ascii="微软雅黑" w:hAnsi="微软雅黑" w:eastAsia="微软雅黑" w:cs="微软雅黑"/>
          <w:sz w:val="24"/>
          <w:highlight w:val="none"/>
          <w:u w:val="dotted" w:color="000000"/>
        </w:rPr>
        <w:t xml:space="preserve">                 </w:t>
      </w:r>
    </w:p>
    <w:p w14:paraId="1BA84C82">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采购人名称：</w:t>
      </w:r>
      <w:r>
        <w:rPr>
          <w:rFonts w:hint="eastAsia" w:ascii="微软雅黑" w:hAnsi="微软雅黑" w:eastAsia="微软雅黑" w:cs="微软雅黑"/>
          <w:sz w:val="24"/>
          <w:highlight w:val="none"/>
          <w:u w:val="dotted" w:color="000000"/>
        </w:rPr>
        <w:t xml:space="preserve">                                         </w:t>
      </w:r>
    </w:p>
    <w:p w14:paraId="18B767D8">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采购文件获取日期：</w:t>
      </w:r>
      <w:r>
        <w:rPr>
          <w:rFonts w:hint="eastAsia" w:ascii="微软雅黑" w:hAnsi="微软雅黑" w:eastAsia="微软雅黑" w:cs="微软雅黑"/>
          <w:sz w:val="24"/>
          <w:highlight w:val="none"/>
          <w:u w:val="dotted" w:color="000000"/>
        </w:rPr>
        <w:t xml:space="preserve">                                           </w:t>
      </w:r>
    </w:p>
    <w:p w14:paraId="054BF664">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三、质疑事项具体内容</w:t>
      </w:r>
    </w:p>
    <w:p w14:paraId="4FE25E2B">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质疑事项1：</w:t>
      </w:r>
      <w:r>
        <w:rPr>
          <w:rFonts w:hint="eastAsia" w:ascii="微软雅黑" w:hAnsi="微软雅黑" w:eastAsia="微软雅黑" w:cs="微软雅黑"/>
          <w:sz w:val="24"/>
          <w:highlight w:val="none"/>
          <w:u w:val="dotted" w:color="000000"/>
        </w:rPr>
        <w:t xml:space="preserve">                                         </w:t>
      </w:r>
    </w:p>
    <w:p w14:paraId="1DD68F6C">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事实依据：</w:t>
      </w:r>
      <w:r>
        <w:rPr>
          <w:rFonts w:hint="eastAsia" w:ascii="微软雅黑" w:hAnsi="微软雅黑" w:eastAsia="微软雅黑" w:cs="微软雅黑"/>
          <w:sz w:val="24"/>
          <w:highlight w:val="none"/>
          <w:u w:val="dotted" w:color="000000"/>
        </w:rPr>
        <w:t xml:space="preserve">                                          </w:t>
      </w:r>
    </w:p>
    <w:p w14:paraId="2ACB3B8E">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u w:val="dotted" w:color="000000"/>
        </w:rPr>
        <w:t xml:space="preserve">                                                       </w:t>
      </w:r>
    </w:p>
    <w:p w14:paraId="3426B187">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法律依据：</w:t>
      </w:r>
      <w:r>
        <w:rPr>
          <w:rFonts w:hint="eastAsia" w:ascii="微软雅黑" w:hAnsi="微软雅黑" w:eastAsia="微软雅黑" w:cs="微软雅黑"/>
          <w:sz w:val="24"/>
          <w:highlight w:val="none"/>
          <w:u w:val="dotted" w:color="000000"/>
        </w:rPr>
        <w:t xml:space="preserve">                                          </w:t>
      </w:r>
    </w:p>
    <w:p w14:paraId="232EC8C3">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u w:val="dotted" w:color="000000"/>
        </w:rPr>
        <w:t xml:space="preserve">                                                     </w:t>
      </w:r>
    </w:p>
    <w:p w14:paraId="081C7205">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质疑事项2</w:t>
      </w:r>
    </w:p>
    <w:p w14:paraId="4E7E7BF1">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w:t>
      </w:r>
    </w:p>
    <w:p w14:paraId="4464FADB">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四、与质疑事项相关的质疑请求</w:t>
      </w:r>
    </w:p>
    <w:p w14:paraId="4BD881E8">
      <w:pPr>
        <w:snapToGrid w:val="0"/>
        <w:spacing w:line="400" w:lineRule="exact"/>
        <w:textAlignment w:val="baseline"/>
        <w:rPr>
          <w:rFonts w:ascii="微软雅黑" w:hAnsi="微软雅黑" w:eastAsia="微软雅黑" w:cs="微软雅黑"/>
          <w:sz w:val="24"/>
          <w:highlight w:val="none"/>
          <w:u w:val="dotted" w:color="000000"/>
        </w:rPr>
      </w:pPr>
      <w:r>
        <w:rPr>
          <w:rFonts w:hint="eastAsia" w:ascii="微软雅黑" w:hAnsi="微软雅黑" w:eastAsia="微软雅黑" w:cs="微软雅黑"/>
          <w:sz w:val="24"/>
          <w:highlight w:val="none"/>
        </w:rPr>
        <w:t>请求：</w:t>
      </w:r>
      <w:r>
        <w:rPr>
          <w:rFonts w:hint="eastAsia" w:ascii="微软雅黑" w:hAnsi="微软雅黑" w:eastAsia="微软雅黑" w:cs="微软雅黑"/>
          <w:sz w:val="24"/>
          <w:highlight w:val="none"/>
          <w:u w:val="dotted" w:color="000000"/>
        </w:rPr>
        <w:t xml:space="preserve">                                               </w:t>
      </w:r>
    </w:p>
    <w:p w14:paraId="09D925E8">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签字(签章)：                   公章：                      </w:t>
      </w:r>
    </w:p>
    <w:p w14:paraId="435B1DCE">
      <w:pPr>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日期：    </w:t>
      </w:r>
    </w:p>
    <w:p w14:paraId="03E041DF">
      <w:pPr>
        <w:snapToGrid w:val="0"/>
        <w:spacing w:line="400" w:lineRule="exact"/>
        <w:textAlignment w:val="baseline"/>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质疑函制作说明：</w:t>
      </w:r>
    </w:p>
    <w:p w14:paraId="047C3AF7">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1.供应商提出质疑时，应提交质疑函和必要的证明材料。</w:t>
      </w:r>
    </w:p>
    <w:p w14:paraId="3DDE3FC3">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2.质疑供应商若委托代理人进行质疑的，质疑函应按要求列明“授权代表”的有关内容，并在附件中提交由质疑</w:t>
      </w:r>
      <w:r>
        <w:rPr>
          <w:rFonts w:hint="eastAsia" w:ascii="微软雅黑" w:hAnsi="微软雅黑" w:eastAsia="微软雅黑" w:cs="微软雅黑"/>
          <w:kern w:val="0"/>
          <w:sz w:val="24"/>
          <w:highlight w:val="none"/>
        </w:rPr>
        <w:t>供应商签署的授权委托书。授权委托书应载明代理人的姓名或者名称、代理事项、具体权限、期限和相关事项。</w:t>
      </w:r>
    </w:p>
    <w:p w14:paraId="4646153F">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3.质疑供应商若对项目的某一分包进行质疑，质疑函中应列明具体分包号。</w:t>
      </w:r>
    </w:p>
    <w:p w14:paraId="3316AEF0">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4.质疑函的质疑事项应具体、明确，并有必要的事实依据和法律依据。</w:t>
      </w:r>
    </w:p>
    <w:p w14:paraId="5410CD0A">
      <w:pPr>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5.质疑函的质疑请求应与质疑事项相关。</w:t>
      </w:r>
    </w:p>
    <w:p w14:paraId="3C7725E1">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6.质疑供应商为自然人的，质疑函应由本人签字；质疑供应商为法定代表人或者其他组织的，质疑函应由法定代表人、主要负责人，或者其授权代表签字或者盖章，并加盖公章。</w:t>
      </w:r>
    </w:p>
    <w:bookmarkEnd w:id="530"/>
    <w:bookmarkEnd w:id="531"/>
    <w:bookmarkEnd w:id="532"/>
    <w:bookmarkEnd w:id="533"/>
    <w:bookmarkEnd w:id="534"/>
    <w:bookmarkEnd w:id="535"/>
    <w:bookmarkEnd w:id="536"/>
    <w:bookmarkEnd w:id="537"/>
    <w:p w14:paraId="7CB80B30">
      <w:pPr>
        <w:rPr>
          <w:rFonts w:ascii="微软雅黑" w:hAnsi="微软雅黑" w:eastAsia="微软雅黑" w:cs="微软雅黑"/>
          <w:b/>
          <w:sz w:val="24"/>
          <w:highlight w:val="none"/>
        </w:rPr>
      </w:pPr>
    </w:p>
    <w:p w14:paraId="26D38C97">
      <w:pPr>
        <w:rPr>
          <w:rFonts w:ascii="微软雅黑" w:hAnsi="微软雅黑" w:eastAsia="微软雅黑" w:cs="微软雅黑"/>
          <w:b/>
          <w:sz w:val="24"/>
          <w:highlight w:val="none"/>
        </w:rPr>
      </w:pPr>
    </w:p>
    <w:p w14:paraId="5B723AB1">
      <w:pPr>
        <w:pStyle w:val="8"/>
        <w:ind w:firstLine="0"/>
        <w:jc w:val="center"/>
        <w:outlineLvl w:val="9"/>
        <w:rPr>
          <w:rFonts w:ascii="微软雅黑" w:hAnsi="微软雅黑" w:eastAsia="微软雅黑" w:cs="微软雅黑"/>
          <w:b/>
          <w:bCs/>
          <w:szCs w:val="24"/>
          <w:highlight w:val="none"/>
        </w:rPr>
      </w:pPr>
    </w:p>
    <w:p w14:paraId="091B7E94">
      <w:pPr>
        <w:pStyle w:val="8"/>
        <w:ind w:firstLine="0"/>
        <w:jc w:val="center"/>
        <w:outlineLvl w:val="9"/>
        <w:rPr>
          <w:rFonts w:ascii="微软雅黑" w:hAnsi="微软雅黑" w:eastAsia="微软雅黑" w:cs="微软雅黑"/>
          <w:b/>
          <w:bCs/>
          <w:szCs w:val="24"/>
          <w:highlight w:val="none"/>
        </w:rPr>
      </w:pPr>
    </w:p>
    <w:p w14:paraId="45048197">
      <w:pPr>
        <w:pStyle w:val="8"/>
        <w:ind w:firstLine="0"/>
        <w:jc w:val="center"/>
        <w:outlineLvl w:val="9"/>
        <w:rPr>
          <w:rFonts w:ascii="微软雅黑" w:hAnsi="微软雅黑" w:eastAsia="微软雅黑" w:cs="微软雅黑"/>
          <w:b/>
          <w:bCs/>
          <w:szCs w:val="24"/>
          <w:highlight w:val="none"/>
        </w:rPr>
      </w:pPr>
    </w:p>
    <w:p w14:paraId="18D0A68F">
      <w:pPr>
        <w:pStyle w:val="8"/>
        <w:ind w:firstLine="0"/>
        <w:jc w:val="center"/>
        <w:outlineLvl w:val="9"/>
        <w:rPr>
          <w:rFonts w:ascii="微软雅黑" w:hAnsi="微软雅黑" w:eastAsia="微软雅黑" w:cs="微软雅黑"/>
          <w:b/>
          <w:bCs/>
          <w:sz w:val="32"/>
          <w:szCs w:val="32"/>
          <w:highlight w:val="none"/>
        </w:rPr>
      </w:pPr>
    </w:p>
    <w:p w14:paraId="7407A7B2">
      <w:pPr>
        <w:pStyle w:val="8"/>
        <w:ind w:firstLine="0"/>
        <w:jc w:val="center"/>
        <w:outlineLvl w:val="9"/>
        <w:rPr>
          <w:rFonts w:ascii="微软雅黑" w:hAnsi="微软雅黑" w:eastAsia="微软雅黑" w:cs="微软雅黑"/>
          <w:b/>
          <w:bCs/>
          <w:sz w:val="32"/>
          <w:szCs w:val="32"/>
          <w:highlight w:val="none"/>
        </w:rPr>
      </w:pPr>
    </w:p>
    <w:p w14:paraId="466DF866">
      <w:pPr>
        <w:pStyle w:val="9"/>
        <w:outlineLvl w:val="9"/>
        <w:rPr>
          <w:highlight w:val="none"/>
        </w:rPr>
      </w:pPr>
    </w:p>
    <w:p w14:paraId="670E7948">
      <w:pPr>
        <w:pStyle w:val="8"/>
        <w:ind w:firstLine="0"/>
        <w:jc w:val="center"/>
        <w:outlineLvl w:val="9"/>
        <w:rPr>
          <w:rFonts w:ascii="微软雅黑" w:hAnsi="微软雅黑" w:eastAsia="微软雅黑" w:cs="微软雅黑"/>
          <w:b/>
          <w:bCs/>
          <w:sz w:val="32"/>
          <w:szCs w:val="32"/>
          <w:highlight w:val="none"/>
        </w:rPr>
      </w:pPr>
    </w:p>
    <w:p w14:paraId="179FA8AF">
      <w:pPr>
        <w:pStyle w:val="9"/>
        <w:outlineLvl w:val="9"/>
        <w:rPr>
          <w:rFonts w:ascii="微软雅黑" w:hAnsi="微软雅黑" w:eastAsia="微软雅黑" w:cs="微软雅黑"/>
          <w:b/>
          <w:bCs/>
          <w:sz w:val="32"/>
          <w:szCs w:val="32"/>
          <w:highlight w:val="none"/>
        </w:rPr>
      </w:pPr>
    </w:p>
    <w:p w14:paraId="35D9C95A">
      <w:pPr>
        <w:outlineLvl w:val="9"/>
        <w:rPr>
          <w:rFonts w:ascii="微软雅黑" w:hAnsi="微软雅黑" w:eastAsia="微软雅黑" w:cs="微软雅黑"/>
          <w:b/>
          <w:bCs/>
          <w:sz w:val="32"/>
          <w:szCs w:val="32"/>
          <w:highlight w:val="none"/>
        </w:rPr>
      </w:pPr>
    </w:p>
    <w:p w14:paraId="052EC8B3">
      <w:pPr>
        <w:pStyle w:val="8"/>
        <w:outlineLvl w:val="9"/>
        <w:rPr>
          <w:rFonts w:ascii="微软雅黑" w:hAnsi="微软雅黑" w:eastAsia="微软雅黑" w:cs="微软雅黑"/>
          <w:b/>
          <w:bCs/>
          <w:sz w:val="32"/>
          <w:szCs w:val="32"/>
          <w:highlight w:val="none"/>
        </w:rPr>
      </w:pPr>
    </w:p>
    <w:p w14:paraId="390FBF4A">
      <w:pPr>
        <w:pStyle w:val="9"/>
        <w:outlineLvl w:val="9"/>
        <w:rPr>
          <w:rFonts w:ascii="微软雅黑" w:hAnsi="微软雅黑" w:eastAsia="微软雅黑" w:cs="微软雅黑"/>
          <w:b/>
          <w:bCs/>
          <w:sz w:val="32"/>
          <w:szCs w:val="32"/>
          <w:highlight w:val="none"/>
        </w:rPr>
      </w:pPr>
    </w:p>
    <w:bookmarkEnd w:id="33"/>
    <w:bookmarkEnd w:id="34"/>
    <w:bookmarkEnd w:id="35"/>
    <w:bookmarkEnd w:id="36"/>
    <w:bookmarkEnd w:id="37"/>
    <w:bookmarkEnd w:id="38"/>
    <w:bookmarkEnd w:id="39"/>
    <w:p w14:paraId="49DE0A9E">
      <w:pPr>
        <w:rPr>
          <w:rFonts w:ascii="微软雅黑" w:hAnsi="微软雅黑" w:eastAsia="微软雅黑" w:cs="微软雅黑"/>
          <w:b/>
          <w:bCs/>
          <w:kern w:val="2"/>
          <w:sz w:val="28"/>
          <w:szCs w:val="28"/>
          <w:highlight w:val="none"/>
          <w:lang w:val="en-US" w:eastAsia="zh-CN" w:bidi="ar-SA"/>
        </w:rPr>
      </w:pPr>
      <w:bookmarkStart w:id="687" w:name="_Toc18694"/>
      <w:bookmarkStart w:id="688" w:name="_Toc22572"/>
      <w:bookmarkStart w:id="689" w:name="_Toc32079"/>
      <w:bookmarkStart w:id="690" w:name="_Toc515647803"/>
      <w:bookmarkStart w:id="691" w:name="_Toc32123"/>
      <w:bookmarkStart w:id="692" w:name="_Toc18974"/>
      <w:bookmarkStart w:id="693" w:name="_Toc25150"/>
      <w:bookmarkStart w:id="694" w:name="_Toc21614"/>
      <w:bookmarkStart w:id="695" w:name="_Toc3620"/>
      <w:bookmarkStart w:id="696" w:name="_Toc522"/>
      <w:bookmarkStart w:id="697" w:name="_Toc14118"/>
      <w:bookmarkStart w:id="698" w:name="_Toc30630"/>
      <w:bookmarkStart w:id="699" w:name="_Toc16750"/>
      <w:bookmarkStart w:id="700" w:name="_Toc13595"/>
      <w:bookmarkStart w:id="701" w:name="_Toc11138"/>
      <w:bookmarkStart w:id="702" w:name="_Toc30524"/>
      <w:bookmarkStart w:id="703" w:name="_Toc29091"/>
      <w:bookmarkStart w:id="704" w:name="_Toc515647804"/>
      <w:bookmarkStart w:id="705" w:name="_Toc16568"/>
      <w:bookmarkStart w:id="706" w:name="_Ref467988698"/>
      <w:bookmarkStart w:id="707" w:name="_Toc216582813"/>
      <w:bookmarkStart w:id="708" w:name="_Toc480942349"/>
      <w:bookmarkStart w:id="709" w:name="_Toc520356217"/>
      <w:r>
        <w:rPr>
          <w:rFonts w:ascii="微软雅黑" w:hAnsi="微软雅黑" w:eastAsia="微软雅黑" w:cs="微软雅黑"/>
          <w:b/>
          <w:bCs/>
          <w:kern w:val="2"/>
          <w:sz w:val="28"/>
          <w:szCs w:val="28"/>
          <w:highlight w:val="none"/>
          <w:lang w:val="en-US" w:eastAsia="zh-CN" w:bidi="ar-SA"/>
        </w:rPr>
        <w:br w:type="page"/>
      </w:r>
    </w:p>
    <w:p w14:paraId="3073F69A">
      <w:pPr>
        <w:numPr>
          <w:ilvl w:val="0"/>
          <w:numId w:val="0"/>
        </w:numPr>
        <w:spacing w:line="240" w:lineRule="atLeast"/>
        <w:ind w:left="1080" w:leftChars="257" w:hanging="540" w:firstLineChars="0"/>
        <w:jc w:val="center"/>
        <w:outlineLvl w:val="0"/>
        <w:rPr>
          <w:rFonts w:ascii="微软雅黑" w:hAnsi="微软雅黑" w:eastAsia="微软雅黑" w:cs="微软雅黑"/>
          <w:b/>
          <w:bCs/>
          <w:sz w:val="28"/>
          <w:szCs w:val="28"/>
          <w:highlight w:val="none"/>
        </w:rPr>
      </w:pPr>
      <w:bookmarkStart w:id="710" w:name="_Toc26364"/>
      <w:bookmarkStart w:id="711" w:name="_Toc31394"/>
      <w:r>
        <w:rPr>
          <w:rFonts w:ascii="微软雅黑" w:hAnsi="微软雅黑" w:eastAsia="微软雅黑" w:cs="微软雅黑"/>
          <w:b/>
          <w:bCs/>
          <w:kern w:val="2"/>
          <w:sz w:val="28"/>
          <w:szCs w:val="28"/>
          <w:highlight w:val="none"/>
          <w:lang w:val="en-US" w:eastAsia="zh-CN" w:bidi="ar-SA"/>
        </w:rPr>
        <w:t>第2章</w:t>
      </w:r>
      <w:r>
        <w:rPr>
          <w:rFonts w:hint="eastAsia" w:ascii="微软雅黑" w:hAnsi="微软雅黑" w:eastAsia="微软雅黑" w:cs="微软雅黑"/>
          <w:b/>
          <w:bCs/>
          <w:kern w:val="2"/>
          <w:sz w:val="28"/>
          <w:szCs w:val="28"/>
          <w:highlight w:val="none"/>
          <w:lang w:val="en-US" w:eastAsia="zh-CN" w:bidi="ar-SA"/>
        </w:rPr>
        <w:t xml:space="preserve">  </w:t>
      </w:r>
      <w:r>
        <w:rPr>
          <w:rFonts w:hint="eastAsia" w:ascii="微软雅黑" w:hAnsi="微软雅黑" w:eastAsia="微软雅黑" w:cs="微软雅黑"/>
          <w:b/>
          <w:bCs/>
          <w:sz w:val="28"/>
          <w:szCs w:val="28"/>
          <w:highlight w:val="none"/>
        </w:rPr>
        <w:t>响应文件格式</w:t>
      </w:r>
      <w:bookmarkEnd w:id="710"/>
      <w:bookmarkEnd w:id="711"/>
    </w:p>
    <w:p w14:paraId="7348B922">
      <w:pPr>
        <w:spacing w:line="240" w:lineRule="atLeast"/>
        <w:ind w:firstLine="1961" w:firstLineChars="700"/>
        <w:outlineLvl w:val="1"/>
        <w:rPr>
          <w:rFonts w:ascii="微软雅黑" w:hAnsi="微软雅黑" w:eastAsia="微软雅黑" w:cs="微软雅黑"/>
          <w:szCs w:val="21"/>
          <w:highlight w:val="none"/>
        </w:rPr>
      </w:pPr>
      <w:bookmarkStart w:id="712" w:name="_Toc31032"/>
      <w:bookmarkStart w:id="713" w:name="_Toc5767"/>
      <w:r>
        <w:rPr>
          <w:rFonts w:hint="eastAsia" w:ascii="微软雅黑" w:hAnsi="微软雅黑" w:eastAsia="微软雅黑" w:cs="微软雅黑"/>
          <w:b/>
          <w:bCs/>
          <w:sz w:val="28"/>
          <w:szCs w:val="28"/>
          <w:highlight w:val="none"/>
        </w:rPr>
        <w:t xml:space="preserve">第一部分 </w:t>
      </w:r>
      <w:r>
        <w:rPr>
          <w:rFonts w:hint="eastAsia" w:ascii="微软雅黑" w:hAnsi="微软雅黑" w:eastAsia="微软雅黑" w:cs="微软雅黑"/>
          <w:b/>
          <w:sz w:val="28"/>
          <w:szCs w:val="28"/>
          <w:highlight w:val="none"/>
        </w:rPr>
        <w:t>磋商</w:t>
      </w:r>
      <w:r>
        <w:rPr>
          <w:rFonts w:hint="eastAsia" w:ascii="微软雅黑" w:hAnsi="微软雅黑" w:eastAsia="微软雅黑" w:cs="微软雅黑"/>
          <w:b/>
          <w:bCs/>
          <w:sz w:val="28"/>
          <w:szCs w:val="28"/>
          <w:highlight w:val="none"/>
        </w:rPr>
        <w:t>一览表及资格证明文件</w:t>
      </w:r>
      <w:bookmarkEnd w:id="687"/>
      <w:bookmarkEnd w:id="688"/>
      <w:bookmarkEnd w:id="689"/>
      <w:bookmarkEnd w:id="690"/>
      <w:bookmarkEnd w:id="691"/>
      <w:bookmarkEnd w:id="692"/>
      <w:bookmarkEnd w:id="693"/>
      <w:bookmarkEnd w:id="712"/>
      <w:bookmarkEnd w:id="713"/>
    </w:p>
    <w:p w14:paraId="0602415E">
      <w:pPr>
        <w:spacing w:line="440" w:lineRule="exact"/>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1.磋商一览表;</w:t>
      </w:r>
    </w:p>
    <w:p w14:paraId="76B1087F">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lang w:eastAsia="zh-CN"/>
        </w:rPr>
        <w:t>具备有效的营业执照；</w:t>
      </w:r>
    </w:p>
    <w:p w14:paraId="7AADFFD6">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3</w:t>
      </w:r>
      <w:r>
        <w:rPr>
          <w:rFonts w:hint="eastAsia" w:ascii="微软雅黑" w:hAnsi="微软雅黑" w:eastAsia="微软雅黑" w:cs="微软雅黑"/>
          <w:sz w:val="24"/>
          <w:highlight w:val="none"/>
          <w:lang w:eastAsia="zh-CN"/>
        </w:rPr>
        <w:t>.供应商须具有有效的建筑工程施工总承包贰级（含）及以上资质，并取得有效的《安全生产许可证》；</w:t>
      </w:r>
    </w:p>
    <w:p w14:paraId="72DCC67A">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4</w:t>
      </w:r>
      <w:r>
        <w:rPr>
          <w:rFonts w:hint="eastAsia" w:ascii="微软雅黑" w:hAnsi="微软雅黑" w:eastAsia="微软雅黑" w:cs="微软雅黑"/>
          <w:sz w:val="24"/>
          <w:highlight w:val="none"/>
          <w:lang w:eastAsia="zh-CN"/>
        </w:rPr>
        <w:t>.项目负责人须具备建筑工程贰级(含)及以上注册建造师执业资格, 具备有效的安全生产考核合格证书（B类），且未担任其他在施建设项目的项目负责人并出具无在建承诺书；</w:t>
      </w:r>
    </w:p>
    <w:p w14:paraId="2FE1233F">
      <w:pPr>
        <w:spacing w:line="440" w:lineRule="exact"/>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5.法定代表人资格证明（法定代表人需提供身份证）；</w:t>
      </w:r>
    </w:p>
    <w:p w14:paraId="66ED018A">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6.</w:t>
      </w:r>
      <w:r>
        <w:rPr>
          <w:rFonts w:hint="eastAsia" w:ascii="微软雅黑" w:hAnsi="微软雅黑" w:eastAsia="微软雅黑" w:cs="微软雅黑"/>
          <w:sz w:val="24"/>
          <w:highlight w:val="none"/>
          <w:lang w:eastAsia="zh-CN"/>
        </w:rPr>
        <w:t>提供2023年度或2024年度的财务审计报告（成立未满十二个月的新公司可提供近三个月内任意一个月的银行资信证明）；</w:t>
      </w:r>
    </w:p>
    <w:p w14:paraId="12BBD21F">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7.依法缴纳近六个月内任意一个月的社会保险证明；</w:t>
      </w:r>
    </w:p>
    <w:p w14:paraId="703F10E8">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8.依法缴纳近六个月内任意一个月的税收证明；</w:t>
      </w:r>
    </w:p>
    <w:p w14:paraId="5B2902D3">
      <w:pPr>
        <w:spacing w:line="44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9.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025FE667">
      <w:pPr>
        <w:spacing w:line="440" w:lineRule="exact"/>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10.参加政府采购活动前三年内在经营活动中没有重大违法记录的书面声明；</w:t>
      </w:r>
    </w:p>
    <w:p w14:paraId="418FC89F">
      <w:pPr>
        <w:spacing w:line="440" w:lineRule="exact"/>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11.具备履行合同所必需的设备和专业技术能力的证明材料；</w:t>
      </w:r>
    </w:p>
    <w:p w14:paraId="65C2E9D4">
      <w:pPr>
        <w:spacing w:line="44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12.</w:t>
      </w:r>
      <w:r>
        <w:rPr>
          <w:rFonts w:hint="eastAsia" w:ascii="微软雅黑" w:hAnsi="微软雅黑" w:eastAsia="微软雅黑" w:cs="微软雅黑"/>
          <w:sz w:val="24"/>
          <w:highlight w:val="none"/>
          <w:lang w:eastAsia="zh-CN"/>
        </w:rPr>
        <w:t>缴纳</w:t>
      </w: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lang w:eastAsia="zh-CN"/>
        </w:rPr>
        <w:t>保证金的有效凭证</w:t>
      </w:r>
      <w:r>
        <w:rPr>
          <w:rFonts w:hint="eastAsia" w:ascii="微软雅黑" w:hAnsi="微软雅黑" w:eastAsia="微软雅黑" w:cs="微软雅黑"/>
          <w:sz w:val="24"/>
          <w:highlight w:val="none"/>
        </w:rPr>
        <w:t>；</w:t>
      </w:r>
    </w:p>
    <w:p w14:paraId="168CB5EC">
      <w:pPr>
        <w:spacing w:line="44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13.</w:t>
      </w:r>
      <w:r>
        <w:rPr>
          <w:rFonts w:hint="eastAsia" w:ascii="微软雅黑" w:hAnsi="微软雅黑" w:eastAsia="微软雅黑" w:cs="微软雅黑"/>
          <w:sz w:val="24"/>
          <w:highlight w:val="none"/>
        </w:rPr>
        <w:t>银行开户许可证复印件或银行基本账户信息(包含：银行账号及开户行名称）；</w:t>
      </w:r>
    </w:p>
    <w:p w14:paraId="3B91A23D">
      <w:pPr>
        <w:spacing w:line="440" w:lineRule="exact"/>
        <w:rPr>
          <w:rFonts w:ascii="微软雅黑" w:hAnsi="微软雅黑" w:eastAsia="微软雅黑" w:cs="微软雅黑"/>
          <w:highlight w:val="none"/>
        </w:rPr>
      </w:pPr>
      <w:r>
        <w:rPr>
          <w:rFonts w:hint="eastAsia" w:ascii="微软雅黑" w:hAnsi="微软雅黑" w:eastAsia="微软雅黑" w:cs="微软雅黑"/>
          <w:sz w:val="24"/>
          <w:highlight w:val="none"/>
          <w:lang w:val="en-US" w:eastAsia="zh-CN"/>
        </w:rPr>
        <w:t>14.供应商可提供有利于磋商的其他资格证明材料。</w:t>
      </w:r>
    </w:p>
    <w:p w14:paraId="5063D8A3">
      <w:pPr>
        <w:pStyle w:val="8"/>
        <w:tabs>
          <w:tab w:val="left" w:pos="5580"/>
        </w:tabs>
        <w:spacing w:line="400" w:lineRule="exact"/>
        <w:jc w:val="both"/>
        <w:outlineLvl w:val="9"/>
        <w:rPr>
          <w:rFonts w:hint="eastAsia" w:ascii="微软雅黑" w:hAnsi="微软雅黑" w:eastAsia="微软雅黑" w:cs="微软雅黑"/>
          <w:b/>
          <w:bCs/>
          <w:sz w:val="22"/>
          <w:szCs w:val="21"/>
          <w:highlight w:val="none"/>
        </w:rPr>
      </w:pPr>
      <w:bookmarkStart w:id="714" w:name="_Toc30972"/>
      <w:bookmarkStart w:id="715" w:name="_Toc27327"/>
      <w:bookmarkStart w:id="716" w:name="_Toc4357"/>
      <w:r>
        <w:rPr>
          <w:rFonts w:hint="eastAsia" w:ascii="微软雅黑" w:hAnsi="微软雅黑" w:eastAsia="微软雅黑" w:cs="微软雅黑"/>
          <w:b/>
          <w:bCs/>
          <w:sz w:val="22"/>
          <w:szCs w:val="21"/>
          <w:highlight w:val="none"/>
        </w:rPr>
        <w:t>各供应商应注意以下事项：①本项目要求各投标供应商提供“</w:t>
      </w:r>
      <w:r>
        <w:rPr>
          <w:rFonts w:hint="eastAsia" w:ascii="微软雅黑" w:hAnsi="微软雅黑" w:eastAsia="微软雅黑" w:cs="微软雅黑"/>
          <w:b/>
          <w:bCs/>
          <w:sz w:val="22"/>
          <w:szCs w:val="21"/>
          <w:highlight w:val="none"/>
          <w:lang w:eastAsia="zh-CN"/>
        </w:rPr>
        <w:t>依法缴纳近六个月内任意一个月的税收证明</w:t>
      </w:r>
      <w:r>
        <w:rPr>
          <w:rFonts w:hint="eastAsia" w:ascii="微软雅黑" w:hAnsi="微软雅黑" w:eastAsia="微软雅黑" w:cs="微软雅黑"/>
          <w:b/>
          <w:bCs/>
          <w:sz w:val="22"/>
          <w:szCs w:val="21"/>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税收证明（“税种”不可为养老保险、医疗保险、失业保险、工伤保险和生育保险）。</w:t>
      </w:r>
      <w:bookmarkEnd w:id="714"/>
    </w:p>
    <w:p w14:paraId="2821EAB5">
      <w:pPr>
        <w:rPr>
          <w:rFonts w:ascii="微软雅黑" w:hAnsi="微软雅黑" w:eastAsia="微软雅黑" w:cs="微软雅黑"/>
          <w:b/>
          <w:bCs/>
          <w:kern w:val="0"/>
          <w:sz w:val="24"/>
          <w:szCs w:val="24"/>
          <w:highlight w:val="none"/>
          <w:lang w:val="en-US" w:eastAsia="zh-CN" w:bidi="ar-SA"/>
        </w:rPr>
      </w:pPr>
      <w:r>
        <w:rPr>
          <w:rFonts w:ascii="微软雅黑" w:hAnsi="微软雅黑" w:eastAsia="微软雅黑" w:cs="微软雅黑"/>
          <w:b/>
          <w:bCs/>
          <w:kern w:val="0"/>
          <w:sz w:val="24"/>
          <w:szCs w:val="24"/>
          <w:highlight w:val="none"/>
          <w:lang w:val="en-US" w:eastAsia="zh-CN" w:bidi="ar-SA"/>
        </w:rPr>
        <w:br w:type="page"/>
      </w:r>
    </w:p>
    <w:p w14:paraId="7AAD3E89">
      <w:pPr>
        <w:pStyle w:val="8"/>
        <w:numPr>
          <w:ilvl w:val="0"/>
          <w:numId w:val="0"/>
        </w:numPr>
        <w:tabs>
          <w:tab w:val="left" w:pos="5580"/>
        </w:tabs>
        <w:spacing w:line="400" w:lineRule="exact"/>
        <w:ind w:firstLine="0" w:firstLineChars="0"/>
        <w:outlineLvl w:val="2"/>
        <w:rPr>
          <w:rFonts w:ascii="微软雅黑" w:hAnsi="微软雅黑" w:eastAsia="微软雅黑" w:cs="微软雅黑"/>
          <w:b/>
          <w:bCs/>
          <w:szCs w:val="24"/>
          <w:highlight w:val="none"/>
        </w:rPr>
      </w:pPr>
      <w:bookmarkStart w:id="717" w:name="_Toc19894"/>
      <w:r>
        <w:rPr>
          <w:rFonts w:ascii="微软雅黑" w:hAnsi="微软雅黑" w:eastAsia="微软雅黑" w:cs="微软雅黑"/>
          <w:b/>
          <w:bCs/>
          <w:kern w:val="0"/>
          <w:sz w:val="24"/>
          <w:szCs w:val="24"/>
          <w:highlight w:val="none"/>
          <w:lang w:val="en-US" w:eastAsia="zh-CN" w:bidi="ar-SA"/>
        </w:rPr>
        <w:t>1</w:t>
      </w:r>
      <w:r>
        <w:rPr>
          <w:rFonts w:hint="eastAsia" w:ascii="微软雅黑" w:hAnsi="微软雅黑" w:eastAsia="微软雅黑" w:cs="微软雅黑"/>
          <w:b/>
          <w:bCs/>
          <w:kern w:val="0"/>
          <w:sz w:val="24"/>
          <w:szCs w:val="24"/>
          <w:highlight w:val="none"/>
          <w:lang w:val="en-US" w:eastAsia="zh-CN" w:bidi="ar-SA"/>
        </w:rPr>
        <w:t>.</w:t>
      </w:r>
      <w:r>
        <w:rPr>
          <w:rFonts w:hint="eastAsia" w:ascii="微软雅黑" w:hAnsi="微软雅黑" w:eastAsia="微软雅黑" w:cs="微软雅黑"/>
          <w:b/>
          <w:bCs/>
          <w:szCs w:val="24"/>
          <w:highlight w:val="none"/>
        </w:rPr>
        <w:t>磋商一览表</w:t>
      </w:r>
      <w:bookmarkEnd w:id="694"/>
      <w:bookmarkEnd w:id="695"/>
      <w:bookmarkEnd w:id="696"/>
      <w:bookmarkEnd w:id="697"/>
      <w:bookmarkEnd w:id="698"/>
      <w:bookmarkEnd w:id="699"/>
      <w:bookmarkEnd w:id="700"/>
      <w:bookmarkEnd w:id="701"/>
      <w:bookmarkEnd w:id="702"/>
      <w:bookmarkEnd w:id="703"/>
      <w:bookmarkEnd w:id="704"/>
      <w:bookmarkEnd w:id="705"/>
      <w:bookmarkEnd w:id="715"/>
      <w:bookmarkEnd w:id="716"/>
      <w:bookmarkEnd w:id="717"/>
    </w:p>
    <w:p w14:paraId="521F8430">
      <w:pPr>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磋商报价一览表（第一轮报价）</w:t>
      </w:r>
    </w:p>
    <w:p w14:paraId="6E4C0F06">
      <w:pPr>
        <w:pStyle w:val="9"/>
        <w:ind w:firstLine="0"/>
        <w:rPr>
          <w:highlight w:val="none"/>
        </w:rPr>
      </w:pPr>
    </w:p>
    <w:p w14:paraId="2A49D2DE">
      <w:pPr>
        <w:spacing w:line="400" w:lineRule="exact"/>
        <w:rPr>
          <w:rFonts w:ascii="微软雅黑" w:hAnsi="微软雅黑" w:eastAsia="微软雅黑" w:cs="微软雅黑"/>
          <w:sz w:val="24"/>
          <w:highlight w:val="none"/>
        </w:rPr>
      </w:pPr>
      <w:bookmarkStart w:id="718" w:name="_Hlt520356241"/>
      <w:bookmarkEnd w:id="718"/>
      <w:r>
        <w:rPr>
          <w:rFonts w:hint="eastAsia" w:ascii="微软雅黑" w:hAnsi="微软雅黑" w:eastAsia="微软雅黑" w:cs="微软雅黑"/>
          <w:sz w:val="24"/>
          <w:highlight w:val="none"/>
        </w:rPr>
        <w:t>项目名称：                                     项目编号：</w:t>
      </w:r>
    </w:p>
    <w:p w14:paraId="597F401F">
      <w:pPr>
        <w:spacing w:line="400" w:lineRule="exact"/>
        <w:rPr>
          <w:rFonts w:ascii="微软雅黑" w:hAnsi="微软雅黑" w:eastAsia="微软雅黑" w:cs="微软雅黑"/>
          <w:sz w:val="24"/>
          <w:highlight w:val="none"/>
        </w:rPr>
      </w:pPr>
    </w:p>
    <w:p w14:paraId="5F07E34A">
      <w:pPr>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报价单位：人民币 元</w:t>
      </w:r>
    </w:p>
    <w:p w14:paraId="1EAF414A">
      <w:pPr>
        <w:pStyle w:val="8"/>
        <w:rPr>
          <w:highlight w:val="none"/>
        </w:rPr>
      </w:pPr>
    </w:p>
    <w:tbl>
      <w:tblPr>
        <w:tblStyle w:val="27"/>
        <w:tblW w:w="5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2284"/>
        <w:gridCol w:w="1874"/>
        <w:gridCol w:w="1511"/>
        <w:gridCol w:w="1511"/>
        <w:gridCol w:w="974"/>
      </w:tblGrid>
      <w:tr w14:paraId="4D8C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882" w:type="dxa"/>
            <w:vAlign w:val="center"/>
          </w:tcPr>
          <w:p w14:paraId="3D21B09F">
            <w:pPr>
              <w:pStyle w:val="16"/>
              <w:tabs>
                <w:tab w:val="left" w:pos="5580"/>
              </w:tabs>
              <w:spacing w:line="40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名称</w:t>
            </w:r>
          </w:p>
        </w:tc>
        <w:tc>
          <w:tcPr>
            <w:tcW w:w="2284" w:type="dxa"/>
            <w:vAlign w:val="center"/>
          </w:tcPr>
          <w:p w14:paraId="6EE60782">
            <w:pPr>
              <w:spacing w:line="44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报价</w:t>
            </w:r>
          </w:p>
        </w:tc>
        <w:tc>
          <w:tcPr>
            <w:tcW w:w="1874" w:type="dxa"/>
            <w:vAlign w:val="center"/>
          </w:tcPr>
          <w:p w14:paraId="2D4CEA6B">
            <w:pPr>
              <w:spacing w:line="44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磋商保证金</w:t>
            </w:r>
          </w:p>
        </w:tc>
        <w:tc>
          <w:tcPr>
            <w:tcW w:w="1511" w:type="dxa"/>
            <w:vAlign w:val="center"/>
          </w:tcPr>
          <w:p w14:paraId="264D8357">
            <w:pPr>
              <w:pStyle w:val="16"/>
              <w:tabs>
                <w:tab w:val="left" w:pos="5580"/>
              </w:tabs>
              <w:spacing w:line="400" w:lineRule="exact"/>
              <w:jc w:val="cente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工期</w:t>
            </w:r>
          </w:p>
        </w:tc>
        <w:tc>
          <w:tcPr>
            <w:tcW w:w="1511" w:type="dxa"/>
            <w:vAlign w:val="center"/>
          </w:tcPr>
          <w:p w14:paraId="69B4A218">
            <w:pPr>
              <w:pStyle w:val="16"/>
              <w:tabs>
                <w:tab w:val="left" w:pos="5580"/>
              </w:tabs>
              <w:spacing w:line="400" w:lineRule="exact"/>
              <w:jc w:val="center"/>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质保期</w:t>
            </w:r>
          </w:p>
        </w:tc>
        <w:tc>
          <w:tcPr>
            <w:tcW w:w="974" w:type="dxa"/>
            <w:vAlign w:val="center"/>
          </w:tcPr>
          <w:p w14:paraId="70F43E13">
            <w:pPr>
              <w:pStyle w:val="16"/>
              <w:tabs>
                <w:tab w:val="left" w:pos="5580"/>
              </w:tabs>
              <w:spacing w:line="40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备注</w:t>
            </w:r>
          </w:p>
        </w:tc>
      </w:tr>
      <w:tr w14:paraId="1ADE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882" w:type="dxa"/>
            <w:vAlign w:val="center"/>
          </w:tcPr>
          <w:p w14:paraId="201B1ACF">
            <w:pPr>
              <w:pStyle w:val="16"/>
              <w:tabs>
                <w:tab w:val="left" w:pos="5580"/>
              </w:tabs>
              <w:spacing w:line="400" w:lineRule="exact"/>
              <w:jc w:val="both"/>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工程类部分</w:t>
            </w:r>
          </w:p>
        </w:tc>
        <w:tc>
          <w:tcPr>
            <w:tcW w:w="2284" w:type="dxa"/>
            <w:vAlign w:val="center"/>
          </w:tcPr>
          <w:p w14:paraId="5E9BDE1F">
            <w:pPr>
              <w:pStyle w:val="16"/>
              <w:tabs>
                <w:tab w:val="left" w:pos="5580"/>
              </w:tabs>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大写：</w:t>
            </w:r>
          </w:p>
          <w:p w14:paraId="7A2C1F88">
            <w:pPr>
              <w:pStyle w:val="16"/>
              <w:tabs>
                <w:tab w:val="left" w:pos="5580"/>
              </w:tabs>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小写：</w:t>
            </w:r>
          </w:p>
        </w:tc>
        <w:tc>
          <w:tcPr>
            <w:tcW w:w="1874" w:type="dxa"/>
            <w:vMerge w:val="restart"/>
            <w:vAlign w:val="center"/>
          </w:tcPr>
          <w:p w14:paraId="53F378E7">
            <w:pPr>
              <w:pStyle w:val="16"/>
              <w:tabs>
                <w:tab w:val="left" w:pos="5580"/>
              </w:tabs>
              <w:spacing w:line="400" w:lineRule="exact"/>
              <w:rPr>
                <w:rFonts w:ascii="微软雅黑" w:hAnsi="微软雅黑" w:eastAsia="微软雅黑" w:cs="微软雅黑"/>
                <w:sz w:val="24"/>
                <w:highlight w:val="none"/>
              </w:rPr>
            </w:pPr>
          </w:p>
        </w:tc>
        <w:tc>
          <w:tcPr>
            <w:tcW w:w="1511" w:type="dxa"/>
            <w:vMerge w:val="restart"/>
            <w:vAlign w:val="center"/>
          </w:tcPr>
          <w:p w14:paraId="1B485ACA">
            <w:pPr>
              <w:pStyle w:val="16"/>
              <w:tabs>
                <w:tab w:val="left" w:pos="5580"/>
              </w:tabs>
              <w:spacing w:line="400" w:lineRule="exact"/>
              <w:ind w:left="1080" w:leftChars="257" w:hanging="540"/>
              <w:rPr>
                <w:rFonts w:ascii="微软雅黑" w:hAnsi="微软雅黑" w:eastAsia="微软雅黑" w:cs="微软雅黑"/>
                <w:sz w:val="24"/>
                <w:highlight w:val="none"/>
              </w:rPr>
            </w:pPr>
          </w:p>
        </w:tc>
        <w:tc>
          <w:tcPr>
            <w:tcW w:w="1511" w:type="dxa"/>
            <w:vMerge w:val="restart"/>
            <w:vAlign w:val="center"/>
          </w:tcPr>
          <w:p w14:paraId="06C104EB">
            <w:pPr>
              <w:pStyle w:val="16"/>
              <w:tabs>
                <w:tab w:val="left" w:pos="5580"/>
              </w:tabs>
              <w:spacing w:line="400" w:lineRule="exact"/>
              <w:ind w:left="1080" w:leftChars="257" w:hanging="540"/>
              <w:rPr>
                <w:rFonts w:ascii="微软雅黑" w:hAnsi="微软雅黑" w:eastAsia="微软雅黑" w:cs="微软雅黑"/>
                <w:sz w:val="24"/>
                <w:highlight w:val="none"/>
              </w:rPr>
            </w:pPr>
          </w:p>
        </w:tc>
        <w:tc>
          <w:tcPr>
            <w:tcW w:w="974" w:type="dxa"/>
            <w:vMerge w:val="restart"/>
            <w:vAlign w:val="center"/>
          </w:tcPr>
          <w:p w14:paraId="5558D4CE">
            <w:pPr>
              <w:pStyle w:val="16"/>
              <w:tabs>
                <w:tab w:val="left" w:pos="5580"/>
              </w:tabs>
              <w:spacing w:line="400" w:lineRule="exact"/>
              <w:ind w:left="1080" w:leftChars="257" w:hanging="540"/>
              <w:rPr>
                <w:rFonts w:ascii="微软雅黑" w:hAnsi="微软雅黑" w:eastAsia="微软雅黑" w:cs="微软雅黑"/>
                <w:sz w:val="24"/>
                <w:highlight w:val="none"/>
              </w:rPr>
            </w:pPr>
          </w:p>
        </w:tc>
      </w:tr>
      <w:tr w14:paraId="56AB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882" w:type="dxa"/>
            <w:vAlign w:val="center"/>
          </w:tcPr>
          <w:p w14:paraId="3EE7282E">
            <w:pPr>
              <w:pStyle w:val="16"/>
              <w:tabs>
                <w:tab w:val="left" w:pos="5580"/>
              </w:tabs>
              <w:spacing w:line="400" w:lineRule="exact"/>
              <w:jc w:val="both"/>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货物类部分</w:t>
            </w:r>
          </w:p>
        </w:tc>
        <w:tc>
          <w:tcPr>
            <w:tcW w:w="2284" w:type="dxa"/>
            <w:vAlign w:val="center"/>
          </w:tcPr>
          <w:p w14:paraId="3578BFCF">
            <w:pPr>
              <w:pStyle w:val="16"/>
              <w:tabs>
                <w:tab w:val="left" w:pos="5580"/>
              </w:tabs>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大写：</w:t>
            </w:r>
          </w:p>
          <w:p w14:paraId="2B3561A3">
            <w:pPr>
              <w:pStyle w:val="16"/>
              <w:tabs>
                <w:tab w:val="left" w:pos="5580"/>
              </w:tabs>
              <w:spacing w:line="40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小写：</w:t>
            </w:r>
          </w:p>
        </w:tc>
        <w:tc>
          <w:tcPr>
            <w:tcW w:w="1874" w:type="dxa"/>
            <w:vMerge w:val="continue"/>
            <w:vAlign w:val="center"/>
          </w:tcPr>
          <w:p w14:paraId="007FD9D5">
            <w:pPr>
              <w:pStyle w:val="16"/>
              <w:tabs>
                <w:tab w:val="left" w:pos="5580"/>
              </w:tabs>
              <w:spacing w:line="400" w:lineRule="exact"/>
              <w:rPr>
                <w:rFonts w:hint="eastAsia" w:ascii="微软雅黑" w:hAnsi="微软雅黑" w:eastAsia="微软雅黑" w:cs="微软雅黑"/>
                <w:sz w:val="24"/>
                <w:highlight w:val="none"/>
              </w:rPr>
            </w:pPr>
          </w:p>
        </w:tc>
        <w:tc>
          <w:tcPr>
            <w:tcW w:w="1511" w:type="dxa"/>
            <w:vMerge w:val="continue"/>
            <w:vAlign w:val="center"/>
          </w:tcPr>
          <w:p w14:paraId="06672A8C">
            <w:pPr>
              <w:pStyle w:val="16"/>
              <w:tabs>
                <w:tab w:val="left" w:pos="5580"/>
              </w:tabs>
              <w:spacing w:line="400" w:lineRule="exact"/>
              <w:ind w:left="1080" w:leftChars="257" w:hanging="540"/>
              <w:rPr>
                <w:rFonts w:ascii="微软雅黑" w:hAnsi="微软雅黑" w:eastAsia="微软雅黑" w:cs="微软雅黑"/>
                <w:sz w:val="24"/>
                <w:highlight w:val="none"/>
              </w:rPr>
            </w:pPr>
          </w:p>
        </w:tc>
        <w:tc>
          <w:tcPr>
            <w:tcW w:w="1511" w:type="dxa"/>
            <w:vMerge w:val="continue"/>
            <w:vAlign w:val="center"/>
          </w:tcPr>
          <w:p w14:paraId="039B3B0C">
            <w:pPr>
              <w:pStyle w:val="16"/>
              <w:tabs>
                <w:tab w:val="left" w:pos="5580"/>
              </w:tabs>
              <w:spacing w:line="400" w:lineRule="exact"/>
              <w:ind w:left="1080" w:leftChars="257" w:hanging="540"/>
              <w:rPr>
                <w:rFonts w:ascii="微软雅黑" w:hAnsi="微软雅黑" w:eastAsia="微软雅黑" w:cs="微软雅黑"/>
                <w:sz w:val="24"/>
                <w:highlight w:val="none"/>
              </w:rPr>
            </w:pPr>
          </w:p>
        </w:tc>
        <w:tc>
          <w:tcPr>
            <w:tcW w:w="974" w:type="dxa"/>
            <w:vMerge w:val="continue"/>
            <w:vAlign w:val="center"/>
          </w:tcPr>
          <w:p w14:paraId="06C03F42">
            <w:pPr>
              <w:pStyle w:val="16"/>
              <w:tabs>
                <w:tab w:val="left" w:pos="5580"/>
              </w:tabs>
              <w:spacing w:line="400" w:lineRule="exact"/>
              <w:ind w:left="1080" w:leftChars="257" w:hanging="540"/>
              <w:rPr>
                <w:rFonts w:ascii="微软雅黑" w:hAnsi="微软雅黑" w:eastAsia="微软雅黑" w:cs="微软雅黑"/>
                <w:sz w:val="24"/>
                <w:highlight w:val="none"/>
              </w:rPr>
            </w:pPr>
          </w:p>
        </w:tc>
      </w:tr>
      <w:tr w14:paraId="35B9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882" w:type="dxa"/>
            <w:vAlign w:val="center"/>
          </w:tcPr>
          <w:p w14:paraId="188F3CB6">
            <w:pPr>
              <w:pStyle w:val="16"/>
              <w:tabs>
                <w:tab w:val="left" w:pos="5580"/>
              </w:tabs>
              <w:spacing w:line="400" w:lineRule="exact"/>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磋商总价</w:t>
            </w:r>
          </w:p>
        </w:tc>
        <w:tc>
          <w:tcPr>
            <w:tcW w:w="8154" w:type="dxa"/>
            <w:gridSpan w:val="5"/>
            <w:vAlign w:val="center"/>
          </w:tcPr>
          <w:p w14:paraId="273B8A56">
            <w:pPr>
              <w:pStyle w:val="16"/>
              <w:tabs>
                <w:tab w:val="left" w:pos="5580"/>
              </w:tabs>
              <w:spacing w:line="400" w:lineRule="exact"/>
              <w:ind w:left="1080" w:leftChars="257" w:hanging="540"/>
              <w:rPr>
                <w:rFonts w:ascii="微软雅黑" w:hAnsi="微软雅黑" w:eastAsia="微软雅黑" w:cs="微软雅黑"/>
                <w:sz w:val="24"/>
                <w:highlight w:val="none"/>
              </w:rPr>
            </w:pPr>
          </w:p>
        </w:tc>
      </w:tr>
    </w:tbl>
    <w:p w14:paraId="1D45F310">
      <w:pPr>
        <w:pStyle w:val="16"/>
        <w:tabs>
          <w:tab w:val="left" w:pos="5580"/>
        </w:tabs>
        <w:spacing w:line="400" w:lineRule="exact"/>
        <w:ind w:left="1080" w:leftChars="257" w:hanging="540"/>
        <w:rPr>
          <w:rFonts w:ascii="微软雅黑" w:hAnsi="微软雅黑" w:eastAsia="微软雅黑" w:cs="微软雅黑"/>
          <w:sz w:val="24"/>
          <w:highlight w:val="none"/>
        </w:rPr>
      </w:pPr>
    </w:p>
    <w:p w14:paraId="29F39EF8">
      <w:pPr>
        <w:pStyle w:val="16"/>
        <w:tabs>
          <w:tab w:val="left" w:pos="5580"/>
        </w:tabs>
        <w:spacing w:line="400" w:lineRule="exact"/>
        <w:ind w:left="1080" w:leftChars="257" w:hanging="540"/>
        <w:rPr>
          <w:rFonts w:ascii="微软雅黑" w:hAnsi="微软雅黑" w:eastAsia="微软雅黑" w:cs="微软雅黑"/>
          <w:sz w:val="24"/>
          <w:highlight w:val="none"/>
          <w:u w:val="single"/>
        </w:rPr>
      </w:pPr>
    </w:p>
    <w:p w14:paraId="6D9D2502">
      <w:pPr>
        <w:pStyle w:val="16"/>
        <w:tabs>
          <w:tab w:val="left" w:pos="5580"/>
        </w:tabs>
        <w:spacing w:line="400" w:lineRule="exact"/>
        <w:ind w:left="1080" w:leftChars="257" w:hanging="54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供应商名称（公章）：</w:t>
      </w:r>
      <w:r>
        <w:rPr>
          <w:rFonts w:hint="eastAsia" w:ascii="微软雅黑" w:hAnsi="微软雅黑" w:eastAsia="微软雅黑" w:cs="微软雅黑"/>
          <w:sz w:val="24"/>
          <w:szCs w:val="24"/>
          <w:highlight w:val="none"/>
          <w:u w:val="single"/>
        </w:rPr>
        <w:t xml:space="preserve">                       </w:t>
      </w:r>
    </w:p>
    <w:p w14:paraId="48ED9C1B">
      <w:pPr>
        <w:pStyle w:val="16"/>
        <w:tabs>
          <w:tab w:val="left" w:pos="5580"/>
        </w:tabs>
        <w:spacing w:line="400" w:lineRule="exact"/>
        <w:ind w:left="1080" w:leftChars="257" w:hanging="540"/>
        <w:rPr>
          <w:rFonts w:ascii="微软雅黑" w:hAnsi="微软雅黑" w:eastAsia="微软雅黑" w:cs="微软雅黑"/>
          <w:sz w:val="24"/>
          <w:szCs w:val="24"/>
          <w:highlight w:val="none"/>
          <w:u w:val="single"/>
        </w:rPr>
      </w:pPr>
      <w:r>
        <w:rPr>
          <w:rFonts w:hint="eastAsia" w:ascii="微软雅黑" w:hAnsi="微软雅黑" w:eastAsia="微软雅黑" w:cs="微软雅黑"/>
          <w:sz w:val="24"/>
          <w:szCs w:val="24"/>
          <w:highlight w:val="none"/>
        </w:rPr>
        <w:t>法定代表人(签字或盖章):</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rPr>
        <w:t xml:space="preserve"> </w:t>
      </w:r>
    </w:p>
    <w:p w14:paraId="35849602">
      <w:pPr>
        <w:pStyle w:val="16"/>
        <w:tabs>
          <w:tab w:val="left" w:pos="5580"/>
        </w:tabs>
        <w:spacing w:line="240" w:lineRule="atLeast"/>
        <w:ind w:left="1080" w:leftChars="257" w:hanging="54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日期：</w:t>
      </w:r>
      <w:r>
        <w:rPr>
          <w:rFonts w:hint="eastAsia" w:ascii="微软雅黑" w:hAnsi="微软雅黑" w:eastAsia="微软雅黑" w:cs="微软雅黑"/>
          <w:sz w:val="24"/>
          <w:szCs w:val="24"/>
          <w:highlight w:val="none"/>
          <w:u w:val="single"/>
        </w:rPr>
        <w:tab/>
      </w:r>
      <w:r>
        <w:rPr>
          <w:rFonts w:hint="eastAsia" w:ascii="微软雅黑" w:hAnsi="微软雅黑" w:eastAsia="微软雅黑" w:cs="微软雅黑"/>
          <w:sz w:val="24"/>
          <w:szCs w:val="24"/>
          <w:highlight w:val="none"/>
          <w:u w:val="single"/>
        </w:rPr>
        <w:t xml:space="preserve"> </w:t>
      </w:r>
    </w:p>
    <w:p w14:paraId="3D69A8C7">
      <w:pPr>
        <w:pStyle w:val="16"/>
        <w:tabs>
          <w:tab w:val="left" w:pos="5580"/>
        </w:tabs>
        <w:spacing w:line="400" w:lineRule="exact"/>
        <w:ind w:left="1080" w:leftChars="257" w:hanging="54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注:1、此表应按供应商须知的规定上传。</w:t>
      </w:r>
    </w:p>
    <w:p w14:paraId="6D12AAA3">
      <w:pPr>
        <w:pStyle w:val="16"/>
        <w:tabs>
          <w:tab w:val="left" w:pos="5580"/>
        </w:tabs>
        <w:spacing w:line="400" w:lineRule="exact"/>
        <w:ind w:left="1080" w:leftChars="257" w:hanging="54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2、</w:t>
      </w:r>
      <w:r>
        <w:rPr>
          <w:rFonts w:hint="eastAsia" w:ascii="微软雅黑" w:hAnsi="微软雅黑" w:eastAsia="微软雅黑" w:cs="微软雅黑"/>
          <w:b/>
          <w:bCs/>
          <w:sz w:val="24"/>
          <w:szCs w:val="24"/>
          <w:highlight w:val="none"/>
          <w:lang w:val="en-US" w:eastAsia="zh-CN"/>
        </w:rPr>
        <w:t>工程类部分的最高限价为1117050.53元，货物类部分的最高限价为791100元。各供应商工程类部分及货物类部分的报价均不得超过其最高限价，否则视为无效投标。</w:t>
      </w:r>
    </w:p>
    <w:p w14:paraId="04CF84B6">
      <w:pPr>
        <w:pStyle w:val="16"/>
        <w:tabs>
          <w:tab w:val="left" w:pos="5580"/>
        </w:tabs>
        <w:spacing w:line="400" w:lineRule="exact"/>
        <w:ind w:left="741" w:leftChars="353"/>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3、投标商报价时包含税费等一切与本次项目相关的费用。</w:t>
      </w:r>
    </w:p>
    <w:p w14:paraId="295B6C01">
      <w:pPr>
        <w:pStyle w:val="16"/>
        <w:tabs>
          <w:tab w:val="left" w:pos="5580"/>
        </w:tabs>
        <w:spacing w:line="240" w:lineRule="atLeast"/>
        <w:jc w:val="left"/>
        <w:rPr>
          <w:rFonts w:ascii="微软雅黑" w:hAnsi="微软雅黑" w:eastAsia="微软雅黑" w:cs="微软雅黑"/>
          <w:b/>
          <w:sz w:val="24"/>
          <w:highlight w:val="none"/>
        </w:rPr>
      </w:pPr>
    </w:p>
    <w:p w14:paraId="680BD881">
      <w:pPr>
        <w:pStyle w:val="16"/>
        <w:tabs>
          <w:tab w:val="left" w:pos="5580"/>
        </w:tabs>
        <w:spacing w:line="240" w:lineRule="atLeast"/>
        <w:rPr>
          <w:rFonts w:ascii="微软雅黑" w:hAnsi="微软雅黑" w:eastAsia="微软雅黑" w:cs="微软雅黑"/>
          <w:b/>
          <w:sz w:val="24"/>
          <w:highlight w:val="none"/>
        </w:rPr>
      </w:pPr>
    </w:p>
    <w:p w14:paraId="2822FF08">
      <w:pPr>
        <w:pStyle w:val="16"/>
        <w:tabs>
          <w:tab w:val="left" w:pos="5580"/>
        </w:tabs>
        <w:spacing w:line="400" w:lineRule="exact"/>
        <w:jc w:val="left"/>
        <w:outlineLvl w:val="9"/>
        <w:rPr>
          <w:rFonts w:ascii="微软雅黑" w:hAnsi="微软雅黑" w:eastAsia="微软雅黑" w:cs="微软雅黑"/>
          <w:b/>
          <w:sz w:val="24"/>
          <w:highlight w:val="none"/>
        </w:rPr>
      </w:pPr>
      <w:bookmarkStart w:id="719" w:name="_Toc18624"/>
      <w:bookmarkStart w:id="720" w:name="_Toc17123"/>
    </w:p>
    <w:p w14:paraId="3472C2C5">
      <w:pPr>
        <w:rPr>
          <w:rFonts w:ascii="微软雅黑" w:hAnsi="微软雅黑" w:eastAsia="微软雅黑" w:cs="微软雅黑"/>
          <w:b/>
          <w:sz w:val="24"/>
          <w:highlight w:val="none"/>
        </w:rPr>
      </w:pPr>
      <w:r>
        <w:rPr>
          <w:rFonts w:ascii="微软雅黑" w:hAnsi="微软雅黑" w:eastAsia="微软雅黑" w:cs="微软雅黑"/>
          <w:b/>
          <w:sz w:val="24"/>
          <w:highlight w:val="none"/>
        </w:rPr>
        <w:br w:type="page"/>
      </w:r>
    </w:p>
    <w:p w14:paraId="56FA5AFA">
      <w:pPr>
        <w:rPr>
          <w:highlight w:val="none"/>
        </w:rPr>
      </w:pPr>
    </w:p>
    <w:bookmarkEnd w:id="719"/>
    <w:bookmarkEnd w:id="720"/>
    <w:p w14:paraId="55AA6BC8">
      <w:pPr>
        <w:pStyle w:val="10"/>
        <w:keepNext/>
        <w:keepLines/>
        <w:pageBreakBefore w:val="0"/>
        <w:widowControl w:val="0"/>
        <w:numPr>
          <w:ilvl w:val="0"/>
          <w:numId w:val="4"/>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bookmarkStart w:id="721" w:name="_Toc4026"/>
      <w:bookmarkStart w:id="722" w:name="_Toc12440"/>
      <w:bookmarkStart w:id="723" w:name="_Toc8486"/>
      <w:bookmarkStart w:id="724" w:name="_Toc11956"/>
      <w:bookmarkStart w:id="725" w:name="_Toc25827"/>
      <w:bookmarkStart w:id="726" w:name="_Toc3552"/>
      <w:bookmarkStart w:id="727" w:name="_Toc515647817"/>
      <w:bookmarkStart w:id="728" w:name="_Toc14915"/>
      <w:bookmarkStart w:id="729" w:name="_Toc2041"/>
      <w:bookmarkStart w:id="730" w:name="_Toc28166"/>
      <w:bookmarkStart w:id="731" w:name="_Toc11180"/>
      <w:bookmarkStart w:id="732" w:name="_Toc22967"/>
      <w:bookmarkStart w:id="733" w:name="_Toc15346"/>
      <w:bookmarkStart w:id="734" w:name="_Toc18263"/>
      <w:bookmarkStart w:id="735" w:name="_Toc515647816"/>
      <w:bookmarkStart w:id="736" w:name="_Toc30653"/>
      <w:r>
        <w:rPr>
          <w:rFonts w:hint="eastAsia" w:ascii="微软雅黑" w:hAnsi="微软雅黑" w:eastAsia="微软雅黑" w:cs="微软雅黑"/>
          <w:b/>
          <w:bCs/>
          <w:color w:val="auto"/>
          <w:sz w:val="24"/>
          <w:szCs w:val="24"/>
          <w:highlight w:val="none"/>
          <w:u w:val="none"/>
          <w:lang w:val="en-US" w:eastAsia="zh-CN"/>
        </w:rPr>
        <w:t>具备有效的营业执照；</w:t>
      </w:r>
    </w:p>
    <w:p w14:paraId="6B80C86C">
      <w:pPr>
        <w:pStyle w:val="8"/>
        <w:rPr>
          <w:rFonts w:hint="eastAsia" w:ascii="微软雅黑" w:hAnsi="微软雅黑" w:eastAsia="微软雅黑" w:cs="微软雅黑"/>
          <w:b/>
          <w:bCs/>
          <w:color w:val="auto"/>
          <w:sz w:val="24"/>
          <w:szCs w:val="24"/>
          <w:highlight w:val="none"/>
          <w:u w:val="none"/>
          <w:lang w:val="en-US" w:eastAsia="zh-CN"/>
        </w:rPr>
      </w:pPr>
    </w:p>
    <w:p w14:paraId="0D1D3747">
      <w:pPr>
        <w:pStyle w:val="9"/>
        <w:rPr>
          <w:rFonts w:hint="eastAsia"/>
          <w:highlight w:val="none"/>
          <w:lang w:val="en-US" w:eastAsia="zh-CN"/>
        </w:rPr>
      </w:pPr>
    </w:p>
    <w:p w14:paraId="2A81D78E">
      <w:pPr>
        <w:pStyle w:val="10"/>
        <w:keepNext/>
        <w:keepLines/>
        <w:pageBreakBefore w:val="0"/>
        <w:widowControl w:val="0"/>
        <w:numPr>
          <w:ilvl w:val="0"/>
          <w:numId w:val="4"/>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供应商须具有有效的建筑工程施工总承包贰级（含）及以上资质，并取得有效的《安全生产许可证》；</w:t>
      </w:r>
    </w:p>
    <w:p w14:paraId="41DADCA4">
      <w:pPr>
        <w:pStyle w:val="8"/>
        <w:rPr>
          <w:rFonts w:hint="eastAsia" w:ascii="微软雅黑" w:hAnsi="微软雅黑" w:eastAsia="微软雅黑" w:cs="微软雅黑"/>
          <w:b/>
          <w:bCs/>
          <w:color w:val="auto"/>
          <w:sz w:val="24"/>
          <w:szCs w:val="24"/>
          <w:highlight w:val="none"/>
          <w:u w:val="none"/>
          <w:lang w:val="en-US" w:eastAsia="zh-CN"/>
        </w:rPr>
      </w:pPr>
    </w:p>
    <w:p w14:paraId="4238A0C8">
      <w:pPr>
        <w:pStyle w:val="9"/>
        <w:rPr>
          <w:rFonts w:hint="eastAsia"/>
          <w:highlight w:val="none"/>
          <w:lang w:val="en-US" w:eastAsia="zh-CN"/>
        </w:rPr>
      </w:pPr>
    </w:p>
    <w:p w14:paraId="6F626BC9">
      <w:pPr>
        <w:pStyle w:val="10"/>
        <w:keepNext/>
        <w:keepLines/>
        <w:pageBreakBefore w:val="0"/>
        <w:widowControl w:val="0"/>
        <w:numPr>
          <w:ilvl w:val="0"/>
          <w:numId w:val="4"/>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项目负责人须具备建筑工程贰级(含)及以上注册建造师执业资格, 具备有效的安全生产考核合格证书（B类），且未担任其他在施建设项目的项目负责人并出具无在建承诺书；</w:t>
      </w:r>
      <w:bookmarkStart w:id="737" w:name="_Toc16610"/>
    </w:p>
    <w:p w14:paraId="07B6BF1F">
      <w:pPr>
        <w:rPr>
          <w:rFonts w:hint="eastAsia"/>
          <w:highlight w:val="none"/>
          <w:lang w:val="en-US" w:eastAsia="zh-CN"/>
        </w:rPr>
      </w:pPr>
      <w:r>
        <w:rPr>
          <w:rFonts w:hint="eastAsia" w:ascii="微软雅黑" w:hAnsi="微软雅黑" w:eastAsia="微软雅黑" w:cs="微软雅黑"/>
          <w:b/>
          <w:bCs/>
          <w:color w:val="auto"/>
          <w:sz w:val="24"/>
          <w:szCs w:val="24"/>
          <w:highlight w:val="none"/>
          <w:u w:val="none"/>
          <w:lang w:val="en-US" w:eastAsia="zh-CN"/>
        </w:rPr>
        <w:br w:type="page"/>
      </w:r>
    </w:p>
    <w:p w14:paraId="10999517">
      <w:pPr>
        <w:pStyle w:val="10"/>
        <w:keepNext/>
        <w:keepLines/>
        <w:pageBreakBefore w:val="0"/>
        <w:widowControl w:val="0"/>
        <w:numPr>
          <w:ilvl w:val="0"/>
          <w:numId w:val="4"/>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 xml:space="preserve">法定代表人资格证明（法定代表人需提供身份证）； </w:t>
      </w:r>
    </w:p>
    <w:p w14:paraId="24EFEB5F">
      <w:pPr>
        <w:adjustRightInd w:val="0"/>
        <w:snapToGrid w:val="0"/>
        <w:spacing w:before="240" w:beforeLines="100" w:after="240" w:afterLines="100" w:line="360" w:lineRule="auto"/>
        <w:jc w:val="center"/>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rPr>
        <w:t>法定代表人</w:t>
      </w:r>
      <w:r>
        <w:rPr>
          <w:rFonts w:hint="eastAsia" w:ascii="微软雅黑" w:hAnsi="微软雅黑" w:eastAsia="微软雅黑" w:cs="微软雅黑"/>
          <w:b/>
          <w:color w:val="auto"/>
          <w:sz w:val="24"/>
          <w:szCs w:val="24"/>
          <w:highlight w:val="none"/>
          <w:lang w:val="en-US" w:eastAsia="zh-CN"/>
        </w:rPr>
        <w:t>资格</w:t>
      </w:r>
      <w:r>
        <w:rPr>
          <w:rFonts w:hint="eastAsia" w:ascii="微软雅黑" w:hAnsi="微软雅黑" w:eastAsia="微软雅黑" w:cs="微软雅黑"/>
          <w:b/>
          <w:color w:val="auto"/>
          <w:sz w:val="24"/>
          <w:szCs w:val="24"/>
          <w:highlight w:val="none"/>
        </w:rPr>
        <w:t>证明</w:t>
      </w:r>
    </w:p>
    <w:p w14:paraId="4B52BCCD">
      <w:pPr>
        <w:spacing w:line="240" w:lineRule="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同志，现任我单位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职务，为法定代表人，特此证明。</w:t>
      </w:r>
    </w:p>
    <w:p w14:paraId="59509BB7">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签发日期：</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单位：</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33DB0500">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附：性别：</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年龄：</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身份证号码：</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6657FBDE">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6C7A0A19">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统一社会信用代码</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i/>
          <w:iCs/>
          <w:color w:val="auto"/>
          <w:sz w:val="24"/>
          <w:szCs w:val="24"/>
          <w:highlight w:val="none"/>
          <w:u w:val="single"/>
          <w:lang w:eastAsia="zh-CN"/>
        </w:rPr>
        <w:t xml:space="preserve">  </w:t>
      </w:r>
      <w:r>
        <w:rPr>
          <w:rFonts w:hint="eastAsia" w:ascii="微软雅黑" w:hAnsi="微软雅黑" w:eastAsia="微软雅黑" w:cs="微软雅黑"/>
          <w:i/>
          <w:iCs/>
          <w:color w:val="auto"/>
          <w:sz w:val="24"/>
          <w:szCs w:val="24"/>
          <w:highlight w:val="none"/>
          <w:u w:val="single"/>
          <w:lang w:val="en-US" w:eastAsia="zh-CN"/>
        </w:rPr>
        <w:t xml:space="preserve">    </w:t>
      </w:r>
      <w:r>
        <w:rPr>
          <w:rFonts w:hint="eastAsia" w:ascii="微软雅黑" w:hAnsi="微软雅黑" w:eastAsia="微软雅黑" w:cs="微软雅黑"/>
          <w:i/>
          <w:iCs/>
          <w:color w:val="auto"/>
          <w:sz w:val="24"/>
          <w:szCs w:val="24"/>
          <w:highlight w:val="none"/>
          <w:u w:val="single"/>
          <w:lang w:eastAsia="zh-CN"/>
        </w:rPr>
        <w:t xml:space="preserve">  </w:t>
      </w:r>
      <w:r>
        <w:rPr>
          <w:rFonts w:hint="eastAsia" w:ascii="微软雅黑" w:hAnsi="微软雅黑" w:eastAsia="微软雅黑" w:cs="微软雅黑"/>
          <w:i/>
          <w:iCs/>
          <w:color w:val="auto"/>
          <w:sz w:val="24"/>
          <w:szCs w:val="24"/>
          <w:highlight w:val="none"/>
          <w:u w:val="single"/>
          <w:lang w:val="en-US" w:eastAsia="zh-CN"/>
        </w:rPr>
        <w:t xml:space="preserve">  </w:t>
      </w:r>
      <w:r>
        <w:rPr>
          <w:rFonts w:hint="eastAsia" w:ascii="微软雅黑" w:hAnsi="微软雅黑" w:eastAsia="微软雅黑" w:cs="微软雅黑"/>
          <w:i/>
          <w:iCs/>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rPr>
        <w:t>经济性质：</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rPr>
        <w:t xml:space="preserve">   </w:t>
      </w:r>
    </w:p>
    <w:p w14:paraId="4DA46308">
      <w:pPr>
        <w:spacing w:line="240" w:lineRule="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17277B61">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F2E8739">
      <w:pPr>
        <w:spacing w:line="240" w:lineRule="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 xml:space="preserve">  </w:t>
      </w:r>
      <w:r>
        <w:rPr>
          <w:rFonts w:hint="eastAsia" w:ascii="微软雅黑" w:hAnsi="微软雅黑" w:eastAsia="微软雅黑" w:cs="微软雅黑"/>
          <w:b/>
          <w:bCs/>
          <w:color w:val="auto"/>
          <w:sz w:val="24"/>
          <w:szCs w:val="24"/>
          <w:highlight w:val="none"/>
        </w:rPr>
        <w:t>2、</w:t>
      </w:r>
      <w:r>
        <w:rPr>
          <w:rFonts w:hint="eastAsia" w:ascii="微软雅黑" w:hAnsi="微软雅黑" w:eastAsia="微软雅黑" w:cs="微软雅黑"/>
          <w:b/>
          <w:bCs/>
          <w:color w:val="auto"/>
          <w:sz w:val="24"/>
          <w:szCs w:val="24"/>
          <w:highlight w:val="none"/>
          <w:lang w:val="en-US" w:eastAsia="zh-CN"/>
        </w:rPr>
        <w:t>提供身份证正反面。</w:t>
      </w:r>
    </w:p>
    <w:p w14:paraId="3E129F71">
      <w:pPr>
        <w:spacing w:line="240" w:lineRule="auto"/>
        <w:ind w:firstLine="240" w:firstLineChars="1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内容必须填写真实、清楚、涂改无效，不得转让。</w:t>
      </w:r>
    </w:p>
    <w:p w14:paraId="7D297B39">
      <w:pPr>
        <w:spacing w:line="360" w:lineRule="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154305</wp:posOffset>
                </wp:positionH>
                <wp:positionV relativeFrom="paragraph">
                  <wp:posOffset>10795</wp:posOffset>
                </wp:positionV>
                <wp:extent cx="2333625" cy="1584325"/>
                <wp:effectExtent l="4445" t="4445" r="11430" b="11430"/>
                <wp:wrapNone/>
                <wp:docPr id="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lim="0"/>
                          <a:headEnd type="none" w="med" len="med"/>
                          <a:tailEnd type="none" w="med" len="med"/>
                        </a:ln>
                      </wps:spPr>
                      <wps:txbx>
                        <w:txbxContent>
                          <w:p w14:paraId="79FDD61E">
                            <w:pPr>
                              <w:jc w:val="center"/>
                              <w:rPr>
                                <w:rFonts w:hAnsi="宋体"/>
                                <w:szCs w:val="21"/>
                              </w:rPr>
                            </w:pPr>
                          </w:p>
                          <w:p w14:paraId="3A2BCAAE">
                            <w:pPr>
                              <w:jc w:val="center"/>
                              <w:rPr>
                                <w:rFonts w:hAnsi="宋体"/>
                                <w:szCs w:val="21"/>
                              </w:rPr>
                            </w:pPr>
                          </w:p>
                          <w:p w14:paraId="2831A559">
                            <w:pPr>
                              <w:jc w:val="center"/>
                              <w:rPr>
                                <w:rFonts w:hAnsi="宋体"/>
                                <w:szCs w:val="21"/>
                              </w:rPr>
                            </w:pPr>
                          </w:p>
                          <w:p w14:paraId="4AC1F17E">
                            <w:pPr>
                              <w:jc w:val="center"/>
                              <w:rPr>
                                <w:szCs w:val="21"/>
                              </w:rPr>
                            </w:pPr>
                            <w:r>
                              <w:rPr>
                                <w:rFonts w:hint="eastAsia" w:hAnsi="宋体"/>
                                <w:szCs w:val="21"/>
                              </w:rPr>
                              <w:t>法定代表人身份证复印件</w:t>
                            </w:r>
                          </w:p>
                        </w:txbxContent>
                      </wps:txbx>
                      <wps:bodyPr rot="0" vert="horz" wrap="square" lIns="91440" tIns="45720" rIns="91440" bIns="45720" anchor="t" anchorCtr="0"/>
                    </wps:wsp>
                  </a:graphicData>
                </a:graphic>
              </wp:anchor>
            </w:drawing>
          </mc:Choice>
          <mc:Fallback>
            <w:pict>
              <v:shape id="流程图: 可选过程 14" o:spid="_x0000_s1026" o:spt="176" type="#_x0000_t176" style="position:absolute;left:0pt;margin-left:12.15pt;margin-top:0.85pt;height:124.75pt;width:183.75pt;z-index:251661312;mso-width-relative:page;mso-height-relative:page;" fillcolor="#FFFFFF" filled="t" stroked="t" coordsize="21600,21600" o:gfxdata="UEsDBAoAAAAAAIdO4kAAAAAAAAAAAAAAAAAEAAAAZHJzL1BLAwQUAAAACACHTuJA3x5EgdYAAAAI&#10;AQAADwAAAGRycy9kb3ducmV2LnhtbE2PzU7DMBCE70i8g7VI3KjjlEIT4lSoFQeOtEhwdONtnBKv&#10;o9j9e3uWEz3uzGj2m2px9r044hi7QBrUJAOB1ATbUavhc/P2MAcRkyFr+kCo4YIRFvXtTWVKG070&#10;gcd1agWXUCyNBpfSUEoZG4fexEkYkNjbhdGbxOfYSjuaE5f7XuZZ9iS96Yg/ODPg0mHzsz54DfPi&#10;3WMx26m9W37vmw2uLq9fK63v71T2AiLhOf2H4Q+f0aFmpm04kI2i15A/TjnJ+jMItqeF4iVb1mcq&#10;B1lX8npA/QtQSwMEFAAAAAgAh07iQJZHhEdeAgAAvAQAAA4AAABkcnMvZTJvRG9jLnhtbK1UzY7T&#10;MBC+I/EOlu9s+rvsRk1XqKUICUGlhQeYOk5jyX/YbtNyghNCHHgAXoAbJ67wNMvPWzB2Sre7cOiB&#10;HJIZj+ebmW9mMrrYKEnW3HlhdEG7Jx1KuGamFHpZ0BfPZ/fOKPEBdAnSaF7QLff0Ynz3zqixOe+Z&#10;2siSO4Ig2ueNLWgdgs2zzLOaK/AnxnKNxso4BQFVt8xKBw2iK5n1Op3TrDGutM4w7j2eTlsj3SG6&#10;YwBNVQnGp4atFNehRXVcQsCSfC2sp+OUbVVxFp5VleeByIJipSG9MQjKi/jOxiPIlw5sLdguBTgm&#10;hVs1KRAag+6hphCArJz4C0oJ5ow3VThhRmVtIYkRrKLbucXNZQ2Wp1qQam/3pPv/B8uerueOiLKg&#10;A0o0KGz49y9vfnx6f/Xxa06uPnz+9frdz29v8YB0B5GtxvocnS7t3O00j2IsfVM5Fb9YFNkkhrd7&#10;hvkmEIaHvX6/f9obUsLQ1h2eDfqoIE527W6dD4+4USQKBa2kaSY1uPBABu40BD5vZyfRDesnPrT+&#10;f/xiCt5IUc6ElElxy8VEOrIGnIFZenYhb1yTmjQFPR+m7AAHu8KBwkSVRXK8XqZ4Nzz8IXAnPf8C&#10;jolNwddtAgkhXoNcCayISKH2NNUcyoe6JGFrsREa94/GpBQvKZEc1zVKyTeAkMfcRGKlRn5j29pG&#10;RSlsFhuEieLClFucAGfa1cAfAwq1ca8wMq4Flv5yBQ7zkI81zt15dzCIe5SUwfB+DxV3aFkcWkAz&#10;hCoo8tiKk5B2L3YsBsehTr3fLWDcmkM93br+6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8e&#10;RIHWAAAACAEAAA8AAAAAAAAAAQAgAAAAIgAAAGRycy9kb3ducmV2LnhtbFBLAQIUABQAAAAIAIdO&#10;4kCWR4RHXgIAALwEAAAOAAAAAAAAAAEAIAAAACUBAABkcnMvZTJvRG9jLnhtbFBLBQYAAAAABgAG&#10;AFkBAAD1BQAAAAA=&#10;">
                <v:fill on="t" focussize="0,0"/>
                <v:stroke color="#000000" miterlimit="0" joinstyle="miter"/>
                <v:imagedata o:title=""/>
                <o:lock v:ext="edit" aspectratio="f"/>
                <v:textbox>
                  <w:txbxContent>
                    <w:p w14:paraId="79FDD61E">
                      <w:pPr>
                        <w:jc w:val="center"/>
                        <w:rPr>
                          <w:rFonts w:hAnsi="宋体"/>
                          <w:szCs w:val="21"/>
                        </w:rPr>
                      </w:pPr>
                    </w:p>
                    <w:p w14:paraId="3A2BCAAE">
                      <w:pPr>
                        <w:jc w:val="center"/>
                        <w:rPr>
                          <w:rFonts w:hAnsi="宋体"/>
                          <w:szCs w:val="21"/>
                        </w:rPr>
                      </w:pPr>
                    </w:p>
                    <w:p w14:paraId="2831A559">
                      <w:pPr>
                        <w:jc w:val="center"/>
                        <w:rPr>
                          <w:rFonts w:hAnsi="宋体"/>
                          <w:szCs w:val="21"/>
                        </w:rPr>
                      </w:pPr>
                    </w:p>
                    <w:p w14:paraId="4AC1F17E">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0" distR="0" simplePos="0" relativeHeight="251661312" behindDoc="0" locked="0" layoutInCell="1" allowOverlap="1">
                <wp:simplePos x="0" y="0"/>
                <wp:positionH relativeFrom="column">
                  <wp:posOffset>2918460</wp:posOffset>
                </wp:positionH>
                <wp:positionV relativeFrom="paragraph">
                  <wp:posOffset>28575</wp:posOffset>
                </wp:positionV>
                <wp:extent cx="2392045" cy="1557020"/>
                <wp:effectExtent l="5080" t="4445" r="15875" b="13335"/>
                <wp:wrapNone/>
                <wp:docPr id="2" name="圆角矩形 15"/>
                <wp:cNvGraphicFramePr/>
                <a:graphic xmlns:a="http://schemas.openxmlformats.org/drawingml/2006/main">
                  <a:graphicData uri="http://schemas.microsoft.com/office/word/2010/wordprocessingShape">
                    <wps:wsp>
                      <wps:cNvSpPr/>
                      <wps:spPr>
                        <a:xfrm>
                          <a:off x="0" y="0"/>
                          <a:ext cx="2392045" cy="1557020"/>
                        </a:xfrm>
                        <a:prstGeom prst="roundRect">
                          <a:avLst>
                            <a:gd name="adj" fmla="val 16667"/>
                          </a:avLst>
                        </a:prstGeom>
                        <a:solidFill>
                          <a:srgbClr val="FFFFFF"/>
                        </a:solidFill>
                        <a:ln w="9525" cap="flat" cmpd="sng">
                          <a:solidFill>
                            <a:srgbClr val="000000"/>
                          </a:solidFill>
                          <a:prstDash val="solid"/>
                          <a:miter lim="0"/>
                          <a:headEnd type="none" w="med" len="med"/>
                          <a:tailEnd type="none" w="med" len="med"/>
                        </a:ln>
                      </wps:spPr>
                      <wps:txbx>
                        <w:txbxContent>
                          <w:p w14:paraId="11892BB7">
                            <w:pPr>
                              <w:jc w:val="center"/>
                              <w:rPr>
                                <w:rFonts w:hAnsi="宋体"/>
                                <w:szCs w:val="21"/>
                              </w:rPr>
                            </w:pPr>
                            <w:r>
                              <w:rPr>
                                <w:rFonts w:hint="eastAsia" w:hAnsi="宋体"/>
                                <w:szCs w:val="21"/>
                              </w:rPr>
                              <w:t xml:space="preserve">  </w:t>
                            </w:r>
                          </w:p>
                          <w:p w14:paraId="4282BCA0">
                            <w:pPr>
                              <w:jc w:val="center"/>
                              <w:rPr>
                                <w:rFonts w:hAnsi="宋体"/>
                                <w:szCs w:val="21"/>
                              </w:rPr>
                            </w:pPr>
                          </w:p>
                          <w:p w14:paraId="7283B2BB">
                            <w:pPr>
                              <w:jc w:val="center"/>
                              <w:rPr>
                                <w:rFonts w:hAnsi="宋体"/>
                                <w:szCs w:val="21"/>
                              </w:rPr>
                            </w:pPr>
                          </w:p>
                          <w:p w14:paraId="708C6F4B">
                            <w:pPr>
                              <w:jc w:val="center"/>
                              <w:rPr>
                                <w:szCs w:val="21"/>
                              </w:rPr>
                            </w:pPr>
                            <w:r>
                              <w:rPr>
                                <w:rFonts w:hint="eastAsia" w:hAnsi="宋体"/>
                                <w:szCs w:val="21"/>
                              </w:rPr>
                              <w:t>法定代表人身份证复印件</w:t>
                            </w:r>
                          </w:p>
                          <w:p w14:paraId="223A413C"/>
                          <w:p w14:paraId="021C0919">
                            <w:pPr>
                              <w:pStyle w:val="8"/>
                            </w:pPr>
                          </w:p>
                          <w:p w14:paraId="5845F8D4">
                            <w:pPr>
                              <w:pStyle w:val="8"/>
                            </w:pPr>
                          </w:p>
                          <w:p w14:paraId="2C0F7915">
                            <w:pPr>
                              <w:pStyle w:val="8"/>
                            </w:pPr>
                          </w:p>
                          <w:p w14:paraId="2D4D3B80">
                            <w:pPr>
                              <w:pStyle w:val="8"/>
                            </w:pPr>
                          </w:p>
                        </w:txbxContent>
                      </wps:txbx>
                      <wps:bodyPr rot="0" vert="horz" wrap="square" lIns="91440" tIns="45720" rIns="91440" bIns="45720" anchor="t" anchorCtr="0"/>
                    </wps:wsp>
                  </a:graphicData>
                </a:graphic>
              </wp:anchor>
            </w:drawing>
          </mc:Choice>
          <mc:Fallback>
            <w:pict>
              <v:roundrect id="圆角矩形 15" o:spid="_x0000_s1026" o:spt="2" style="position:absolute;left:0pt;margin-left:229.8pt;margin-top:2.25pt;height:122.6pt;width:188.35pt;z-index:251661312;mso-width-relative:page;mso-height-relative:page;" fillcolor="#FFFFFF" filled="t" stroked="t" coordsize="21600,21600" arcsize="0.166666666666667" o:gfxdata="UEsDBAoAAAAAAIdO4kAAAAAAAAAAAAAAAAAEAAAAZHJzL1BLAwQUAAAACACHTuJAgVRLg9kAAAAJ&#10;AQAADwAAAGRycy9kb3ducmV2LnhtbE2PzWrDMBCE74W8g9hAb40cx3ET13IOpYVAT3ULoTfF2tim&#10;0spIcv6evsqpuc0yw8y35eZsNDui870lAfNZAgypsaqnVsD31/vTCpgPkpTUllDABT1sqslDKQtl&#10;T/SJxzq0LJaQL6SALoSh4Nw3HRrpZ3ZAit7BOiNDPF3LlZOnWG40T5Mk50b2FBc6OeBrh81vPRoB&#10;y8Nbf81/1DUd0Wmefeyw3u6EeJzOkxdgAc/hPww3/IgOVWTa25GUZ1pAtlznMXoTwKK/WuQLYHsB&#10;abZ+Bl6V/P6D6g9QSwMEFAAAAAgAh07iQG6jKShfAgAAzQQAAA4AAABkcnMvZTJvRG9jLnhtbK1U&#10;zY7TMBC+I/EOlu80aWhaWjXdw5YiJAQrFh7AtZ3GyH/YbtPyADwAZyQkLoiH4HFW8BiMndDtLhx6&#10;IIdkHM98/uabGc8v9kqiHXdeGF3h4SDHiGtqmNCbCr99s3r0BCMfiGZEGs0rfOAeXywePpi3dsYL&#10;0xjJuEMAov2stRVuQrCzLPO04Yr4gbFcw2ZtnCIBlm6TMUdaQFcyK/J8nLXGMesM5d7D32W3iXtE&#10;dw6gqWtB+dLQreI6dKiOSxIgJd8I6/Eisa1rTsOruvY8IFlhyDSkNxwC9jq+s8WczDaO2EbQngI5&#10;h8K9nBQRGg49Qi1JIGjrxF9QSlBnvKnDgBqVdYkkRSCLYX5Pm+uGWJ5yAam9PYru/x8sfbm7ckiw&#10;ChcYaaKg4DefP/769unnl+83P76iYRklaq2fgee1vXL9yoMZ893XTsUvZIL2SdbDUVa+D4jCz+Lx&#10;tMhHJUYU9oZlOcmLJHx2G26dD8+4USgaFXZmq9lrKF7SlOxe+JDEZT1Fwt5hVCsJpdoRiYbj8XgS&#10;eQJi7wzWH8wY6Y0UbCWkTAu3WV9KhyC0wqv09MF33KRGbYWnZRGZE+j0GjoMTGVBLa83idudCH8K&#10;nKfnX8CR2JL4piOQEKIbmSkRYLSkUEcJG07YU81QOFiojIaBxJGU4gwjyWF+o5ViAxHyHE8QRmpQ&#10;Kpa0K2K0wn697yu7NuwALeFMNytwU4DRGPcBToY5gdTfb4kDHvK5hkacDkejOFhpMSonUFrkTnfW&#10;pztEU4CqMOjYmZchDWOsXeQBXZ6q2E9kHKPTdfK6vYU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BVEuD2QAAAAkBAAAPAAAAAAAAAAEAIAAAACIAAABkcnMvZG93bnJldi54bWxQSwECFAAUAAAA&#10;CACHTuJAbqMpKF8CAADNBAAADgAAAAAAAAABACAAAAAoAQAAZHJzL2Uyb0RvYy54bWxQSwUGAAAA&#10;AAYABgBZAQAA+QUAAAAA&#10;">
                <v:fill on="t" focussize="0,0"/>
                <v:stroke color="#000000" miterlimit="0" joinstyle="miter"/>
                <v:imagedata o:title=""/>
                <o:lock v:ext="edit" aspectratio="f"/>
                <v:textbox>
                  <w:txbxContent>
                    <w:p w14:paraId="11892BB7">
                      <w:pPr>
                        <w:jc w:val="center"/>
                        <w:rPr>
                          <w:rFonts w:hAnsi="宋体"/>
                          <w:szCs w:val="21"/>
                        </w:rPr>
                      </w:pPr>
                      <w:r>
                        <w:rPr>
                          <w:rFonts w:hint="eastAsia" w:hAnsi="宋体"/>
                          <w:szCs w:val="21"/>
                        </w:rPr>
                        <w:t xml:space="preserve">  </w:t>
                      </w:r>
                    </w:p>
                    <w:p w14:paraId="4282BCA0">
                      <w:pPr>
                        <w:jc w:val="center"/>
                        <w:rPr>
                          <w:rFonts w:hAnsi="宋体"/>
                          <w:szCs w:val="21"/>
                        </w:rPr>
                      </w:pPr>
                    </w:p>
                    <w:p w14:paraId="7283B2BB">
                      <w:pPr>
                        <w:jc w:val="center"/>
                        <w:rPr>
                          <w:rFonts w:hAnsi="宋体"/>
                          <w:szCs w:val="21"/>
                        </w:rPr>
                      </w:pPr>
                    </w:p>
                    <w:p w14:paraId="708C6F4B">
                      <w:pPr>
                        <w:jc w:val="center"/>
                        <w:rPr>
                          <w:szCs w:val="21"/>
                        </w:rPr>
                      </w:pPr>
                      <w:r>
                        <w:rPr>
                          <w:rFonts w:hint="eastAsia" w:hAnsi="宋体"/>
                          <w:szCs w:val="21"/>
                        </w:rPr>
                        <w:t>法定代表人身份证复印件</w:t>
                      </w:r>
                    </w:p>
                    <w:p w14:paraId="223A413C"/>
                    <w:p w14:paraId="021C0919">
                      <w:pPr>
                        <w:pStyle w:val="8"/>
                      </w:pPr>
                    </w:p>
                    <w:p w14:paraId="5845F8D4">
                      <w:pPr>
                        <w:pStyle w:val="8"/>
                      </w:pPr>
                    </w:p>
                    <w:p w14:paraId="2C0F7915">
                      <w:pPr>
                        <w:pStyle w:val="8"/>
                      </w:pPr>
                    </w:p>
                    <w:p w14:paraId="2D4D3B80">
                      <w:pPr>
                        <w:pStyle w:val="8"/>
                      </w:pPr>
                    </w:p>
                  </w:txbxContent>
                </v:textbox>
              </v:roundrect>
            </w:pict>
          </mc:Fallback>
        </mc:AlternateContent>
      </w:r>
    </w:p>
    <w:p w14:paraId="1FB6FF4A">
      <w:pPr>
        <w:spacing w:line="360" w:lineRule="auto"/>
        <w:outlineLvl w:val="9"/>
        <w:rPr>
          <w:rFonts w:hint="eastAsia" w:ascii="微软雅黑" w:hAnsi="微软雅黑" w:eastAsia="微软雅黑" w:cs="微软雅黑"/>
          <w:color w:val="auto"/>
          <w:sz w:val="24"/>
          <w:szCs w:val="24"/>
          <w:highlight w:val="none"/>
        </w:rPr>
      </w:pPr>
    </w:p>
    <w:p w14:paraId="5005C858">
      <w:pPr>
        <w:spacing w:line="360" w:lineRule="auto"/>
        <w:outlineLvl w:val="9"/>
        <w:rPr>
          <w:rFonts w:hint="eastAsia" w:ascii="微软雅黑" w:hAnsi="微软雅黑" w:eastAsia="微软雅黑" w:cs="微软雅黑"/>
          <w:color w:val="auto"/>
          <w:sz w:val="24"/>
          <w:szCs w:val="24"/>
          <w:highlight w:val="none"/>
        </w:rPr>
      </w:pPr>
    </w:p>
    <w:p w14:paraId="773DBD51">
      <w:pPr>
        <w:tabs>
          <w:tab w:val="left" w:pos="654"/>
          <w:tab w:val="left" w:pos="1734"/>
          <w:tab w:val="left" w:pos="2814"/>
          <w:tab w:val="left" w:pos="3894"/>
          <w:tab w:val="left" w:pos="5334"/>
          <w:tab w:val="left" w:pos="6414"/>
          <w:tab w:val="left" w:pos="7254"/>
          <w:tab w:val="left" w:pos="8574"/>
          <w:tab w:val="left" w:pos="9654"/>
        </w:tabs>
        <w:spacing w:line="360" w:lineRule="auto"/>
        <w:outlineLvl w:val="9"/>
        <w:rPr>
          <w:rFonts w:hint="eastAsia" w:ascii="微软雅黑" w:hAnsi="微软雅黑" w:eastAsia="微软雅黑" w:cs="微软雅黑"/>
          <w:color w:val="auto"/>
          <w:sz w:val="24"/>
          <w:szCs w:val="24"/>
          <w:highlight w:val="none"/>
        </w:rPr>
      </w:pPr>
    </w:p>
    <w:p w14:paraId="0F92680C">
      <w:pPr>
        <w:autoSpaceDE w:val="0"/>
        <w:autoSpaceDN w:val="0"/>
        <w:adjustRightInd w:val="0"/>
        <w:spacing w:line="360" w:lineRule="auto"/>
        <w:ind w:right="246"/>
        <w:outlineLvl w:val="9"/>
        <w:rPr>
          <w:rFonts w:hint="eastAsia" w:ascii="微软雅黑" w:hAnsi="微软雅黑" w:eastAsia="微软雅黑" w:cs="微软雅黑"/>
          <w:color w:val="auto"/>
          <w:kern w:val="0"/>
          <w:sz w:val="24"/>
          <w:szCs w:val="24"/>
          <w:highlight w:val="none"/>
        </w:rPr>
      </w:pPr>
    </w:p>
    <w:p w14:paraId="6D3476ED">
      <w:pPr>
        <w:autoSpaceDE w:val="0"/>
        <w:autoSpaceDN w:val="0"/>
        <w:adjustRightInd w:val="0"/>
        <w:spacing w:line="240" w:lineRule="auto"/>
        <w:ind w:right="246" w:firstLine="720" w:firstLineChars="300"/>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lang w:eastAsia="zh-CN"/>
        </w:rPr>
        <w:t>供应商</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kern w:val="0"/>
          <w:sz w:val="24"/>
          <w:szCs w:val="24"/>
          <w:highlight w:val="none"/>
          <w:lang w:eastAsia="zh-CN"/>
        </w:rPr>
        <w:t>公</w:t>
      </w:r>
      <w:r>
        <w:rPr>
          <w:rFonts w:hint="eastAsia" w:ascii="微软雅黑" w:hAnsi="微软雅黑" w:eastAsia="微软雅黑" w:cs="微软雅黑"/>
          <w:color w:val="auto"/>
          <w:kern w:val="0"/>
          <w:sz w:val="24"/>
          <w:szCs w:val="24"/>
          <w:highlight w:val="none"/>
        </w:rPr>
        <w:t>章）：</w:t>
      </w:r>
      <w:r>
        <w:rPr>
          <w:rFonts w:hint="eastAsia" w:ascii="微软雅黑" w:hAnsi="微软雅黑" w:eastAsia="微软雅黑" w:cs="微软雅黑"/>
          <w:color w:val="auto"/>
          <w:kern w:val="0"/>
          <w:sz w:val="24"/>
          <w:szCs w:val="24"/>
          <w:highlight w:val="none"/>
          <w:u w:val="single"/>
        </w:rPr>
        <w:t xml:space="preserve">                             </w:t>
      </w:r>
      <w:r>
        <w:rPr>
          <w:rFonts w:hint="eastAsia" w:ascii="微软雅黑" w:hAnsi="微软雅黑" w:eastAsia="微软雅黑" w:cs="微软雅黑"/>
          <w:color w:val="auto"/>
          <w:kern w:val="0"/>
          <w:sz w:val="24"/>
          <w:szCs w:val="24"/>
          <w:highlight w:val="none"/>
        </w:rPr>
        <w:t xml:space="preserve"> </w:t>
      </w:r>
    </w:p>
    <w:p w14:paraId="4FA6EEAB">
      <w:pPr>
        <w:adjustRightInd w:val="0"/>
        <w:snapToGrid w:val="0"/>
        <w:spacing w:line="240" w:lineRule="auto"/>
        <w:ind w:firstLine="784" w:firstLineChars="327"/>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rPr>
        <w:t>法定代表人</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签/章</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color w:val="auto"/>
          <w:sz w:val="24"/>
          <w:szCs w:val="24"/>
          <w:highlight w:val="none"/>
          <w:u w:val="single"/>
        </w:rPr>
        <w:t xml:space="preserve">             </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u w:val="single"/>
        </w:rPr>
        <w:t xml:space="preserve">       </w:t>
      </w:r>
    </w:p>
    <w:p w14:paraId="16C61AB9">
      <w:pPr>
        <w:autoSpaceDE w:val="0"/>
        <w:autoSpaceDN w:val="0"/>
        <w:adjustRightInd w:val="0"/>
        <w:spacing w:line="240" w:lineRule="auto"/>
        <w:ind w:right="246" w:firstLine="784" w:firstLineChars="327"/>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szCs w:val="24"/>
          <w:highlight w:val="none"/>
          <w:lang w:eastAsia="zh-CN"/>
        </w:rPr>
        <w:t>日期：</w:t>
      </w:r>
      <w:r>
        <w:rPr>
          <w:rFonts w:hint="eastAsia" w:ascii="微软雅黑" w:hAnsi="微软雅黑" w:eastAsia="微软雅黑" w:cs="微软雅黑"/>
          <w:color w:val="auto"/>
          <w:kern w:val="0"/>
          <w:sz w:val="24"/>
          <w:szCs w:val="24"/>
          <w:highlight w:val="none"/>
          <w:u w:val="single"/>
          <w:lang w:eastAsia="zh-CN"/>
        </w:rPr>
        <w:t xml:space="preserve">                           </w:t>
      </w:r>
      <w:r>
        <w:rPr>
          <w:rFonts w:hint="eastAsia" w:ascii="微软雅黑" w:hAnsi="微软雅黑" w:eastAsia="微软雅黑" w:cs="微软雅黑"/>
          <w:color w:val="auto"/>
          <w:kern w:val="0"/>
          <w:sz w:val="24"/>
          <w:szCs w:val="24"/>
          <w:highlight w:val="none"/>
          <w:u w:val="single"/>
          <w:lang w:val="en-US" w:eastAsia="zh-CN"/>
        </w:rPr>
        <w:t xml:space="preserve">    </w:t>
      </w:r>
      <w:r>
        <w:rPr>
          <w:rFonts w:hint="eastAsia" w:ascii="微软雅黑" w:hAnsi="微软雅黑" w:eastAsia="微软雅黑" w:cs="微软雅黑"/>
          <w:color w:val="auto"/>
          <w:kern w:val="0"/>
          <w:sz w:val="24"/>
          <w:szCs w:val="24"/>
          <w:highlight w:val="none"/>
          <w:u w:val="single"/>
          <w:lang w:eastAsia="zh-CN"/>
        </w:rPr>
        <w:t xml:space="preserve">        </w:t>
      </w:r>
      <w:r>
        <w:rPr>
          <w:rFonts w:hint="eastAsia" w:ascii="微软雅黑" w:hAnsi="微软雅黑" w:eastAsia="微软雅黑" w:cs="微软雅黑"/>
          <w:color w:val="auto"/>
          <w:kern w:val="0"/>
          <w:sz w:val="24"/>
          <w:szCs w:val="24"/>
          <w:highlight w:val="none"/>
          <w:lang w:eastAsia="zh-CN"/>
        </w:rPr>
        <w:t xml:space="preserve">         </w:t>
      </w:r>
    </w:p>
    <w:p w14:paraId="7F04AF9B">
      <w:pPr>
        <w:adjustRightInd w:val="0"/>
        <w:snapToGrid w:val="0"/>
        <w:spacing w:line="240" w:lineRule="auto"/>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说明：1.供应商为自然人的，应提供身份证明的复印件。</w:t>
      </w:r>
    </w:p>
    <w:p w14:paraId="268C4695">
      <w:pPr>
        <w:pStyle w:val="16"/>
        <w:tabs>
          <w:tab w:val="left" w:pos="5580"/>
        </w:tabs>
        <w:spacing w:line="240" w:lineRule="auto"/>
        <w:ind w:left="1080" w:leftChars="257" w:hanging="540"/>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.联合体投标应提供联合体各方满足以上要求的证明文件。</w:t>
      </w:r>
    </w:p>
    <w:p w14:paraId="5D5E7D5B">
      <w:pPr>
        <w:rPr>
          <w:rFonts w:hint="eastAsia" w:ascii="微软雅黑" w:hAnsi="微软雅黑" w:eastAsia="微软雅黑" w:cs="微软雅黑"/>
          <w:b/>
          <w:color w:val="auto"/>
          <w:kern w:val="2"/>
          <w:sz w:val="24"/>
          <w:szCs w:val="24"/>
          <w:highlight w:val="none"/>
          <w:lang w:val="en-US" w:eastAsia="zh-CN" w:bidi="ar-SA"/>
        </w:rPr>
      </w:pPr>
      <w:r>
        <w:rPr>
          <w:rFonts w:hint="eastAsia" w:ascii="微软雅黑" w:hAnsi="微软雅黑" w:eastAsia="微软雅黑" w:cs="微软雅黑"/>
          <w:b/>
          <w:color w:val="auto"/>
          <w:kern w:val="2"/>
          <w:sz w:val="24"/>
          <w:szCs w:val="24"/>
          <w:highlight w:val="none"/>
          <w:lang w:val="en-US" w:eastAsia="zh-CN" w:bidi="ar-SA"/>
        </w:rPr>
        <w:br w:type="page"/>
      </w:r>
    </w:p>
    <w:bookmarkEnd w:id="737"/>
    <w:p w14:paraId="2EE72F9E">
      <w:pPr>
        <w:numPr>
          <w:ilvl w:val="0"/>
          <w:numId w:val="4"/>
        </w:numPr>
        <w:shd w:val="clear" w:color="auto" w:fill="auto"/>
        <w:snapToGrid w:val="0"/>
        <w:spacing w:before="0" w:beforeAutospacing="0" w:after="0" w:afterAutospacing="0" w:line="360" w:lineRule="exact"/>
        <w:ind w:left="0" w:leftChars="0" w:firstLine="0" w:firstLineChars="0"/>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提供2023年度或2024年度的财务审计报告（成立未满十二个月的新公司可提供近三个月内任意一个月的银行资信证明）；</w:t>
      </w:r>
    </w:p>
    <w:p w14:paraId="5464AAB9">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5A7AB388">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6FDDED45">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64BD6CF7">
      <w:pPr>
        <w:numPr>
          <w:ilvl w:val="0"/>
          <w:numId w:val="4"/>
        </w:numPr>
        <w:shd w:val="clear" w:color="auto" w:fill="auto"/>
        <w:snapToGrid w:val="0"/>
        <w:spacing w:before="0" w:beforeAutospacing="0" w:after="0" w:afterAutospacing="0" w:line="360" w:lineRule="exact"/>
        <w:ind w:left="0" w:leftChars="0" w:firstLine="0" w:firstLineChars="0"/>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依法缴纳近六个月内任意一个月的社会保险证明；</w:t>
      </w:r>
    </w:p>
    <w:p w14:paraId="6A6FE740">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7C8539B5">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7D28E213">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3AE5619C">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5D4CDD5A">
      <w:pPr>
        <w:numPr>
          <w:ilvl w:val="0"/>
          <w:numId w:val="4"/>
        </w:numPr>
        <w:shd w:val="clear" w:color="auto" w:fill="auto"/>
        <w:snapToGrid w:val="0"/>
        <w:spacing w:before="0" w:beforeAutospacing="0" w:after="0" w:afterAutospacing="0" w:line="360" w:lineRule="exact"/>
        <w:ind w:left="0" w:leftChars="0" w:firstLine="0" w:firstLineChars="0"/>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依法缴纳近六个月内任意一个月的税收证明；</w:t>
      </w:r>
    </w:p>
    <w:p w14:paraId="75E62EF3">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7962FABC">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73D2A992">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144EFD12">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20FFBDDB">
      <w:pPr>
        <w:numPr>
          <w:ilvl w:val="0"/>
          <w:numId w:val="0"/>
        </w:numPr>
        <w:shd w:val="clear" w:color="auto" w:fill="auto"/>
        <w:snapToGrid w:val="0"/>
        <w:spacing w:before="0" w:beforeAutospacing="0" w:after="0" w:afterAutospacing="0" w:line="360" w:lineRule="exact"/>
        <w:ind w:leftChars="0"/>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47D11877">
      <w:pPr>
        <w:shd w:val="clear" w:color="auto" w:fill="auto"/>
        <w:snapToGrid w:val="0"/>
        <w:spacing w:before="0" w:beforeAutospacing="0" w:after="0" w:afterAutospacing="0" w:line="360" w:lineRule="exact"/>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9.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376F5D5E">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07188331">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6B99D7F3">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30B4E65D">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599576BC">
      <w:pPr>
        <w:shd w:val="clear" w:color="auto" w:fill="auto"/>
        <w:snapToGrid w:val="0"/>
        <w:spacing w:before="0" w:beforeAutospacing="0" w:after="0" w:afterAutospacing="0" w:line="360" w:lineRule="exact"/>
        <w:jc w:val="both"/>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10.参加政府采购活动前三年内在经营活动中没有重大违法记录的书面声明</w:t>
      </w:r>
    </w:p>
    <w:p w14:paraId="031B7505">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2F6FD4BE">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21CB0061">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0F0E23A4">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color w:val="auto"/>
          <w:kern w:val="2"/>
          <w:sz w:val="24"/>
          <w:szCs w:val="24"/>
          <w:highlight w:val="none"/>
          <w:u w:val="none"/>
          <w:lang w:val="en-US" w:eastAsia="zh-CN" w:bidi="ar-SA"/>
        </w:rPr>
      </w:pPr>
    </w:p>
    <w:p w14:paraId="5B1D1038">
      <w:pPr>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br w:type="page"/>
      </w:r>
    </w:p>
    <w:p w14:paraId="142574D3">
      <w:pPr>
        <w:numPr>
          <w:ilvl w:val="0"/>
          <w:numId w:val="5"/>
        </w:numPr>
        <w:spacing w:line="440" w:lineRule="exact"/>
        <w:outlineLvl w:val="2"/>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具备履行合同所必需的设备和专业技术能力的证明材料;</w:t>
      </w:r>
    </w:p>
    <w:p w14:paraId="5F55FF18">
      <w:pPr>
        <w:widowControl w:val="0"/>
        <w:numPr>
          <w:ilvl w:val="0"/>
          <w:numId w:val="0"/>
        </w:numPr>
        <w:spacing w:line="440" w:lineRule="exact"/>
        <w:jc w:val="both"/>
        <w:rPr>
          <w:rFonts w:hint="default" w:ascii="微软雅黑" w:hAnsi="微软雅黑" w:eastAsia="微软雅黑" w:cs="微软雅黑"/>
          <w:b/>
          <w:bCs/>
          <w:color w:val="auto"/>
          <w:kern w:val="2"/>
          <w:sz w:val="24"/>
          <w:szCs w:val="24"/>
          <w:highlight w:val="none"/>
          <w:u w:val="none"/>
          <w:lang w:val="en-US" w:eastAsia="zh-CN" w:bidi="ar-SA"/>
        </w:rPr>
      </w:pPr>
    </w:p>
    <w:p w14:paraId="65E15586">
      <w:pPr>
        <w:widowControl w:val="0"/>
        <w:numPr>
          <w:ilvl w:val="0"/>
          <w:numId w:val="0"/>
        </w:numPr>
        <w:spacing w:line="440" w:lineRule="exact"/>
        <w:jc w:val="both"/>
        <w:rPr>
          <w:rFonts w:hint="default" w:ascii="微软雅黑" w:hAnsi="微软雅黑" w:eastAsia="微软雅黑" w:cs="微软雅黑"/>
          <w:b/>
          <w:bCs/>
          <w:color w:val="auto"/>
          <w:kern w:val="2"/>
          <w:sz w:val="24"/>
          <w:szCs w:val="24"/>
          <w:highlight w:val="none"/>
          <w:u w:val="none"/>
          <w:lang w:val="en-US" w:eastAsia="zh-CN" w:bidi="ar-SA"/>
        </w:rPr>
      </w:pPr>
    </w:p>
    <w:p w14:paraId="420B25A9">
      <w:pPr>
        <w:shd w:val="clear" w:color="auto" w:fill="auto"/>
        <w:snapToGrid w:val="0"/>
        <w:spacing w:before="0" w:beforeAutospacing="0" w:after="0" w:afterAutospacing="0" w:line="360" w:lineRule="exact"/>
        <w:jc w:val="both"/>
        <w:outlineLvl w:val="2"/>
        <w:rPr>
          <w:rFonts w:hint="eastAsia" w:ascii="微软雅黑" w:hAnsi="微软雅黑" w:eastAsia="微软雅黑" w:cs="微软雅黑"/>
          <w:b/>
          <w:bCs/>
          <w:color w:val="auto"/>
          <w:kern w:val="2"/>
          <w:sz w:val="24"/>
          <w:szCs w:val="24"/>
          <w:highlight w:val="none"/>
          <w:u w:val="none"/>
          <w:lang w:val="en-US" w:eastAsia="zh-CN" w:bidi="ar-SA"/>
        </w:rPr>
      </w:pPr>
      <w:bookmarkStart w:id="738" w:name="_Toc14384"/>
      <w:bookmarkEnd w:id="738"/>
      <w:bookmarkStart w:id="739" w:name="_Toc31823"/>
      <w:bookmarkStart w:id="740" w:name="_Toc7058"/>
      <w:r>
        <w:rPr>
          <w:rFonts w:hint="eastAsia" w:ascii="微软雅黑" w:hAnsi="微软雅黑" w:eastAsia="微软雅黑" w:cs="微软雅黑"/>
          <w:b/>
          <w:bCs/>
          <w:color w:val="auto"/>
          <w:sz w:val="24"/>
          <w:szCs w:val="24"/>
          <w:highlight w:val="none"/>
          <w:u w:val="none"/>
          <w:lang w:val="en-US" w:eastAsia="zh-CN"/>
        </w:rPr>
        <w:t>12.</w:t>
      </w:r>
      <w:r>
        <w:rPr>
          <w:rFonts w:hint="eastAsia" w:ascii="微软雅黑" w:hAnsi="微软雅黑" w:eastAsia="微软雅黑" w:cs="微软雅黑"/>
          <w:b/>
          <w:bCs/>
          <w:color w:val="auto"/>
          <w:kern w:val="2"/>
          <w:sz w:val="24"/>
          <w:szCs w:val="24"/>
          <w:highlight w:val="none"/>
          <w:u w:val="none"/>
          <w:lang w:val="en-US" w:eastAsia="zh-CN" w:bidi="ar-SA"/>
        </w:rPr>
        <w:t>缴纳磋商保证金的有效凭证；</w:t>
      </w:r>
    </w:p>
    <w:p w14:paraId="4485463B">
      <w:pPr>
        <w:shd w:val="clear" w:color="auto" w:fill="auto"/>
        <w:snapToGrid w:val="0"/>
        <w:spacing w:before="0" w:beforeAutospacing="0" w:after="0" w:afterAutospacing="0" w:line="360" w:lineRule="exact"/>
        <w:jc w:val="both"/>
        <w:outlineLvl w:val="9"/>
        <w:rPr>
          <w:rFonts w:hint="eastAsia" w:ascii="微软雅黑" w:hAnsi="微软雅黑" w:eastAsia="微软雅黑" w:cs="微软雅黑"/>
          <w:b/>
          <w:bCs/>
          <w:i w:val="0"/>
          <w:color w:val="auto"/>
          <w:spacing w:val="0"/>
          <w:w w:val="100"/>
          <w:sz w:val="24"/>
          <w:highlight w:val="none"/>
        </w:rPr>
      </w:pPr>
      <w:r>
        <w:rPr>
          <w:rFonts w:hint="eastAsia" w:ascii="微软雅黑" w:hAnsi="微软雅黑" w:eastAsia="微软雅黑" w:cs="微软雅黑"/>
          <w:b/>
          <w:bCs/>
          <w:color w:val="auto"/>
          <w:kern w:val="2"/>
          <w:sz w:val="24"/>
          <w:szCs w:val="24"/>
          <w:highlight w:val="none"/>
          <w:u w:val="none"/>
          <w:lang w:val="en-US" w:eastAsia="zh-CN" w:bidi="ar-SA"/>
        </w:rPr>
        <w:t>（注：本项目以缴纳磋商保证金的有效凭证复印件加盖公章为准。）</w:t>
      </w:r>
    </w:p>
    <w:tbl>
      <w:tblPr>
        <w:tblStyle w:val="27"/>
        <w:tblpPr w:leftFromText="180" w:rightFromText="180" w:vertAnchor="text" w:horzAnchor="page" w:tblpX="1967" w:tblpY="235"/>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14:paraId="7120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8080" w:type="dxa"/>
          </w:tcPr>
          <w:p w14:paraId="11C17D51">
            <w:pPr>
              <w:shd w:val="clear" w:color="auto" w:fill="auto"/>
              <w:snapToGrid w:val="0"/>
              <w:spacing w:before="0" w:beforeAutospacing="0" w:after="0" w:afterAutospacing="0" w:line="360" w:lineRule="exact"/>
              <w:jc w:val="both"/>
              <w:rPr>
                <w:rFonts w:hint="eastAsia" w:ascii="微软雅黑" w:hAnsi="微软雅黑" w:eastAsia="微软雅黑" w:cs="微软雅黑"/>
                <w:b w:val="0"/>
                <w:i w:val="0"/>
                <w:color w:val="auto"/>
                <w:spacing w:val="0"/>
                <w:w w:val="100"/>
                <w:sz w:val="24"/>
                <w:highlight w:val="none"/>
              </w:rPr>
            </w:pPr>
          </w:p>
          <w:p w14:paraId="7089543D">
            <w:pPr>
              <w:shd w:val="clear" w:color="auto" w:fill="auto"/>
              <w:snapToGrid w:val="0"/>
              <w:spacing w:before="0" w:beforeAutospacing="0" w:after="0" w:afterAutospacing="0" w:line="360" w:lineRule="exact"/>
              <w:jc w:val="both"/>
              <w:rPr>
                <w:rFonts w:hint="eastAsia" w:ascii="微软雅黑" w:hAnsi="微软雅黑" w:eastAsia="微软雅黑" w:cs="微软雅黑"/>
                <w:b w:val="0"/>
                <w:i w:val="0"/>
                <w:color w:val="auto"/>
                <w:spacing w:val="0"/>
                <w:w w:val="100"/>
                <w:sz w:val="24"/>
                <w:highlight w:val="none"/>
              </w:rPr>
            </w:pPr>
          </w:p>
          <w:p w14:paraId="517BAD8E">
            <w:pPr>
              <w:shd w:val="clear" w:color="auto" w:fill="auto"/>
              <w:snapToGrid w:val="0"/>
              <w:spacing w:before="0" w:beforeAutospacing="0" w:after="0" w:afterAutospacing="0" w:line="360" w:lineRule="exact"/>
              <w:jc w:val="center"/>
              <w:rPr>
                <w:rFonts w:hint="eastAsia" w:ascii="微软雅黑" w:hAnsi="微软雅黑" w:eastAsia="微软雅黑" w:cs="微软雅黑"/>
                <w:b w:val="0"/>
                <w:i w:val="0"/>
                <w:color w:val="auto"/>
                <w:spacing w:val="0"/>
                <w:w w:val="100"/>
                <w:sz w:val="24"/>
                <w:highlight w:val="none"/>
                <w:lang w:val="en-US" w:eastAsia="zh-CN"/>
              </w:rPr>
            </w:pPr>
            <w:r>
              <w:rPr>
                <w:rFonts w:hint="eastAsia" w:ascii="微软雅黑" w:hAnsi="微软雅黑" w:eastAsia="微软雅黑" w:cs="微软雅黑"/>
                <w:b w:val="0"/>
                <w:i w:val="0"/>
                <w:color w:val="auto"/>
                <w:spacing w:val="0"/>
                <w:w w:val="100"/>
                <w:sz w:val="24"/>
                <w:highlight w:val="none"/>
                <w:lang w:eastAsia="zh-CN"/>
              </w:rPr>
              <w:t>缴纳</w:t>
            </w:r>
            <w:r>
              <w:rPr>
                <w:rFonts w:hint="eastAsia" w:ascii="微软雅黑" w:hAnsi="微软雅黑" w:eastAsia="微软雅黑" w:cs="微软雅黑"/>
                <w:b w:val="0"/>
                <w:i w:val="0"/>
                <w:color w:val="auto"/>
                <w:spacing w:val="0"/>
                <w:w w:val="100"/>
                <w:sz w:val="24"/>
                <w:highlight w:val="none"/>
                <w:lang w:val="en-US" w:eastAsia="zh-CN"/>
              </w:rPr>
              <w:t>磋商</w:t>
            </w:r>
            <w:r>
              <w:rPr>
                <w:rFonts w:hint="eastAsia" w:ascii="微软雅黑" w:hAnsi="微软雅黑" w:eastAsia="微软雅黑" w:cs="微软雅黑"/>
                <w:b w:val="0"/>
                <w:i w:val="0"/>
                <w:color w:val="auto"/>
                <w:spacing w:val="0"/>
                <w:w w:val="100"/>
                <w:sz w:val="24"/>
                <w:highlight w:val="none"/>
                <w:lang w:eastAsia="zh-CN"/>
              </w:rPr>
              <w:t>保证金的有效凭证复印件（银行转账回执单/保函/支票等）</w:t>
            </w:r>
          </w:p>
        </w:tc>
      </w:tr>
      <w:bookmarkEnd w:id="739"/>
      <w:bookmarkEnd w:id="740"/>
    </w:tbl>
    <w:p w14:paraId="2183A956">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bookmarkStart w:id="741" w:name="_Toc13729"/>
      <w:bookmarkEnd w:id="741"/>
      <w:bookmarkStart w:id="742" w:name="_Toc18269"/>
      <w:bookmarkStart w:id="743" w:name="_Toc95"/>
      <w:r>
        <w:rPr>
          <w:rFonts w:hint="eastAsia" w:ascii="微软雅黑" w:hAnsi="微软雅黑" w:eastAsia="微软雅黑" w:cs="微软雅黑"/>
          <w:b/>
          <w:bCs/>
          <w:color w:val="auto"/>
          <w:sz w:val="24"/>
          <w:szCs w:val="24"/>
          <w:highlight w:val="none"/>
          <w:u w:val="none"/>
          <w:lang w:val="en-US" w:eastAsia="zh-CN"/>
        </w:rPr>
        <w:t>13.银行开户许可证复印件或银行基本账户信息(包含：银行账号及开户行名称）；</w:t>
      </w:r>
    </w:p>
    <w:p w14:paraId="79A048F6">
      <w:pPr>
        <w:pStyle w:val="8"/>
        <w:widowControl w:val="0"/>
        <w:numPr>
          <w:ilvl w:val="0"/>
          <w:numId w:val="0"/>
        </w:numPr>
        <w:autoSpaceDE w:val="0"/>
        <w:autoSpaceDN w:val="0"/>
        <w:adjustRightInd w:val="0"/>
        <w:jc w:val="left"/>
        <w:rPr>
          <w:rFonts w:hint="eastAsia"/>
          <w:highlight w:val="none"/>
        </w:rPr>
      </w:pPr>
    </w:p>
    <w:p w14:paraId="73582978">
      <w:pPr>
        <w:pStyle w:val="9"/>
        <w:rPr>
          <w:rFonts w:hint="eastAsia"/>
          <w:highlight w:val="none"/>
        </w:rPr>
      </w:pPr>
    </w:p>
    <w:p w14:paraId="30364168">
      <w:pPr>
        <w:rPr>
          <w:rFonts w:hint="eastAsia"/>
          <w:highlight w:val="none"/>
        </w:rPr>
      </w:pPr>
    </w:p>
    <w:p w14:paraId="4582EFDD">
      <w:pPr>
        <w:pStyle w:val="10"/>
        <w:keepNext/>
        <w:keepLines/>
        <w:pageBreakBefore w:val="0"/>
        <w:widowControl w:val="0"/>
        <w:kinsoku/>
        <w:wordWrap/>
        <w:overflowPunct/>
        <w:topLinePunct w:val="0"/>
        <w:autoSpaceDE w:val="0"/>
        <w:autoSpaceDN w:val="0"/>
        <w:bidi w:val="0"/>
        <w:adjustRightInd w:val="0"/>
        <w:snapToGrid/>
        <w:spacing w:before="0" w:line="440" w:lineRule="exact"/>
        <w:jc w:val="left"/>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14.供应商可提供有利于磋商的其他资格证明材料。</w:t>
      </w:r>
      <w:bookmarkEnd w:id="742"/>
      <w:bookmarkEnd w:id="743"/>
    </w:p>
    <w:p w14:paraId="66A32468">
      <w:pPr>
        <w:rPr>
          <w:rFonts w:hint="eastAsia" w:ascii="微软雅黑" w:hAnsi="微软雅黑" w:eastAsia="微软雅黑" w:cs="微软雅黑"/>
          <w:color w:val="auto"/>
          <w:sz w:val="24"/>
          <w:szCs w:val="24"/>
          <w:highlight w:val="none"/>
        </w:rPr>
      </w:pPr>
    </w:p>
    <w:p w14:paraId="42BD0DB6">
      <w:pPr>
        <w:rPr>
          <w:rFonts w:hint="eastAsia"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rPr>
        <w:br w:type="page"/>
      </w:r>
    </w:p>
    <w:p w14:paraId="128DDD0A">
      <w:pPr>
        <w:pStyle w:val="6"/>
        <w:snapToGrid w:val="0"/>
        <w:spacing w:before="0" w:line="240" w:lineRule="atLeast"/>
        <w:ind w:left="1080" w:leftChars="257" w:hanging="540"/>
        <w:textAlignment w:val="baseline"/>
        <w:outlineLvl w:val="1"/>
        <w:rPr>
          <w:rFonts w:ascii="微软雅黑" w:hAnsi="微软雅黑" w:eastAsia="微软雅黑" w:cs="微软雅黑"/>
          <w:sz w:val="32"/>
          <w:szCs w:val="32"/>
          <w:highlight w:val="none"/>
        </w:rPr>
      </w:pPr>
      <w:bookmarkStart w:id="744" w:name="_Toc2030"/>
      <w:bookmarkStart w:id="745" w:name="_Toc11937"/>
      <w:r>
        <w:rPr>
          <w:rFonts w:hint="eastAsia" w:ascii="微软雅黑" w:hAnsi="微软雅黑" w:eastAsia="微软雅黑" w:cs="微软雅黑"/>
          <w:sz w:val="32"/>
          <w:szCs w:val="32"/>
          <w:highlight w:val="none"/>
        </w:rPr>
        <w:t>第二部分  商务及技术文件</w:t>
      </w:r>
      <w:bookmarkEnd w:id="721"/>
      <w:bookmarkEnd w:id="722"/>
      <w:bookmarkEnd w:id="723"/>
      <w:bookmarkEnd w:id="724"/>
      <w:bookmarkEnd w:id="725"/>
      <w:bookmarkEnd w:id="726"/>
      <w:bookmarkEnd w:id="744"/>
      <w:bookmarkEnd w:id="745"/>
    </w:p>
    <w:p w14:paraId="7E54C27F">
      <w:pPr>
        <w:rPr>
          <w:rFonts w:ascii="微软雅黑" w:hAnsi="微软雅黑" w:eastAsia="微软雅黑" w:cs="微软雅黑"/>
          <w:sz w:val="24"/>
          <w:highlight w:val="none"/>
        </w:rPr>
      </w:pPr>
      <w:r>
        <w:rPr>
          <w:rFonts w:hint="eastAsia" w:ascii="微软雅黑" w:hAnsi="微软雅黑" w:eastAsia="微软雅黑" w:cs="微软雅黑"/>
          <w:highlight w:val="none"/>
        </w:rPr>
        <w:t>1</w:t>
      </w:r>
      <w:r>
        <w:rPr>
          <w:rFonts w:hint="eastAsia" w:ascii="微软雅黑" w:hAnsi="微软雅黑" w:eastAsia="微软雅黑" w:cs="微软雅黑"/>
          <w:sz w:val="24"/>
          <w:highlight w:val="none"/>
        </w:rPr>
        <w:t>.磋商书</w:t>
      </w:r>
    </w:p>
    <w:p w14:paraId="356D7D0E">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2.商务条款偏离表</w:t>
      </w:r>
    </w:p>
    <w:p w14:paraId="7083EE97">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sz w:val="24"/>
          <w:highlight w:val="none"/>
          <w:lang w:val="en-US" w:eastAsia="zh-CN"/>
        </w:rPr>
        <w:t>3.1 已标价的工程量清单（工程类部分的报价）</w:t>
      </w:r>
    </w:p>
    <w:p w14:paraId="095FDA46">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rPr>
          <w:rFonts w:hint="eastAsia"/>
          <w:highlight w:val="none"/>
          <w:lang w:val="en-US" w:eastAsia="zh-CN"/>
        </w:rPr>
      </w:pPr>
      <w:r>
        <w:rPr>
          <w:rFonts w:hint="eastAsia" w:ascii="微软雅黑" w:hAnsi="微软雅黑" w:eastAsia="微软雅黑" w:cs="微软雅黑"/>
          <w:sz w:val="24"/>
          <w:highlight w:val="none"/>
          <w:lang w:val="en-US" w:eastAsia="zh-CN"/>
        </w:rPr>
        <w:t>3.2 投标分项报价表（货物类部分的报价）</w:t>
      </w:r>
    </w:p>
    <w:p w14:paraId="52D52CB5">
      <w:pPr>
        <w:keepNext w:val="0"/>
        <w:keepLines w:val="0"/>
        <w:pageBreakBefore w:val="0"/>
        <w:widowControl w:val="0"/>
        <w:tabs>
          <w:tab w:val="left" w:pos="5580"/>
        </w:tabs>
        <w:kinsoku/>
        <w:wordWrap/>
        <w:overflowPunct/>
        <w:topLinePunct w:val="0"/>
        <w:autoSpaceDE/>
        <w:autoSpaceDN/>
        <w:bidi w:val="0"/>
        <w:adjustRightInd/>
        <w:snapToGrid/>
        <w:spacing w:line="480" w:lineRule="exact"/>
        <w:ind w:firstLine="0" w:firstLineChars="0"/>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sz w:val="24"/>
          <w:highlight w:val="none"/>
          <w:lang w:val="en-US" w:eastAsia="zh-CN"/>
        </w:rPr>
        <w:t>4.</w:t>
      </w:r>
      <w:r>
        <w:rPr>
          <w:rFonts w:hint="eastAsia" w:ascii="微软雅黑" w:hAnsi="微软雅黑" w:eastAsia="微软雅黑" w:cs="微软雅黑"/>
          <w:color w:val="auto"/>
          <w:kern w:val="0"/>
          <w:sz w:val="24"/>
          <w:szCs w:val="24"/>
          <w:highlight w:val="none"/>
          <w:lang w:val="en-US" w:eastAsia="zh-CN"/>
        </w:rPr>
        <w:t>货物说明一览表</w:t>
      </w:r>
    </w:p>
    <w:p w14:paraId="6C7372BF">
      <w:pPr>
        <w:rPr>
          <w:rFonts w:ascii="微软雅黑" w:hAnsi="微软雅黑" w:eastAsia="微软雅黑" w:cs="微软雅黑"/>
          <w:sz w:val="24"/>
          <w:highlight w:val="none"/>
        </w:rPr>
      </w:pPr>
      <w:r>
        <w:rPr>
          <w:rFonts w:hint="eastAsia" w:ascii="微软雅黑" w:hAnsi="微软雅黑" w:eastAsia="微软雅黑" w:cs="微软雅黑"/>
          <w:color w:val="auto"/>
          <w:kern w:val="0"/>
          <w:sz w:val="24"/>
          <w:szCs w:val="24"/>
          <w:highlight w:val="none"/>
          <w:lang w:val="en-US" w:eastAsia="zh-CN"/>
        </w:rPr>
        <w:t>5.技术规格偏离表（货物类部分）</w:t>
      </w:r>
    </w:p>
    <w:p w14:paraId="7F9082F0">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6</w:t>
      </w:r>
      <w:r>
        <w:rPr>
          <w:rFonts w:hint="eastAsia" w:ascii="微软雅黑" w:hAnsi="微软雅黑" w:eastAsia="微软雅黑" w:cs="微软雅黑"/>
          <w:sz w:val="24"/>
          <w:highlight w:val="none"/>
        </w:rPr>
        <w:t>.中小企业声明函</w:t>
      </w:r>
    </w:p>
    <w:p w14:paraId="39AAA066">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.供应商关联单位的说明</w:t>
      </w:r>
    </w:p>
    <w:p w14:paraId="05AB09A8">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8</w:t>
      </w:r>
      <w:r>
        <w:rPr>
          <w:rFonts w:hint="eastAsia" w:ascii="微软雅黑" w:hAnsi="微软雅黑" w:eastAsia="微软雅黑" w:cs="微软雅黑"/>
          <w:sz w:val="24"/>
          <w:highlight w:val="none"/>
        </w:rPr>
        <w:t>.企业承诺函</w:t>
      </w:r>
    </w:p>
    <w:p w14:paraId="4E9D5DFE">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9</w:t>
      </w:r>
      <w:r>
        <w:rPr>
          <w:rFonts w:hint="eastAsia" w:ascii="微软雅黑" w:hAnsi="微软雅黑" w:eastAsia="微软雅黑" w:cs="微软雅黑"/>
          <w:sz w:val="24"/>
          <w:highlight w:val="none"/>
        </w:rPr>
        <w:t>.供应商基本情况表</w:t>
      </w:r>
    </w:p>
    <w:p w14:paraId="4881A7E9">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10</w:t>
      </w:r>
      <w:r>
        <w:rPr>
          <w:rFonts w:hint="eastAsia" w:ascii="微软雅黑" w:hAnsi="微软雅黑" w:eastAsia="微软雅黑" w:cs="微软雅黑"/>
          <w:sz w:val="24"/>
          <w:highlight w:val="none"/>
        </w:rPr>
        <w:t>.近年完成的类似项目业绩</w:t>
      </w:r>
    </w:p>
    <w:p w14:paraId="7A237959">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11</w:t>
      </w:r>
      <w:r>
        <w:rPr>
          <w:rFonts w:hint="eastAsia" w:ascii="微软雅黑" w:hAnsi="微软雅黑" w:eastAsia="微软雅黑" w:cs="微软雅黑"/>
          <w:sz w:val="24"/>
          <w:highlight w:val="none"/>
        </w:rPr>
        <w:t>.近年发生的诉讼及仲裁情况</w:t>
      </w:r>
    </w:p>
    <w:p w14:paraId="0583B408">
      <w:pPr>
        <w:rPr>
          <w:rFonts w:hint="default" w:eastAsia="微软雅黑"/>
          <w:highlight w:val="none"/>
          <w:lang w:val="en-US" w:eastAsia="zh-CN"/>
        </w:rPr>
      </w:pPr>
      <w:r>
        <w:rPr>
          <w:rFonts w:hint="eastAsia" w:ascii="微软雅黑" w:hAnsi="微软雅黑" w:eastAsia="微软雅黑" w:cs="微软雅黑"/>
          <w:sz w:val="24"/>
          <w:highlight w:val="none"/>
          <w:lang w:val="en-US" w:eastAsia="zh-CN"/>
        </w:rPr>
        <w:t>12.供应商可提供现场踏勘证明</w:t>
      </w:r>
    </w:p>
    <w:p w14:paraId="6AEC5025">
      <w:pPr>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13</w:t>
      </w:r>
      <w:r>
        <w:rPr>
          <w:rFonts w:hint="eastAsia" w:ascii="微软雅黑" w:hAnsi="微软雅黑" w:eastAsia="微软雅黑" w:cs="微软雅黑"/>
          <w:sz w:val="24"/>
          <w:highlight w:val="none"/>
        </w:rPr>
        <w:t>.二轮报价表（此表用于磋商现场）</w:t>
      </w:r>
    </w:p>
    <w:p w14:paraId="26E0222B">
      <w:pPr>
        <w:rPr>
          <w:rFonts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14.</w:t>
      </w:r>
      <w:r>
        <w:rPr>
          <w:rFonts w:hint="eastAsia" w:ascii="微软雅黑" w:hAnsi="微软雅黑" w:eastAsia="微软雅黑" w:cs="微软雅黑"/>
          <w:sz w:val="24"/>
          <w:highlight w:val="none"/>
        </w:rPr>
        <w:t>响应文件格式范本</w:t>
      </w:r>
    </w:p>
    <w:p w14:paraId="33759E93">
      <w:pPr>
        <w:pStyle w:val="3"/>
        <w:rPr>
          <w:highlight w:val="none"/>
        </w:rPr>
      </w:pPr>
    </w:p>
    <w:p w14:paraId="22E9795F">
      <w:pPr>
        <w:pStyle w:val="8"/>
        <w:spacing w:line="400" w:lineRule="exact"/>
        <w:rPr>
          <w:rFonts w:ascii="微软雅黑" w:hAnsi="微软雅黑" w:eastAsia="微软雅黑" w:cs="微软雅黑"/>
          <w:b/>
          <w:bCs/>
          <w:szCs w:val="24"/>
          <w:highlight w:val="none"/>
        </w:rPr>
      </w:pPr>
    </w:p>
    <w:p w14:paraId="07F65A2B">
      <w:pPr>
        <w:pStyle w:val="8"/>
        <w:rPr>
          <w:rFonts w:ascii="微软雅黑" w:hAnsi="微软雅黑" w:eastAsia="微软雅黑" w:cs="微软雅黑"/>
          <w:b/>
          <w:bCs/>
          <w:szCs w:val="24"/>
          <w:highlight w:val="none"/>
        </w:rPr>
      </w:pPr>
    </w:p>
    <w:p w14:paraId="24BBF839">
      <w:pPr>
        <w:pStyle w:val="8"/>
        <w:rPr>
          <w:rFonts w:ascii="微软雅黑" w:hAnsi="微软雅黑" w:eastAsia="微软雅黑" w:cs="微软雅黑"/>
          <w:b/>
          <w:bCs/>
          <w:szCs w:val="24"/>
          <w:highlight w:val="none"/>
        </w:rPr>
      </w:pPr>
    </w:p>
    <w:p w14:paraId="2964A752">
      <w:pPr>
        <w:pStyle w:val="8"/>
        <w:rPr>
          <w:rFonts w:ascii="微软雅黑" w:hAnsi="微软雅黑" w:eastAsia="微软雅黑" w:cs="微软雅黑"/>
          <w:b/>
          <w:bCs/>
          <w:szCs w:val="24"/>
          <w:highlight w:val="none"/>
        </w:rPr>
      </w:pPr>
    </w:p>
    <w:p w14:paraId="385E129D">
      <w:pPr>
        <w:pStyle w:val="8"/>
        <w:rPr>
          <w:rFonts w:ascii="微软雅黑" w:hAnsi="微软雅黑" w:eastAsia="微软雅黑" w:cs="微软雅黑"/>
          <w:b/>
          <w:bCs/>
          <w:szCs w:val="24"/>
          <w:highlight w:val="none"/>
        </w:rPr>
      </w:pPr>
    </w:p>
    <w:bookmarkEnd w:id="727"/>
    <w:bookmarkEnd w:id="728"/>
    <w:bookmarkEnd w:id="729"/>
    <w:p w14:paraId="4D212531">
      <w:pPr>
        <w:rPr>
          <w:rFonts w:ascii="微软雅黑" w:hAnsi="微软雅黑" w:eastAsia="微软雅黑" w:cs="微软雅黑"/>
          <w:sz w:val="24"/>
          <w:highlight w:val="none"/>
        </w:rPr>
      </w:pPr>
      <w:bookmarkStart w:id="746" w:name="_Hlt520274407"/>
      <w:bookmarkEnd w:id="746"/>
      <w:bookmarkStart w:id="747" w:name="_Hlt520274393"/>
      <w:bookmarkEnd w:id="747"/>
      <w:bookmarkStart w:id="748" w:name="_Hlt520273711"/>
      <w:bookmarkEnd w:id="748"/>
      <w:bookmarkStart w:id="749" w:name="_Hlt520274065"/>
      <w:bookmarkEnd w:id="749"/>
      <w:bookmarkStart w:id="750" w:name="_Hlt520273973"/>
      <w:bookmarkEnd w:id="750"/>
      <w:bookmarkStart w:id="751" w:name="_Hlt520271212"/>
      <w:bookmarkEnd w:id="751"/>
      <w:bookmarkStart w:id="752" w:name="_Hlt520350957"/>
      <w:bookmarkEnd w:id="752"/>
      <w:bookmarkStart w:id="753" w:name="_Hlt520343000"/>
      <w:bookmarkEnd w:id="753"/>
      <w:bookmarkStart w:id="754" w:name="_Hlt520274911"/>
      <w:bookmarkEnd w:id="754"/>
      <w:bookmarkStart w:id="755" w:name="_Hlt520350918"/>
      <w:bookmarkEnd w:id="755"/>
      <w:bookmarkStart w:id="756" w:name="_Hlt520343392"/>
      <w:bookmarkEnd w:id="756"/>
      <w:bookmarkStart w:id="757" w:name="_Toc3340"/>
      <w:bookmarkStart w:id="758" w:name="_Toc22432"/>
      <w:bookmarkStart w:id="759" w:name="_Toc12852"/>
      <w:bookmarkStart w:id="760" w:name="_Toc18506"/>
      <w:bookmarkStart w:id="761" w:name="_Toc11475"/>
      <w:bookmarkStart w:id="762" w:name="_Toc14858"/>
      <w:bookmarkStart w:id="763" w:name="_Toc964"/>
      <w:bookmarkStart w:id="764" w:name="_Toc8940"/>
      <w:bookmarkStart w:id="765" w:name="_Toc11081"/>
      <w:bookmarkStart w:id="766" w:name="_Toc27203"/>
      <w:bookmarkStart w:id="767" w:name="_Toc29264"/>
      <w:bookmarkStart w:id="768" w:name="_Toc18614"/>
      <w:r>
        <w:rPr>
          <w:rFonts w:hint="eastAsia" w:ascii="微软雅黑" w:hAnsi="微软雅黑" w:eastAsia="微软雅黑" w:cs="微软雅黑"/>
          <w:sz w:val="24"/>
          <w:highlight w:val="none"/>
        </w:rPr>
        <w:br w:type="page"/>
      </w:r>
    </w:p>
    <w:p w14:paraId="5B5ED8BC">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769" w:name="_Toc9522"/>
      <w:bookmarkStart w:id="770" w:name="_Toc24440"/>
      <w:r>
        <w:rPr>
          <w:rFonts w:hint="eastAsia" w:ascii="微软雅黑" w:hAnsi="微软雅黑" w:eastAsia="微软雅黑" w:cs="微软雅黑"/>
          <w:b/>
          <w:bCs/>
          <w:color w:val="auto"/>
          <w:sz w:val="24"/>
          <w:szCs w:val="24"/>
          <w:highlight w:val="none"/>
          <w:u w:val="none"/>
          <w:lang w:val="en-US" w:eastAsia="zh-CN"/>
        </w:rPr>
        <w:t>1</w:t>
      </w:r>
      <w:bookmarkStart w:id="771" w:name="_Hlt520355504"/>
      <w:bookmarkEnd w:id="771"/>
      <w:r>
        <w:rPr>
          <w:rFonts w:hint="eastAsia" w:ascii="微软雅黑" w:hAnsi="微软雅黑" w:eastAsia="微软雅黑" w:cs="微软雅黑"/>
          <w:b/>
          <w:bCs/>
          <w:color w:val="auto"/>
          <w:sz w:val="24"/>
          <w:szCs w:val="24"/>
          <w:highlight w:val="none"/>
          <w:u w:val="none"/>
          <w:lang w:val="en-US" w:eastAsia="zh-CN"/>
        </w:rPr>
        <w:t>.磋商书</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3A8DA042">
      <w:pPr>
        <w:tabs>
          <w:tab w:val="left" w:pos="5580"/>
        </w:tabs>
        <w:snapToGrid w:val="0"/>
        <w:spacing w:line="240" w:lineRule="atLeast"/>
        <w:ind w:left="1080" w:hanging="1080"/>
        <w:textAlignment w:val="baseline"/>
        <w:rPr>
          <w:rFonts w:ascii="微软雅黑" w:hAnsi="微软雅黑" w:eastAsia="微软雅黑" w:cs="微软雅黑"/>
          <w:sz w:val="24"/>
          <w:highlight w:val="none"/>
        </w:rPr>
      </w:pPr>
    </w:p>
    <w:p w14:paraId="055E73DD">
      <w:pPr>
        <w:tabs>
          <w:tab w:val="left" w:pos="5580"/>
        </w:tabs>
        <w:snapToGrid w:val="0"/>
        <w:spacing w:line="240" w:lineRule="atLeast"/>
        <w:ind w:left="1080" w:hanging="1080"/>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r>
        <w:rPr>
          <w:rFonts w:hint="eastAsia" w:ascii="微软雅黑" w:hAnsi="微软雅黑" w:eastAsia="微软雅黑" w:cs="微软雅黑"/>
          <w:i/>
          <w:iCs/>
          <w:sz w:val="24"/>
          <w:highlight w:val="none"/>
        </w:rPr>
        <w:t>采购人名称</w:t>
      </w:r>
      <w:r>
        <w:rPr>
          <w:rFonts w:hint="eastAsia" w:ascii="微软雅黑" w:hAnsi="微软雅黑" w:eastAsia="微软雅黑" w:cs="微软雅黑"/>
          <w:sz w:val="24"/>
          <w:highlight w:val="none"/>
        </w:rPr>
        <w:t>）：</w:t>
      </w:r>
    </w:p>
    <w:p w14:paraId="6E02FAB4">
      <w:pPr>
        <w:pStyle w:val="16"/>
        <w:tabs>
          <w:tab w:val="left" w:pos="5580"/>
        </w:tabs>
        <w:snapToGrid w:val="0"/>
        <w:spacing w:line="240" w:lineRule="atLeast"/>
        <w:ind w:left="2" w:leftChars="1" w:firstLine="480" w:firstLineChars="20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根据贵方(</w:t>
      </w:r>
      <w:r>
        <w:rPr>
          <w:rFonts w:hint="eastAsia" w:ascii="微软雅黑" w:hAnsi="微软雅黑" w:eastAsia="微软雅黑" w:cs="微软雅黑"/>
          <w:i/>
          <w:sz w:val="24"/>
          <w:szCs w:val="24"/>
          <w:highlight w:val="none"/>
          <w:u w:val="single" w:color="000000"/>
        </w:rPr>
        <w:t>项目名称</w:t>
      </w:r>
      <w:r>
        <w:rPr>
          <w:rFonts w:hint="eastAsia" w:ascii="微软雅黑" w:hAnsi="微软雅黑" w:eastAsia="微软雅黑" w:cs="微软雅黑"/>
          <w:sz w:val="24"/>
          <w:szCs w:val="24"/>
          <w:highlight w:val="none"/>
        </w:rPr>
        <w:t>)项目的磋商邀请(</w:t>
      </w:r>
      <w:r>
        <w:rPr>
          <w:rFonts w:hint="eastAsia" w:ascii="微软雅黑" w:hAnsi="微软雅黑" w:eastAsia="微软雅黑" w:cs="微软雅黑"/>
          <w:i/>
          <w:sz w:val="24"/>
          <w:szCs w:val="24"/>
          <w:highlight w:val="none"/>
          <w:u w:val="single" w:color="000000"/>
        </w:rPr>
        <w:t>项目编号</w:t>
      </w:r>
      <w:r>
        <w:rPr>
          <w:rFonts w:hint="eastAsia" w:ascii="微软雅黑" w:hAnsi="微软雅黑" w:eastAsia="微软雅黑" w:cs="微软雅黑"/>
          <w:sz w:val="24"/>
          <w:szCs w:val="24"/>
          <w:highlight w:val="none"/>
        </w:rPr>
        <w:t>),签字代表(</w:t>
      </w:r>
      <w:r>
        <w:rPr>
          <w:rFonts w:hint="eastAsia" w:ascii="微软雅黑" w:hAnsi="微软雅黑" w:eastAsia="微软雅黑" w:cs="微软雅黑"/>
          <w:i/>
          <w:sz w:val="24"/>
          <w:szCs w:val="24"/>
          <w:highlight w:val="none"/>
          <w:u w:val="single" w:color="000000"/>
        </w:rPr>
        <w:t>姓名、职务</w:t>
      </w:r>
      <w:r>
        <w:rPr>
          <w:rFonts w:hint="eastAsia" w:ascii="微软雅黑" w:hAnsi="微软雅黑" w:eastAsia="微软雅黑" w:cs="微软雅黑"/>
          <w:sz w:val="24"/>
          <w:szCs w:val="24"/>
          <w:highlight w:val="none"/>
        </w:rPr>
        <w:t>)经正式授权并代表供应商（</w:t>
      </w:r>
      <w:r>
        <w:rPr>
          <w:rFonts w:hint="eastAsia" w:ascii="微软雅黑" w:hAnsi="微软雅黑" w:eastAsia="微软雅黑" w:cs="微软雅黑"/>
          <w:i/>
          <w:sz w:val="24"/>
          <w:szCs w:val="24"/>
          <w:highlight w:val="none"/>
          <w:u w:val="single" w:color="000000"/>
        </w:rPr>
        <w:t>名称、地址</w:t>
      </w:r>
      <w:r>
        <w:rPr>
          <w:rFonts w:hint="eastAsia" w:ascii="微软雅黑" w:hAnsi="微软雅黑" w:eastAsia="微软雅黑" w:cs="微软雅黑"/>
          <w:sz w:val="24"/>
          <w:szCs w:val="24"/>
          <w:highlight w:val="none"/>
        </w:rPr>
        <w:t>）上传响应文件，并以</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形式出具的金额为人民币</w:t>
      </w:r>
      <w:r>
        <w:rPr>
          <w:rFonts w:hint="eastAsia" w:ascii="微软雅黑" w:hAnsi="微软雅黑" w:eastAsia="微软雅黑" w:cs="微软雅黑"/>
          <w:sz w:val="24"/>
          <w:szCs w:val="24"/>
          <w:highlight w:val="none"/>
          <w:u w:val="single" w:color="000000"/>
        </w:rPr>
        <w:t>　　　　</w:t>
      </w:r>
      <w:r>
        <w:rPr>
          <w:rFonts w:hint="eastAsia" w:ascii="微软雅黑" w:hAnsi="微软雅黑" w:eastAsia="微软雅黑" w:cs="微软雅黑"/>
          <w:sz w:val="24"/>
          <w:szCs w:val="24"/>
          <w:highlight w:val="none"/>
        </w:rPr>
        <w:t>元的磋商保证金；</w:t>
      </w:r>
    </w:p>
    <w:p w14:paraId="6D51FEAF">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据此，签字代表宣布同意如下：</w:t>
      </w:r>
    </w:p>
    <w:p w14:paraId="6C538251">
      <w:pPr>
        <w:pStyle w:val="16"/>
        <w:tabs>
          <w:tab w:val="left" w:pos="720"/>
          <w:tab w:val="left" w:pos="900"/>
        </w:tabs>
        <w:snapToGrid w:val="0"/>
        <w:spacing w:line="240" w:lineRule="atLeast"/>
        <w:ind w:left="769" w:leftChars="257" w:hanging="229"/>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（1）附磋商价格表中规定的应提供服务的磋商总价详见磋商报价一览表，</w:t>
      </w:r>
      <w:r>
        <w:rPr>
          <w:rFonts w:hint="eastAsia" w:ascii="微软雅黑" w:hAnsi="微软雅黑" w:eastAsia="微软雅黑" w:cs="微软雅黑"/>
          <w:sz w:val="24"/>
          <w:szCs w:val="24"/>
          <w:highlight w:val="none"/>
          <w:u w:val="single" w:color="000000"/>
        </w:rPr>
        <w:t>其中由小型和</w:t>
      </w:r>
      <w:r>
        <w:rPr>
          <w:rFonts w:hint="eastAsia" w:ascii="微软雅黑" w:hAnsi="微软雅黑" w:eastAsia="微软雅黑" w:cs="微软雅黑"/>
          <w:sz w:val="24"/>
          <w:szCs w:val="24"/>
          <w:highlight w:val="none"/>
        </w:rPr>
        <w:t>微型企业</w:t>
      </w:r>
      <w:r>
        <w:rPr>
          <w:rFonts w:hint="eastAsia" w:ascii="微软雅黑" w:hAnsi="微软雅黑" w:eastAsia="微软雅黑" w:cs="微软雅黑"/>
          <w:sz w:val="24"/>
          <w:szCs w:val="24"/>
          <w:highlight w:val="none"/>
          <w:lang w:val="en-US" w:eastAsia="zh-CN"/>
        </w:rPr>
        <w:t>承揽的工程报价</w:t>
      </w:r>
      <w:r>
        <w:rPr>
          <w:rFonts w:hint="eastAsia" w:ascii="微软雅黑" w:hAnsi="微软雅黑" w:eastAsia="微软雅黑" w:cs="微软雅黑"/>
          <w:sz w:val="24"/>
          <w:szCs w:val="24"/>
          <w:highlight w:val="none"/>
        </w:rPr>
        <w:t>为</w:t>
      </w:r>
      <w:r>
        <w:rPr>
          <w:rFonts w:hint="eastAsia" w:ascii="微软雅黑" w:hAnsi="微软雅黑" w:eastAsia="微软雅黑" w:cs="微软雅黑"/>
          <w:sz w:val="24"/>
          <w:szCs w:val="24"/>
          <w:highlight w:val="none"/>
          <w:u w:val="single" w:color="000000"/>
        </w:rPr>
        <w:t>　　  （用文字和数字表示），占磋商总价   %</w:t>
      </w:r>
      <w:r>
        <w:rPr>
          <w:rFonts w:hint="eastAsia" w:ascii="微软雅黑" w:hAnsi="微软雅黑" w:eastAsia="微软雅黑" w:cs="微软雅黑"/>
          <w:sz w:val="24"/>
          <w:szCs w:val="24"/>
          <w:highlight w:val="none"/>
        </w:rPr>
        <w:t>。</w:t>
      </w:r>
    </w:p>
    <w:p w14:paraId="54A7D3B6">
      <w:pPr>
        <w:pStyle w:val="16"/>
        <w:tabs>
          <w:tab w:val="left" w:pos="720"/>
          <w:tab w:val="left" w:pos="900"/>
        </w:tabs>
        <w:snapToGrid w:val="0"/>
        <w:spacing w:line="240" w:lineRule="atLeast"/>
        <w:ind w:left="769" w:leftChars="257" w:hanging="229"/>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（2）本磋商有效期为自磋商截止之日起</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个日历日。</w:t>
      </w:r>
    </w:p>
    <w:p w14:paraId="375D333D">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（3）联合体中的大中型企业和其他自然人、法定代表人或者非法定代表人组织，与联合体中的小型、微型企业之间</w:t>
      </w:r>
      <w:r>
        <w:rPr>
          <w:rFonts w:hint="eastAsia" w:ascii="微软雅黑" w:hAnsi="微软雅黑" w:eastAsia="微软雅黑" w:cs="微软雅黑"/>
          <w:sz w:val="24"/>
          <w:szCs w:val="24"/>
          <w:highlight w:val="none"/>
          <w:u w:val="single" w:color="000000"/>
        </w:rPr>
        <w:t xml:space="preserve">    / （</w:t>
      </w:r>
      <w:r>
        <w:rPr>
          <w:rFonts w:hint="eastAsia" w:ascii="微软雅黑" w:hAnsi="微软雅黑" w:eastAsia="微软雅黑" w:cs="微软雅黑"/>
          <w:sz w:val="24"/>
          <w:szCs w:val="24"/>
          <w:highlight w:val="none"/>
        </w:rPr>
        <w:t>存在、不存在）投资关系（如果是联合体的话）。</w:t>
      </w:r>
    </w:p>
    <w:p w14:paraId="4096EB37">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（4）已详细审查全部磋商文件，包括所有补充通知（如果有的话），完全理解并同意放弃对这方面有不明、误解和质疑的权力。</w:t>
      </w:r>
    </w:p>
    <w:p w14:paraId="17B5CBF4">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（5）在规定的磋商开启时间后，遵守磋商文件中有关保证金的规定。</w:t>
      </w:r>
    </w:p>
    <w:p w14:paraId="35DE9EC0">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（6）我方不是为本项目提供整体设计、规范编制或者项目管理、监理、检测等服务的供应商，我方不是采购代理机构的附属机构。</w:t>
      </w:r>
    </w:p>
    <w:p w14:paraId="5A4E562F">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（7）在领取成交通知书的同时按磋商文件规定的形式，向贵方一次性支付成交服务费。</w:t>
      </w:r>
    </w:p>
    <w:p w14:paraId="7EFEB5D2">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（8）按照贵方可能要求，提供与其磋商有关的一切数据或资料，完全理解贵方不一定接受最低价的磋商或收到的任何磋商。</w:t>
      </w:r>
    </w:p>
    <w:p w14:paraId="77DFB5F5">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（9）按照磋商文件的规定履行合同责任和义务。</w:t>
      </w:r>
    </w:p>
    <w:p w14:paraId="2D0818E0">
      <w:pPr>
        <w:pStyle w:val="16"/>
        <w:tabs>
          <w:tab w:val="left" w:pos="5580"/>
        </w:tabs>
        <w:snapToGrid w:val="0"/>
        <w:spacing w:line="240" w:lineRule="atLeast"/>
        <w:ind w:left="359" w:leftChars="68" w:hanging="216" w:hangingChars="9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  与本磋商有关的一切正式往来信函请寄：</w:t>
      </w:r>
    </w:p>
    <w:p w14:paraId="193F4898">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地址</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 xml:space="preserve">     传真</w:t>
      </w:r>
      <w:r>
        <w:rPr>
          <w:rFonts w:hint="eastAsia" w:ascii="微软雅黑" w:hAnsi="微软雅黑" w:eastAsia="微软雅黑" w:cs="微软雅黑"/>
          <w:sz w:val="24"/>
          <w:szCs w:val="24"/>
          <w:highlight w:val="none"/>
          <w:u w:val="single" w:color="000000"/>
        </w:rPr>
        <w:t xml:space="preserve">                             </w:t>
      </w:r>
    </w:p>
    <w:p w14:paraId="75CA1D14">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电话</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 xml:space="preserve">     电子函件</w:t>
      </w:r>
      <w:r>
        <w:rPr>
          <w:rFonts w:hint="eastAsia" w:ascii="微软雅黑" w:hAnsi="微软雅黑" w:eastAsia="微软雅黑" w:cs="微软雅黑"/>
          <w:sz w:val="24"/>
          <w:szCs w:val="24"/>
          <w:highlight w:val="none"/>
          <w:u w:val="single" w:color="000000"/>
        </w:rPr>
        <w:t xml:space="preserve">                         </w:t>
      </w:r>
    </w:p>
    <w:p w14:paraId="220F01E1">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u w:val="single" w:color="000000"/>
        </w:rPr>
      </w:pPr>
      <w:r>
        <w:rPr>
          <w:rFonts w:hint="eastAsia" w:ascii="微软雅黑" w:hAnsi="微软雅黑" w:eastAsia="微软雅黑" w:cs="微软雅黑"/>
          <w:sz w:val="24"/>
          <w:szCs w:val="24"/>
          <w:highlight w:val="none"/>
        </w:rPr>
        <w:t>法定代表人（签/章）</w:t>
      </w:r>
      <w:r>
        <w:rPr>
          <w:rFonts w:hint="eastAsia" w:ascii="微软雅黑" w:hAnsi="微软雅黑" w:eastAsia="微软雅黑" w:cs="微软雅黑"/>
          <w:sz w:val="24"/>
          <w:szCs w:val="24"/>
          <w:highlight w:val="none"/>
          <w:u w:val="single" w:color="000000"/>
        </w:rPr>
        <w:t xml:space="preserve">　　　　　　 </w:t>
      </w:r>
    </w:p>
    <w:p w14:paraId="5C54CAD4">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供应商名称（全称）</w:t>
      </w:r>
      <w:r>
        <w:rPr>
          <w:rFonts w:hint="eastAsia" w:ascii="微软雅黑" w:hAnsi="微软雅黑" w:eastAsia="微软雅黑" w:cs="微软雅黑"/>
          <w:sz w:val="24"/>
          <w:szCs w:val="24"/>
          <w:highlight w:val="none"/>
          <w:u w:val="single" w:color="000000"/>
        </w:rPr>
        <w:t xml:space="preserve">　　　　　　 </w:t>
      </w:r>
    </w:p>
    <w:p w14:paraId="3760B348">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供应商开户银行（全称）</w:t>
      </w:r>
      <w:r>
        <w:rPr>
          <w:rFonts w:hint="eastAsia" w:ascii="微软雅黑" w:hAnsi="微软雅黑" w:eastAsia="微软雅黑" w:cs="微软雅黑"/>
          <w:sz w:val="24"/>
          <w:szCs w:val="24"/>
          <w:highlight w:val="none"/>
          <w:u w:val="single" w:color="000000"/>
        </w:rPr>
        <w:t xml:space="preserve">　　　　　　 </w:t>
      </w:r>
    </w:p>
    <w:p w14:paraId="15A4CF1F">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供应商银行帐号</w:t>
      </w:r>
      <w:r>
        <w:rPr>
          <w:rFonts w:hint="eastAsia" w:ascii="微软雅黑" w:hAnsi="微软雅黑" w:eastAsia="微软雅黑" w:cs="微软雅黑"/>
          <w:sz w:val="24"/>
          <w:szCs w:val="24"/>
          <w:highlight w:val="none"/>
          <w:u w:val="single" w:color="000000"/>
        </w:rPr>
        <w:t>　　　　　　　　 　　</w:t>
      </w:r>
    </w:p>
    <w:p w14:paraId="5232B678">
      <w:pPr>
        <w:pStyle w:val="16"/>
        <w:tabs>
          <w:tab w:val="left" w:pos="5580"/>
        </w:tabs>
        <w:snapToGrid w:val="0"/>
        <w:spacing w:line="240" w:lineRule="atLeast"/>
        <w:ind w:left="1080" w:leftChars="257" w:hanging="540"/>
        <w:textAlignment w:val="baseline"/>
        <w:rPr>
          <w:rFonts w:ascii="微软雅黑" w:hAnsi="微软雅黑" w:eastAsia="微软雅黑" w:cs="微软雅黑"/>
          <w:sz w:val="24"/>
          <w:szCs w:val="24"/>
          <w:highlight w:val="none"/>
          <w:u w:val="single" w:color="000000"/>
        </w:rPr>
      </w:pPr>
      <w:r>
        <w:rPr>
          <w:rFonts w:hint="eastAsia" w:ascii="微软雅黑" w:hAnsi="微软雅黑" w:eastAsia="微软雅黑" w:cs="微软雅黑"/>
          <w:sz w:val="24"/>
          <w:szCs w:val="24"/>
          <w:highlight w:val="none"/>
        </w:rPr>
        <w:t>供应商名称（公章）</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rPr>
        <w:t>日期</w:t>
      </w:r>
      <w:r>
        <w:rPr>
          <w:rFonts w:hint="eastAsia" w:ascii="微软雅黑" w:hAnsi="微软雅黑" w:eastAsia="微软雅黑" w:cs="微软雅黑"/>
          <w:sz w:val="24"/>
          <w:szCs w:val="24"/>
          <w:highlight w:val="none"/>
          <w:u w:val="single" w:color="000000"/>
        </w:rPr>
        <w:t>　　　　　　</w:t>
      </w:r>
      <w:bookmarkStart w:id="772" w:name="_Toc20897"/>
      <w:bookmarkStart w:id="773" w:name="_Toc515647818"/>
      <w:bookmarkStart w:id="774" w:name="_Toc1881"/>
      <w:bookmarkStart w:id="775" w:name="_Toc216582815"/>
    </w:p>
    <w:p w14:paraId="78EF1AEF">
      <w:pPr>
        <w:rPr>
          <w:rFonts w:ascii="微软雅黑" w:hAnsi="微软雅黑" w:eastAsia="微软雅黑" w:cs="微软雅黑"/>
          <w:b/>
          <w:highlight w:val="none"/>
        </w:rPr>
      </w:pPr>
      <w:bookmarkStart w:id="776" w:name="_Toc18221"/>
      <w:bookmarkStart w:id="777" w:name="_Toc32493"/>
      <w:bookmarkStart w:id="778" w:name="_Toc23248"/>
      <w:bookmarkStart w:id="779" w:name="_Toc23321"/>
      <w:bookmarkStart w:id="780" w:name="_Toc29155"/>
      <w:bookmarkStart w:id="781" w:name="_Toc12874"/>
      <w:bookmarkStart w:id="782" w:name="_Toc16705"/>
      <w:r>
        <w:rPr>
          <w:rFonts w:hint="eastAsia" w:ascii="微软雅黑" w:hAnsi="微软雅黑" w:eastAsia="微软雅黑" w:cs="微软雅黑"/>
          <w:b/>
          <w:sz w:val="24"/>
          <w:highlight w:val="none"/>
        </w:rPr>
        <w:br w:type="page"/>
      </w:r>
    </w:p>
    <w:bookmarkEnd w:id="772"/>
    <w:bookmarkEnd w:id="773"/>
    <w:bookmarkEnd w:id="774"/>
    <w:bookmarkEnd w:id="775"/>
    <w:bookmarkEnd w:id="776"/>
    <w:bookmarkEnd w:id="777"/>
    <w:bookmarkEnd w:id="778"/>
    <w:bookmarkEnd w:id="779"/>
    <w:bookmarkEnd w:id="780"/>
    <w:bookmarkEnd w:id="781"/>
    <w:bookmarkEnd w:id="782"/>
    <w:p w14:paraId="213F1840">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783" w:name="_Toc12794"/>
      <w:bookmarkStart w:id="784" w:name="_Toc9441"/>
      <w:bookmarkStart w:id="785" w:name="_Toc15724"/>
      <w:bookmarkStart w:id="786" w:name="_Toc515647821"/>
      <w:bookmarkStart w:id="787" w:name="_Toc24350"/>
      <w:bookmarkStart w:id="788" w:name="_Toc1848"/>
      <w:bookmarkStart w:id="789" w:name="_Toc22446"/>
      <w:bookmarkStart w:id="790" w:name="_Toc6460"/>
      <w:bookmarkStart w:id="791" w:name="_Toc23"/>
      <w:bookmarkStart w:id="792" w:name="_Toc216582818"/>
      <w:bookmarkStart w:id="793" w:name="_Toc13576"/>
      <w:bookmarkStart w:id="794" w:name="_Toc4467"/>
      <w:bookmarkStart w:id="795" w:name="_Toc26742"/>
      <w:bookmarkStart w:id="796" w:name="_Toc3060"/>
      <w:bookmarkStart w:id="797" w:name="_Toc3332"/>
      <w:bookmarkStart w:id="798" w:name="_Toc13810"/>
      <w:bookmarkStart w:id="799" w:name="_Toc1980"/>
      <w:bookmarkStart w:id="800" w:name="_Toc12723"/>
      <w:r>
        <w:rPr>
          <w:rFonts w:hint="eastAsia" w:ascii="微软雅黑" w:hAnsi="微软雅黑" w:eastAsia="微软雅黑" w:cs="微软雅黑"/>
          <w:b/>
          <w:bCs/>
          <w:color w:val="auto"/>
          <w:sz w:val="24"/>
          <w:szCs w:val="24"/>
          <w:highlight w:val="none"/>
          <w:u w:val="none"/>
          <w:lang w:val="en-US" w:eastAsia="zh-CN"/>
        </w:rPr>
        <w:t>2.商务条款偏离表</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33AA477F">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 xml:space="preserve">项目名称:                      项目编号:                                </w:t>
      </w:r>
    </w:p>
    <w:tbl>
      <w:tblPr>
        <w:tblStyle w:val="2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579C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767265A">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2040" w:type="dxa"/>
          </w:tcPr>
          <w:p w14:paraId="5C857CB2">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磋商文件条款号</w:t>
            </w:r>
          </w:p>
        </w:tc>
        <w:tc>
          <w:tcPr>
            <w:tcW w:w="2520" w:type="dxa"/>
          </w:tcPr>
          <w:p w14:paraId="4F495722">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磋商文件的商务条款</w:t>
            </w:r>
          </w:p>
        </w:tc>
        <w:tc>
          <w:tcPr>
            <w:tcW w:w="2520" w:type="dxa"/>
          </w:tcPr>
          <w:p w14:paraId="6C8BD204">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响应文件的商务条款</w:t>
            </w:r>
          </w:p>
        </w:tc>
        <w:tc>
          <w:tcPr>
            <w:tcW w:w="900" w:type="dxa"/>
          </w:tcPr>
          <w:p w14:paraId="02F24F65">
            <w:pPr>
              <w:pStyle w:val="16"/>
              <w:snapToGrid w:val="0"/>
              <w:spacing w:line="240" w:lineRule="atLeast"/>
              <w:jc w:val="center"/>
              <w:textAlignment w:val="baseline"/>
              <w:rPr>
                <w:rFonts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偏离</w:t>
            </w:r>
          </w:p>
        </w:tc>
      </w:tr>
      <w:tr w14:paraId="2653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BC55887">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040" w:type="dxa"/>
          </w:tcPr>
          <w:p w14:paraId="4DFC46C4">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5DDA951A">
            <w:pPr>
              <w:pStyle w:val="16"/>
              <w:snapToGrid w:val="0"/>
              <w:spacing w:line="240" w:lineRule="atLeast"/>
              <w:ind w:left="1080" w:leftChars="257" w:hanging="540"/>
              <w:jc w:val="center"/>
              <w:textAlignment w:val="baseline"/>
              <w:rPr>
                <w:rFonts w:ascii="微软雅黑" w:hAnsi="微软雅黑" w:eastAsia="微软雅黑" w:cs="微软雅黑"/>
                <w:sz w:val="24"/>
                <w:szCs w:val="24"/>
                <w:highlight w:val="none"/>
              </w:rPr>
            </w:pPr>
          </w:p>
        </w:tc>
        <w:tc>
          <w:tcPr>
            <w:tcW w:w="2520" w:type="dxa"/>
          </w:tcPr>
          <w:p w14:paraId="35A1CFFE">
            <w:pPr>
              <w:pStyle w:val="16"/>
              <w:snapToGrid w:val="0"/>
              <w:spacing w:line="240" w:lineRule="atLeast"/>
              <w:ind w:left="1080" w:leftChars="257" w:hanging="540"/>
              <w:jc w:val="center"/>
              <w:textAlignment w:val="baseline"/>
              <w:rPr>
                <w:rFonts w:ascii="微软雅黑" w:hAnsi="微软雅黑" w:eastAsia="微软雅黑" w:cs="微软雅黑"/>
                <w:sz w:val="24"/>
                <w:szCs w:val="24"/>
                <w:highlight w:val="none"/>
              </w:rPr>
            </w:pPr>
          </w:p>
        </w:tc>
        <w:tc>
          <w:tcPr>
            <w:tcW w:w="900" w:type="dxa"/>
          </w:tcPr>
          <w:p w14:paraId="298D457A">
            <w:pPr>
              <w:pStyle w:val="16"/>
              <w:snapToGrid w:val="0"/>
              <w:spacing w:line="240" w:lineRule="atLeast"/>
              <w:ind w:left="1080" w:leftChars="257" w:hanging="540"/>
              <w:jc w:val="center"/>
              <w:textAlignment w:val="baseline"/>
              <w:rPr>
                <w:rFonts w:ascii="微软雅黑" w:hAnsi="微软雅黑" w:eastAsia="微软雅黑" w:cs="微软雅黑"/>
                <w:sz w:val="24"/>
                <w:szCs w:val="24"/>
                <w:highlight w:val="none"/>
              </w:rPr>
            </w:pPr>
          </w:p>
        </w:tc>
      </w:tr>
      <w:tr w14:paraId="2CDB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4D13428">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040" w:type="dxa"/>
          </w:tcPr>
          <w:p w14:paraId="064184DE">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13FAFB0E">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019B44C5">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900" w:type="dxa"/>
          </w:tcPr>
          <w:p w14:paraId="249A585C">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r>
      <w:tr w14:paraId="11B8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B02922C">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040" w:type="dxa"/>
          </w:tcPr>
          <w:p w14:paraId="0D1A6328">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7AB0C251">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2520" w:type="dxa"/>
          </w:tcPr>
          <w:p w14:paraId="263EC12C">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c>
          <w:tcPr>
            <w:tcW w:w="900" w:type="dxa"/>
          </w:tcPr>
          <w:p w14:paraId="4D46FF8B">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p>
        </w:tc>
      </w:tr>
      <w:tr w14:paraId="7D76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28134F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0E96DB2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7B09C3F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7C21382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46050733">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0B16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5DBE44A">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6E9B488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3952033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207A2E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2EBF7C2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2563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A722CE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389D768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905311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1779D31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0B52DDA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5043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9ABA05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7AB8ED02">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1F5243B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0084B7B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0B59422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759F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49295F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02627642">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29A2A9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7004E59B">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133D01E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1447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E624AB9">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4D876D6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2C4952B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09E8AD5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524C814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1A40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4D45E58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4CB770E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079DF9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50AAA52">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4EA1DEF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0E47A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88A1A0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471418E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04017CB9">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602D444A">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3748ADB3">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5EB1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802E88B">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34896BA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3F35660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65875D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5DED14B9">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4425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CE2B684">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1E47737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72CBB1E">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302FFA3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068D3EF0">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2DAE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CB97559">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1E05F89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324A2D7D">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D13861C">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3100A19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57A3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49694B">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21D9F595">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711AFE44">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EFE4BA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56CBE6F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036C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00F6D3C8">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505E0A42">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7E175CE">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C5E2954">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00746CB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r w14:paraId="16EB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A41B9B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040" w:type="dxa"/>
          </w:tcPr>
          <w:p w14:paraId="531A8081">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570EE5AB">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2520" w:type="dxa"/>
          </w:tcPr>
          <w:p w14:paraId="4E6DD1B7">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c>
          <w:tcPr>
            <w:tcW w:w="900" w:type="dxa"/>
          </w:tcPr>
          <w:p w14:paraId="4C362956">
            <w:pPr>
              <w:pStyle w:val="16"/>
              <w:snapToGrid w:val="0"/>
              <w:spacing w:line="240" w:lineRule="atLeast"/>
              <w:ind w:left="1080" w:leftChars="257" w:hanging="540"/>
              <w:textAlignment w:val="baseline"/>
              <w:rPr>
                <w:rFonts w:ascii="微软雅黑" w:hAnsi="微软雅黑" w:eastAsia="微软雅黑" w:cs="微软雅黑"/>
                <w:szCs w:val="24"/>
                <w:highlight w:val="none"/>
              </w:rPr>
            </w:pPr>
          </w:p>
        </w:tc>
      </w:tr>
    </w:tbl>
    <w:p w14:paraId="167D115F">
      <w:pPr>
        <w:pStyle w:val="16"/>
        <w:snapToGrid w:val="0"/>
        <w:spacing w:line="240" w:lineRule="atLeast"/>
        <w:ind w:left="1080" w:leftChars="257" w:hanging="540"/>
        <w:textAlignment w:val="baseline"/>
        <w:rPr>
          <w:rFonts w:ascii="微软雅黑" w:hAnsi="微软雅黑" w:eastAsia="微软雅黑" w:cs="微软雅黑"/>
          <w:szCs w:val="24"/>
          <w:highlight w:val="none"/>
        </w:rPr>
      </w:pPr>
    </w:p>
    <w:p w14:paraId="0B05D297">
      <w:pPr>
        <w:rPr>
          <w:rFonts w:ascii="微软雅黑" w:hAnsi="微软雅黑" w:eastAsia="微软雅黑" w:cs="微软雅黑"/>
          <w:sz w:val="24"/>
          <w:highlight w:val="none"/>
        </w:rPr>
      </w:pPr>
    </w:p>
    <w:p w14:paraId="341820E9">
      <w:pPr>
        <w:pStyle w:val="16"/>
        <w:snapToGrid w:val="0"/>
        <w:spacing w:line="240" w:lineRule="atLeast"/>
        <w:ind w:left="1080" w:leftChars="257" w:hanging="540"/>
        <w:textAlignment w:val="baseline"/>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法定代表人（签/章）:</w:t>
      </w:r>
      <w:r>
        <w:rPr>
          <w:rFonts w:hint="eastAsia" w:ascii="微软雅黑" w:hAnsi="微软雅黑" w:eastAsia="微软雅黑" w:cs="微软雅黑"/>
          <w:sz w:val="24"/>
          <w:szCs w:val="24"/>
          <w:highlight w:val="none"/>
          <w:u w:val="single" w:color="000000"/>
        </w:rPr>
        <w:t xml:space="preserve"> </w:t>
      </w:r>
      <w:r>
        <w:rPr>
          <w:rFonts w:hint="eastAsia" w:ascii="微软雅黑" w:hAnsi="微软雅黑" w:eastAsia="微软雅黑" w:cs="微软雅黑"/>
          <w:sz w:val="24"/>
          <w:szCs w:val="24"/>
          <w:highlight w:val="none"/>
          <w:u w:val="single" w:color="000000"/>
        </w:rPr>
        <w:tab/>
      </w:r>
      <w:r>
        <w:rPr>
          <w:rFonts w:hint="eastAsia" w:ascii="微软雅黑" w:hAnsi="微软雅黑" w:eastAsia="微软雅黑" w:cs="微软雅黑"/>
          <w:sz w:val="24"/>
          <w:szCs w:val="24"/>
          <w:highlight w:val="none"/>
          <w:u w:val="single" w:color="000000"/>
        </w:rPr>
        <w:t xml:space="preserve">                 </w:t>
      </w:r>
    </w:p>
    <w:p w14:paraId="3A5521E1">
      <w:pPr>
        <w:pStyle w:val="16"/>
        <w:tabs>
          <w:tab w:val="left" w:pos="5370"/>
        </w:tabs>
        <w:snapToGrid w:val="0"/>
        <w:spacing w:line="240" w:lineRule="atLeast"/>
        <w:ind w:left="1080" w:leftChars="257" w:hanging="540"/>
        <w:textAlignment w:val="baseline"/>
        <w:rPr>
          <w:rFonts w:ascii="微软雅黑" w:hAnsi="微软雅黑" w:eastAsia="微软雅黑" w:cs="微软雅黑"/>
          <w:sz w:val="24"/>
          <w:szCs w:val="24"/>
          <w:highlight w:val="none"/>
          <w:u w:val="single" w:color="000000"/>
        </w:rPr>
      </w:pPr>
      <w:r>
        <w:rPr>
          <w:rFonts w:hint="eastAsia" w:ascii="微软雅黑" w:hAnsi="微软雅黑" w:eastAsia="微软雅黑" w:cs="微软雅黑"/>
          <w:sz w:val="24"/>
          <w:szCs w:val="24"/>
          <w:highlight w:val="none"/>
        </w:rPr>
        <w:t>供应商名称(公章):</w:t>
      </w:r>
      <w:r>
        <w:rPr>
          <w:rFonts w:hint="eastAsia" w:ascii="微软雅黑" w:hAnsi="微软雅黑" w:eastAsia="微软雅黑" w:cs="微软雅黑"/>
          <w:sz w:val="24"/>
          <w:szCs w:val="24"/>
          <w:highlight w:val="none"/>
          <w:u w:val="single" w:color="000000"/>
        </w:rPr>
        <w:tab/>
      </w:r>
    </w:p>
    <w:p w14:paraId="08CC8030">
      <w:pP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br w:type="page"/>
      </w:r>
    </w:p>
    <w:p w14:paraId="4D6A3436">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highlight w:val="none"/>
          <w:lang w:val="en-US" w:eastAsia="zh-CN"/>
        </w:rPr>
      </w:pPr>
      <w:bookmarkStart w:id="801" w:name="_Toc18535"/>
      <w:bookmarkStart w:id="802" w:name="_Toc4075"/>
      <w:bookmarkStart w:id="803" w:name="_Toc14355"/>
      <w:bookmarkStart w:id="804" w:name="_Toc515647823"/>
      <w:bookmarkStart w:id="805" w:name="_Toc6881"/>
      <w:bookmarkStart w:id="806" w:name="_Toc21482"/>
      <w:bookmarkStart w:id="807" w:name="_Toc4073"/>
      <w:bookmarkStart w:id="808" w:name="_Toc10725"/>
      <w:bookmarkStart w:id="809" w:name="_Toc16929"/>
      <w:bookmarkStart w:id="810" w:name="_Toc17820"/>
      <w:bookmarkStart w:id="811" w:name="_Toc18923"/>
      <w:bookmarkStart w:id="812" w:name="_Toc21312"/>
      <w:bookmarkStart w:id="813" w:name="_Toc3844"/>
      <w:bookmarkStart w:id="814" w:name="_Toc8638"/>
      <w:bookmarkStart w:id="815" w:name="_Toc13462"/>
      <w:bookmarkStart w:id="816" w:name="_Toc15213"/>
      <w:bookmarkStart w:id="817" w:name="_Toc10079"/>
      <w:bookmarkStart w:id="818" w:name="_Toc10860"/>
      <w:bookmarkStart w:id="819" w:name="_Toc18052"/>
      <w:r>
        <w:rPr>
          <w:rFonts w:hint="eastAsia" w:ascii="微软雅黑" w:hAnsi="微软雅黑" w:eastAsia="微软雅黑" w:cs="微软雅黑"/>
          <w:b/>
          <w:bCs/>
          <w:color w:val="auto"/>
          <w:sz w:val="24"/>
          <w:szCs w:val="24"/>
          <w:highlight w:val="none"/>
          <w:u w:val="none"/>
          <w:lang w:val="en-US" w:eastAsia="zh-CN"/>
        </w:rPr>
        <w:t>3.1 已标价的工程量清单</w:t>
      </w:r>
      <w:bookmarkEnd w:id="801"/>
      <w:r>
        <w:rPr>
          <w:rFonts w:hint="eastAsia" w:ascii="微软雅黑" w:hAnsi="微软雅黑" w:eastAsia="微软雅黑" w:cs="微软雅黑"/>
          <w:b/>
          <w:bCs/>
          <w:color w:val="auto"/>
          <w:sz w:val="24"/>
          <w:szCs w:val="24"/>
          <w:highlight w:val="none"/>
          <w:u w:val="none"/>
          <w:lang w:val="en-US" w:eastAsia="zh-CN"/>
        </w:rPr>
        <w:t>（工程类部分的报价）</w:t>
      </w:r>
    </w:p>
    <w:p w14:paraId="1B27D7F9">
      <w:pP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注：工程类部分的最高限价为</w:t>
      </w:r>
      <w:r>
        <w:rPr>
          <w:rFonts w:hint="eastAsia" w:ascii="微软雅黑" w:hAnsi="微软雅黑" w:eastAsia="微软雅黑" w:cs="微软雅黑"/>
          <w:b/>
          <w:bCs/>
          <w:color w:val="auto"/>
          <w:sz w:val="24"/>
          <w:szCs w:val="24"/>
          <w:highlight w:val="none"/>
          <w:lang w:val="en-US" w:eastAsia="zh-CN"/>
        </w:rPr>
        <w:t>1117050.53</w:t>
      </w:r>
      <w:r>
        <w:rPr>
          <w:rFonts w:hint="eastAsia" w:ascii="微软雅黑" w:hAnsi="微软雅黑" w:eastAsia="微软雅黑" w:cs="微软雅黑"/>
          <w:b/>
          <w:bCs/>
          <w:color w:val="auto"/>
          <w:sz w:val="24"/>
          <w:szCs w:val="24"/>
          <w:highlight w:val="none"/>
          <w:lang w:val="en-US" w:eastAsia="zh-CN"/>
        </w:rPr>
        <w:t>元。各供应商工程类部分的报价不得超过其最高限价，否则视为无效投标。</w:t>
      </w:r>
    </w:p>
    <w:p w14:paraId="724310B8">
      <w:pPr>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9"/>
        <w:rPr>
          <w:rFonts w:hint="eastAsia" w:ascii="微软雅黑" w:hAnsi="微软雅黑" w:eastAsia="微软雅黑" w:cs="微软雅黑"/>
          <w:b/>
          <w:bCs/>
          <w:color w:val="auto"/>
          <w:sz w:val="24"/>
          <w:szCs w:val="24"/>
          <w:highlight w:val="none"/>
          <w:u w:val="none"/>
          <w:lang w:val="en-US" w:eastAsia="zh-CN"/>
        </w:rPr>
      </w:pPr>
    </w:p>
    <w:p w14:paraId="51955FB6">
      <w:pPr>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9"/>
        <w:rPr>
          <w:rFonts w:hint="eastAsia" w:ascii="微软雅黑" w:hAnsi="微软雅黑" w:eastAsia="微软雅黑" w:cs="微软雅黑"/>
          <w:b/>
          <w:bCs/>
          <w:color w:val="auto"/>
          <w:sz w:val="24"/>
          <w:szCs w:val="24"/>
          <w:highlight w:val="none"/>
          <w:u w:val="none"/>
          <w:lang w:val="en-US" w:eastAsia="zh-CN"/>
        </w:rPr>
      </w:pPr>
    </w:p>
    <w:p w14:paraId="161EB37F">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3.2 投标分项报价表</w:t>
      </w:r>
      <w:bookmarkEnd w:id="802"/>
      <w:r>
        <w:rPr>
          <w:rFonts w:hint="eastAsia" w:ascii="微软雅黑" w:hAnsi="微软雅黑" w:eastAsia="微软雅黑" w:cs="微软雅黑"/>
          <w:b/>
          <w:bCs/>
          <w:color w:val="auto"/>
          <w:sz w:val="24"/>
          <w:szCs w:val="24"/>
          <w:highlight w:val="none"/>
          <w:u w:val="none"/>
          <w:lang w:val="en-US" w:eastAsia="zh-CN"/>
        </w:rPr>
        <w:t>（货物类部分的报价）</w:t>
      </w:r>
    </w:p>
    <w:p w14:paraId="7FE8480C">
      <w:pPr>
        <w:pStyle w:val="16"/>
        <w:keepNext w:val="0"/>
        <w:keepLines w:val="0"/>
        <w:pageBreakBefore w:val="0"/>
        <w:widowControl w:val="0"/>
        <w:kinsoku/>
        <w:wordWrap/>
        <w:overflowPunct/>
        <w:topLinePunct w:val="0"/>
        <w:autoSpaceDE/>
        <w:autoSpaceDN/>
        <w:bidi w:val="0"/>
        <w:adjustRightInd/>
        <w:snapToGrid/>
        <w:spacing w:line="400" w:lineRule="exact"/>
        <w:ind w:left="540" w:leftChars="257" w:firstLine="0"/>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项目名称:                      项目编号:                       　 　          报价单位：人民币</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b/>
          <w:bCs/>
          <w:color w:val="auto"/>
          <w:sz w:val="24"/>
          <w:szCs w:val="24"/>
          <w:highlight w:val="none"/>
        </w:rPr>
        <w:t>元</w:t>
      </w:r>
      <w:r>
        <w:rPr>
          <w:rFonts w:hint="eastAsia" w:ascii="微软雅黑" w:hAnsi="微软雅黑" w:eastAsia="微软雅黑" w:cs="微软雅黑"/>
          <w:b/>
          <w:bCs/>
          <w:color w:val="auto"/>
          <w:sz w:val="24"/>
          <w:szCs w:val="24"/>
          <w:highlight w:val="none"/>
          <w:lang w:val="en-US" w:eastAsia="zh-CN"/>
        </w:rPr>
        <w:t xml:space="preserve">          </w:t>
      </w:r>
    </w:p>
    <w:tbl>
      <w:tblPr>
        <w:tblStyle w:val="2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13"/>
        <w:gridCol w:w="1385"/>
        <w:gridCol w:w="808"/>
        <w:gridCol w:w="858"/>
        <w:gridCol w:w="1017"/>
        <w:gridCol w:w="1036"/>
        <w:gridCol w:w="1018"/>
      </w:tblGrid>
      <w:tr w14:paraId="75E6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378" w:type="pct"/>
            <w:vAlign w:val="center"/>
          </w:tcPr>
          <w:p w14:paraId="68298171">
            <w:pPr>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序号</w:t>
            </w:r>
          </w:p>
        </w:tc>
        <w:tc>
          <w:tcPr>
            <w:tcW w:w="1100" w:type="pct"/>
            <w:vAlign w:val="center"/>
          </w:tcPr>
          <w:p w14:paraId="3FC1134F">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货物</w:t>
            </w:r>
            <w:r>
              <w:rPr>
                <w:rFonts w:hint="eastAsia" w:ascii="微软雅黑" w:hAnsi="微软雅黑" w:eastAsia="微软雅黑" w:cs="微软雅黑"/>
                <w:color w:val="auto"/>
                <w:sz w:val="24"/>
                <w:highlight w:val="none"/>
              </w:rPr>
              <w:t>名称</w:t>
            </w:r>
          </w:p>
        </w:tc>
        <w:tc>
          <w:tcPr>
            <w:tcW w:w="796" w:type="pct"/>
            <w:vAlign w:val="center"/>
          </w:tcPr>
          <w:p w14:paraId="56FA2923">
            <w:pPr>
              <w:spacing w:line="360" w:lineRule="auto"/>
              <w:jc w:val="cente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规格、技术参数</w:t>
            </w:r>
          </w:p>
        </w:tc>
        <w:tc>
          <w:tcPr>
            <w:tcW w:w="464" w:type="pct"/>
            <w:vAlign w:val="center"/>
          </w:tcPr>
          <w:p w14:paraId="483EBD40">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数量</w:t>
            </w:r>
          </w:p>
        </w:tc>
        <w:tc>
          <w:tcPr>
            <w:tcW w:w="493" w:type="pct"/>
            <w:vAlign w:val="center"/>
          </w:tcPr>
          <w:p w14:paraId="2CE74DB8">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单位</w:t>
            </w:r>
          </w:p>
        </w:tc>
        <w:tc>
          <w:tcPr>
            <w:tcW w:w="584" w:type="pct"/>
            <w:vAlign w:val="center"/>
          </w:tcPr>
          <w:p w14:paraId="5CA14364">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单价</w:t>
            </w:r>
          </w:p>
        </w:tc>
        <w:tc>
          <w:tcPr>
            <w:tcW w:w="595" w:type="pct"/>
            <w:vAlign w:val="center"/>
          </w:tcPr>
          <w:p w14:paraId="615DBF25">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合价</w:t>
            </w:r>
          </w:p>
        </w:tc>
        <w:tc>
          <w:tcPr>
            <w:tcW w:w="585" w:type="pct"/>
            <w:vAlign w:val="center"/>
          </w:tcPr>
          <w:p w14:paraId="1DD1D220">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5A73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24302020">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p>
        </w:tc>
        <w:tc>
          <w:tcPr>
            <w:tcW w:w="1100" w:type="pct"/>
            <w:vAlign w:val="center"/>
          </w:tcPr>
          <w:p w14:paraId="52421290">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4C6E6DE3">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12C54C2C">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3841D5A6">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532A1A0F">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6EC83D29">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42328235">
            <w:pPr>
              <w:spacing w:line="360" w:lineRule="auto"/>
              <w:jc w:val="center"/>
              <w:rPr>
                <w:rFonts w:hint="eastAsia" w:ascii="微软雅黑" w:hAnsi="微软雅黑" w:eastAsia="微软雅黑" w:cs="微软雅黑"/>
                <w:color w:val="auto"/>
                <w:sz w:val="24"/>
                <w:highlight w:val="none"/>
              </w:rPr>
            </w:pPr>
          </w:p>
        </w:tc>
      </w:tr>
      <w:tr w14:paraId="08AA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366B1971">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tc>
        <w:tc>
          <w:tcPr>
            <w:tcW w:w="1100" w:type="pct"/>
            <w:vAlign w:val="center"/>
          </w:tcPr>
          <w:p w14:paraId="73DCFBC3">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75CAAA07">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08303DFC">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25EF443A">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777D570D">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02D3CBA0">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5B5D653A">
            <w:pPr>
              <w:spacing w:line="360" w:lineRule="auto"/>
              <w:jc w:val="center"/>
              <w:rPr>
                <w:rFonts w:hint="eastAsia" w:ascii="微软雅黑" w:hAnsi="微软雅黑" w:eastAsia="微软雅黑" w:cs="微软雅黑"/>
                <w:color w:val="auto"/>
                <w:sz w:val="24"/>
                <w:highlight w:val="none"/>
              </w:rPr>
            </w:pPr>
          </w:p>
        </w:tc>
      </w:tr>
      <w:tr w14:paraId="3A62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3CDCC5EF">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p>
        </w:tc>
        <w:tc>
          <w:tcPr>
            <w:tcW w:w="1100" w:type="pct"/>
            <w:vAlign w:val="center"/>
          </w:tcPr>
          <w:p w14:paraId="1C3CC215">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2785A512">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62154488">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2406A65E">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5E750A76">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40429AA1">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2980E2FD">
            <w:pPr>
              <w:spacing w:line="360" w:lineRule="auto"/>
              <w:jc w:val="center"/>
              <w:rPr>
                <w:rFonts w:hint="eastAsia" w:ascii="微软雅黑" w:hAnsi="微软雅黑" w:eastAsia="微软雅黑" w:cs="微软雅黑"/>
                <w:color w:val="auto"/>
                <w:sz w:val="24"/>
                <w:highlight w:val="none"/>
              </w:rPr>
            </w:pPr>
          </w:p>
        </w:tc>
      </w:tr>
      <w:tr w14:paraId="688A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4BCA3444">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p>
        </w:tc>
        <w:tc>
          <w:tcPr>
            <w:tcW w:w="1100" w:type="pct"/>
            <w:vAlign w:val="center"/>
          </w:tcPr>
          <w:p w14:paraId="574819CF">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2B0130E9">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04A8332D">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6B1E8105">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14B98BB8">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39AE50BE">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27F5B9D0">
            <w:pPr>
              <w:spacing w:line="360" w:lineRule="auto"/>
              <w:jc w:val="center"/>
              <w:rPr>
                <w:rFonts w:hint="eastAsia" w:ascii="微软雅黑" w:hAnsi="微软雅黑" w:eastAsia="微软雅黑" w:cs="微软雅黑"/>
                <w:color w:val="auto"/>
                <w:sz w:val="24"/>
                <w:highlight w:val="none"/>
              </w:rPr>
            </w:pPr>
          </w:p>
        </w:tc>
      </w:tr>
      <w:tr w14:paraId="325B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78" w:type="pct"/>
            <w:vAlign w:val="center"/>
          </w:tcPr>
          <w:p w14:paraId="7651D165">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w:t>
            </w:r>
          </w:p>
        </w:tc>
        <w:tc>
          <w:tcPr>
            <w:tcW w:w="1100" w:type="pct"/>
            <w:vAlign w:val="center"/>
          </w:tcPr>
          <w:p w14:paraId="3DA8AA1A">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0767119E">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48B30485">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3638EC42">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7CF9EC4E">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147D20B6">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2685279B">
            <w:pPr>
              <w:spacing w:line="360" w:lineRule="auto"/>
              <w:jc w:val="center"/>
              <w:rPr>
                <w:rFonts w:hint="eastAsia" w:ascii="微软雅黑" w:hAnsi="微软雅黑" w:eastAsia="微软雅黑" w:cs="微软雅黑"/>
                <w:color w:val="auto"/>
                <w:sz w:val="24"/>
                <w:highlight w:val="none"/>
              </w:rPr>
            </w:pPr>
          </w:p>
        </w:tc>
      </w:tr>
      <w:tr w14:paraId="7BD0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78" w:type="pct"/>
            <w:vAlign w:val="center"/>
          </w:tcPr>
          <w:p w14:paraId="76F43202">
            <w:pPr>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w:t>
            </w:r>
          </w:p>
        </w:tc>
        <w:tc>
          <w:tcPr>
            <w:tcW w:w="1100" w:type="pct"/>
            <w:vAlign w:val="center"/>
          </w:tcPr>
          <w:p w14:paraId="7F03148F">
            <w:pPr>
              <w:spacing w:line="360" w:lineRule="auto"/>
              <w:jc w:val="center"/>
              <w:rPr>
                <w:rFonts w:hint="eastAsia" w:ascii="微软雅黑" w:hAnsi="微软雅黑" w:eastAsia="微软雅黑" w:cs="微软雅黑"/>
                <w:color w:val="auto"/>
                <w:sz w:val="24"/>
                <w:highlight w:val="none"/>
              </w:rPr>
            </w:pPr>
          </w:p>
        </w:tc>
        <w:tc>
          <w:tcPr>
            <w:tcW w:w="796" w:type="pct"/>
            <w:vAlign w:val="center"/>
          </w:tcPr>
          <w:p w14:paraId="7610F005">
            <w:pPr>
              <w:spacing w:line="360" w:lineRule="auto"/>
              <w:jc w:val="center"/>
              <w:rPr>
                <w:rFonts w:hint="eastAsia" w:ascii="微软雅黑" w:hAnsi="微软雅黑" w:eastAsia="微软雅黑" w:cs="微软雅黑"/>
                <w:color w:val="auto"/>
                <w:sz w:val="24"/>
                <w:highlight w:val="none"/>
              </w:rPr>
            </w:pPr>
          </w:p>
        </w:tc>
        <w:tc>
          <w:tcPr>
            <w:tcW w:w="464" w:type="pct"/>
            <w:vAlign w:val="center"/>
          </w:tcPr>
          <w:p w14:paraId="57888532">
            <w:pPr>
              <w:spacing w:line="360" w:lineRule="auto"/>
              <w:jc w:val="center"/>
              <w:rPr>
                <w:rFonts w:hint="eastAsia" w:ascii="微软雅黑" w:hAnsi="微软雅黑" w:eastAsia="微软雅黑" w:cs="微软雅黑"/>
                <w:color w:val="auto"/>
                <w:sz w:val="24"/>
                <w:highlight w:val="none"/>
              </w:rPr>
            </w:pPr>
          </w:p>
        </w:tc>
        <w:tc>
          <w:tcPr>
            <w:tcW w:w="493" w:type="pct"/>
            <w:vAlign w:val="center"/>
          </w:tcPr>
          <w:p w14:paraId="1E4536CE">
            <w:pPr>
              <w:spacing w:line="360" w:lineRule="auto"/>
              <w:jc w:val="center"/>
              <w:rPr>
                <w:rFonts w:hint="eastAsia" w:ascii="微软雅黑" w:hAnsi="微软雅黑" w:eastAsia="微软雅黑" w:cs="微软雅黑"/>
                <w:color w:val="auto"/>
                <w:sz w:val="24"/>
                <w:highlight w:val="none"/>
              </w:rPr>
            </w:pPr>
          </w:p>
        </w:tc>
        <w:tc>
          <w:tcPr>
            <w:tcW w:w="584" w:type="pct"/>
            <w:vAlign w:val="center"/>
          </w:tcPr>
          <w:p w14:paraId="2F295321">
            <w:pPr>
              <w:spacing w:line="360" w:lineRule="auto"/>
              <w:jc w:val="center"/>
              <w:rPr>
                <w:rFonts w:hint="eastAsia" w:ascii="微软雅黑" w:hAnsi="微软雅黑" w:eastAsia="微软雅黑" w:cs="微软雅黑"/>
                <w:color w:val="auto"/>
                <w:sz w:val="24"/>
                <w:highlight w:val="none"/>
              </w:rPr>
            </w:pPr>
          </w:p>
        </w:tc>
        <w:tc>
          <w:tcPr>
            <w:tcW w:w="595" w:type="pct"/>
            <w:vAlign w:val="center"/>
          </w:tcPr>
          <w:p w14:paraId="69D30D4C">
            <w:pPr>
              <w:spacing w:line="360" w:lineRule="auto"/>
              <w:jc w:val="center"/>
              <w:rPr>
                <w:rFonts w:hint="eastAsia" w:ascii="微软雅黑" w:hAnsi="微软雅黑" w:eastAsia="微软雅黑" w:cs="微软雅黑"/>
                <w:color w:val="auto"/>
                <w:sz w:val="24"/>
                <w:highlight w:val="none"/>
              </w:rPr>
            </w:pPr>
          </w:p>
        </w:tc>
        <w:tc>
          <w:tcPr>
            <w:tcW w:w="585" w:type="pct"/>
            <w:vAlign w:val="center"/>
          </w:tcPr>
          <w:p w14:paraId="61166E2D">
            <w:pPr>
              <w:spacing w:line="360" w:lineRule="auto"/>
              <w:jc w:val="center"/>
              <w:rPr>
                <w:rFonts w:hint="eastAsia" w:ascii="微软雅黑" w:hAnsi="微软雅黑" w:eastAsia="微软雅黑" w:cs="微软雅黑"/>
                <w:color w:val="auto"/>
                <w:sz w:val="24"/>
                <w:highlight w:val="none"/>
              </w:rPr>
            </w:pPr>
          </w:p>
        </w:tc>
      </w:tr>
    </w:tbl>
    <w:p w14:paraId="45F8A8F5">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052D05FB">
      <w:pPr>
        <w:pStyle w:val="8"/>
        <w:spacing w:line="360" w:lineRule="exact"/>
        <w:ind w:firstLine="0"/>
        <w:rPr>
          <w:rFonts w:hint="eastAsia" w:ascii="微软雅黑" w:hAnsi="微软雅黑" w:eastAsia="微软雅黑" w:cs="微软雅黑"/>
          <w:color w:val="auto"/>
          <w:kern w:val="2"/>
          <w:sz w:val="24"/>
          <w:szCs w:val="24"/>
          <w:highlight w:val="none"/>
          <w:u w:val="single"/>
        </w:rPr>
      </w:pPr>
      <w:r>
        <w:rPr>
          <w:rFonts w:hint="eastAsia" w:ascii="微软雅黑" w:hAnsi="微软雅黑" w:eastAsia="微软雅黑" w:cs="微软雅黑"/>
          <w:color w:val="auto"/>
          <w:kern w:val="2"/>
          <w:sz w:val="24"/>
          <w:szCs w:val="24"/>
          <w:highlight w:val="none"/>
          <w:lang w:eastAsia="zh-CN"/>
        </w:rPr>
        <w:t>供应商</w:t>
      </w:r>
      <w:r>
        <w:rPr>
          <w:rFonts w:hint="eastAsia" w:ascii="微软雅黑" w:hAnsi="微软雅黑" w:eastAsia="微软雅黑" w:cs="微软雅黑"/>
          <w:color w:val="auto"/>
          <w:kern w:val="2"/>
          <w:sz w:val="24"/>
          <w:szCs w:val="24"/>
          <w:highlight w:val="none"/>
        </w:rPr>
        <w:t>名称（</w:t>
      </w:r>
      <w:r>
        <w:rPr>
          <w:rFonts w:hint="eastAsia" w:ascii="微软雅黑" w:hAnsi="微软雅黑" w:eastAsia="微软雅黑" w:cs="微软雅黑"/>
          <w:color w:val="auto"/>
          <w:kern w:val="2"/>
          <w:sz w:val="24"/>
          <w:szCs w:val="24"/>
          <w:highlight w:val="none"/>
          <w:lang w:eastAsia="zh-CN"/>
        </w:rPr>
        <w:t>公章</w:t>
      </w:r>
      <w:r>
        <w:rPr>
          <w:rFonts w:hint="eastAsia" w:ascii="微软雅黑" w:hAnsi="微软雅黑" w:eastAsia="微软雅黑" w:cs="微软雅黑"/>
          <w:color w:val="auto"/>
          <w:kern w:val="2"/>
          <w:sz w:val="24"/>
          <w:szCs w:val="24"/>
          <w:highlight w:val="none"/>
        </w:rPr>
        <w:t>）：</w:t>
      </w:r>
      <w:r>
        <w:rPr>
          <w:rFonts w:hint="eastAsia" w:ascii="微软雅黑" w:hAnsi="微软雅黑" w:eastAsia="微软雅黑" w:cs="微软雅黑"/>
          <w:color w:val="auto"/>
          <w:kern w:val="2"/>
          <w:sz w:val="24"/>
          <w:szCs w:val="24"/>
          <w:highlight w:val="none"/>
          <w:u w:val="single"/>
        </w:rPr>
        <w:t xml:space="preserve">                       </w:t>
      </w:r>
    </w:p>
    <w:p w14:paraId="00A6A6E4">
      <w:pPr>
        <w:pStyle w:val="8"/>
        <w:spacing w:line="360" w:lineRule="exact"/>
        <w:ind w:firstLine="0"/>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法定代表人(签/章):</w:t>
      </w:r>
      <w:r>
        <w:rPr>
          <w:rFonts w:hint="eastAsia" w:ascii="微软雅黑" w:hAnsi="微软雅黑" w:eastAsia="微软雅黑" w:cs="微软雅黑"/>
          <w:color w:val="auto"/>
          <w:kern w:val="2"/>
          <w:sz w:val="24"/>
          <w:szCs w:val="24"/>
          <w:highlight w:val="none"/>
          <w:u w:val="single"/>
        </w:rPr>
        <w:tab/>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3ABA487F">
      <w:pPr>
        <w:pStyle w:val="8"/>
        <w:spacing w:line="360" w:lineRule="exact"/>
        <w:ind w:firstLine="0"/>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日期 ：</w:t>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62339003">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5C7753B4">
      <w:pP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注：货物类部分的最高限价为</w:t>
      </w:r>
      <w:r>
        <w:rPr>
          <w:rFonts w:hint="eastAsia" w:ascii="微软雅黑" w:hAnsi="微软雅黑" w:eastAsia="微软雅黑" w:cs="微软雅黑"/>
          <w:b/>
          <w:bCs/>
          <w:color w:val="auto"/>
          <w:sz w:val="24"/>
          <w:szCs w:val="24"/>
          <w:highlight w:val="none"/>
          <w:lang w:val="en-US" w:eastAsia="zh-CN"/>
        </w:rPr>
        <w:t>791100</w:t>
      </w:r>
      <w:r>
        <w:rPr>
          <w:rFonts w:hint="eastAsia" w:ascii="微软雅黑" w:hAnsi="微软雅黑" w:eastAsia="微软雅黑" w:cs="微软雅黑"/>
          <w:b/>
          <w:bCs/>
          <w:color w:val="auto"/>
          <w:sz w:val="24"/>
          <w:szCs w:val="24"/>
          <w:highlight w:val="none"/>
          <w:lang w:val="en-US" w:eastAsia="zh-CN"/>
        </w:rPr>
        <w:t>元。各供应商货物类部分的报价不得超过其最高限价，否则视为无效投标。</w:t>
      </w:r>
    </w:p>
    <w:p w14:paraId="7244720E">
      <w:pP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br w:type="page"/>
      </w:r>
    </w:p>
    <w:p w14:paraId="553CB3D9">
      <w:pPr>
        <w:keepNext/>
        <w:keepLines/>
        <w:pageBreakBefore w:val="0"/>
        <w:widowControl w:val="0"/>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8"/>
          <w:szCs w:val="28"/>
          <w:highlight w:val="none"/>
          <w:u w:val="none"/>
          <w:lang w:val="en-US" w:eastAsia="zh-CN"/>
        </w:rPr>
      </w:pPr>
      <w:r>
        <w:rPr>
          <w:rFonts w:hint="eastAsia" w:ascii="微软雅黑" w:hAnsi="微软雅黑" w:eastAsia="微软雅黑" w:cs="微软雅黑"/>
          <w:b/>
          <w:bCs/>
          <w:color w:val="auto"/>
          <w:sz w:val="28"/>
          <w:szCs w:val="28"/>
          <w:highlight w:val="none"/>
          <w:u w:val="none"/>
          <w:lang w:val="en-US" w:eastAsia="zh-CN"/>
        </w:rPr>
        <w:t>4.货物说明一览表</w:t>
      </w:r>
      <w:bookmarkEnd w:id="803"/>
      <w:r>
        <w:rPr>
          <w:rFonts w:hint="eastAsia" w:ascii="微软雅黑" w:hAnsi="微软雅黑" w:eastAsia="微软雅黑" w:cs="微软雅黑"/>
          <w:b/>
          <w:bCs/>
          <w:color w:val="auto"/>
          <w:sz w:val="28"/>
          <w:szCs w:val="28"/>
          <w:highlight w:val="none"/>
          <w:u w:val="none"/>
          <w:lang w:val="en-US" w:eastAsia="zh-CN"/>
        </w:rPr>
        <w:t>（货物类部分）</w:t>
      </w:r>
    </w:p>
    <w:p w14:paraId="6BDE153D">
      <w:pPr>
        <w:pStyle w:val="16"/>
        <w:spacing w:line="360" w:lineRule="exact"/>
        <w:ind w:left="1080" w:leftChars="257" w:hanging="540"/>
        <w:jc w:val="left"/>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项目名称:                    </w:t>
      </w:r>
      <w:r>
        <w:rPr>
          <w:rFonts w:hint="eastAsia" w:ascii="微软雅黑" w:hAnsi="微软雅黑" w:eastAsia="微软雅黑" w:cs="微软雅黑"/>
          <w:color w:val="auto"/>
          <w:sz w:val="24"/>
          <w:highlight w:val="none"/>
          <w:lang w:eastAsia="zh-CN"/>
        </w:rPr>
        <w:t>项目编号</w:t>
      </w:r>
      <w:r>
        <w:rPr>
          <w:rFonts w:hint="eastAsia" w:ascii="微软雅黑" w:hAnsi="微软雅黑" w:eastAsia="微软雅黑" w:cs="微软雅黑"/>
          <w:color w:val="auto"/>
          <w:sz w:val="24"/>
          <w:highlight w:val="none"/>
        </w:rPr>
        <w:t xml:space="preserve">:   </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 xml:space="preserve">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476"/>
        <w:gridCol w:w="1476"/>
        <w:gridCol w:w="874"/>
        <w:gridCol w:w="1476"/>
        <w:gridCol w:w="1476"/>
        <w:gridCol w:w="874"/>
      </w:tblGrid>
      <w:tr w14:paraId="426C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1" w:type="pct"/>
          </w:tcPr>
          <w:p w14:paraId="3A0C42F0">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865" w:type="pct"/>
          </w:tcPr>
          <w:p w14:paraId="193C6EC4">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货物</w:t>
            </w:r>
            <w:r>
              <w:rPr>
                <w:rFonts w:hint="eastAsia" w:ascii="微软雅黑" w:hAnsi="微软雅黑" w:eastAsia="微软雅黑" w:cs="微软雅黑"/>
                <w:color w:val="auto"/>
                <w:sz w:val="24"/>
                <w:highlight w:val="none"/>
              </w:rPr>
              <w:t>名称</w:t>
            </w:r>
          </w:p>
        </w:tc>
        <w:tc>
          <w:tcPr>
            <w:tcW w:w="865" w:type="pct"/>
          </w:tcPr>
          <w:p w14:paraId="1FEA632B">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主要规格</w:t>
            </w:r>
          </w:p>
        </w:tc>
        <w:tc>
          <w:tcPr>
            <w:tcW w:w="512" w:type="pct"/>
          </w:tcPr>
          <w:p w14:paraId="48820F82">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数量</w:t>
            </w:r>
          </w:p>
        </w:tc>
        <w:tc>
          <w:tcPr>
            <w:tcW w:w="865" w:type="pct"/>
          </w:tcPr>
          <w:p w14:paraId="319436C3">
            <w:pPr>
              <w:pStyle w:val="16"/>
              <w:spacing w:line="360" w:lineRule="exact"/>
              <w:jc w:val="center"/>
              <w:outlineLvl w:val="9"/>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配送周期</w:t>
            </w:r>
          </w:p>
        </w:tc>
        <w:tc>
          <w:tcPr>
            <w:tcW w:w="865" w:type="pct"/>
          </w:tcPr>
          <w:p w14:paraId="231AFCD7">
            <w:pPr>
              <w:pStyle w:val="16"/>
              <w:spacing w:line="360" w:lineRule="exact"/>
              <w:jc w:val="center"/>
              <w:outlineLvl w:val="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配送地点</w:t>
            </w:r>
          </w:p>
        </w:tc>
        <w:tc>
          <w:tcPr>
            <w:tcW w:w="512" w:type="pct"/>
          </w:tcPr>
          <w:p w14:paraId="75FC0028">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备注</w:t>
            </w:r>
          </w:p>
        </w:tc>
      </w:tr>
      <w:tr w14:paraId="1BE6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66EFFB88">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1</w:t>
            </w:r>
          </w:p>
        </w:tc>
        <w:tc>
          <w:tcPr>
            <w:tcW w:w="865" w:type="pct"/>
          </w:tcPr>
          <w:p w14:paraId="43FF6A2C">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5A5107F">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091287A9">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80F304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4F630C5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5A6C14DA">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4663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2F8D3A7E">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2</w:t>
            </w:r>
          </w:p>
        </w:tc>
        <w:tc>
          <w:tcPr>
            <w:tcW w:w="865" w:type="pct"/>
          </w:tcPr>
          <w:p w14:paraId="0B5F204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AA46019">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54E8BDD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DFCEB57">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D8DAB8E">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757C970F">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7788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35396815">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3</w:t>
            </w:r>
          </w:p>
        </w:tc>
        <w:tc>
          <w:tcPr>
            <w:tcW w:w="865" w:type="pct"/>
          </w:tcPr>
          <w:p w14:paraId="5D2D1E02">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66AAAE3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3E2F0696">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67672A05">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E0892DF">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357EB9EB">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3A91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63CB1090">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4</w:t>
            </w:r>
          </w:p>
        </w:tc>
        <w:tc>
          <w:tcPr>
            <w:tcW w:w="865" w:type="pct"/>
          </w:tcPr>
          <w:p w14:paraId="1AF9F771">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965B1BA">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240FB3C9">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4046465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7A968FE4">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34D85A6C">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5574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6D8A7184">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5</w:t>
            </w:r>
          </w:p>
        </w:tc>
        <w:tc>
          <w:tcPr>
            <w:tcW w:w="865" w:type="pct"/>
          </w:tcPr>
          <w:p w14:paraId="6075989B">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098F24D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1DF2D7CE">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4EFE304">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795D384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2B80D26D">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3398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0ED62966">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6</w:t>
            </w:r>
          </w:p>
        </w:tc>
        <w:tc>
          <w:tcPr>
            <w:tcW w:w="865" w:type="pct"/>
          </w:tcPr>
          <w:p w14:paraId="273FC75E">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187AC17">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2EBF592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3EB49DEC">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75FB6B0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0D3D905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087A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1" w:type="pct"/>
            <w:vAlign w:val="center"/>
          </w:tcPr>
          <w:p w14:paraId="556B5796">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7</w:t>
            </w:r>
          </w:p>
        </w:tc>
        <w:tc>
          <w:tcPr>
            <w:tcW w:w="865" w:type="pct"/>
          </w:tcPr>
          <w:p w14:paraId="66D06614">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0A141CE6">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62C8F2E3">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3A759D29">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7D5182D2">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001518B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r w14:paraId="3040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11" w:type="pct"/>
            <w:vAlign w:val="center"/>
          </w:tcPr>
          <w:p w14:paraId="75AB22C9">
            <w:pPr>
              <w:pStyle w:val="16"/>
              <w:spacing w:line="360" w:lineRule="exact"/>
              <w:jc w:val="center"/>
              <w:outlineLvl w:val="9"/>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8</w:t>
            </w:r>
          </w:p>
        </w:tc>
        <w:tc>
          <w:tcPr>
            <w:tcW w:w="865" w:type="pct"/>
          </w:tcPr>
          <w:p w14:paraId="38A85E41">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0EA390D0">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2BC1E94C">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24ED8CE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865" w:type="pct"/>
          </w:tcPr>
          <w:p w14:paraId="17231182">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c>
          <w:tcPr>
            <w:tcW w:w="512" w:type="pct"/>
          </w:tcPr>
          <w:p w14:paraId="09F55C18">
            <w:pPr>
              <w:pStyle w:val="16"/>
              <w:spacing w:line="360" w:lineRule="exact"/>
              <w:ind w:left="1080" w:leftChars="257" w:hanging="540"/>
              <w:outlineLvl w:val="9"/>
              <w:rPr>
                <w:rFonts w:hint="eastAsia" w:ascii="微软雅黑" w:hAnsi="微软雅黑" w:eastAsia="微软雅黑" w:cs="微软雅黑"/>
                <w:color w:val="auto"/>
                <w:sz w:val="24"/>
                <w:highlight w:val="none"/>
              </w:rPr>
            </w:pPr>
          </w:p>
        </w:tc>
      </w:tr>
    </w:tbl>
    <w:p w14:paraId="46753DAB">
      <w:pPr>
        <w:pStyle w:val="16"/>
        <w:spacing w:line="360" w:lineRule="exact"/>
        <w:ind w:left="1080" w:leftChars="257" w:hanging="540"/>
        <w:outlineLvl w:val="9"/>
        <w:rPr>
          <w:rFonts w:hint="eastAsia" w:ascii="微软雅黑" w:hAnsi="微软雅黑" w:eastAsia="微软雅黑" w:cs="微软雅黑"/>
          <w:color w:val="auto"/>
          <w:sz w:val="24"/>
          <w:highlight w:val="none"/>
        </w:rPr>
      </w:pPr>
    </w:p>
    <w:p w14:paraId="056E009B">
      <w:pPr>
        <w:pStyle w:val="16"/>
        <w:spacing w:line="400" w:lineRule="exact"/>
        <w:ind w:left="1080" w:leftChars="257" w:hanging="540"/>
        <w:outlineLvl w:val="9"/>
        <w:rPr>
          <w:rFonts w:hint="eastAsia" w:ascii="微软雅黑" w:hAnsi="微软雅黑" w:eastAsia="微软雅黑" w:cs="微软雅黑"/>
          <w:color w:val="auto"/>
          <w:sz w:val="24"/>
          <w:szCs w:val="24"/>
          <w:highlight w:val="none"/>
        </w:rPr>
      </w:pPr>
    </w:p>
    <w:p w14:paraId="74465EC1">
      <w:pPr>
        <w:pStyle w:val="8"/>
        <w:spacing w:line="360" w:lineRule="exact"/>
        <w:ind w:firstLine="0"/>
        <w:outlineLvl w:val="9"/>
        <w:rPr>
          <w:rFonts w:hint="eastAsia" w:ascii="微软雅黑" w:hAnsi="微软雅黑" w:eastAsia="微软雅黑" w:cs="微软雅黑"/>
          <w:color w:val="auto"/>
          <w:kern w:val="2"/>
          <w:sz w:val="24"/>
          <w:szCs w:val="24"/>
          <w:highlight w:val="none"/>
          <w:u w:val="single"/>
        </w:rPr>
      </w:pPr>
      <w:r>
        <w:rPr>
          <w:rFonts w:hint="eastAsia" w:ascii="微软雅黑" w:hAnsi="微软雅黑" w:eastAsia="微软雅黑" w:cs="微软雅黑"/>
          <w:color w:val="auto"/>
          <w:kern w:val="2"/>
          <w:sz w:val="24"/>
          <w:szCs w:val="24"/>
          <w:highlight w:val="none"/>
          <w:lang w:eastAsia="zh-CN"/>
        </w:rPr>
        <w:t>供应商</w:t>
      </w:r>
      <w:r>
        <w:rPr>
          <w:rFonts w:hint="eastAsia" w:ascii="微软雅黑" w:hAnsi="微软雅黑" w:eastAsia="微软雅黑" w:cs="微软雅黑"/>
          <w:color w:val="auto"/>
          <w:kern w:val="2"/>
          <w:sz w:val="24"/>
          <w:szCs w:val="24"/>
          <w:highlight w:val="none"/>
        </w:rPr>
        <w:t>名称（</w:t>
      </w:r>
      <w:r>
        <w:rPr>
          <w:rFonts w:hint="eastAsia" w:ascii="微软雅黑" w:hAnsi="微软雅黑" w:eastAsia="微软雅黑" w:cs="微软雅黑"/>
          <w:color w:val="auto"/>
          <w:kern w:val="2"/>
          <w:sz w:val="24"/>
          <w:szCs w:val="24"/>
          <w:highlight w:val="none"/>
          <w:lang w:eastAsia="zh-CN"/>
        </w:rPr>
        <w:t>公章</w:t>
      </w:r>
      <w:r>
        <w:rPr>
          <w:rFonts w:hint="eastAsia" w:ascii="微软雅黑" w:hAnsi="微软雅黑" w:eastAsia="微软雅黑" w:cs="微软雅黑"/>
          <w:color w:val="auto"/>
          <w:kern w:val="2"/>
          <w:sz w:val="24"/>
          <w:szCs w:val="24"/>
          <w:highlight w:val="none"/>
        </w:rPr>
        <w:t>）：</w:t>
      </w:r>
      <w:r>
        <w:rPr>
          <w:rFonts w:hint="eastAsia" w:ascii="微软雅黑" w:hAnsi="微软雅黑" w:eastAsia="微软雅黑" w:cs="微软雅黑"/>
          <w:color w:val="auto"/>
          <w:kern w:val="2"/>
          <w:sz w:val="24"/>
          <w:szCs w:val="24"/>
          <w:highlight w:val="none"/>
          <w:u w:val="single"/>
        </w:rPr>
        <w:t xml:space="preserve">                       </w:t>
      </w:r>
    </w:p>
    <w:p w14:paraId="1BD767EB">
      <w:pPr>
        <w:pStyle w:val="8"/>
        <w:spacing w:line="360" w:lineRule="exact"/>
        <w:ind w:firstLine="0"/>
        <w:outlineLvl w:val="9"/>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法定代表人(签/章):</w:t>
      </w:r>
      <w:r>
        <w:rPr>
          <w:rFonts w:hint="eastAsia" w:ascii="微软雅黑" w:hAnsi="微软雅黑" w:eastAsia="微软雅黑" w:cs="微软雅黑"/>
          <w:color w:val="auto"/>
          <w:kern w:val="2"/>
          <w:sz w:val="24"/>
          <w:szCs w:val="24"/>
          <w:highlight w:val="none"/>
          <w:u w:val="single"/>
        </w:rPr>
        <w:tab/>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71AD44CA">
      <w:pPr>
        <w:pStyle w:val="8"/>
        <w:spacing w:line="360" w:lineRule="exact"/>
        <w:ind w:firstLine="0"/>
        <w:outlineLvl w:val="9"/>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日期 ：</w:t>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6B7A5C64">
      <w:pPr>
        <w:pStyle w:val="16"/>
        <w:spacing w:line="400" w:lineRule="exact"/>
        <w:ind w:left="1080" w:leftChars="257" w:hanging="540"/>
        <w:outlineLvl w:val="9"/>
        <w:rPr>
          <w:rFonts w:hint="eastAsia" w:ascii="微软雅黑" w:hAnsi="微软雅黑" w:eastAsia="微软雅黑" w:cs="微软雅黑"/>
          <w:b/>
          <w:bCs/>
          <w:color w:val="auto"/>
          <w:sz w:val="22"/>
          <w:szCs w:val="22"/>
          <w:highlight w:val="none"/>
          <w:lang w:eastAsia="zh-CN"/>
        </w:rPr>
      </w:pPr>
      <w:r>
        <w:rPr>
          <w:rFonts w:hint="eastAsia" w:ascii="微软雅黑" w:hAnsi="微软雅黑" w:eastAsia="微软雅黑" w:cs="微软雅黑"/>
          <w:color w:val="auto"/>
          <w:sz w:val="24"/>
          <w:szCs w:val="24"/>
          <w:highlight w:val="none"/>
        </w:rPr>
        <w:t>注: 各项</w:t>
      </w:r>
      <w:r>
        <w:rPr>
          <w:rFonts w:hint="eastAsia" w:ascii="微软雅黑" w:hAnsi="微软雅黑" w:eastAsia="微软雅黑" w:cs="微软雅黑"/>
          <w:color w:val="auto"/>
          <w:sz w:val="24"/>
          <w:szCs w:val="24"/>
          <w:highlight w:val="none"/>
          <w:lang w:val="en-US" w:eastAsia="zh-CN"/>
        </w:rPr>
        <w:t>货物</w:t>
      </w:r>
      <w:r>
        <w:rPr>
          <w:rFonts w:hint="eastAsia" w:ascii="微软雅黑" w:hAnsi="微软雅黑" w:eastAsia="微软雅黑" w:cs="微软雅黑"/>
          <w:color w:val="auto"/>
          <w:sz w:val="24"/>
          <w:szCs w:val="24"/>
          <w:highlight w:val="none"/>
        </w:rPr>
        <w:t>详细技术性能应另页描述</w:t>
      </w:r>
      <w:r>
        <w:rPr>
          <w:rFonts w:hint="eastAsia" w:ascii="微软雅黑" w:hAnsi="微软雅黑" w:eastAsia="微软雅黑" w:cs="微软雅黑"/>
          <w:color w:val="auto"/>
          <w:sz w:val="24"/>
          <w:szCs w:val="24"/>
          <w:highlight w:val="none"/>
          <w:lang w:eastAsia="zh-CN"/>
        </w:rPr>
        <w:t>。</w:t>
      </w:r>
    </w:p>
    <w:p w14:paraId="56A3C18A">
      <w:pPr>
        <w:pStyle w:val="16"/>
        <w:spacing w:line="240" w:lineRule="atLeast"/>
        <w:rPr>
          <w:rFonts w:hint="eastAsia" w:ascii="微软雅黑" w:hAnsi="微软雅黑" w:eastAsia="微软雅黑" w:cs="微软雅黑"/>
          <w:b/>
          <w:bCs/>
          <w:color w:val="auto"/>
          <w:sz w:val="22"/>
          <w:szCs w:val="22"/>
          <w:highlight w:val="none"/>
        </w:rPr>
      </w:pPr>
    </w:p>
    <w:p w14:paraId="61C5AC35">
      <w:pPr>
        <w:pStyle w:val="16"/>
        <w:spacing w:line="240" w:lineRule="atLeast"/>
        <w:rPr>
          <w:rFonts w:hint="eastAsia" w:ascii="微软雅黑" w:hAnsi="微软雅黑" w:eastAsia="微软雅黑" w:cs="微软雅黑"/>
          <w:b/>
          <w:bCs/>
          <w:color w:val="auto"/>
          <w:sz w:val="22"/>
          <w:szCs w:val="22"/>
          <w:highlight w:val="none"/>
        </w:rPr>
      </w:pPr>
    </w:p>
    <w:p w14:paraId="14809B4B">
      <w:pPr>
        <w:pStyle w:val="16"/>
        <w:spacing w:line="240" w:lineRule="atLeast"/>
        <w:rPr>
          <w:rFonts w:hint="eastAsia" w:ascii="微软雅黑" w:hAnsi="微软雅黑" w:eastAsia="微软雅黑" w:cs="微软雅黑"/>
          <w:b/>
          <w:bCs/>
          <w:color w:val="auto"/>
          <w:sz w:val="22"/>
          <w:szCs w:val="22"/>
          <w:highlight w:val="none"/>
        </w:rPr>
      </w:pPr>
    </w:p>
    <w:p w14:paraId="06C6153A">
      <w:pPr>
        <w:pStyle w:val="16"/>
        <w:spacing w:line="240" w:lineRule="atLeast"/>
        <w:rPr>
          <w:rFonts w:hint="eastAsia" w:ascii="微软雅黑" w:hAnsi="微软雅黑" w:eastAsia="微软雅黑" w:cs="微软雅黑"/>
          <w:b/>
          <w:bCs/>
          <w:color w:val="auto"/>
          <w:sz w:val="22"/>
          <w:szCs w:val="22"/>
          <w:highlight w:val="none"/>
        </w:rPr>
      </w:pPr>
    </w:p>
    <w:p w14:paraId="3499DE1C">
      <w:pPr>
        <w:pStyle w:val="16"/>
        <w:spacing w:line="240" w:lineRule="atLeast"/>
        <w:rPr>
          <w:rFonts w:hint="eastAsia" w:ascii="微软雅黑" w:hAnsi="微软雅黑" w:eastAsia="微软雅黑" w:cs="微软雅黑"/>
          <w:b/>
          <w:bCs/>
          <w:color w:val="auto"/>
          <w:sz w:val="22"/>
          <w:szCs w:val="22"/>
          <w:highlight w:val="none"/>
        </w:rPr>
      </w:pPr>
    </w:p>
    <w:p w14:paraId="681CD231">
      <w:pPr>
        <w:pStyle w:val="16"/>
        <w:spacing w:line="240" w:lineRule="atLeast"/>
        <w:rPr>
          <w:rFonts w:hint="eastAsia" w:ascii="微软雅黑" w:hAnsi="微软雅黑" w:eastAsia="微软雅黑" w:cs="微软雅黑"/>
          <w:b/>
          <w:bCs/>
          <w:color w:val="auto"/>
          <w:sz w:val="22"/>
          <w:szCs w:val="22"/>
          <w:highlight w:val="none"/>
        </w:rPr>
      </w:pPr>
    </w:p>
    <w:p w14:paraId="219A919F">
      <w:pPr>
        <w:pStyle w:val="16"/>
        <w:spacing w:line="240" w:lineRule="atLeast"/>
        <w:rPr>
          <w:rFonts w:hint="eastAsia" w:ascii="微软雅黑" w:hAnsi="微软雅黑" w:eastAsia="微软雅黑" w:cs="微软雅黑"/>
          <w:b/>
          <w:bCs/>
          <w:color w:val="auto"/>
          <w:sz w:val="22"/>
          <w:szCs w:val="22"/>
          <w:highlight w:val="none"/>
        </w:rPr>
      </w:pPr>
    </w:p>
    <w:p w14:paraId="0D3B1300">
      <w:pPr>
        <w:pStyle w:val="16"/>
        <w:spacing w:line="240" w:lineRule="atLeast"/>
        <w:rPr>
          <w:rFonts w:hint="eastAsia" w:ascii="微软雅黑" w:hAnsi="微软雅黑" w:eastAsia="微软雅黑" w:cs="微软雅黑"/>
          <w:b/>
          <w:bCs/>
          <w:color w:val="auto"/>
          <w:sz w:val="22"/>
          <w:szCs w:val="22"/>
          <w:highlight w:val="none"/>
        </w:rPr>
      </w:pPr>
    </w:p>
    <w:p w14:paraId="20BD123A">
      <w:pPr>
        <w:rPr>
          <w:rFonts w:hint="eastAsia" w:ascii="微软雅黑" w:hAnsi="微软雅黑" w:eastAsia="微软雅黑" w:cs="微软雅黑"/>
          <w:b/>
          <w:bCs/>
          <w:color w:val="auto"/>
          <w:sz w:val="28"/>
          <w:szCs w:val="28"/>
          <w:highlight w:val="none"/>
          <w:u w:val="none"/>
          <w:lang w:val="en-US" w:eastAsia="zh-CN"/>
        </w:rPr>
      </w:pPr>
      <w:bookmarkStart w:id="820" w:name="_Toc21982"/>
      <w:bookmarkEnd w:id="820"/>
      <w:bookmarkStart w:id="821" w:name="_Toc9186"/>
      <w:r>
        <w:rPr>
          <w:rFonts w:hint="eastAsia" w:ascii="微软雅黑" w:hAnsi="微软雅黑" w:eastAsia="微软雅黑" w:cs="微软雅黑"/>
          <w:b/>
          <w:bCs/>
          <w:color w:val="auto"/>
          <w:sz w:val="28"/>
          <w:szCs w:val="28"/>
          <w:highlight w:val="none"/>
          <w:u w:val="none"/>
          <w:lang w:val="en-US" w:eastAsia="zh-CN"/>
        </w:rPr>
        <w:br w:type="page"/>
      </w:r>
    </w:p>
    <w:p w14:paraId="4BDEE90B">
      <w:pPr>
        <w:pStyle w:val="10"/>
        <w:keepNext/>
        <w:keepLines/>
        <w:pageBreakBefore w:val="0"/>
        <w:widowControl w:val="0"/>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8"/>
          <w:szCs w:val="28"/>
          <w:highlight w:val="none"/>
          <w:u w:val="none"/>
          <w:lang w:val="en-US" w:eastAsia="zh-CN"/>
        </w:rPr>
      </w:pPr>
      <w:r>
        <w:rPr>
          <w:rFonts w:hint="eastAsia" w:ascii="微软雅黑" w:hAnsi="微软雅黑" w:eastAsia="微软雅黑" w:cs="微软雅黑"/>
          <w:b/>
          <w:bCs/>
          <w:color w:val="auto"/>
          <w:sz w:val="28"/>
          <w:szCs w:val="28"/>
          <w:highlight w:val="none"/>
          <w:u w:val="none"/>
          <w:lang w:val="en-US" w:eastAsia="zh-CN"/>
        </w:rPr>
        <w:t>5.技术规格偏离表</w:t>
      </w:r>
      <w:bookmarkEnd w:id="821"/>
      <w:r>
        <w:rPr>
          <w:rFonts w:hint="eastAsia" w:ascii="微软雅黑" w:hAnsi="微软雅黑" w:eastAsia="微软雅黑" w:cs="微软雅黑"/>
          <w:b/>
          <w:bCs/>
          <w:color w:val="auto"/>
          <w:sz w:val="28"/>
          <w:szCs w:val="28"/>
          <w:highlight w:val="none"/>
          <w:u w:val="none"/>
          <w:lang w:val="en-US" w:eastAsia="zh-CN"/>
        </w:rPr>
        <w:t>（货物类部分）</w:t>
      </w:r>
    </w:p>
    <w:p w14:paraId="593E6E23">
      <w:pPr>
        <w:pStyle w:val="16"/>
        <w:spacing w:line="40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项目名称:                       项目编号:        </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 xml:space="preserve">         </w:t>
      </w:r>
    </w:p>
    <w:tbl>
      <w:tblPr>
        <w:tblStyle w:val="27"/>
        <w:tblW w:w="56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444"/>
        <w:gridCol w:w="2663"/>
        <w:gridCol w:w="1444"/>
        <w:gridCol w:w="1444"/>
        <w:gridCol w:w="853"/>
        <w:gridCol w:w="854"/>
      </w:tblGrid>
      <w:tr w14:paraId="1B63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714FF6A0">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755" w:type="pct"/>
            <w:vAlign w:val="center"/>
          </w:tcPr>
          <w:p w14:paraId="100D9C95">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lang w:val="en-US" w:eastAsia="zh-CN"/>
              </w:rPr>
              <w:t>货物</w:t>
            </w:r>
            <w:r>
              <w:rPr>
                <w:rFonts w:hint="eastAsia" w:ascii="微软雅黑" w:hAnsi="微软雅黑" w:eastAsia="微软雅黑" w:cs="微软雅黑"/>
                <w:color w:val="auto"/>
                <w:sz w:val="24"/>
                <w:szCs w:val="24"/>
                <w:highlight w:val="none"/>
              </w:rPr>
              <w:t>名称</w:t>
            </w:r>
          </w:p>
        </w:tc>
        <w:tc>
          <w:tcPr>
            <w:tcW w:w="1392" w:type="pct"/>
            <w:vAlign w:val="center"/>
          </w:tcPr>
          <w:p w14:paraId="3D8CEC10">
            <w:pPr>
              <w:pStyle w:val="16"/>
              <w:spacing w:line="400" w:lineRule="exact"/>
              <w:ind w:left="269" w:leftChars="128"/>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磋商</w:t>
            </w:r>
            <w:r>
              <w:rPr>
                <w:rFonts w:hint="eastAsia" w:ascii="微软雅黑" w:hAnsi="微软雅黑" w:eastAsia="微软雅黑" w:cs="微软雅黑"/>
                <w:color w:val="auto"/>
                <w:sz w:val="24"/>
                <w:szCs w:val="24"/>
                <w:highlight w:val="none"/>
              </w:rPr>
              <w:t>文件条款号</w:t>
            </w:r>
          </w:p>
        </w:tc>
        <w:tc>
          <w:tcPr>
            <w:tcW w:w="755" w:type="pct"/>
            <w:vAlign w:val="center"/>
          </w:tcPr>
          <w:p w14:paraId="1057C2CA">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磋商</w:t>
            </w:r>
            <w:r>
              <w:rPr>
                <w:rFonts w:hint="eastAsia" w:ascii="微软雅黑" w:hAnsi="微软雅黑" w:eastAsia="微软雅黑" w:cs="微软雅黑"/>
                <w:color w:val="auto"/>
                <w:sz w:val="24"/>
                <w:szCs w:val="24"/>
                <w:highlight w:val="none"/>
              </w:rPr>
              <w:t>规格</w:t>
            </w:r>
          </w:p>
        </w:tc>
        <w:tc>
          <w:tcPr>
            <w:tcW w:w="755" w:type="pct"/>
            <w:vAlign w:val="center"/>
          </w:tcPr>
          <w:p w14:paraId="4C6F34BE">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响应</w:t>
            </w:r>
            <w:r>
              <w:rPr>
                <w:rFonts w:hint="eastAsia" w:ascii="微软雅黑" w:hAnsi="微软雅黑" w:eastAsia="微软雅黑" w:cs="微软雅黑"/>
                <w:color w:val="auto"/>
                <w:sz w:val="24"/>
                <w:szCs w:val="24"/>
                <w:highlight w:val="none"/>
              </w:rPr>
              <w:t>规格</w:t>
            </w:r>
          </w:p>
        </w:tc>
        <w:tc>
          <w:tcPr>
            <w:tcW w:w="446" w:type="pct"/>
            <w:vAlign w:val="center"/>
          </w:tcPr>
          <w:p w14:paraId="28FA7709">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偏离</w:t>
            </w:r>
          </w:p>
        </w:tc>
        <w:tc>
          <w:tcPr>
            <w:tcW w:w="446" w:type="pct"/>
            <w:vAlign w:val="center"/>
          </w:tcPr>
          <w:p w14:paraId="1E1089D4">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tc>
      </w:tr>
      <w:tr w14:paraId="2E75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6B7FC3D6">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w:t>
            </w:r>
          </w:p>
        </w:tc>
        <w:tc>
          <w:tcPr>
            <w:tcW w:w="755" w:type="pct"/>
          </w:tcPr>
          <w:p w14:paraId="65C1CA0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5D13E1F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45834CA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30887E02">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356B88D7">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656175A6">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614D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1A8FBA4A">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2</w:t>
            </w:r>
          </w:p>
        </w:tc>
        <w:tc>
          <w:tcPr>
            <w:tcW w:w="755" w:type="pct"/>
          </w:tcPr>
          <w:p w14:paraId="046057B7">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657252D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35A655B3">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7824055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7EF5F5D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1947EE25">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406E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37CEA98A">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p>
        </w:tc>
        <w:tc>
          <w:tcPr>
            <w:tcW w:w="755" w:type="pct"/>
          </w:tcPr>
          <w:p w14:paraId="512EAAD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67EE626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3078048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138A750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7504C29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30D9910C">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5C1D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5D21F67E">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p>
        </w:tc>
        <w:tc>
          <w:tcPr>
            <w:tcW w:w="755" w:type="pct"/>
          </w:tcPr>
          <w:p w14:paraId="70AAA31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5713B86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5EEF6CC9">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20E8721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7BD050E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2582ABBE">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7D6D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4A328B06">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p>
        </w:tc>
        <w:tc>
          <w:tcPr>
            <w:tcW w:w="755" w:type="pct"/>
          </w:tcPr>
          <w:p w14:paraId="4809F82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4C19830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4EA378E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235A2AEC">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37CD74A5">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019B3C59">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72D6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46" w:type="pct"/>
            <w:vAlign w:val="center"/>
          </w:tcPr>
          <w:p w14:paraId="37DCBDCB">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p>
        </w:tc>
        <w:tc>
          <w:tcPr>
            <w:tcW w:w="755" w:type="pct"/>
          </w:tcPr>
          <w:p w14:paraId="50BA95A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5232A8A6">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4BD9B0B8">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4A2A3904">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56F14740">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15AF6725">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r w14:paraId="23EC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46" w:type="pct"/>
            <w:vAlign w:val="center"/>
          </w:tcPr>
          <w:p w14:paraId="6134161A">
            <w:pPr>
              <w:pStyle w:val="16"/>
              <w:spacing w:line="400" w:lineRule="exac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p>
        </w:tc>
        <w:tc>
          <w:tcPr>
            <w:tcW w:w="755" w:type="pct"/>
          </w:tcPr>
          <w:p w14:paraId="5C9339BE">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1392" w:type="pct"/>
          </w:tcPr>
          <w:p w14:paraId="17424361">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1EC7357A">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755" w:type="pct"/>
          </w:tcPr>
          <w:p w14:paraId="2D7DF52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3D9C0E5B">
            <w:pPr>
              <w:pStyle w:val="16"/>
              <w:spacing w:line="400" w:lineRule="exact"/>
              <w:ind w:left="1080" w:leftChars="257" w:hanging="540"/>
              <w:rPr>
                <w:rFonts w:hint="eastAsia" w:ascii="微软雅黑" w:hAnsi="微软雅黑" w:eastAsia="微软雅黑" w:cs="微软雅黑"/>
                <w:color w:val="auto"/>
                <w:sz w:val="24"/>
                <w:szCs w:val="24"/>
                <w:highlight w:val="none"/>
              </w:rPr>
            </w:pPr>
          </w:p>
        </w:tc>
        <w:tc>
          <w:tcPr>
            <w:tcW w:w="446" w:type="pct"/>
          </w:tcPr>
          <w:p w14:paraId="7AB6E30E">
            <w:pPr>
              <w:pStyle w:val="16"/>
              <w:spacing w:line="400" w:lineRule="exact"/>
              <w:ind w:left="1080" w:leftChars="257" w:hanging="540"/>
              <w:rPr>
                <w:rFonts w:hint="eastAsia" w:ascii="微软雅黑" w:hAnsi="微软雅黑" w:eastAsia="微软雅黑" w:cs="微软雅黑"/>
                <w:color w:val="auto"/>
                <w:sz w:val="24"/>
                <w:szCs w:val="24"/>
                <w:highlight w:val="none"/>
              </w:rPr>
            </w:pPr>
          </w:p>
        </w:tc>
      </w:tr>
    </w:tbl>
    <w:p w14:paraId="0B016F63">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49514D11">
      <w:pPr>
        <w:pStyle w:val="16"/>
        <w:spacing w:line="400" w:lineRule="exact"/>
        <w:ind w:left="1080" w:leftChars="257" w:hanging="540"/>
        <w:rPr>
          <w:rFonts w:hint="eastAsia" w:ascii="微软雅黑" w:hAnsi="微软雅黑" w:eastAsia="微软雅黑" w:cs="微软雅黑"/>
          <w:color w:val="auto"/>
          <w:sz w:val="24"/>
          <w:szCs w:val="24"/>
          <w:highlight w:val="none"/>
        </w:rPr>
      </w:pPr>
    </w:p>
    <w:p w14:paraId="7085E9B1">
      <w:pPr>
        <w:pStyle w:val="8"/>
        <w:spacing w:line="360" w:lineRule="exact"/>
        <w:ind w:firstLine="0"/>
        <w:outlineLvl w:val="9"/>
        <w:rPr>
          <w:rFonts w:hint="eastAsia" w:ascii="微软雅黑" w:hAnsi="微软雅黑" w:eastAsia="微软雅黑" w:cs="微软雅黑"/>
          <w:color w:val="auto"/>
          <w:kern w:val="2"/>
          <w:sz w:val="24"/>
          <w:szCs w:val="24"/>
          <w:highlight w:val="none"/>
          <w:u w:val="single"/>
        </w:rPr>
      </w:pPr>
      <w:r>
        <w:rPr>
          <w:rFonts w:hint="eastAsia" w:ascii="微软雅黑" w:hAnsi="微软雅黑" w:eastAsia="微软雅黑" w:cs="微软雅黑"/>
          <w:color w:val="auto"/>
          <w:kern w:val="2"/>
          <w:sz w:val="24"/>
          <w:szCs w:val="24"/>
          <w:highlight w:val="none"/>
          <w:lang w:eastAsia="zh-CN"/>
        </w:rPr>
        <w:t>供应商</w:t>
      </w:r>
      <w:r>
        <w:rPr>
          <w:rFonts w:hint="eastAsia" w:ascii="微软雅黑" w:hAnsi="微软雅黑" w:eastAsia="微软雅黑" w:cs="微软雅黑"/>
          <w:color w:val="auto"/>
          <w:kern w:val="2"/>
          <w:sz w:val="24"/>
          <w:szCs w:val="24"/>
          <w:highlight w:val="none"/>
        </w:rPr>
        <w:t>名称（</w:t>
      </w:r>
      <w:r>
        <w:rPr>
          <w:rFonts w:hint="eastAsia" w:ascii="微软雅黑" w:hAnsi="微软雅黑" w:eastAsia="微软雅黑" w:cs="微软雅黑"/>
          <w:color w:val="auto"/>
          <w:kern w:val="2"/>
          <w:sz w:val="24"/>
          <w:szCs w:val="24"/>
          <w:highlight w:val="none"/>
          <w:lang w:eastAsia="zh-CN"/>
        </w:rPr>
        <w:t>公章</w:t>
      </w:r>
      <w:r>
        <w:rPr>
          <w:rFonts w:hint="eastAsia" w:ascii="微软雅黑" w:hAnsi="微软雅黑" w:eastAsia="微软雅黑" w:cs="微软雅黑"/>
          <w:color w:val="auto"/>
          <w:kern w:val="2"/>
          <w:sz w:val="24"/>
          <w:szCs w:val="24"/>
          <w:highlight w:val="none"/>
        </w:rPr>
        <w:t>）：</w:t>
      </w:r>
      <w:r>
        <w:rPr>
          <w:rFonts w:hint="eastAsia" w:ascii="微软雅黑" w:hAnsi="微软雅黑" w:eastAsia="微软雅黑" w:cs="微软雅黑"/>
          <w:color w:val="auto"/>
          <w:kern w:val="2"/>
          <w:sz w:val="24"/>
          <w:szCs w:val="24"/>
          <w:highlight w:val="none"/>
          <w:u w:val="single"/>
        </w:rPr>
        <w:t xml:space="preserve">                       </w:t>
      </w:r>
    </w:p>
    <w:p w14:paraId="4A05CCCC">
      <w:pPr>
        <w:pStyle w:val="8"/>
        <w:spacing w:line="360" w:lineRule="exact"/>
        <w:ind w:firstLine="0"/>
        <w:outlineLvl w:val="9"/>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法定代表人(签/章):</w:t>
      </w:r>
      <w:r>
        <w:rPr>
          <w:rFonts w:hint="eastAsia" w:ascii="微软雅黑" w:hAnsi="微软雅黑" w:eastAsia="微软雅黑" w:cs="微软雅黑"/>
          <w:color w:val="auto"/>
          <w:kern w:val="2"/>
          <w:sz w:val="24"/>
          <w:szCs w:val="24"/>
          <w:highlight w:val="none"/>
          <w:u w:val="single"/>
        </w:rPr>
        <w:tab/>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rPr>
        <w:t xml:space="preserve">                 </w:t>
      </w:r>
    </w:p>
    <w:p w14:paraId="48E3059F">
      <w:pPr>
        <w:jc w:val="both"/>
        <w:outlineLvl w:val="9"/>
        <w:rPr>
          <w:rFonts w:hint="eastAsia" w:ascii="微软雅黑" w:hAnsi="微软雅黑" w:eastAsia="微软雅黑" w:cs="微软雅黑"/>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rPr>
        <w:t>日期 ：</w:t>
      </w:r>
      <w:r>
        <w:rPr>
          <w:rFonts w:hint="eastAsia" w:ascii="微软雅黑" w:hAnsi="微软雅黑" w:eastAsia="微软雅黑" w:cs="微软雅黑"/>
          <w:color w:val="auto"/>
          <w:kern w:val="2"/>
          <w:sz w:val="24"/>
          <w:szCs w:val="24"/>
          <w:highlight w:val="none"/>
          <w:u w:val="single"/>
          <w:lang w:val="en-US" w:eastAsia="zh-CN"/>
        </w:rPr>
        <w:t xml:space="preserve">                                    </w:t>
      </w:r>
      <w:r>
        <w:rPr>
          <w:rFonts w:hint="eastAsia" w:ascii="微软雅黑" w:hAnsi="微软雅黑" w:eastAsia="微软雅黑" w:cs="微软雅黑"/>
          <w:color w:val="auto"/>
          <w:kern w:val="2"/>
          <w:sz w:val="24"/>
          <w:szCs w:val="24"/>
          <w:highlight w:val="none"/>
          <w:lang w:val="en-US" w:eastAsia="zh-CN"/>
        </w:rPr>
        <w:t xml:space="preserve">  </w:t>
      </w:r>
    </w:p>
    <w:p w14:paraId="461876F0">
      <w:pPr>
        <w:outlineLvl w:val="9"/>
        <w:rPr>
          <w:rFonts w:hint="eastAsia" w:ascii="微软雅黑" w:hAnsi="微软雅黑" w:eastAsia="微软雅黑" w:cs="微软雅黑"/>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lang w:val="en-US" w:eastAsia="zh-CN"/>
        </w:rPr>
        <w:br w:type="page"/>
      </w:r>
    </w:p>
    <w:p w14:paraId="77BA6E10">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b/>
          <w:bCs/>
          <w:color w:val="auto"/>
          <w:sz w:val="24"/>
          <w:szCs w:val="24"/>
          <w:highlight w:val="none"/>
          <w:u w:val="none"/>
          <w:lang w:val="en-US" w:eastAsia="zh-CN"/>
        </w:rPr>
        <w:t>6.</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Fonts w:hint="eastAsia" w:ascii="微软雅黑" w:hAnsi="微软雅黑" w:eastAsia="微软雅黑" w:cs="微软雅黑"/>
          <w:b/>
          <w:bCs/>
          <w:color w:val="auto"/>
          <w:sz w:val="24"/>
          <w:szCs w:val="24"/>
          <w:highlight w:val="none"/>
          <w:u w:val="none"/>
          <w:lang w:val="en-US" w:eastAsia="zh-CN"/>
        </w:rPr>
        <w:t>中小企业声明函</w:t>
      </w:r>
      <w:bookmarkEnd w:id="818"/>
      <w:bookmarkEnd w:id="819"/>
    </w:p>
    <w:p w14:paraId="4E03141F">
      <w:pPr>
        <w:widowControl/>
        <w:spacing w:beforeAutospacing="1" w:afterAutospacing="1" w:line="348" w:lineRule="atLeast"/>
        <w:jc w:val="center"/>
        <w:rPr>
          <w:rFonts w:ascii="微软雅黑" w:hAnsi="微软雅黑" w:eastAsia="微软雅黑" w:cs="微软雅黑"/>
          <w:sz w:val="24"/>
          <w:highlight w:val="none"/>
        </w:rPr>
      </w:pPr>
      <w:r>
        <w:rPr>
          <w:rStyle w:val="30"/>
          <w:rFonts w:hint="eastAsia" w:ascii="微软雅黑" w:hAnsi="微软雅黑" w:eastAsia="微软雅黑" w:cs="微软雅黑"/>
          <w:kern w:val="0"/>
          <w:sz w:val="24"/>
          <w:highlight w:val="none"/>
          <w:shd w:val="clear" w:color="auto" w:fill="FFFFFF"/>
          <w:lang w:val="en-US" w:eastAsia="zh-CN"/>
        </w:rPr>
        <w:t>6</w:t>
      </w:r>
      <w:r>
        <w:rPr>
          <w:rStyle w:val="30"/>
          <w:rFonts w:hint="eastAsia" w:ascii="微软雅黑" w:hAnsi="微软雅黑" w:eastAsia="微软雅黑" w:cs="微软雅黑"/>
          <w:kern w:val="0"/>
          <w:sz w:val="24"/>
          <w:highlight w:val="none"/>
          <w:shd w:val="clear" w:color="auto" w:fill="FFFFFF"/>
        </w:rPr>
        <w:t>-1中小企业声明函</w:t>
      </w:r>
    </w:p>
    <w:p w14:paraId="1EAF1B48">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pacing w:val="5"/>
          <w:w w:val="95"/>
          <w:sz w:val="24"/>
          <w:highlight w:val="none"/>
          <w:lang w:bidi="zh-CN"/>
        </w:rPr>
      </w:pPr>
      <w:r>
        <w:rPr>
          <w:rFonts w:hint="eastAsia" w:ascii="微软雅黑" w:hAnsi="微软雅黑" w:eastAsia="微软雅黑" w:cs="微软雅黑"/>
          <w:spacing w:val="5"/>
          <w:w w:val="95"/>
          <w:sz w:val="24"/>
          <w:highlight w:val="none"/>
          <w:lang w:bidi="zh-CN"/>
        </w:rPr>
        <w:t>本公司（联合体）郑重声明，根据《政府采购促进中小企业发展管理办法》（财库﹝2020﹞46号）的规定，本公司（联合体）参加</w:t>
      </w:r>
      <w:r>
        <w:rPr>
          <w:rFonts w:hint="eastAsia" w:ascii="微软雅黑" w:hAnsi="微软雅黑" w:eastAsia="微软雅黑" w:cs="微软雅黑"/>
          <w:spacing w:val="5"/>
          <w:w w:val="95"/>
          <w:sz w:val="24"/>
          <w:highlight w:val="none"/>
          <w:u w:val="single"/>
          <w:lang w:val="zh-CN" w:bidi="zh-CN"/>
        </w:rPr>
        <w:t>（单位名称）</w:t>
      </w:r>
      <w:r>
        <w:rPr>
          <w:rFonts w:hint="eastAsia" w:ascii="微软雅黑" w:hAnsi="微软雅黑" w:eastAsia="微软雅黑" w:cs="微软雅黑"/>
          <w:spacing w:val="5"/>
          <w:w w:val="95"/>
          <w:sz w:val="24"/>
          <w:highlight w:val="none"/>
          <w:lang w:bidi="zh-CN"/>
        </w:rPr>
        <w:t>的</w:t>
      </w:r>
      <w:r>
        <w:rPr>
          <w:rFonts w:hint="eastAsia" w:ascii="微软雅黑" w:hAnsi="微软雅黑" w:eastAsia="微软雅黑" w:cs="微软雅黑"/>
          <w:spacing w:val="5"/>
          <w:w w:val="95"/>
          <w:sz w:val="24"/>
          <w:highlight w:val="none"/>
          <w:u w:val="single"/>
          <w:lang w:val="zh-CN" w:bidi="zh-CN"/>
        </w:rPr>
        <w:t>（项目名称）</w:t>
      </w:r>
      <w:r>
        <w:rPr>
          <w:rFonts w:hint="eastAsia" w:ascii="微软雅黑" w:hAnsi="微软雅黑" w:eastAsia="微软雅黑" w:cs="微软雅黑"/>
          <w:spacing w:val="5"/>
          <w:w w:val="95"/>
          <w:sz w:val="24"/>
          <w:highlight w:val="none"/>
          <w:lang w:bidi="zh-CN"/>
        </w:rPr>
        <w:t>采购活动，工程的施工单位全部为符合政策要求的中小企业。相关企业（含联合体中的中小企业、签订分包意向协议的中小企业）的具体情况如下：</w:t>
      </w:r>
    </w:p>
    <w:p w14:paraId="3EE74CD2">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z w:val="24"/>
          <w:highlight w:val="none"/>
        </w:rPr>
      </w:pPr>
      <w:r>
        <w:rPr>
          <w:rFonts w:hint="eastAsia" w:ascii="微软雅黑" w:hAnsi="微软雅黑" w:eastAsia="微软雅黑" w:cs="微软雅黑"/>
          <w:spacing w:val="5"/>
          <w:w w:val="95"/>
          <w:sz w:val="24"/>
          <w:highlight w:val="none"/>
          <w:lang w:bidi="zh-CN"/>
        </w:rPr>
        <w:t>1.</w:t>
      </w:r>
      <w:r>
        <w:rPr>
          <w:rFonts w:hint="eastAsia" w:ascii="微软雅黑" w:hAnsi="微软雅黑" w:eastAsia="微软雅黑" w:cs="微软雅黑"/>
          <w:spacing w:val="5"/>
          <w:w w:val="95"/>
          <w:sz w:val="24"/>
          <w:highlight w:val="none"/>
          <w:u w:val="single"/>
          <w:lang w:val="zh-CN" w:bidi="zh-CN"/>
        </w:rPr>
        <w:t>（标的名称）</w:t>
      </w:r>
      <w:r>
        <w:rPr>
          <w:rFonts w:hint="eastAsia" w:ascii="微软雅黑" w:hAnsi="微软雅黑" w:eastAsia="微软雅黑" w:cs="微软雅黑"/>
          <w:i/>
          <w:sz w:val="24"/>
          <w:highlight w:val="none"/>
        </w:rPr>
        <w:t xml:space="preserve"> </w:t>
      </w:r>
      <w:r>
        <w:rPr>
          <w:rFonts w:hint="eastAsia" w:ascii="微软雅黑" w:hAnsi="微软雅黑" w:eastAsia="微软雅黑" w:cs="微软雅黑"/>
          <w:spacing w:val="-43"/>
          <w:sz w:val="24"/>
          <w:highlight w:val="none"/>
        </w:rPr>
        <w:t xml:space="preserve">， </w:t>
      </w:r>
      <w:r>
        <w:rPr>
          <w:rFonts w:hint="eastAsia" w:ascii="微软雅黑" w:hAnsi="微软雅黑" w:eastAsia="微软雅黑" w:cs="微软雅黑"/>
          <w:spacing w:val="7"/>
          <w:w w:val="99"/>
          <w:sz w:val="24"/>
          <w:highlight w:val="none"/>
          <w:lang w:val="zh-CN"/>
        </w:rPr>
        <w:t>属于</w:t>
      </w:r>
      <w:r>
        <w:rPr>
          <w:rFonts w:hint="eastAsia" w:ascii="微软雅黑" w:hAnsi="微软雅黑" w:eastAsia="微软雅黑" w:cs="微软雅黑"/>
          <w:spacing w:val="5"/>
          <w:w w:val="95"/>
          <w:sz w:val="24"/>
          <w:highlight w:val="none"/>
          <w:u w:val="single"/>
          <w:lang w:val="zh-CN" w:bidi="zh-CN"/>
        </w:rPr>
        <w:t>（采购文件中明确的所属行业）行业</w:t>
      </w:r>
      <w:r>
        <w:rPr>
          <w:rFonts w:hint="eastAsia" w:ascii="微软雅黑" w:hAnsi="微软雅黑" w:eastAsia="微软雅黑" w:cs="微软雅黑"/>
          <w:spacing w:val="7"/>
          <w:w w:val="99"/>
          <w:sz w:val="24"/>
          <w:highlight w:val="none"/>
        </w:rPr>
        <w:t>；</w:t>
      </w:r>
      <w:r>
        <w:rPr>
          <w:rFonts w:hint="eastAsia" w:ascii="微软雅黑" w:hAnsi="微软雅黑" w:eastAsia="微软雅黑" w:cs="微软雅黑"/>
          <w:spacing w:val="5"/>
          <w:w w:val="99"/>
          <w:sz w:val="24"/>
          <w:highlight w:val="none"/>
        </w:rPr>
        <w:t>承建企业</w:t>
      </w:r>
      <w:r>
        <w:rPr>
          <w:rFonts w:hint="eastAsia" w:ascii="微软雅黑" w:hAnsi="微软雅黑" w:eastAsia="微软雅黑" w:cs="微软雅黑"/>
          <w:spacing w:val="-10"/>
          <w:w w:val="99"/>
          <w:sz w:val="24"/>
          <w:highlight w:val="none"/>
        </w:rPr>
        <w:t>为</w:t>
      </w:r>
      <w:r>
        <w:rPr>
          <w:rFonts w:hint="eastAsia" w:ascii="微软雅黑" w:hAnsi="微软雅黑" w:eastAsia="微软雅黑" w:cs="微软雅黑"/>
          <w:spacing w:val="5"/>
          <w:w w:val="95"/>
          <w:sz w:val="24"/>
          <w:highlight w:val="none"/>
          <w:u w:val="single"/>
          <w:lang w:val="zh-CN" w:bidi="zh-CN"/>
        </w:rPr>
        <w:t>（企业名称）</w:t>
      </w:r>
      <w:r>
        <w:rPr>
          <w:rFonts w:hint="eastAsia" w:ascii="微软雅黑" w:hAnsi="微软雅黑" w:eastAsia="微软雅黑" w:cs="微软雅黑"/>
          <w:spacing w:val="5"/>
          <w:w w:val="95"/>
          <w:sz w:val="24"/>
          <w:highlight w:val="none"/>
          <w:lang w:val="zh-CN" w:bidi="zh-CN"/>
        </w:rPr>
        <w:t>，</w:t>
      </w:r>
      <w:r>
        <w:rPr>
          <w:rFonts w:hint="eastAsia" w:ascii="微软雅黑" w:hAnsi="微软雅黑" w:eastAsia="微软雅黑" w:cs="微软雅黑"/>
          <w:spacing w:val="5"/>
          <w:w w:val="99"/>
          <w:sz w:val="24"/>
          <w:highlight w:val="none"/>
        </w:rPr>
        <w:t>从</w:t>
      </w:r>
      <w:r>
        <w:rPr>
          <w:rFonts w:hint="eastAsia" w:ascii="微软雅黑" w:hAnsi="微软雅黑" w:eastAsia="微软雅黑" w:cs="微软雅黑"/>
          <w:spacing w:val="7"/>
          <w:w w:val="99"/>
          <w:sz w:val="24"/>
          <w:highlight w:val="none"/>
        </w:rPr>
        <w:t>业</w:t>
      </w:r>
      <w:r>
        <w:rPr>
          <w:rFonts w:hint="eastAsia" w:ascii="微软雅黑" w:hAnsi="微软雅黑" w:eastAsia="微软雅黑" w:cs="微软雅黑"/>
          <w:spacing w:val="5"/>
          <w:w w:val="99"/>
          <w:sz w:val="24"/>
          <w:highlight w:val="none"/>
        </w:rPr>
        <w:t>人</w:t>
      </w:r>
      <w:r>
        <w:rPr>
          <w:rFonts w:hint="eastAsia" w:ascii="微软雅黑" w:hAnsi="微软雅黑" w:eastAsia="微软雅黑" w:cs="微软雅黑"/>
          <w:spacing w:val="4"/>
          <w:w w:val="99"/>
          <w:sz w:val="24"/>
          <w:highlight w:val="none"/>
        </w:rPr>
        <w:t>员</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spacing w:val="7"/>
          <w:w w:val="99"/>
          <w:sz w:val="24"/>
          <w:highlight w:val="none"/>
        </w:rPr>
        <w:t>人</w:t>
      </w:r>
      <w:r>
        <w:rPr>
          <w:rFonts w:hint="eastAsia" w:ascii="微软雅黑" w:hAnsi="微软雅黑" w:eastAsia="微软雅黑" w:cs="微软雅黑"/>
          <w:spacing w:val="5"/>
          <w:w w:val="99"/>
          <w:sz w:val="24"/>
          <w:highlight w:val="none"/>
        </w:rPr>
        <w:t>，</w:t>
      </w:r>
      <w:r>
        <w:rPr>
          <w:rFonts w:hint="eastAsia" w:ascii="微软雅黑" w:hAnsi="微软雅黑" w:eastAsia="微软雅黑" w:cs="微软雅黑"/>
          <w:spacing w:val="7"/>
          <w:w w:val="99"/>
          <w:sz w:val="24"/>
          <w:highlight w:val="none"/>
        </w:rPr>
        <w:t>营</w:t>
      </w:r>
      <w:r>
        <w:rPr>
          <w:rFonts w:hint="eastAsia" w:ascii="微软雅黑" w:hAnsi="微软雅黑" w:eastAsia="微软雅黑" w:cs="微软雅黑"/>
          <w:spacing w:val="5"/>
          <w:w w:val="99"/>
          <w:sz w:val="24"/>
          <w:highlight w:val="none"/>
        </w:rPr>
        <w:t>业</w:t>
      </w:r>
      <w:r>
        <w:rPr>
          <w:rFonts w:hint="eastAsia" w:ascii="微软雅黑" w:hAnsi="微软雅黑" w:eastAsia="微软雅黑" w:cs="微软雅黑"/>
          <w:spacing w:val="7"/>
          <w:w w:val="99"/>
          <w:sz w:val="24"/>
          <w:highlight w:val="none"/>
        </w:rPr>
        <w:t>收入为</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sz w:val="24"/>
          <w:highlight w:val="none"/>
        </w:rPr>
        <w:t>万元</w:t>
      </w:r>
      <w:r>
        <w:rPr>
          <w:rFonts w:hint="eastAsia" w:ascii="微软雅黑" w:hAnsi="微软雅黑" w:eastAsia="微软雅黑" w:cs="微软雅黑"/>
          <w:spacing w:val="-22"/>
          <w:sz w:val="24"/>
          <w:highlight w:val="none"/>
        </w:rPr>
        <w:t>，</w:t>
      </w:r>
      <w:r>
        <w:rPr>
          <w:rFonts w:hint="eastAsia" w:ascii="微软雅黑" w:hAnsi="微软雅黑" w:eastAsia="微软雅黑" w:cs="微软雅黑"/>
          <w:sz w:val="24"/>
          <w:highlight w:val="none"/>
        </w:rPr>
        <w:t>资产总额为</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w w:val="95"/>
          <w:sz w:val="24"/>
          <w:highlight w:val="none"/>
        </w:rPr>
        <w:t>万元</w:t>
      </w:r>
      <w:r>
        <w:rPr>
          <w:rFonts w:hint="eastAsia" w:ascii="微软雅黑" w:hAnsi="微软雅黑" w:eastAsia="微软雅黑" w:cs="微软雅黑"/>
          <w:spacing w:val="-12"/>
          <w:w w:val="95"/>
          <w:sz w:val="24"/>
          <w:highlight w:val="none"/>
        </w:rPr>
        <w:t>，</w:t>
      </w:r>
      <w:r>
        <w:rPr>
          <w:rFonts w:hint="eastAsia" w:ascii="微软雅黑" w:hAnsi="微软雅黑" w:eastAsia="微软雅黑" w:cs="微软雅黑"/>
          <w:spacing w:val="5"/>
          <w:w w:val="95"/>
          <w:sz w:val="24"/>
          <w:highlight w:val="none"/>
          <w:lang w:val="zh-CN" w:bidi="zh-CN"/>
        </w:rPr>
        <w:t>属于</w:t>
      </w:r>
      <w:r>
        <w:rPr>
          <w:rFonts w:hint="eastAsia" w:ascii="微软雅黑" w:hAnsi="微软雅黑" w:eastAsia="微软雅黑" w:cs="微软雅黑"/>
          <w:spacing w:val="5"/>
          <w:w w:val="95"/>
          <w:sz w:val="24"/>
          <w:highlight w:val="none"/>
          <w:u w:val="single"/>
          <w:lang w:val="zh-CN" w:bidi="zh-CN"/>
        </w:rPr>
        <w:t>（中型企业、小型企业、微型企业）</w:t>
      </w:r>
      <w:r>
        <w:rPr>
          <w:rFonts w:hint="eastAsia" w:ascii="微软雅黑" w:hAnsi="微软雅黑" w:eastAsia="微软雅黑" w:cs="微软雅黑"/>
          <w:spacing w:val="5"/>
          <w:w w:val="95"/>
          <w:sz w:val="24"/>
          <w:highlight w:val="none"/>
          <w:lang w:val="zh-CN" w:bidi="zh-CN"/>
        </w:rPr>
        <w:t>；</w:t>
      </w:r>
    </w:p>
    <w:p w14:paraId="44B67454">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pacing w:val="5"/>
          <w:w w:val="95"/>
          <w:sz w:val="24"/>
          <w:highlight w:val="none"/>
          <w:lang w:bidi="zh-CN"/>
        </w:rPr>
      </w:pPr>
      <w:r>
        <w:rPr>
          <w:rFonts w:hint="eastAsia" w:ascii="微软雅黑" w:hAnsi="微软雅黑" w:eastAsia="微软雅黑" w:cs="微软雅黑"/>
          <w:spacing w:val="5"/>
          <w:w w:val="95"/>
          <w:sz w:val="24"/>
          <w:highlight w:val="none"/>
          <w:lang w:bidi="zh-CN"/>
        </w:rPr>
        <w:t>2.</w:t>
      </w:r>
      <w:r>
        <w:rPr>
          <w:rFonts w:hint="eastAsia" w:ascii="微软雅黑" w:hAnsi="微软雅黑" w:eastAsia="微软雅黑" w:cs="微软雅黑"/>
          <w:spacing w:val="5"/>
          <w:w w:val="95"/>
          <w:sz w:val="24"/>
          <w:highlight w:val="none"/>
          <w:lang w:val="zh-CN" w:bidi="zh-CN"/>
        </w:rPr>
        <w:t xml:space="preserve"> </w:t>
      </w:r>
      <w:r>
        <w:rPr>
          <w:rFonts w:hint="eastAsia" w:ascii="微软雅黑" w:hAnsi="微软雅黑" w:eastAsia="微软雅黑" w:cs="微软雅黑"/>
          <w:spacing w:val="5"/>
          <w:w w:val="95"/>
          <w:sz w:val="24"/>
          <w:highlight w:val="none"/>
          <w:u w:val="single"/>
          <w:lang w:val="zh-CN" w:bidi="zh-CN"/>
        </w:rPr>
        <w:t>（标的名称）</w:t>
      </w:r>
      <w:r>
        <w:rPr>
          <w:rFonts w:hint="eastAsia" w:ascii="微软雅黑" w:hAnsi="微软雅黑" w:eastAsia="微软雅黑" w:cs="微软雅黑"/>
          <w:i/>
          <w:sz w:val="24"/>
          <w:highlight w:val="none"/>
        </w:rPr>
        <w:t xml:space="preserve"> </w:t>
      </w:r>
      <w:r>
        <w:rPr>
          <w:rFonts w:hint="eastAsia" w:ascii="微软雅黑" w:hAnsi="微软雅黑" w:eastAsia="微软雅黑" w:cs="微软雅黑"/>
          <w:spacing w:val="-43"/>
          <w:sz w:val="24"/>
          <w:highlight w:val="none"/>
        </w:rPr>
        <w:t xml:space="preserve">， </w:t>
      </w:r>
      <w:r>
        <w:rPr>
          <w:rFonts w:hint="eastAsia" w:ascii="微软雅黑" w:hAnsi="微软雅黑" w:eastAsia="微软雅黑" w:cs="微软雅黑"/>
          <w:spacing w:val="7"/>
          <w:w w:val="99"/>
          <w:sz w:val="24"/>
          <w:highlight w:val="none"/>
          <w:lang w:val="zh-CN"/>
        </w:rPr>
        <w:t>属于</w:t>
      </w:r>
      <w:r>
        <w:rPr>
          <w:rFonts w:hint="eastAsia" w:ascii="微软雅黑" w:hAnsi="微软雅黑" w:eastAsia="微软雅黑" w:cs="微软雅黑"/>
          <w:spacing w:val="5"/>
          <w:w w:val="95"/>
          <w:sz w:val="24"/>
          <w:highlight w:val="none"/>
          <w:u w:val="single"/>
          <w:lang w:val="zh-CN" w:bidi="zh-CN"/>
        </w:rPr>
        <w:t>（采购文件中明确的所属行业）行业</w:t>
      </w:r>
      <w:r>
        <w:rPr>
          <w:rFonts w:hint="eastAsia" w:ascii="微软雅黑" w:hAnsi="微软雅黑" w:eastAsia="微软雅黑" w:cs="微软雅黑"/>
          <w:spacing w:val="7"/>
          <w:w w:val="99"/>
          <w:sz w:val="24"/>
          <w:highlight w:val="none"/>
        </w:rPr>
        <w:t>；</w:t>
      </w:r>
      <w:r>
        <w:rPr>
          <w:rFonts w:hint="eastAsia" w:ascii="微软雅黑" w:hAnsi="微软雅黑" w:eastAsia="微软雅黑" w:cs="微软雅黑"/>
          <w:spacing w:val="5"/>
          <w:w w:val="99"/>
          <w:sz w:val="24"/>
          <w:highlight w:val="none"/>
        </w:rPr>
        <w:t>承建企业</w:t>
      </w:r>
      <w:r>
        <w:rPr>
          <w:rFonts w:hint="eastAsia" w:ascii="微软雅黑" w:hAnsi="微软雅黑" w:eastAsia="微软雅黑" w:cs="微软雅黑"/>
          <w:spacing w:val="-10"/>
          <w:w w:val="99"/>
          <w:sz w:val="24"/>
          <w:highlight w:val="none"/>
        </w:rPr>
        <w:t>为</w:t>
      </w:r>
      <w:r>
        <w:rPr>
          <w:rFonts w:hint="eastAsia" w:ascii="微软雅黑" w:hAnsi="微软雅黑" w:eastAsia="微软雅黑" w:cs="微软雅黑"/>
          <w:spacing w:val="5"/>
          <w:w w:val="95"/>
          <w:sz w:val="24"/>
          <w:highlight w:val="none"/>
          <w:u w:val="single"/>
          <w:lang w:val="zh-CN" w:bidi="zh-CN"/>
        </w:rPr>
        <w:t>（企业名称）</w:t>
      </w:r>
      <w:r>
        <w:rPr>
          <w:rFonts w:hint="eastAsia" w:ascii="微软雅黑" w:hAnsi="微软雅黑" w:eastAsia="微软雅黑" w:cs="微软雅黑"/>
          <w:spacing w:val="5"/>
          <w:w w:val="95"/>
          <w:sz w:val="24"/>
          <w:highlight w:val="none"/>
          <w:lang w:val="zh-CN" w:bidi="zh-CN"/>
        </w:rPr>
        <w:t>，</w:t>
      </w:r>
      <w:r>
        <w:rPr>
          <w:rFonts w:hint="eastAsia" w:ascii="微软雅黑" w:hAnsi="微软雅黑" w:eastAsia="微软雅黑" w:cs="微软雅黑"/>
          <w:spacing w:val="5"/>
          <w:w w:val="99"/>
          <w:sz w:val="24"/>
          <w:highlight w:val="none"/>
        </w:rPr>
        <w:t>从</w:t>
      </w:r>
      <w:r>
        <w:rPr>
          <w:rFonts w:hint="eastAsia" w:ascii="微软雅黑" w:hAnsi="微软雅黑" w:eastAsia="微软雅黑" w:cs="微软雅黑"/>
          <w:spacing w:val="7"/>
          <w:w w:val="99"/>
          <w:sz w:val="24"/>
          <w:highlight w:val="none"/>
        </w:rPr>
        <w:t>业</w:t>
      </w:r>
      <w:r>
        <w:rPr>
          <w:rFonts w:hint="eastAsia" w:ascii="微软雅黑" w:hAnsi="微软雅黑" w:eastAsia="微软雅黑" w:cs="微软雅黑"/>
          <w:spacing w:val="5"/>
          <w:w w:val="99"/>
          <w:sz w:val="24"/>
          <w:highlight w:val="none"/>
        </w:rPr>
        <w:t>人</w:t>
      </w:r>
      <w:r>
        <w:rPr>
          <w:rFonts w:hint="eastAsia" w:ascii="微软雅黑" w:hAnsi="微软雅黑" w:eastAsia="微软雅黑" w:cs="微软雅黑"/>
          <w:spacing w:val="4"/>
          <w:w w:val="99"/>
          <w:sz w:val="24"/>
          <w:highlight w:val="none"/>
        </w:rPr>
        <w:t>员</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spacing w:val="7"/>
          <w:w w:val="99"/>
          <w:sz w:val="24"/>
          <w:highlight w:val="none"/>
        </w:rPr>
        <w:t>人</w:t>
      </w:r>
      <w:r>
        <w:rPr>
          <w:rFonts w:hint="eastAsia" w:ascii="微软雅黑" w:hAnsi="微软雅黑" w:eastAsia="微软雅黑" w:cs="微软雅黑"/>
          <w:spacing w:val="5"/>
          <w:w w:val="99"/>
          <w:sz w:val="24"/>
          <w:highlight w:val="none"/>
        </w:rPr>
        <w:t>，</w:t>
      </w:r>
      <w:r>
        <w:rPr>
          <w:rFonts w:hint="eastAsia" w:ascii="微软雅黑" w:hAnsi="微软雅黑" w:eastAsia="微软雅黑" w:cs="微软雅黑"/>
          <w:spacing w:val="7"/>
          <w:w w:val="99"/>
          <w:sz w:val="24"/>
          <w:highlight w:val="none"/>
        </w:rPr>
        <w:t>营</w:t>
      </w:r>
      <w:r>
        <w:rPr>
          <w:rFonts w:hint="eastAsia" w:ascii="微软雅黑" w:hAnsi="微软雅黑" w:eastAsia="微软雅黑" w:cs="微软雅黑"/>
          <w:spacing w:val="5"/>
          <w:w w:val="99"/>
          <w:sz w:val="24"/>
          <w:highlight w:val="none"/>
        </w:rPr>
        <w:t>业</w:t>
      </w:r>
      <w:r>
        <w:rPr>
          <w:rFonts w:hint="eastAsia" w:ascii="微软雅黑" w:hAnsi="微软雅黑" w:eastAsia="微软雅黑" w:cs="微软雅黑"/>
          <w:spacing w:val="7"/>
          <w:w w:val="99"/>
          <w:sz w:val="24"/>
          <w:highlight w:val="none"/>
        </w:rPr>
        <w:t>收入为</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sz w:val="24"/>
          <w:highlight w:val="none"/>
        </w:rPr>
        <w:t>万元</w:t>
      </w:r>
      <w:r>
        <w:rPr>
          <w:rFonts w:hint="eastAsia" w:ascii="微软雅黑" w:hAnsi="微软雅黑" w:eastAsia="微软雅黑" w:cs="微软雅黑"/>
          <w:spacing w:val="-22"/>
          <w:sz w:val="24"/>
          <w:highlight w:val="none"/>
        </w:rPr>
        <w:t>，</w:t>
      </w:r>
      <w:r>
        <w:rPr>
          <w:rFonts w:hint="eastAsia" w:ascii="微软雅黑" w:hAnsi="微软雅黑" w:eastAsia="微软雅黑" w:cs="微软雅黑"/>
          <w:sz w:val="24"/>
          <w:highlight w:val="none"/>
        </w:rPr>
        <w:t>资产总额为</w:t>
      </w:r>
      <w:r>
        <w:rPr>
          <w:rFonts w:hint="eastAsia" w:ascii="微软雅黑" w:hAnsi="微软雅黑" w:eastAsia="微软雅黑" w:cs="微软雅黑"/>
          <w:spacing w:val="4"/>
          <w:w w:val="99"/>
          <w:sz w:val="24"/>
          <w:highlight w:val="none"/>
          <w:u w:val="single"/>
        </w:rPr>
        <w:t xml:space="preserve">      </w:t>
      </w:r>
      <w:r>
        <w:rPr>
          <w:rFonts w:hint="eastAsia" w:ascii="微软雅黑" w:hAnsi="微软雅黑" w:eastAsia="微软雅黑" w:cs="微软雅黑"/>
          <w:w w:val="95"/>
          <w:sz w:val="24"/>
          <w:highlight w:val="none"/>
        </w:rPr>
        <w:t>万元</w:t>
      </w:r>
      <w:r>
        <w:rPr>
          <w:rFonts w:hint="eastAsia" w:ascii="微软雅黑" w:hAnsi="微软雅黑" w:eastAsia="微软雅黑" w:cs="微软雅黑"/>
          <w:spacing w:val="-12"/>
          <w:w w:val="95"/>
          <w:sz w:val="24"/>
          <w:highlight w:val="none"/>
        </w:rPr>
        <w:t>，</w:t>
      </w:r>
      <w:r>
        <w:rPr>
          <w:rFonts w:hint="eastAsia" w:ascii="微软雅黑" w:hAnsi="微软雅黑" w:eastAsia="微软雅黑" w:cs="微软雅黑"/>
          <w:spacing w:val="5"/>
          <w:w w:val="95"/>
          <w:sz w:val="24"/>
          <w:highlight w:val="none"/>
          <w:lang w:val="zh-CN" w:bidi="zh-CN"/>
        </w:rPr>
        <w:t>属于</w:t>
      </w:r>
      <w:r>
        <w:rPr>
          <w:rFonts w:hint="eastAsia" w:ascii="微软雅黑" w:hAnsi="微软雅黑" w:eastAsia="微软雅黑" w:cs="微软雅黑"/>
          <w:spacing w:val="5"/>
          <w:w w:val="95"/>
          <w:sz w:val="24"/>
          <w:highlight w:val="none"/>
          <w:u w:val="single"/>
          <w:lang w:val="zh-CN" w:bidi="zh-CN"/>
        </w:rPr>
        <w:t>（中型企业、小型企业、微型企业）</w:t>
      </w:r>
      <w:r>
        <w:rPr>
          <w:rFonts w:hint="eastAsia" w:ascii="微软雅黑" w:hAnsi="微软雅黑" w:eastAsia="微软雅黑" w:cs="微软雅黑"/>
          <w:spacing w:val="5"/>
          <w:w w:val="95"/>
          <w:sz w:val="24"/>
          <w:highlight w:val="none"/>
          <w:lang w:val="zh-CN" w:bidi="zh-CN"/>
        </w:rPr>
        <w:t>；</w:t>
      </w:r>
    </w:p>
    <w:p w14:paraId="39752210">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pacing w:val="5"/>
          <w:w w:val="95"/>
          <w:sz w:val="24"/>
          <w:highlight w:val="none"/>
          <w:lang w:bidi="zh-CN"/>
        </w:rPr>
      </w:pPr>
      <w:r>
        <w:rPr>
          <w:rFonts w:hint="eastAsia" w:ascii="微软雅黑" w:hAnsi="微软雅黑" w:eastAsia="微软雅黑" w:cs="微软雅黑"/>
          <w:spacing w:val="5"/>
          <w:w w:val="95"/>
          <w:sz w:val="24"/>
          <w:highlight w:val="none"/>
          <w:lang w:bidi="zh-CN"/>
        </w:rPr>
        <w:t>……</w:t>
      </w:r>
    </w:p>
    <w:p w14:paraId="0EC0231B">
      <w:pPr>
        <w:tabs>
          <w:tab w:val="left" w:pos="1183"/>
          <w:tab w:val="left" w:pos="1484"/>
          <w:tab w:val="left" w:pos="4662"/>
          <w:tab w:val="left" w:pos="6903"/>
        </w:tabs>
        <w:spacing w:line="480" w:lineRule="exact"/>
        <w:ind w:firstLine="476" w:firstLineChars="200"/>
        <w:jc w:val="left"/>
        <w:rPr>
          <w:rFonts w:ascii="微软雅黑" w:hAnsi="微软雅黑" w:eastAsia="微软雅黑" w:cs="微软雅黑"/>
          <w:spacing w:val="5"/>
          <w:w w:val="95"/>
          <w:sz w:val="24"/>
          <w:highlight w:val="none"/>
          <w:lang w:bidi="zh-CN"/>
        </w:rPr>
      </w:pPr>
      <w:r>
        <w:rPr>
          <w:rFonts w:hint="eastAsia" w:ascii="微软雅黑" w:hAnsi="微软雅黑" w:eastAsia="微软雅黑" w:cs="微软雅黑"/>
          <w:spacing w:val="5"/>
          <w:w w:val="95"/>
          <w:sz w:val="24"/>
          <w:highlight w:val="none"/>
          <w:lang w:bidi="zh-CN"/>
        </w:rPr>
        <w:t>以上企业，不属于大企业的分支机构，不存在控股股东为大企业的情形，也不存在与大企业的负责人为同一人的情形。</w:t>
      </w:r>
    </w:p>
    <w:p w14:paraId="5E8DFA9E">
      <w:pPr>
        <w:widowControl/>
        <w:spacing w:beforeAutospacing="1" w:afterAutospacing="1" w:line="348" w:lineRule="atLeast"/>
        <w:ind w:firstLine="384"/>
        <w:jc w:val="left"/>
        <w:rPr>
          <w:rFonts w:ascii="微软雅黑" w:hAnsi="微软雅黑" w:eastAsia="微软雅黑" w:cs="微软雅黑"/>
          <w:sz w:val="24"/>
          <w:highlight w:val="none"/>
        </w:rPr>
      </w:pPr>
      <w:r>
        <w:rPr>
          <w:rFonts w:hint="eastAsia" w:ascii="微软雅黑" w:hAnsi="微软雅黑" w:eastAsia="微软雅黑" w:cs="微软雅黑"/>
          <w:spacing w:val="5"/>
          <w:w w:val="95"/>
          <w:sz w:val="24"/>
          <w:highlight w:val="none"/>
          <w:lang w:bidi="zh-CN"/>
        </w:rPr>
        <w:t>本企业对上述声明内容的真实性负责。如有虚假，将依法承担相应责任</w:t>
      </w:r>
      <w:r>
        <w:rPr>
          <w:rFonts w:hint="eastAsia" w:ascii="微软雅黑" w:hAnsi="微软雅黑" w:eastAsia="微软雅黑" w:cs="微软雅黑"/>
          <w:kern w:val="0"/>
          <w:sz w:val="24"/>
          <w:highlight w:val="none"/>
          <w:shd w:val="clear" w:color="auto" w:fill="FFFFFF"/>
        </w:rPr>
        <w:t>。</w:t>
      </w:r>
    </w:p>
    <w:p w14:paraId="0EF82173">
      <w:pPr>
        <w:spacing w:line="360" w:lineRule="exact"/>
        <w:ind w:firstLine="480" w:firstLineChars="200"/>
        <w:rPr>
          <w:rFonts w:ascii="微软雅黑" w:hAnsi="微软雅黑" w:eastAsia="微软雅黑" w:cs="微软雅黑"/>
          <w:sz w:val="24"/>
          <w:highlight w:val="none"/>
        </w:rPr>
      </w:pPr>
    </w:p>
    <w:p w14:paraId="6EE03038">
      <w:pPr>
        <w:pStyle w:val="3"/>
        <w:spacing w:line="360" w:lineRule="exact"/>
        <w:ind w:right="372" w:firstLine="3000" w:firstLineChars="1200"/>
        <w:rPr>
          <w:rFonts w:ascii="微软雅黑" w:hAnsi="微软雅黑" w:eastAsia="微软雅黑" w:cs="微软雅黑"/>
          <w:spacing w:val="11"/>
          <w:w w:val="95"/>
          <w:highlight w:val="none"/>
        </w:rPr>
      </w:pPr>
      <w:r>
        <w:rPr>
          <w:rFonts w:hint="eastAsia" w:ascii="微软雅黑" w:hAnsi="微软雅黑" w:eastAsia="微软雅黑" w:cs="微软雅黑"/>
          <w:spacing w:val="11"/>
          <w:w w:val="95"/>
          <w:highlight w:val="none"/>
        </w:rPr>
        <w:t>企业名称（盖章）：</w:t>
      </w:r>
      <w:r>
        <w:rPr>
          <w:rFonts w:hint="eastAsia" w:ascii="微软雅黑" w:hAnsi="微软雅黑" w:eastAsia="微软雅黑" w:cs="微软雅黑"/>
          <w:spacing w:val="11"/>
          <w:w w:val="95"/>
          <w:highlight w:val="none"/>
          <w:u w:val="single"/>
        </w:rPr>
        <w:t xml:space="preserve">                  </w:t>
      </w:r>
    </w:p>
    <w:p w14:paraId="7A45FB63">
      <w:pPr>
        <w:pStyle w:val="3"/>
        <w:spacing w:line="360" w:lineRule="exact"/>
        <w:ind w:right="372" w:firstLine="3000" w:firstLineChars="1200"/>
        <w:rPr>
          <w:rFonts w:ascii="微软雅黑" w:hAnsi="微软雅黑" w:eastAsia="微软雅黑" w:cs="微软雅黑"/>
          <w:spacing w:val="11"/>
          <w:w w:val="95"/>
          <w:highlight w:val="none"/>
        </w:rPr>
      </w:pPr>
      <w:r>
        <w:rPr>
          <w:rFonts w:hint="eastAsia" w:ascii="微软雅黑" w:hAnsi="微软雅黑" w:eastAsia="微软雅黑" w:cs="微软雅黑"/>
          <w:spacing w:val="11"/>
          <w:w w:val="95"/>
          <w:highlight w:val="none"/>
        </w:rPr>
        <w:t>日期：</w:t>
      </w:r>
      <w:r>
        <w:rPr>
          <w:rFonts w:hint="eastAsia" w:ascii="微软雅黑" w:hAnsi="微软雅黑" w:eastAsia="微软雅黑" w:cs="微软雅黑"/>
          <w:spacing w:val="11"/>
          <w:w w:val="95"/>
          <w:highlight w:val="none"/>
          <w:u w:val="single"/>
        </w:rPr>
        <w:t xml:space="preserve">                     </w:t>
      </w:r>
    </w:p>
    <w:p w14:paraId="41FD5330">
      <w:pPr>
        <w:pStyle w:val="3"/>
        <w:spacing w:line="520" w:lineRule="exact"/>
        <w:ind w:right="372"/>
        <w:rPr>
          <w:rFonts w:ascii="微软雅黑" w:hAnsi="微软雅黑" w:eastAsia="微软雅黑" w:cs="微软雅黑"/>
          <w:b/>
          <w:bCs/>
          <w:spacing w:val="11"/>
          <w:w w:val="95"/>
          <w:highlight w:val="none"/>
        </w:rPr>
      </w:pPr>
      <w:r>
        <w:rPr>
          <w:rFonts w:hint="eastAsia" w:ascii="微软雅黑" w:hAnsi="微软雅黑" w:eastAsia="微软雅黑" w:cs="微软雅黑"/>
          <w:b/>
          <w:bCs/>
          <w:spacing w:val="11"/>
          <w:w w:val="95"/>
          <w:highlight w:val="none"/>
        </w:rPr>
        <w:t>本项目所属行业为</w:t>
      </w:r>
      <w:r>
        <w:rPr>
          <w:rFonts w:hint="eastAsia" w:ascii="微软雅黑" w:hAnsi="微软雅黑" w:eastAsia="微软雅黑" w:cs="微软雅黑"/>
          <w:b/>
          <w:bCs/>
          <w:spacing w:val="11"/>
          <w:w w:val="95"/>
          <w:highlight w:val="none"/>
          <w:lang w:eastAsia="zh-CN"/>
        </w:rPr>
        <w:t>：</w:t>
      </w:r>
      <w:r>
        <w:rPr>
          <w:rFonts w:hint="eastAsia" w:ascii="微软雅黑" w:hAnsi="微软雅黑" w:eastAsia="微软雅黑" w:cs="微软雅黑"/>
          <w:b/>
          <w:bCs/>
          <w:color w:val="FF0000"/>
          <w:spacing w:val="11"/>
          <w:w w:val="95"/>
          <w:highlight w:val="none"/>
        </w:rPr>
        <w:t>建筑业。</w:t>
      </w:r>
    </w:p>
    <w:p w14:paraId="7BC26B8A">
      <w:pPr>
        <w:pStyle w:val="3"/>
        <w:spacing w:line="520" w:lineRule="exact"/>
        <w:ind w:right="372"/>
        <w:rPr>
          <w:rFonts w:ascii="微软雅黑" w:hAnsi="微软雅黑" w:eastAsia="微软雅黑" w:cs="微软雅黑"/>
          <w:b/>
          <w:bCs/>
          <w:spacing w:val="11"/>
          <w:w w:val="95"/>
          <w:highlight w:val="none"/>
        </w:rPr>
      </w:pPr>
      <w:r>
        <w:rPr>
          <w:rFonts w:hint="eastAsia" w:ascii="微软雅黑" w:hAnsi="微软雅黑" w:eastAsia="微软雅黑" w:cs="微软雅黑"/>
          <w:b/>
          <w:bCs/>
          <w:spacing w:val="11"/>
          <w:w w:val="95"/>
          <w:highlight w:val="none"/>
        </w:rPr>
        <w:t>注：潜在投标企业属于中小微企业的，请在响应文件中提供“中小企业声明函”，如果未提供或提供虚假的“中小企业声明函”，投标企业将承担由此造成的一切不利后果。</w:t>
      </w:r>
    </w:p>
    <w:p w14:paraId="0D43B20B">
      <w:pP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br w:type="page"/>
      </w:r>
    </w:p>
    <w:p w14:paraId="63039F60">
      <w:pPr>
        <w:spacing w:line="400" w:lineRule="exact"/>
        <w:jc w:val="left"/>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附：</w:t>
      </w:r>
    </w:p>
    <w:p w14:paraId="096A4305">
      <w:pPr>
        <w:spacing w:line="400" w:lineRule="exact"/>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中小微企业划型标准</w:t>
      </w:r>
    </w:p>
    <w:tbl>
      <w:tblPr>
        <w:tblStyle w:val="27"/>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3B74DE24">
        <w:tblPrEx>
          <w:tblCellMar>
            <w:top w:w="0" w:type="dxa"/>
            <w:left w:w="108" w:type="dxa"/>
            <w:bottom w:w="0" w:type="dxa"/>
            <w:right w:w="108" w:type="dxa"/>
          </w:tblCellMar>
        </w:tblPrEx>
        <w:trPr>
          <w:trHeight w:val="252"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11735585">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行业名称</w:t>
            </w:r>
          </w:p>
        </w:tc>
        <w:tc>
          <w:tcPr>
            <w:tcW w:w="1660" w:type="dxa"/>
            <w:tcBorders>
              <w:top w:val="single" w:color="auto" w:sz="4" w:space="0"/>
              <w:left w:val="nil"/>
              <w:bottom w:val="single" w:color="auto" w:sz="4" w:space="0"/>
              <w:right w:val="single" w:color="auto" w:sz="4" w:space="0"/>
            </w:tcBorders>
            <w:vAlign w:val="center"/>
          </w:tcPr>
          <w:p w14:paraId="49448871">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指标名称</w:t>
            </w:r>
          </w:p>
        </w:tc>
        <w:tc>
          <w:tcPr>
            <w:tcW w:w="1466" w:type="dxa"/>
            <w:tcBorders>
              <w:top w:val="single" w:color="auto" w:sz="4" w:space="0"/>
              <w:left w:val="nil"/>
              <w:bottom w:val="single" w:color="auto" w:sz="4" w:space="0"/>
              <w:right w:val="single" w:color="auto" w:sz="4" w:space="0"/>
            </w:tcBorders>
            <w:vAlign w:val="center"/>
          </w:tcPr>
          <w:p w14:paraId="55E92E38">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计量单位</w:t>
            </w:r>
          </w:p>
        </w:tc>
        <w:tc>
          <w:tcPr>
            <w:tcW w:w="1903" w:type="dxa"/>
            <w:tcBorders>
              <w:top w:val="single" w:color="auto" w:sz="4" w:space="0"/>
              <w:left w:val="nil"/>
              <w:bottom w:val="single" w:color="auto" w:sz="4" w:space="0"/>
              <w:right w:val="single" w:color="auto" w:sz="4" w:space="0"/>
            </w:tcBorders>
            <w:vAlign w:val="center"/>
          </w:tcPr>
          <w:p w14:paraId="47839CA6">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中型</w:t>
            </w:r>
          </w:p>
        </w:tc>
        <w:tc>
          <w:tcPr>
            <w:tcW w:w="1692" w:type="dxa"/>
            <w:tcBorders>
              <w:top w:val="single" w:color="auto" w:sz="4" w:space="0"/>
              <w:left w:val="nil"/>
              <w:bottom w:val="single" w:color="auto" w:sz="4" w:space="0"/>
              <w:right w:val="single" w:color="auto" w:sz="4" w:space="0"/>
            </w:tcBorders>
            <w:vAlign w:val="center"/>
          </w:tcPr>
          <w:p w14:paraId="77E4E700">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小型</w:t>
            </w:r>
          </w:p>
        </w:tc>
        <w:tc>
          <w:tcPr>
            <w:tcW w:w="1087" w:type="dxa"/>
            <w:tcBorders>
              <w:top w:val="single" w:color="auto" w:sz="4" w:space="0"/>
              <w:left w:val="nil"/>
              <w:bottom w:val="single" w:color="auto" w:sz="4" w:space="0"/>
              <w:right w:val="single" w:color="auto" w:sz="4" w:space="0"/>
            </w:tcBorders>
            <w:vAlign w:val="center"/>
          </w:tcPr>
          <w:p w14:paraId="79C5147B">
            <w:pPr>
              <w:widowControl/>
              <w:snapToGrid w:val="0"/>
              <w:spacing w:line="400" w:lineRule="exact"/>
              <w:contextualSpacing/>
              <w:jc w:val="center"/>
              <w:rPr>
                <w:rFonts w:ascii="微软雅黑" w:hAnsi="微软雅黑" w:eastAsia="微软雅黑" w:cs="微软雅黑"/>
                <w:b/>
                <w:kern w:val="0"/>
                <w:sz w:val="24"/>
                <w:highlight w:val="none"/>
              </w:rPr>
            </w:pPr>
            <w:r>
              <w:rPr>
                <w:rFonts w:hint="eastAsia" w:ascii="微软雅黑" w:hAnsi="微软雅黑" w:eastAsia="微软雅黑" w:cs="微软雅黑"/>
                <w:b/>
                <w:kern w:val="0"/>
                <w:sz w:val="24"/>
                <w:highlight w:val="none"/>
              </w:rPr>
              <w:t>微型</w:t>
            </w:r>
          </w:p>
        </w:tc>
      </w:tr>
      <w:tr w14:paraId="3D3EE570">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48E6D264">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农、林、牧、渔</w:t>
            </w:r>
          </w:p>
        </w:tc>
        <w:tc>
          <w:tcPr>
            <w:tcW w:w="1660" w:type="dxa"/>
            <w:tcBorders>
              <w:top w:val="nil"/>
              <w:left w:val="nil"/>
              <w:bottom w:val="single" w:color="auto" w:sz="4" w:space="0"/>
              <w:right w:val="single" w:color="auto" w:sz="4" w:space="0"/>
            </w:tcBorders>
            <w:vAlign w:val="center"/>
          </w:tcPr>
          <w:p w14:paraId="592BE24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6233C27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50E6BAE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500≤Y＜20000</w:t>
            </w:r>
          </w:p>
        </w:tc>
        <w:tc>
          <w:tcPr>
            <w:tcW w:w="1692" w:type="dxa"/>
            <w:tcBorders>
              <w:top w:val="nil"/>
              <w:left w:val="nil"/>
              <w:bottom w:val="single" w:color="auto" w:sz="4" w:space="0"/>
              <w:right w:val="single" w:color="auto" w:sz="4" w:space="0"/>
            </w:tcBorders>
            <w:vAlign w:val="center"/>
          </w:tcPr>
          <w:p w14:paraId="2D847E2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50≤Y＜500</w:t>
            </w:r>
          </w:p>
        </w:tc>
        <w:tc>
          <w:tcPr>
            <w:tcW w:w="1087" w:type="dxa"/>
            <w:tcBorders>
              <w:top w:val="nil"/>
              <w:left w:val="nil"/>
              <w:bottom w:val="single" w:color="auto" w:sz="4" w:space="0"/>
              <w:right w:val="single" w:color="auto" w:sz="4" w:space="0"/>
            </w:tcBorders>
            <w:vAlign w:val="center"/>
          </w:tcPr>
          <w:p w14:paraId="636BF06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Y＜50</w:t>
            </w:r>
          </w:p>
        </w:tc>
      </w:tr>
      <w:tr w14:paraId="5884A95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EBB390C">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工业</w:t>
            </w:r>
          </w:p>
        </w:tc>
        <w:tc>
          <w:tcPr>
            <w:tcW w:w="1660" w:type="dxa"/>
            <w:tcBorders>
              <w:top w:val="nil"/>
              <w:left w:val="nil"/>
              <w:bottom w:val="single" w:color="auto" w:sz="4" w:space="0"/>
              <w:right w:val="single" w:color="auto" w:sz="4" w:space="0"/>
            </w:tcBorders>
            <w:vAlign w:val="center"/>
          </w:tcPr>
          <w:p w14:paraId="4672744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924CFE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33D3243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300≤X＜1000</w:t>
            </w:r>
          </w:p>
        </w:tc>
        <w:tc>
          <w:tcPr>
            <w:tcW w:w="1692" w:type="dxa"/>
            <w:tcBorders>
              <w:top w:val="nil"/>
              <w:left w:val="nil"/>
              <w:bottom w:val="single" w:color="auto" w:sz="4" w:space="0"/>
              <w:right w:val="single" w:color="auto" w:sz="4" w:space="0"/>
            </w:tcBorders>
            <w:vAlign w:val="center"/>
          </w:tcPr>
          <w:p w14:paraId="6F16F40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20≤X＜300</w:t>
            </w:r>
          </w:p>
        </w:tc>
        <w:tc>
          <w:tcPr>
            <w:tcW w:w="1087" w:type="dxa"/>
            <w:tcBorders>
              <w:top w:val="nil"/>
              <w:left w:val="nil"/>
              <w:bottom w:val="single" w:color="auto" w:sz="4" w:space="0"/>
              <w:right w:val="single" w:color="auto" w:sz="4" w:space="0"/>
            </w:tcBorders>
            <w:vAlign w:val="center"/>
          </w:tcPr>
          <w:p w14:paraId="04B4965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X＜20</w:t>
            </w:r>
          </w:p>
        </w:tc>
      </w:tr>
      <w:tr w14:paraId="57FF762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4CC4FD1">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2D85908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A23065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1088234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2000≤Y＜40000</w:t>
            </w:r>
          </w:p>
        </w:tc>
        <w:tc>
          <w:tcPr>
            <w:tcW w:w="1692" w:type="dxa"/>
            <w:tcBorders>
              <w:top w:val="nil"/>
              <w:left w:val="nil"/>
              <w:bottom w:val="single" w:color="auto" w:sz="4" w:space="0"/>
              <w:right w:val="single" w:color="auto" w:sz="4" w:space="0"/>
            </w:tcBorders>
            <w:vAlign w:val="center"/>
          </w:tcPr>
          <w:p w14:paraId="1123521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300≤Y＜2000</w:t>
            </w:r>
          </w:p>
        </w:tc>
        <w:tc>
          <w:tcPr>
            <w:tcW w:w="1087" w:type="dxa"/>
            <w:tcBorders>
              <w:top w:val="nil"/>
              <w:left w:val="nil"/>
              <w:bottom w:val="single" w:color="auto" w:sz="4" w:space="0"/>
              <w:right w:val="single" w:color="auto" w:sz="4" w:space="0"/>
            </w:tcBorders>
            <w:vAlign w:val="center"/>
          </w:tcPr>
          <w:p w14:paraId="4679BC9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Y＜300</w:t>
            </w:r>
          </w:p>
        </w:tc>
      </w:tr>
      <w:tr w14:paraId="2D7CC37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4EDD8DDA">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建筑业</w:t>
            </w:r>
          </w:p>
        </w:tc>
        <w:tc>
          <w:tcPr>
            <w:tcW w:w="1660" w:type="dxa"/>
            <w:tcBorders>
              <w:top w:val="nil"/>
              <w:left w:val="nil"/>
              <w:bottom w:val="single" w:color="auto" w:sz="4" w:space="0"/>
              <w:right w:val="single" w:color="auto" w:sz="4" w:space="0"/>
            </w:tcBorders>
            <w:vAlign w:val="center"/>
          </w:tcPr>
          <w:p w14:paraId="389150A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92297A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1B1D4FD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6000≤Y＜80000</w:t>
            </w:r>
          </w:p>
        </w:tc>
        <w:tc>
          <w:tcPr>
            <w:tcW w:w="1692" w:type="dxa"/>
            <w:tcBorders>
              <w:top w:val="nil"/>
              <w:left w:val="nil"/>
              <w:bottom w:val="single" w:color="auto" w:sz="4" w:space="0"/>
              <w:right w:val="single" w:color="auto" w:sz="4" w:space="0"/>
            </w:tcBorders>
            <w:vAlign w:val="center"/>
          </w:tcPr>
          <w:p w14:paraId="27DE0DB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300≤Y＜6000</w:t>
            </w:r>
          </w:p>
        </w:tc>
        <w:tc>
          <w:tcPr>
            <w:tcW w:w="1087" w:type="dxa"/>
            <w:tcBorders>
              <w:top w:val="nil"/>
              <w:left w:val="nil"/>
              <w:bottom w:val="single" w:color="auto" w:sz="4" w:space="0"/>
              <w:right w:val="single" w:color="auto" w:sz="4" w:space="0"/>
            </w:tcBorders>
            <w:vAlign w:val="center"/>
          </w:tcPr>
          <w:p w14:paraId="2ABA273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Y＜300</w:t>
            </w:r>
          </w:p>
        </w:tc>
      </w:tr>
      <w:tr w14:paraId="6278AA3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31A20FA">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6E8A83D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资产总额（Z）</w:t>
            </w:r>
          </w:p>
        </w:tc>
        <w:tc>
          <w:tcPr>
            <w:tcW w:w="1466" w:type="dxa"/>
            <w:tcBorders>
              <w:top w:val="nil"/>
              <w:left w:val="nil"/>
              <w:bottom w:val="single" w:color="auto" w:sz="4" w:space="0"/>
              <w:right w:val="single" w:color="auto" w:sz="4" w:space="0"/>
            </w:tcBorders>
            <w:vAlign w:val="center"/>
          </w:tcPr>
          <w:p w14:paraId="0B46284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0029160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5000≤Z＜80000</w:t>
            </w:r>
          </w:p>
        </w:tc>
        <w:tc>
          <w:tcPr>
            <w:tcW w:w="1692" w:type="dxa"/>
            <w:tcBorders>
              <w:top w:val="nil"/>
              <w:left w:val="nil"/>
              <w:bottom w:val="single" w:color="auto" w:sz="4" w:space="0"/>
              <w:right w:val="single" w:color="auto" w:sz="4" w:space="0"/>
            </w:tcBorders>
            <w:vAlign w:val="center"/>
          </w:tcPr>
          <w:p w14:paraId="5DE74EF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300≤Z＜5000</w:t>
            </w:r>
          </w:p>
        </w:tc>
        <w:tc>
          <w:tcPr>
            <w:tcW w:w="1087" w:type="dxa"/>
            <w:tcBorders>
              <w:top w:val="nil"/>
              <w:left w:val="nil"/>
              <w:bottom w:val="single" w:color="auto" w:sz="4" w:space="0"/>
              <w:right w:val="single" w:color="auto" w:sz="4" w:space="0"/>
            </w:tcBorders>
            <w:vAlign w:val="center"/>
          </w:tcPr>
          <w:p w14:paraId="7DE4A74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Z＜300</w:t>
            </w:r>
          </w:p>
        </w:tc>
      </w:tr>
      <w:tr w14:paraId="1A6D675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D7684BD">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批发业</w:t>
            </w:r>
          </w:p>
        </w:tc>
        <w:tc>
          <w:tcPr>
            <w:tcW w:w="1660" w:type="dxa"/>
            <w:tcBorders>
              <w:top w:val="nil"/>
              <w:left w:val="nil"/>
              <w:bottom w:val="single" w:color="auto" w:sz="4" w:space="0"/>
              <w:right w:val="single" w:color="auto" w:sz="4" w:space="0"/>
            </w:tcBorders>
            <w:vAlign w:val="center"/>
          </w:tcPr>
          <w:p w14:paraId="23F7A6A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22F5F9C">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392ADBA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20≤X＜200</w:t>
            </w:r>
          </w:p>
        </w:tc>
        <w:tc>
          <w:tcPr>
            <w:tcW w:w="1692" w:type="dxa"/>
            <w:tcBorders>
              <w:top w:val="nil"/>
              <w:left w:val="nil"/>
              <w:bottom w:val="single" w:color="auto" w:sz="4" w:space="0"/>
              <w:right w:val="single" w:color="auto" w:sz="4" w:space="0"/>
            </w:tcBorders>
            <w:vAlign w:val="center"/>
          </w:tcPr>
          <w:p w14:paraId="07D4969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5≤X＜20</w:t>
            </w:r>
          </w:p>
        </w:tc>
        <w:tc>
          <w:tcPr>
            <w:tcW w:w="1087" w:type="dxa"/>
            <w:tcBorders>
              <w:top w:val="nil"/>
              <w:left w:val="nil"/>
              <w:bottom w:val="single" w:color="auto" w:sz="4" w:space="0"/>
              <w:right w:val="single" w:color="auto" w:sz="4" w:space="0"/>
            </w:tcBorders>
            <w:vAlign w:val="center"/>
          </w:tcPr>
          <w:p w14:paraId="776197C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X＜5</w:t>
            </w:r>
          </w:p>
        </w:tc>
      </w:tr>
      <w:tr w14:paraId="06F7C42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0BD96CE">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139B219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7ABEDC1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70E47B1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5000≤Y＜40000</w:t>
            </w:r>
          </w:p>
        </w:tc>
        <w:tc>
          <w:tcPr>
            <w:tcW w:w="1692" w:type="dxa"/>
            <w:tcBorders>
              <w:top w:val="nil"/>
              <w:left w:val="nil"/>
              <w:bottom w:val="single" w:color="auto" w:sz="4" w:space="0"/>
              <w:right w:val="single" w:color="auto" w:sz="4" w:space="0"/>
            </w:tcBorders>
            <w:vAlign w:val="center"/>
          </w:tcPr>
          <w:p w14:paraId="3E709CE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1000≤Y＜5000</w:t>
            </w:r>
          </w:p>
        </w:tc>
        <w:tc>
          <w:tcPr>
            <w:tcW w:w="1087" w:type="dxa"/>
            <w:tcBorders>
              <w:top w:val="nil"/>
              <w:left w:val="nil"/>
              <w:bottom w:val="single" w:color="auto" w:sz="4" w:space="0"/>
              <w:right w:val="single" w:color="auto" w:sz="4" w:space="0"/>
            </w:tcBorders>
            <w:vAlign w:val="center"/>
          </w:tcPr>
          <w:p w14:paraId="0404713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Y＜1000</w:t>
            </w:r>
          </w:p>
        </w:tc>
      </w:tr>
      <w:tr w14:paraId="2EC8A29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5DB24B77">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零售业</w:t>
            </w:r>
          </w:p>
        </w:tc>
        <w:tc>
          <w:tcPr>
            <w:tcW w:w="1660" w:type="dxa"/>
            <w:tcBorders>
              <w:top w:val="nil"/>
              <w:left w:val="nil"/>
              <w:bottom w:val="single" w:color="auto" w:sz="4" w:space="0"/>
              <w:right w:val="single" w:color="auto" w:sz="4" w:space="0"/>
            </w:tcBorders>
            <w:vAlign w:val="center"/>
          </w:tcPr>
          <w:p w14:paraId="5BA2A2F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8E1AFF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456ACD5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50≤X＜300</w:t>
            </w:r>
          </w:p>
        </w:tc>
        <w:tc>
          <w:tcPr>
            <w:tcW w:w="1692" w:type="dxa"/>
            <w:tcBorders>
              <w:top w:val="nil"/>
              <w:left w:val="nil"/>
              <w:bottom w:val="single" w:color="auto" w:sz="4" w:space="0"/>
              <w:right w:val="single" w:color="auto" w:sz="4" w:space="0"/>
            </w:tcBorders>
            <w:vAlign w:val="center"/>
          </w:tcPr>
          <w:p w14:paraId="1DD708F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10≤X＜50</w:t>
            </w:r>
          </w:p>
        </w:tc>
        <w:tc>
          <w:tcPr>
            <w:tcW w:w="1087" w:type="dxa"/>
            <w:tcBorders>
              <w:top w:val="nil"/>
              <w:left w:val="nil"/>
              <w:bottom w:val="single" w:color="auto" w:sz="4" w:space="0"/>
              <w:right w:val="single" w:color="auto" w:sz="4" w:space="0"/>
            </w:tcBorders>
            <w:vAlign w:val="center"/>
          </w:tcPr>
          <w:p w14:paraId="1E9085D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3FCBED1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F20E065">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6EFA174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63F129F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77D0F0E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500≤Y＜20000</w:t>
            </w:r>
          </w:p>
        </w:tc>
        <w:tc>
          <w:tcPr>
            <w:tcW w:w="1692" w:type="dxa"/>
            <w:tcBorders>
              <w:top w:val="nil"/>
              <w:left w:val="nil"/>
              <w:bottom w:val="single" w:color="auto" w:sz="4" w:space="0"/>
              <w:right w:val="single" w:color="auto" w:sz="4" w:space="0"/>
            </w:tcBorders>
            <w:vAlign w:val="center"/>
          </w:tcPr>
          <w:p w14:paraId="706FC82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100≤Y＜500</w:t>
            </w:r>
          </w:p>
        </w:tc>
        <w:tc>
          <w:tcPr>
            <w:tcW w:w="1087" w:type="dxa"/>
            <w:tcBorders>
              <w:top w:val="nil"/>
              <w:left w:val="nil"/>
              <w:bottom w:val="single" w:color="auto" w:sz="4" w:space="0"/>
              <w:right w:val="single" w:color="auto" w:sz="4" w:space="0"/>
            </w:tcBorders>
            <w:vAlign w:val="center"/>
          </w:tcPr>
          <w:p w14:paraId="651CEF9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1B7E3B0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BE23420">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交通运输业</w:t>
            </w:r>
          </w:p>
        </w:tc>
        <w:tc>
          <w:tcPr>
            <w:tcW w:w="1660" w:type="dxa"/>
            <w:tcBorders>
              <w:top w:val="nil"/>
              <w:left w:val="nil"/>
              <w:bottom w:val="single" w:color="auto" w:sz="4" w:space="0"/>
              <w:right w:val="single" w:color="auto" w:sz="4" w:space="0"/>
            </w:tcBorders>
            <w:vAlign w:val="center"/>
          </w:tcPr>
          <w:p w14:paraId="59C8A74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21B4E6E0">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08DA6C6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300≤X＜1000</w:t>
            </w:r>
          </w:p>
        </w:tc>
        <w:tc>
          <w:tcPr>
            <w:tcW w:w="1692" w:type="dxa"/>
            <w:tcBorders>
              <w:top w:val="nil"/>
              <w:left w:val="nil"/>
              <w:bottom w:val="single" w:color="auto" w:sz="4" w:space="0"/>
              <w:right w:val="single" w:color="auto" w:sz="4" w:space="0"/>
            </w:tcBorders>
            <w:vAlign w:val="center"/>
          </w:tcPr>
          <w:p w14:paraId="19B2E93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20≤X＜300</w:t>
            </w:r>
          </w:p>
        </w:tc>
        <w:tc>
          <w:tcPr>
            <w:tcW w:w="1087" w:type="dxa"/>
            <w:tcBorders>
              <w:top w:val="nil"/>
              <w:left w:val="nil"/>
              <w:bottom w:val="single" w:color="auto" w:sz="4" w:space="0"/>
              <w:right w:val="single" w:color="auto" w:sz="4" w:space="0"/>
            </w:tcBorders>
            <w:vAlign w:val="center"/>
          </w:tcPr>
          <w:p w14:paraId="52EBC9A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X＜20</w:t>
            </w:r>
          </w:p>
        </w:tc>
      </w:tr>
      <w:tr w14:paraId="5350CE1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725F0585">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203701CC">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0DFA1B2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0DF0A62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3000≤Y＜30000</w:t>
            </w:r>
          </w:p>
        </w:tc>
        <w:tc>
          <w:tcPr>
            <w:tcW w:w="1692" w:type="dxa"/>
            <w:tcBorders>
              <w:top w:val="nil"/>
              <w:left w:val="nil"/>
              <w:bottom w:val="single" w:color="auto" w:sz="4" w:space="0"/>
              <w:right w:val="single" w:color="auto" w:sz="4" w:space="0"/>
            </w:tcBorders>
            <w:vAlign w:val="center"/>
          </w:tcPr>
          <w:p w14:paraId="3E20AE1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200≤Y＜3000</w:t>
            </w:r>
          </w:p>
        </w:tc>
        <w:tc>
          <w:tcPr>
            <w:tcW w:w="1087" w:type="dxa"/>
            <w:tcBorders>
              <w:top w:val="nil"/>
              <w:left w:val="nil"/>
              <w:bottom w:val="single" w:color="auto" w:sz="4" w:space="0"/>
              <w:right w:val="single" w:color="auto" w:sz="4" w:space="0"/>
            </w:tcBorders>
            <w:vAlign w:val="center"/>
          </w:tcPr>
          <w:p w14:paraId="39884E7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Y＜200</w:t>
            </w:r>
          </w:p>
        </w:tc>
      </w:tr>
      <w:tr w14:paraId="420AC31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999D027">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仓储业</w:t>
            </w:r>
          </w:p>
        </w:tc>
        <w:tc>
          <w:tcPr>
            <w:tcW w:w="1660" w:type="dxa"/>
            <w:tcBorders>
              <w:top w:val="nil"/>
              <w:left w:val="nil"/>
              <w:bottom w:val="single" w:color="auto" w:sz="4" w:space="0"/>
              <w:right w:val="single" w:color="auto" w:sz="4" w:space="0"/>
            </w:tcBorders>
            <w:vAlign w:val="center"/>
          </w:tcPr>
          <w:p w14:paraId="6027287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5434A63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0999F98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100≤X＜200</w:t>
            </w:r>
          </w:p>
        </w:tc>
        <w:tc>
          <w:tcPr>
            <w:tcW w:w="1692" w:type="dxa"/>
            <w:tcBorders>
              <w:top w:val="nil"/>
              <w:left w:val="nil"/>
              <w:bottom w:val="single" w:color="auto" w:sz="4" w:space="0"/>
              <w:right w:val="single" w:color="auto" w:sz="4" w:space="0"/>
            </w:tcBorders>
            <w:vAlign w:val="center"/>
          </w:tcPr>
          <w:p w14:paraId="11EF1E2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20≤X＜100</w:t>
            </w:r>
          </w:p>
        </w:tc>
        <w:tc>
          <w:tcPr>
            <w:tcW w:w="1087" w:type="dxa"/>
            <w:tcBorders>
              <w:top w:val="nil"/>
              <w:left w:val="nil"/>
              <w:bottom w:val="single" w:color="auto" w:sz="4" w:space="0"/>
              <w:right w:val="single" w:color="auto" w:sz="4" w:space="0"/>
            </w:tcBorders>
            <w:vAlign w:val="center"/>
          </w:tcPr>
          <w:p w14:paraId="2325947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X＜20</w:t>
            </w:r>
          </w:p>
        </w:tc>
      </w:tr>
      <w:tr w14:paraId="3E8C27D7">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F3056AC">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5E8D105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D9DF38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5D72F69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1000≤Y＜30000</w:t>
            </w:r>
          </w:p>
        </w:tc>
        <w:tc>
          <w:tcPr>
            <w:tcW w:w="1692" w:type="dxa"/>
            <w:tcBorders>
              <w:top w:val="nil"/>
              <w:left w:val="nil"/>
              <w:bottom w:val="single" w:color="auto" w:sz="4" w:space="0"/>
              <w:right w:val="single" w:color="auto" w:sz="4" w:space="0"/>
            </w:tcBorders>
            <w:vAlign w:val="center"/>
          </w:tcPr>
          <w:p w14:paraId="762EF01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100≤Y＜1000</w:t>
            </w:r>
          </w:p>
        </w:tc>
        <w:tc>
          <w:tcPr>
            <w:tcW w:w="1087" w:type="dxa"/>
            <w:tcBorders>
              <w:top w:val="nil"/>
              <w:left w:val="nil"/>
              <w:bottom w:val="single" w:color="auto" w:sz="4" w:space="0"/>
              <w:right w:val="single" w:color="auto" w:sz="4" w:space="0"/>
            </w:tcBorders>
            <w:vAlign w:val="center"/>
          </w:tcPr>
          <w:p w14:paraId="6C5C181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70314A8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09B7F99F">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邮政业</w:t>
            </w:r>
          </w:p>
        </w:tc>
        <w:tc>
          <w:tcPr>
            <w:tcW w:w="1660" w:type="dxa"/>
            <w:tcBorders>
              <w:top w:val="nil"/>
              <w:left w:val="nil"/>
              <w:bottom w:val="single" w:color="auto" w:sz="4" w:space="0"/>
              <w:right w:val="single" w:color="auto" w:sz="4" w:space="0"/>
            </w:tcBorders>
            <w:vAlign w:val="center"/>
          </w:tcPr>
          <w:p w14:paraId="0D3A2EA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7896241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1141316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300≤X＜1000</w:t>
            </w:r>
          </w:p>
        </w:tc>
        <w:tc>
          <w:tcPr>
            <w:tcW w:w="1692" w:type="dxa"/>
            <w:tcBorders>
              <w:top w:val="nil"/>
              <w:left w:val="nil"/>
              <w:bottom w:val="single" w:color="auto" w:sz="4" w:space="0"/>
              <w:right w:val="single" w:color="auto" w:sz="4" w:space="0"/>
            </w:tcBorders>
            <w:vAlign w:val="center"/>
          </w:tcPr>
          <w:p w14:paraId="23E34DB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20≤X＜300</w:t>
            </w:r>
          </w:p>
        </w:tc>
        <w:tc>
          <w:tcPr>
            <w:tcW w:w="1087" w:type="dxa"/>
            <w:tcBorders>
              <w:top w:val="nil"/>
              <w:left w:val="nil"/>
              <w:bottom w:val="single" w:color="auto" w:sz="4" w:space="0"/>
              <w:right w:val="single" w:color="auto" w:sz="4" w:space="0"/>
            </w:tcBorders>
            <w:vAlign w:val="center"/>
          </w:tcPr>
          <w:p w14:paraId="611B4F4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X＜20</w:t>
            </w:r>
          </w:p>
        </w:tc>
      </w:tr>
      <w:tr w14:paraId="08B1AD5D">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2C9F2C9E">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6BAB27D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34A2CF8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1522C5E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2000≤Y＜30000</w:t>
            </w:r>
          </w:p>
        </w:tc>
        <w:tc>
          <w:tcPr>
            <w:tcW w:w="1692" w:type="dxa"/>
            <w:tcBorders>
              <w:top w:val="nil"/>
              <w:left w:val="nil"/>
              <w:bottom w:val="single" w:color="auto" w:sz="4" w:space="0"/>
              <w:right w:val="single" w:color="auto" w:sz="4" w:space="0"/>
            </w:tcBorders>
            <w:vAlign w:val="center"/>
          </w:tcPr>
          <w:p w14:paraId="2E8C79F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100≤Y＜2000</w:t>
            </w:r>
          </w:p>
        </w:tc>
        <w:tc>
          <w:tcPr>
            <w:tcW w:w="1087" w:type="dxa"/>
            <w:tcBorders>
              <w:top w:val="nil"/>
              <w:left w:val="nil"/>
              <w:bottom w:val="single" w:color="auto" w:sz="4" w:space="0"/>
              <w:right w:val="single" w:color="auto" w:sz="4" w:space="0"/>
            </w:tcBorders>
            <w:vAlign w:val="center"/>
          </w:tcPr>
          <w:p w14:paraId="40A60F6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3C1810D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EBEDD9E">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住宿业</w:t>
            </w:r>
          </w:p>
        </w:tc>
        <w:tc>
          <w:tcPr>
            <w:tcW w:w="1660" w:type="dxa"/>
            <w:tcBorders>
              <w:top w:val="nil"/>
              <w:left w:val="nil"/>
              <w:bottom w:val="single" w:color="auto" w:sz="4" w:space="0"/>
              <w:right w:val="single" w:color="auto" w:sz="4" w:space="0"/>
            </w:tcBorders>
            <w:vAlign w:val="center"/>
          </w:tcPr>
          <w:p w14:paraId="5151404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25247C4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51E0622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nil"/>
              <w:left w:val="nil"/>
              <w:bottom w:val="single" w:color="auto" w:sz="4" w:space="0"/>
              <w:right w:val="single" w:color="auto" w:sz="4" w:space="0"/>
            </w:tcBorders>
            <w:vAlign w:val="center"/>
          </w:tcPr>
          <w:p w14:paraId="213FA17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nil"/>
              <w:left w:val="nil"/>
              <w:bottom w:val="single" w:color="auto" w:sz="4" w:space="0"/>
              <w:right w:val="single" w:color="auto" w:sz="4" w:space="0"/>
            </w:tcBorders>
            <w:vAlign w:val="center"/>
          </w:tcPr>
          <w:p w14:paraId="5F57D55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5F871FB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0388DB41">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63BA4D8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EAA61B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313FF51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2000≤Y＜10000</w:t>
            </w:r>
          </w:p>
        </w:tc>
        <w:tc>
          <w:tcPr>
            <w:tcW w:w="1692" w:type="dxa"/>
            <w:tcBorders>
              <w:top w:val="nil"/>
              <w:left w:val="nil"/>
              <w:bottom w:val="single" w:color="auto" w:sz="4" w:space="0"/>
              <w:right w:val="single" w:color="auto" w:sz="4" w:space="0"/>
            </w:tcBorders>
            <w:vAlign w:val="center"/>
          </w:tcPr>
          <w:p w14:paraId="62746FD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100≤Y＜2000</w:t>
            </w:r>
          </w:p>
        </w:tc>
        <w:tc>
          <w:tcPr>
            <w:tcW w:w="1087" w:type="dxa"/>
            <w:tcBorders>
              <w:top w:val="nil"/>
              <w:left w:val="nil"/>
              <w:bottom w:val="single" w:color="auto" w:sz="4" w:space="0"/>
              <w:right w:val="single" w:color="auto" w:sz="4" w:space="0"/>
            </w:tcBorders>
            <w:vAlign w:val="center"/>
          </w:tcPr>
          <w:p w14:paraId="5FAB696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7D9C4F3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69AF51F2">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餐饮业</w:t>
            </w:r>
          </w:p>
        </w:tc>
        <w:tc>
          <w:tcPr>
            <w:tcW w:w="1660" w:type="dxa"/>
            <w:tcBorders>
              <w:top w:val="nil"/>
              <w:left w:val="nil"/>
              <w:bottom w:val="single" w:color="auto" w:sz="4" w:space="0"/>
              <w:right w:val="single" w:color="auto" w:sz="4" w:space="0"/>
            </w:tcBorders>
            <w:vAlign w:val="center"/>
          </w:tcPr>
          <w:p w14:paraId="42B049A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B88BEB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3DEF9B2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nil"/>
              <w:left w:val="nil"/>
              <w:bottom w:val="single" w:color="auto" w:sz="4" w:space="0"/>
              <w:right w:val="single" w:color="auto" w:sz="4" w:space="0"/>
            </w:tcBorders>
            <w:vAlign w:val="center"/>
          </w:tcPr>
          <w:p w14:paraId="19894BE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nil"/>
              <w:left w:val="nil"/>
              <w:bottom w:val="single" w:color="auto" w:sz="4" w:space="0"/>
              <w:right w:val="single" w:color="auto" w:sz="4" w:space="0"/>
            </w:tcBorders>
            <w:vAlign w:val="center"/>
          </w:tcPr>
          <w:p w14:paraId="2011498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32B05F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0E1BB5B">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48877B4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5B94190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0EF2EF4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2000≤Y＜10000</w:t>
            </w:r>
          </w:p>
        </w:tc>
        <w:tc>
          <w:tcPr>
            <w:tcW w:w="1692" w:type="dxa"/>
            <w:tcBorders>
              <w:top w:val="nil"/>
              <w:left w:val="nil"/>
              <w:bottom w:val="single" w:color="auto" w:sz="4" w:space="0"/>
              <w:right w:val="single" w:color="auto" w:sz="4" w:space="0"/>
            </w:tcBorders>
            <w:vAlign w:val="center"/>
          </w:tcPr>
          <w:p w14:paraId="60DA6AB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100≤Y＜2000</w:t>
            </w:r>
          </w:p>
        </w:tc>
        <w:tc>
          <w:tcPr>
            <w:tcW w:w="1087" w:type="dxa"/>
            <w:tcBorders>
              <w:top w:val="nil"/>
              <w:left w:val="nil"/>
              <w:bottom w:val="single" w:color="auto" w:sz="4" w:space="0"/>
              <w:right w:val="single" w:color="auto" w:sz="4" w:space="0"/>
            </w:tcBorders>
            <w:vAlign w:val="center"/>
          </w:tcPr>
          <w:p w14:paraId="34F2A540">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619F6F84">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vAlign w:val="center"/>
          </w:tcPr>
          <w:p w14:paraId="2F046E57">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信息传输业</w:t>
            </w:r>
          </w:p>
        </w:tc>
        <w:tc>
          <w:tcPr>
            <w:tcW w:w="1660" w:type="dxa"/>
            <w:tcBorders>
              <w:top w:val="single" w:color="auto" w:sz="4" w:space="0"/>
              <w:left w:val="single" w:color="auto" w:sz="4" w:space="0"/>
              <w:bottom w:val="single" w:color="auto" w:sz="4" w:space="0"/>
              <w:right w:val="single" w:color="auto" w:sz="4" w:space="0"/>
            </w:tcBorders>
            <w:vAlign w:val="center"/>
          </w:tcPr>
          <w:p w14:paraId="3C65E34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single" w:color="auto" w:sz="4" w:space="0"/>
              <w:left w:val="single" w:color="auto" w:sz="4" w:space="0"/>
              <w:bottom w:val="single" w:color="auto" w:sz="4" w:space="0"/>
              <w:right w:val="single" w:color="auto" w:sz="4" w:space="0"/>
            </w:tcBorders>
            <w:vAlign w:val="center"/>
          </w:tcPr>
          <w:p w14:paraId="5D74FFA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single" w:color="auto" w:sz="4" w:space="0"/>
              <w:left w:val="single" w:color="auto" w:sz="4" w:space="0"/>
              <w:bottom w:val="single" w:color="auto" w:sz="4" w:space="0"/>
              <w:right w:val="single" w:color="auto" w:sz="4" w:space="0"/>
            </w:tcBorders>
            <w:vAlign w:val="center"/>
          </w:tcPr>
          <w:p w14:paraId="5480C06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100≤X＜2000</w:t>
            </w:r>
          </w:p>
        </w:tc>
        <w:tc>
          <w:tcPr>
            <w:tcW w:w="1692" w:type="dxa"/>
            <w:tcBorders>
              <w:top w:val="single" w:color="auto" w:sz="4" w:space="0"/>
              <w:left w:val="single" w:color="auto" w:sz="4" w:space="0"/>
              <w:bottom w:val="single" w:color="auto" w:sz="4" w:space="0"/>
              <w:right w:val="single" w:color="auto" w:sz="4" w:space="0"/>
            </w:tcBorders>
            <w:vAlign w:val="center"/>
          </w:tcPr>
          <w:p w14:paraId="0CBC539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single" w:color="auto" w:sz="4" w:space="0"/>
              <w:left w:val="single" w:color="auto" w:sz="4" w:space="0"/>
              <w:bottom w:val="single" w:color="auto" w:sz="4" w:space="0"/>
              <w:right w:val="single" w:color="auto" w:sz="4" w:space="0"/>
            </w:tcBorders>
            <w:vAlign w:val="center"/>
          </w:tcPr>
          <w:p w14:paraId="1C340BA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47BAD209">
        <w:tblPrEx>
          <w:tblCellMar>
            <w:top w:w="0" w:type="dxa"/>
            <w:left w:w="108" w:type="dxa"/>
            <w:bottom w:w="0" w:type="dxa"/>
            <w:right w:w="108" w:type="dxa"/>
          </w:tblCellMar>
        </w:tblPrEx>
        <w:trPr>
          <w:trHeight w:val="199" w:hRule="atLeast"/>
          <w:jc w:val="center"/>
        </w:trPr>
        <w:tc>
          <w:tcPr>
            <w:tcW w:w="1570" w:type="dxa"/>
            <w:vMerge w:val="continue"/>
            <w:tcBorders>
              <w:top w:val="single" w:color="auto" w:sz="4" w:space="0"/>
              <w:left w:val="single" w:color="auto" w:sz="4" w:space="0"/>
              <w:bottom w:val="single" w:color="auto" w:sz="4" w:space="0"/>
              <w:right w:val="single" w:color="auto" w:sz="4" w:space="0"/>
            </w:tcBorders>
            <w:vAlign w:val="center"/>
          </w:tcPr>
          <w:p w14:paraId="17BB6CBC">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single" w:color="auto" w:sz="4" w:space="0"/>
              <w:left w:val="single" w:color="auto" w:sz="4" w:space="0"/>
              <w:bottom w:val="single" w:color="auto" w:sz="4" w:space="0"/>
              <w:right w:val="single" w:color="auto" w:sz="4" w:space="0"/>
            </w:tcBorders>
            <w:vAlign w:val="center"/>
          </w:tcPr>
          <w:p w14:paraId="1DEB66A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single" w:color="auto" w:sz="4" w:space="0"/>
              <w:left w:val="single" w:color="auto" w:sz="4" w:space="0"/>
              <w:bottom w:val="single" w:color="auto" w:sz="4" w:space="0"/>
              <w:right w:val="single" w:color="auto" w:sz="4" w:space="0"/>
            </w:tcBorders>
            <w:vAlign w:val="center"/>
          </w:tcPr>
          <w:p w14:paraId="7C2A131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single" w:color="auto" w:sz="4" w:space="0"/>
              <w:left w:val="single" w:color="auto" w:sz="4" w:space="0"/>
              <w:bottom w:val="single" w:color="auto" w:sz="4" w:space="0"/>
              <w:right w:val="single" w:color="auto" w:sz="4" w:space="0"/>
            </w:tcBorders>
            <w:vAlign w:val="center"/>
          </w:tcPr>
          <w:p w14:paraId="45573B3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1000≤Y＜100000</w:t>
            </w:r>
          </w:p>
        </w:tc>
        <w:tc>
          <w:tcPr>
            <w:tcW w:w="1692" w:type="dxa"/>
            <w:tcBorders>
              <w:top w:val="single" w:color="auto" w:sz="4" w:space="0"/>
              <w:left w:val="single" w:color="auto" w:sz="4" w:space="0"/>
              <w:bottom w:val="single" w:color="auto" w:sz="4" w:space="0"/>
              <w:right w:val="single" w:color="auto" w:sz="4" w:space="0"/>
            </w:tcBorders>
            <w:vAlign w:val="center"/>
          </w:tcPr>
          <w:p w14:paraId="519F7AE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100≤Y＜1000</w:t>
            </w:r>
          </w:p>
        </w:tc>
        <w:tc>
          <w:tcPr>
            <w:tcW w:w="1087" w:type="dxa"/>
            <w:tcBorders>
              <w:top w:val="single" w:color="auto" w:sz="4" w:space="0"/>
              <w:left w:val="single" w:color="auto" w:sz="4" w:space="0"/>
              <w:bottom w:val="single" w:color="auto" w:sz="4" w:space="0"/>
              <w:right w:val="single" w:color="auto" w:sz="4" w:space="0"/>
            </w:tcBorders>
            <w:vAlign w:val="center"/>
          </w:tcPr>
          <w:p w14:paraId="2EB6001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0C55188E">
        <w:tblPrEx>
          <w:tblCellMar>
            <w:top w:w="0" w:type="dxa"/>
            <w:left w:w="108" w:type="dxa"/>
            <w:bottom w:w="0" w:type="dxa"/>
            <w:right w:w="108" w:type="dxa"/>
          </w:tblCellMar>
        </w:tblPrEx>
        <w:trPr>
          <w:trHeight w:val="199" w:hRule="atLeast"/>
          <w:jc w:val="center"/>
        </w:trPr>
        <w:tc>
          <w:tcPr>
            <w:tcW w:w="1570" w:type="dxa"/>
            <w:vMerge w:val="restart"/>
            <w:tcBorders>
              <w:top w:val="single" w:color="auto" w:sz="4" w:space="0"/>
              <w:left w:val="single" w:color="auto" w:sz="4" w:space="0"/>
              <w:bottom w:val="single" w:color="auto" w:sz="4" w:space="0"/>
              <w:right w:val="single" w:color="auto" w:sz="4" w:space="0"/>
            </w:tcBorders>
            <w:vAlign w:val="center"/>
          </w:tcPr>
          <w:p w14:paraId="2CB1BE16">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软件和信息技术服务业</w:t>
            </w:r>
          </w:p>
        </w:tc>
        <w:tc>
          <w:tcPr>
            <w:tcW w:w="1660" w:type="dxa"/>
            <w:tcBorders>
              <w:top w:val="single" w:color="auto" w:sz="4" w:space="0"/>
              <w:left w:val="nil"/>
              <w:bottom w:val="single" w:color="auto" w:sz="4" w:space="0"/>
              <w:right w:val="single" w:color="auto" w:sz="4" w:space="0"/>
            </w:tcBorders>
            <w:vAlign w:val="center"/>
          </w:tcPr>
          <w:p w14:paraId="1EA4126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single" w:color="auto" w:sz="4" w:space="0"/>
              <w:left w:val="nil"/>
              <w:bottom w:val="single" w:color="auto" w:sz="4" w:space="0"/>
              <w:right w:val="single" w:color="auto" w:sz="4" w:space="0"/>
            </w:tcBorders>
            <w:vAlign w:val="center"/>
          </w:tcPr>
          <w:p w14:paraId="6C6DB89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single" w:color="auto" w:sz="4" w:space="0"/>
              <w:left w:val="nil"/>
              <w:bottom w:val="single" w:color="auto" w:sz="4" w:space="0"/>
              <w:right w:val="single" w:color="auto" w:sz="4" w:space="0"/>
            </w:tcBorders>
            <w:vAlign w:val="center"/>
          </w:tcPr>
          <w:p w14:paraId="7C2766F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single" w:color="auto" w:sz="4" w:space="0"/>
              <w:left w:val="nil"/>
              <w:bottom w:val="single" w:color="auto" w:sz="4" w:space="0"/>
              <w:right w:val="single" w:color="auto" w:sz="4" w:space="0"/>
            </w:tcBorders>
            <w:vAlign w:val="center"/>
          </w:tcPr>
          <w:p w14:paraId="6C5D2E9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single" w:color="auto" w:sz="4" w:space="0"/>
              <w:left w:val="nil"/>
              <w:bottom w:val="single" w:color="auto" w:sz="4" w:space="0"/>
              <w:right w:val="single" w:color="auto" w:sz="4" w:space="0"/>
            </w:tcBorders>
            <w:vAlign w:val="center"/>
          </w:tcPr>
          <w:p w14:paraId="6451499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09F40C5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5D41788E">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487D755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2DC03A7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174BC6A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1000≤Y＜10000</w:t>
            </w:r>
          </w:p>
        </w:tc>
        <w:tc>
          <w:tcPr>
            <w:tcW w:w="1692" w:type="dxa"/>
            <w:tcBorders>
              <w:top w:val="nil"/>
              <w:left w:val="nil"/>
              <w:bottom w:val="single" w:color="auto" w:sz="4" w:space="0"/>
              <w:right w:val="single" w:color="auto" w:sz="4" w:space="0"/>
            </w:tcBorders>
            <w:vAlign w:val="center"/>
          </w:tcPr>
          <w:p w14:paraId="3CE73E8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50≤Y＜1000</w:t>
            </w:r>
          </w:p>
        </w:tc>
        <w:tc>
          <w:tcPr>
            <w:tcW w:w="1087" w:type="dxa"/>
            <w:tcBorders>
              <w:top w:val="nil"/>
              <w:left w:val="nil"/>
              <w:bottom w:val="single" w:color="auto" w:sz="4" w:space="0"/>
              <w:right w:val="single" w:color="auto" w:sz="4" w:space="0"/>
            </w:tcBorders>
            <w:vAlign w:val="center"/>
          </w:tcPr>
          <w:p w14:paraId="3A3EDDB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Y＜50</w:t>
            </w:r>
          </w:p>
        </w:tc>
      </w:tr>
      <w:tr w14:paraId="39C66BD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16A72877">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房地产开发经营</w:t>
            </w:r>
          </w:p>
        </w:tc>
        <w:tc>
          <w:tcPr>
            <w:tcW w:w="1660" w:type="dxa"/>
            <w:tcBorders>
              <w:top w:val="nil"/>
              <w:left w:val="nil"/>
              <w:bottom w:val="single" w:color="auto" w:sz="4" w:space="0"/>
              <w:right w:val="single" w:color="auto" w:sz="4" w:space="0"/>
            </w:tcBorders>
            <w:vAlign w:val="center"/>
          </w:tcPr>
          <w:p w14:paraId="5BCFF67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4CD777F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4D1C4F2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1000≤Y＜200000</w:t>
            </w:r>
          </w:p>
        </w:tc>
        <w:tc>
          <w:tcPr>
            <w:tcW w:w="1692" w:type="dxa"/>
            <w:tcBorders>
              <w:top w:val="nil"/>
              <w:left w:val="nil"/>
              <w:bottom w:val="single" w:color="auto" w:sz="4" w:space="0"/>
              <w:right w:val="single" w:color="auto" w:sz="4" w:space="0"/>
            </w:tcBorders>
            <w:vAlign w:val="center"/>
          </w:tcPr>
          <w:p w14:paraId="196BB874">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100≤X＜1000</w:t>
            </w:r>
          </w:p>
        </w:tc>
        <w:tc>
          <w:tcPr>
            <w:tcW w:w="1087" w:type="dxa"/>
            <w:tcBorders>
              <w:top w:val="nil"/>
              <w:left w:val="nil"/>
              <w:bottom w:val="single" w:color="auto" w:sz="4" w:space="0"/>
              <w:right w:val="single" w:color="auto" w:sz="4" w:space="0"/>
            </w:tcBorders>
            <w:vAlign w:val="center"/>
          </w:tcPr>
          <w:p w14:paraId="684E3BF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X＜100</w:t>
            </w:r>
          </w:p>
        </w:tc>
      </w:tr>
      <w:tr w14:paraId="621E6AB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40AAA1ED">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2A40395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资产总额（Z）</w:t>
            </w:r>
          </w:p>
        </w:tc>
        <w:tc>
          <w:tcPr>
            <w:tcW w:w="1466" w:type="dxa"/>
            <w:tcBorders>
              <w:top w:val="nil"/>
              <w:left w:val="nil"/>
              <w:bottom w:val="single" w:color="auto" w:sz="4" w:space="0"/>
              <w:right w:val="single" w:color="auto" w:sz="4" w:space="0"/>
            </w:tcBorders>
            <w:vAlign w:val="center"/>
          </w:tcPr>
          <w:p w14:paraId="30DF66E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7B73465A">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5000≤Z＜10000</w:t>
            </w:r>
          </w:p>
        </w:tc>
        <w:tc>
          <w:tcPr>
            <w:tcW w:w="1692" w:type="dxa"/>
            <w:tcBorders>
              <w:top w:val="nil"/>
              <w:left w:val="nil"/>
              <w:bottom w:val="single" w:color="auto" w:sz="4" w:space="0"/>
              <w:right w:val="single" w:color="auto" w:sz="4" w:space="0"/>
            </w:tcBorders>
            <w:vAlign w:val="center"/>
          </w:tcPr>
          <w:p w14:paraId="4709692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2000≤Y＜5000</w:t>
            </w:r>
          </w:p>
        </w:tc>
        <w:tc>
          <w:tcPr>
            <w:tcW w:w="1087" w:type="dxa"/>
            <w:tcBorders>
              <w:top w:val="nil"/>
              <w:left w:val="nil"/>
              <w:bottom w:val="single" w:color="auto" w:sz="4" w:space="0"/>
              <w:right w:val="single" w:color="auto" w:sz="4" w:space="0"/>
            </w:tcBorders>
            <w:vAlign w:val="center"/>
          </w:tcPr>
          <w:p w14:paraId="1DBA8A7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Y＜2000</w:t>
            </w:r>
          </w:p>
        </w:tc>
      </w:tr>
      <w:tr w14:paraId="7418A5F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2F46E01B">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物业管理</w:t>
            </w:r>
          </w:p>
        </w:tc>
        <w:tc>
          <w:tcPr>
            <w:tcW w:w="1660" w:type="dxa"/>
            <w:tcBorders>
              <w:top w:val="nil"/>
              <w:left w:val="nil"/>
              <w:bottom w:val="single" w:color="auto" w:sz="4" w:space="0"/>
              <w:right w:val="single" w:color="auto" w:sz="4" w:space="0"/>
            </w:tcBorders>
            <w:vAlign w:val="center"/>
          </w:tcPr>
          <w:p w14:paraId="5E19C95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4C8E990E">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26313CCC">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300≤X＜1000</w:t>
            </w:r>
          </w:p>
        </w:tc>
        <w:tc>
          <w:tcPr>
            <w:tcW w:w="1692" w:type="dxa"/>
            <w:tcBorders>
              <w:top w:val="nil"/>
              <w:left w:val="nil"/>
              <w:bottom w:val="single" w:color="auto" w:sz="4" w:space="0"/>
              <w:right w:val="single" w:color="auto" w:sz="4" w:space="0"/>
            </w:tcBorders>
            <w:vAlign w:val="center"/>
          </w:tcPr>
          <w:p w14:paraId="3C4015C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087" w:type="dxa"/>
            <w:tcBorders>
              <w:top w:val="nil"/>
              <w:left w:val="nil"/>
              <w:bottom w:val="single" w:color="auto" w:sz="4" w:space="0"/>
              <w:right w:val="single" w:color="auto" w:sz="4" w:space="0"/>
            </w:tcBorders>
            <w:vAlign w:val="center"/>
          </w:tcPr>
          <w:p w14:paraId="313C4B17">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X＜100</w:t>
            </w:r>
          </w:p>
        </w:tc>
      </w:tr>
      <w:tr w14:paraId="2724A84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4341D54">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535D6F60">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营业收入（Y）</w:t>
            </w:r>
          </w:p>
        </w:tc>
        <w:tc>
          <w:tcPr>
            <w:tcW w:w="1466" w:type="dxa"/>
            <w:tcBorders>
              <w:top w:val="nil"/>
              <w:left w:val="nil"/>
              <w:bottom w:val="single" w:color="auto" w:sz="4" w:space="0"/>
              <w:right w:val="single" w:color="auto" w:sz="4" w:space="0"/>
            </w:tcBorders>
            <w:vAlign w:val="center"/>
          </w:tcPr>
          <w:p w14:paraId="6EFDEAC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3E5011E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1000≤Y＜5000</w:t>
            </w:r>
          </w:p>
        </w:tc>
        <w:tc>
          <w:tcPr>
            <w:tcW w:w="1692" w:type="dxa"/>
            <w:tcBorders>
              <w:top w:val="nil"/>
              <w:left w:val="nil"/>
              <w:bottom w:val="single" w:color="auto" w:sz="4" w:space="0"/>
              <w:right w:val="single" w:color="auto" w:sz="4" w:space="0"/>
            </w:tcBorders>
            <w:vAlign w:val="center"/>
          </w:tcPr>
          <w:p w14:paraId="475231E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500≤Y＜1000</w:t>
            </w:r>
          </w:p>
        </w:tc>
        <w:tc>
          <w:tcPr>
            <w:tcW w:w="1087" w:type="dxa"/>
            <w:tcBorders>
              <w:top w:val="nil"/>
              <w:left w:val="nil"/>
              <w:bottom w:val="single" w:color="auto" w:sz="4" w:space="0"/>
              <w:right w:val="single" w:color="auto" w:sz="4" w:space="0"/>
            </w:tcBorders>
            <w:vAlign w:val="center"/>
          </w:tcPr>
          <w:p w14:paraId="7C27BAC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Y＜500</w:t>
            </w:r>
          </w:p>
        </w:tc>
      </w:tr>
      <w:tr w14:paraId="4377F0E8">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vAlign w:val="center"/>
          </w:tcPr>
          <w:p w14:paraId="78B47381">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租赁和商务服务业</w:t>
            </w:r>
          </w:p>
        </w:tc>
        <w:tc>
          <w:tcPr>
            <w:tcW w:w="1660" w:type="dxa"/>
            <w:tcBorders>
              <w:top w:val="nil"/>
              <w:left w:val="nil"/>
              <w:bottom w:val="single" w:color="auto" w:sz="4" w:space="0"/>
              <w:right w:val="single" w:color="auto" w:sz="4" w:space="0"/>
            </w:tcBorders>
            <w:vAlign w:val="center"/>
          </w:tcPr>
          <w:p w14:paraId="612B6696">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64ACF03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6F622390">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nil"/>
              <w:left w:val="nil"/>
              <w:bottom w:val="single" w:color="auto" w:sz="4" w:space="0"/>
              <w:right w:val="single" w:color="auto" w:sz="4" w:space="0"/>
            </w:tcBorders>
            <w:vAlign w:val="center"/>
          </w:tcPr>
          <w:p w14:paraId="1229C48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nil"/>
              <w:left w:val="nil"/>
              <w:bottom w:val="single" w:color="auto" w:sz="4" w:space="0"/>
              <w:right w:val="single" w:color="auto" w:sz="4" w:space="0"/>
            </w:tcBorders>
            <w:vAlign w:val="center"/>
          </w:tcPr>
          <w:p w14:paraId="540778CD">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r w14:paraId="2DA9A90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vAlign w:val="center"/>
          </w:tcPr>
          <w:p w14:paraId="14E1BC08">
            <w:pPr>
              <w:widowControl/>
              <w:snapToGrid w:val="0"/>
              <w:spacing w:line="400" w:lineRule="exact"/>
              <w:contextualSpacing/>
              <w:jc w:val="center"/>
              <w:rPr>
                <w:rFonts w:ascii="微软雅黑" w:hAnsi="微软雅黑" w:eastAsia="微软雅黑" w:cs="微软雅黑"/>
                <w:b/>
                <w:bCs/>
                <w:kern w:val="0"/>
                <w:sz w:val="24"/>
                <w:highlight w:val="none"/>
              </w:rPr>
            </w:pPr>
          </w:p>
        </w:tc>
        <w:tc>
          <w:tcPr>
            <w:tcW w:w="1660" w:type="dxa"/>
            <w:tcBorders>
              <w:top w:val="nil"/>
              <w:left w:val="nil"/>
              <w:bottom w:val="single" w:color="auto" w:sz="4" w:space="0"/>
              <w:right w:val="single" w:color="auto" w:sz="4" w:space="0"/>
            </w:tcBorders>
            <w:vAlign w:val="center"/>
          </w:tcPr>
          <w:p w14:paraId="0779ADD2">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资产总额（Z）</w:t>
            </w:r>
          </w:p>
        </w:tc>
        <w:tc>
          <w:tcPr>
            <w:tcW w:w="1466" w:type="dxa"/>
            <w:tcBorders>
              <w:top w:val="nil"/>
              <w:left w:val="nil"/>
              <w:bottom w:val="single" w:color="auto" w:sz="4" w:space="0"/>
              <w:right w:val="single" w:color="auto" w:sz="4" w:space="0"/>
            </w:tcBorders>
            <w:vAlign w:val="center"/>
          </w:tcPr>
          <w:p w14:paraId="7BAD58B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万元</w:t>
            </w:r>
          </w:p>
        </w:tc>
        <w:tc>
          <w:tcPr>
            <w:tcW w:w="1903" w:type="dxa"/>
            <w:tcBorders>
              <w:top w:val="nil"/>
              <w:left w:val="nil"/>
              <w:bottom w:val="single" w:color="auto" w:sz="4" w:space="0"/>
              <w:right w:val="single" w:color="auto" w:sz="4" w:space="0"/>
            </w:tcBorders>
            <w:vAlign w:val="center"/>
          </w:tcPr>
          <w:p w14:paraId="5A7E90AB">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8000≤Z＜120000</w:t>
            </w:r>
          </w:p>
        </w:tc>
        <w:tc>
          <w:tcPr>
            <w:tcW w:w="1692" w:type="dxa"/>
            <w:tcBorders>
              <w:top w:val="nil"/>
              <w:left w:val="nil"/>
              <w:bottom w:val="single" w:color="auto" w:sz="4" w:space="0"/>
              <w:right w:val="single" w:color="auto" w:sz="4" w:space="0"/>
            </w:tcBorders>
            <w:vAlign w:val="center"/>
          </w:tcPr>
          <w:p w14:paraId="60B56F1C">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100≤Z＜8000</w:t>
            </w:r>
          </w:p>
        </w:tc>
        <w:tc>
          <w:tcPr>
            <w:tcW w:w="1087" w:type="dxa"/>
            <w:tcBorders>
              <w:top w:val="nil"/>
              <w:left w:val="nil"/>
              <w:bottom w:val="single" w:color="auto" w:sz="4" w:space="0"/>
              <w:right w:val="single" w:color="auto" w:sz="4" w:space="0"/>
            </w:tcBorders>
            <w:vAlign w:val="center"/>
          </w:tcPr>
          <w:p w14:paraId="4A3FDD65">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Y＜100</w:t>
            </w:r>
          </w:p>
        </w:tc>
      </w:tr>
      <w:tr w14:paraId="77DCE976">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vAlign w:val="center"/>
          </w:tcPr>
          <w:p w14:paraId="0285BE51">
            <w:pPr>
              <w:widowControl/>
              <w:snapToGrid w:val="0"/>
              <w:spacing w:line="400" w:lineRule="exact"/>
              <w:contextualSpacing/>
              <w:jc w:val="center"/>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其他未列明行业</w:t>
            </w:r>
          </w:p>
        </w:tc>
        <w:tc>
          <w:tcPr>
            <w:tcW w:w="1660" w:type="dxa"/>
            <w:tcBorders>
              <w:top w:val="nil"/>
              <w:left w:val="nil"/>
              <w:bottom w:val="single" w:color="auto" w:sz="4" w:space="0"/>
              <w:right w:val="single" w:color="auto" w:sz="4" w:space="0"/>
            </w:tcBorders>
            <w:vAlign w:val="center"/>
          </w:tcPr>
          <w:p w14:paraId="3F03E221">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从业人员（X）</w:t>
            </w:r>
          </w:p>
        </w:tc>
        <w:tc>
          <w:tcPr>
            <w:tcW w:w="1466" w:type="dxa"/>
            <w:tcBorders>
              <w:top w:val="nil"/>
              <w:left w:val="nil"/>
              <w:bottom w:val="single" w:color="auto" w:sz="4" w:space="0"/>
              <w:right w:val="single" w:color="auto" w:sz="4" w:space="0"/>
            </w:tcBorders>
            <w:vAlign w:val="center"/>
          </w:tcPr>
          <w:p w14:paraId="3798CAE9">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人</w:t>
            </w:r>
          </w:p>
        </w:tc>
        <w:tc>
          <w:tcPr>
            <w:tcW w:w="1903" w:type="dxa"/>
            <w:tcBorders>
              <w:top w:val="nil"/>
              <w:left w:val="nil"/>
              <w:bottom w:val="single" w:color="auto" w:sz="4" w:space="0"/>
              <w:right w:val="single" w:color="auto" w:sz="4" w:space="0"/>
            </w:tcBorders>
            <w:vAlign w:val="center"/>
          </w:tcPr>
          <w:p w14:paraId="17764EB3">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100≤X＜300</w:t>
            </w:r>
          </w:p>
        </w:tc>
        <w:tc>
          <w:tcPr>
            <w:tcW w:w="1692" w:type="dxa"/>
            <w:tcBorders>
              <w:top w:val="nil"/>
              <w:left w:val="nil"/>
              <w:bottom w:val="single" w:color="auto" w:sz="4" w:space="0"/>
              <w:right w:val="single" w:color="auto" w:sz="4" w:space="0"/>
            </w:tcBorders>
            <w:vAlign w:val="center"/>
          </w:tcPr>
          <w:p w14:paraId="0E6554B8">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10≤X＜100</w:t>
            </w:r>
          </w:p>
        </w:tc>
        <w:tc>
          <w:tcPr>
            <w:tcW w:w="1087" w:type="dxa"/>
            <w:tcBorders>
              <w:top w:val="nil"/>
              <w:left w:val="nil"/>
              <w:bottom w:val="single" w:color="auto" w:sz="4" w:space="0"/>
              <w:right w:val="single" w:color="auto" w:sz="4" w:space="0"/>
            </w:tcBorders>
            <w:vAlign w:val="center"/>
          </w:tcPr>
          <w:p w14:paraId="1B4C9F1F">
            <w:pPr>
              <w:widowControl/>
              <w:snapToGrid w:val="0"/>
              <w:spacing w:line="400" w:lineRule="exact"/>
              <w:contextualSpacing/>
              <w:jc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X＜10</w:t>
            </w:r>
          </w:p>
        </w:tc>
      </w:tr>
    </w:tbl>
    <w:p w14:paraId="3D5AB961">
      <w:pPr>
        <w:snapToGrid w:val="0"/>
        <w:spacing w:line="400" w:lineRule="exact"/>
        <w:contextualSpacing/>
        <w:jc w:val="left"/>
        <w:rPr>
          <w:rFonts w:ascii="微软雅黑" w:hAnsi="微软雅黑" w:eastAsia="微软雅黑" w:cs="微软雅黑"/>
          <w:sz w:val="24"/>
          <w:highlight w:val="none"/>
        </w:rPr>
      </w:pPr>
      <w:r>
        <w:rPr>
          <w:rFonts w:hint="eastAsia" w:ascii="微软雅黑" w:hAnsi="微软雅黑" w:eastAsia="微软雅黑" w:cs="微软雅黑"/>
          <w:b/>
          <w:sz w:val="24"/>
          <w:highlight w:val="none"/>
        </w:rPr>
        <w:t>说明：</w:t>
      </w:r>
      <w:r>
        <w:rPr>
          <w:rFonts w:hint="eastAsia" w:ascii="微软雅黑" w:hAnsi="微软雅黑" w:eastAsia="微软雅黑" w:cs="微软雅黑"/>
          <w:sz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187B9926">
      <w:pPr>
        <w:snapToGrid w:val="0"/>
        <w:spacing w:line="400" w:lineRule="exact"/>
        <w:ind w:firstLine="480" w:firstLineChars="200"/>
        <w:contextualSpacing/>
        <w:jc w:val="left"/>
        <w:textAlignment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本磋商文件所称中小企业，是指在中华人民共和国境内依法设立，依据国务院批准的</w:t>
      </w:r>
    </w:p>
    <w:p w14:paraId="50C0FA41">
      <w:pPr>
        <w:snapToGrid w:val="0"/>
        <w:spacing w:line="400" w:lineRule="exact"/>
        <w:ind w:firstLine="480" w:firstLineChars="200"/>
        <w:contextualSpacing/>
        <w:jc w:val="left"/>
        <w:textAlignment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4D8FFD28">
      <w:pPr>
        <w:snapToGrid w:val="0"/>
        <w:spacing w:line="400" w:lineRule="exact"/>
        <w:ind w:firstLine="480" w:firstLineChars="200"/>
        <w:contextualSpacing/>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（1）在货物采购项目中，货物由中小企业制造，即货物由中小企业生产且使用该中小企业商号或者注册商标，不对其中涉及的工程承建商和服务的承接商作出要求；</w:t>
      </w:r>
    </w:p>
    <w:p w14:paraId="43F3FB60">
      <w:pPr>
        <w:snapToGrid w:val="0"/>
        <w:spacing w:line="400" w:lineRule="exact"/>
        <w:ind w:firstLine="480" w:firstLineChars="200"/>
        <w:contextualSpacing/>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（2）在工程采购项目中，工程由中小企业承建，即工程施工单位为中小企业，不对其中涉及的货物的制造商和服务的承接商作出要求；</w:t>
      </w:r>
    </w:p>
    <w:p w14:paraId="2DAF9D2D">
      <w:pPr>
        <w:snapToGrid w:val="0"/>
        <w:spacing w:line="400" w:lineRule="exact"/>
        <w:ind w:firstLine="480" w:firstLineChars="200"/>
        <w:contextualSpacing/>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5BF71DE">
      <w:pPr>
        <w:snapToGrid w:val="0"/>
        <w:spacing w:line="400" w:lineRule="exact"/>
        <w:ind w:firstLine="480" w:firstLineChars="200"/>
        <w:contextualSpacing/>
        <w:jc w:val="left"/>
        <w:textAlignment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E6F4492">
      <w:pPr>
        <w:snapToGrid w:val="0"/>
        <w:spacing w:line="400" w:lineRule="exact"/>
        <w:ind w:firstLine="480" w:firstLineChars="200"/>
        <w:contextualSpacing/>
        <w:jc w:val="left"/>
        <w:textAlignment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依据本磋商文件规定享受扶持政策获得政府采购合同的，小微企业不得将合同分包给大中型企业，中型企业不得将合同分包给大型企业。</w:t>
      </w:r>
    </w:p>
    <w:p w14:paraId="44DBFAC6">
      <w:pPr>
        <w:rPr>
          <w:rFonts w:ascii="微软雅黑" w:hAnsi="微软雅黑" w:eastAsia="微软雅黑" w:cs="微软雅黑"/>
          <w:sz w:val="22"/>
          <w:szCs w:val="22"/>
          <w:highlight w:val="none"/>
        </w:rPr>
      </w:pPr>
    </w:p>
    <w:p w14:paraId="47B0C64F">
      <w:pPr>
        <w:rPr>
          <w:rFonts w:ascii="微软雅黑" w:hAnsi="微软雅黑" w:eastAsia="微软雅黑" w:cs="微软雅黑"/>
          <w:b/>
          <w:bCs/>
          <w:sz w:val="22"/>
          <w:szCs w:val="22"/>
          <w:highlight w:val="none"/>
        </w:rPr>
      </w:pPr>
      <w:bookmarkStart w:id="822" w:name="_Toc5609"/>
      <w:bookmarkStart w:id="823" w:name="_Toc7018"/>
      <w:bookmarkStart w:id="824" w:name="_Toc26643"/>
      <w:bookmarkStart w:id="825" w:name="_Toc18860"/>
      <w:bookmarkStart w:id="826" w:name="_Toc12060"/>
      <w:bookmarkStart w:id="827" w:name="_Toc2709"/>
      <w:bookmarkStart w:id="828" w:name="_Toc752"/>
      <w:bookmarkStart w:id="829" w:name="_Toc11803"/>
      <w:bookmarkStart w:id="830" w:name="_Toc515647824"/>
      <w:bookmarkStart w:id="831" w:name="_Toc12692"/>
      <w:bookmarkStart w:id="832" w:name="_Toc10977"/>
      <w:bookmarkStart w:id="833" w:name="_Toc4543"/>
      <w:bookmarkStart w:id="834" w:name="_Toc28055"/>
      <w:bookmarkStart w:id="835" w:name="_Toc29115"/>
      <w:bookmarkStart w:id="836" w:name="_Toc22307"/>
      <w:r>
        <w:rPr>
          <w:rFonts w:hint="eastAsia" w:ascii="微软雅黑" w:hAnsi="微软雅黑" w:eastAsia="微软雅黑" w:cs="微软雅黑"/>
          <w:b/>
          <w:bCs/>
          <w:sz w:val="22"/>
          <w:szCs w:val="22"/>
          <w:highlight w:val="none"/>
        </w:rPr>
        <w:br w:type="page"/>
      </w:r>
    </w:p>
    <w:p w14:paraId="63C35F81">
      <w:pPr>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 xml:space="preserve">3-2  </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Start w:id="837" w:name="_Toc32586"/>
      <w:bookmarkStart w:id="838" w:name="_Toc2621"/>
      <w:bookmarkStart w:id="839" w:name="_Toc515647825"/>
      <w:bookmarkStart w:id="840" w:name="_Toc732"/>
      <w:bookmarkStart w:id="841" w:name="_Toc3420"/>
      <w:bookmarkStart w:id="842" w:name="_Toc13947"/>
      <w:bookmarkStart w:id="843" w:name="_Toc15294"/>
      <w:bookmarkStart w:id="844" w:name="_Toc23068"/>
      <w:bookmarkStart w:id="845" w:name="_Toc30849"/>
      <w:bookmarkStart w:id="846" w:name="_Toc24860"/>
      <w:bookmarkStart w:id="847" w:name="_Toc19284"/>
      <w:bookmarkStart w:id="848" w:name="_Toc14454"/>
      <w:bookmarkStart w:id="849" w:name="_Toc4244"/>
      <w:bookmarkStart w:id="850" w:name="_Toc26931"/>
      <w:bookmarkStart w:id="851" w:name="OLE_LINK13"/>
      <w:bookmarkStart w:id="852" w:name="OLE_LINK14"/>
      <w:r>
        <w:rPr>
          <w:rFonts w:hint="eastAsia" w:ascii="微软雅黑" w:hAnsi="微软雅黑" w:eastAsia="微软雅黑" w:cs="微软雅黑"/>
          <w:b/>
          <w:bCs/>
          <w:sz w:val="24"/>
          <w:highlight w:val="none"/>
        </w:rPr>
        <w:t>残疾人福利性单位声明函</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bookmarkEnd w:id="851"/>
    <w:bookmarkEnd w:id="852"/>
    <w:p w14:paraId="142A46E9">
      <w:pPr>
        <w:spacing w:line="240" w:lineRule="atLeast"/>
        <w:ind w:left="1080" w:leftChars="257" w:hanging="540"/>
        <w:jc w:val="center"/>
        <w:rPr>
          <w:rFonts w:ascii="微软雅黑" w:hAnsi="微软雅黑" w:eastAsia="微软雅黑" w:cs="微软雅黑"/>
          <w:sz w:val="24"/>
          <w:highlight w:val="none"/>
        </w:rPr>
      </w:pPr>
    </w:p>
    <w:p w14:paraId="6D500C13">
      <w:pPr>
        <w:spacing w:line="240" w:lineRule="atLeast"/>
        <w:ind w:firstLine="567"/>
        <w:rPr>
          <w:rFonts w:ascii="微软雅黑" w:hAnsi="微软雅黑" w:eastAsia="微软雅黑" w:cs="微软雅黑"/>
          <w:sz w:val="24"/>
          <w:highlight w:val="none"/>
        </w:rPr>
      </w:pPr>
      <w:r>
        <w:rPr>
          <w:rFonts w:hint="eastAsia" w:ascii="微软雅黑" w:hAnsi="微软雅黑" w:eastAsia="微软雅黑" w:cs="微软雅黑"/>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服务，或者提供其他残疾人福利性单位制造的服务（不包括使用非残疾人福利性单位注册商标的服务）。</w:t>
      </w:r>
    </w:p>
    <w:p w14:paraId="14AEA3E5">
      <w:pPr>
        <w:spacing w:line="240" w:lineRule="atLeast"/>
        <w:ind w:left="1080" w:leftChars="257" w:hanging="540"/>
        <w:rPr>
          <w:rFonts w:ascii="微软雅黑" w:hAnsi="微软雅黑" w:eastAsia="微软雅黑" w:cs="微软雅黑"/>
          <w:sz w:val="24"/>
          <w:highlight w:val="none"/>
        </w:rPr>
      </w:pPr>
      <w:r>
        <w:rPr>
          <w:rFonts w:hint="eastAsia" w:ascii="微软雅黑" w:hAnsi="微软雅黑" w:eastAsia="微软雅黑" w:cs="微软雅黑"/>
          <w:sz w:val="24"/>
          <w:highlight w:val="none"/>
        </w:rPr>
        <w:t>本单位对上述声明的真实性负责。如有虚假，将依法承担相应责任。</w:t>
      </w:r>
    </w:p>
    <w:p w14:paraId="341E1BB7">
      <w:pPr>
        <w:spacing w:line="240" w:lineRule="atLeast"/>
        <w:ind w:left="1080" w:leftChars="257" w:hanging="540"/>
        <w:jc w:val="center"/>
        <w:rPr>
          <w:rFonts w:ascii="微软雅黑" w:hAnsi="微软雅黑" w:eastAsia="微软雅黑" w:cs="微软雅黑"/>
          <w:sz w:val="24"/>
          <w:highlight w:val="none"/>
        </w:rPr>
      </w:pPr>
    </w:p>
    <w:p w14:paraId="34A69D8F">
      <w:pPr>
        <w:spacing w:line="240" w:lineRule="atLeast"/>
        <w:ind w:left="1080" w:leftChars="257" w:hanging="540"/>
        <w:jc w:val="center"/>
        <w:rPr>
          <w:rFonts w:ascii="微软雅黑" w:hAnsi="微软雅黑" w:eastAsia="微软雅黑" w:cs="微软雅黑"/>
          <w:sz w:val="24"/>
          <w:highlight w:val="none"/>
        </w:rPr>
      </w:pPr>
    </w:p>
    <w:p w14:paraId="1F9E4F9C">
      <w:pPr>
        <w:spacing w:line="240" w:lineRule="atLeast"/>
        <w:ind w:left="1080" w:leftChars="257" w:hanging="540"/>
        <w:jc w:val="center"/>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 xml:space="preserve">              残疾人福利性单位名称（公章）：</w:t>
      </w:r>
      <w:r>
        <w:rPr>
          <w:rFonts w:hint="eastAsia" w:ascii="微软雅黑" w:hAnsi="微软雅黑" w:eastAsia="微软雅黑" w:cs="微软雅黑"/>
          <w:sz w:val="24"/>
          <w:highlight w:val="none"/>
          <w:u w:val="single"/>
        </w:rPr>
        <w:t xml:space="preserve">               </w:t>
      </w:r>
    </w:p>
    <w:p w14:paraId="2C2B976D">
      <w:pPr>
        <w:spacing w:line="240" w:lineRule="atLeast"/>
        <w:ind w:left="1080" w:leftChars="257" w:hanging="540"/>
        <w:jc w:val="center"/>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 xml:space="preserve">         日  期：</w:t>
      </w:r>
      <w:r>
        <w:rPr>
          <w:rFonts w:hint="eastAsia" w:ascii="微软雅黑" w:hAnsi="微软雅黑" w:eastAsia="微软雅黑" w:cs="微软雅黑"/>
          <w:sz w:val="24"/>
          <w:highlight w:val="none"/>
          <w:u w:val="single"/>
        </w:rPr>
        <w:t xml:space="preserve">                </w:t>
      </w:r>
    </w:p>
    <w:p w14:paraId="0E730EFC">
      <w:pPr>
        <w:spacing w:line="240" w:lineRule="atLeast"/>
        <w:ind w:left="1080" w:leftChars="257" w:hanging="540"/>
        <w:jc w:val="center"/>
        <w:rPr>
          <w:rFonts w:ascii="微软雅黑" w:hAnsi="微软雅黑" w:eastAsia="微软雅黑" w:cs="微软雅黑"/>
          <w:highlight w:val="none"/>
        </w:rPr>
      </w:pPr>
    </w:p>
    <w:p w14:paraId="02A8B4E3">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853" w:name="_Toc2304"/>
      <w:bookmarkStart w:id="854" w:name="_Toc12447"/>
      <w:bookmarkStart w:id="855" w:name="_Toc30946"/>
      <w:bookmarkStart w:id="856" w:name="_Toc28099"/>
      <w:bookmarkStart w:id="857" w:name="_Toc22378"/>
      <w:bookmarkStart w:id="858" w:name="_Toc19223"/>
      <w:bookmarkStart w:id="859" w:name="_Toc28179"/>
      <w:bookmarkStart w:id="860" w:name="_Toc6004"/>
      <w:bookmarkStart w:id="861" w:name="_Toc22561"/>
      <w:bookmarkStart w:id="862" w:name="_Toc26133"/>
      <w:bookmarkStart w:id="863" w:name="_Toc11868"/>
      <w:bookmarkStart w:id="864" w:name="_Toc5527"/>
      <w:bookmarkStart w:id="865" w:name="_Toc515647827"/>
      <w:bookmarkStart w:id="866" w:name="_Toc5813"/>
      <w:bookmarkStart w:id="867" w:name="_Toc17792"/>
      <w:bookmarkStart w:id="868" w:name="_Toc5306"/>
      <w:bookmarkStart w:id="869" w:name="_Toc30795"/>
      <w:bookmarkStart w:id="870" w:name="_Toc1296"/>
      <w:bookmarkStart w:id="871" w:name="_Toc16442"/>
      <w:bookmarkStart w:id="872" w:name="_Toc5568"/>
      <w:bookmarkStart w:id="873" w:name="_Toc6009"/>
      <w:bookmarkStart w:id="874" w:name="_Toc11734"/>
      <w:r>
        <w:rPr>
          <w:rFonts w:hint="eastAsia" w:ascii="微软雅黑" w:hAnsi="微软雅黑" w:eastAsia="微软雅黑" w:cs="微软雅黑"/>
          <w:b/>
          <w:bCs/>
          <w:color w:val="auto"/>
          <w:sz w:val="24"/>
          <w:szCs w:val="24"/>
          <w:highlight w:val="none"/>
          <w:u w:val="none"/>
          <w:lang w:val="en-US" w:eastAsia="zh-CN"/>
        </w:rPr>
        <w:t>7.供应商关联单位的说明</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7D57F6B5">
      <w:pPr>
        <w:pStyle w:val="8"/>
        <w:jc w:val="center"/>
        <w:rPr>
          <w:rFonts w:ascii="微软雅黑" w:hAnsi="微软雅黑" w:eastAsia="微软雅黑" w:cs="微软雅黑"/>
          <w:kern w:val="2"/>
          <w:highlight w:val="none"/>
        </w:rPr>
      </w:pPr>
    </w:p>
    <w:p w14:paraId="425EB136">
      <w:pPr>
        <w:pStyle w:val="8"/>
        <w:ind w:firstLine="480" w:firstLineChars="200"/>
        <w:rPr>
          <w:rFonts w:ascii="微软雅黑" w:hAnsi="微软雅黑" w:eastAsia="微软雅黑" w:cs="微软雅黑"/>
          <w:kern w:val="2"/>
          <w:highlight w:val="none"/>
        </w:rPr>
      </w:pPr>
      <w:r>
        <w:rPr>
          <w:rFonts w:hint="eastAsia" w:ascii="微软雅黑" w:hAnsi="微软雅黑" w:eastAsia="微软雅黑" w:cs="微软雅黑"/>
          <w:kern w:val="2"/>
          <w:highlight w:val="none"/>
        </w:rPr>
        <w:t>说明：供应商应当如实披露与本单位存在下列关联关系的单位名称：</w:t>
      </w:r>
    </w:p>
    <w:p w14:paraId="027CB968">
      <w:pPr>
        <w:pStyle w:val="8"/>
        <w:ind w:firstLine="960" w:firstLineChars="400"/>
        <w:rPr>
          <w:rFonts w:ascii="微软雅黑" w:hAnsi="微软雅黑" w:eastAsia="微软雅黑" w:cs="微软雅黑"/>
          <w:kern w:val="2"/>
          <w:highlight w:val="none"/>
        </w:rPr>
      </w:pPr>
      <w:r>
        <w:rPr>
          <w:rFonts w:hint="eastAsia" w:ascii="微软雅黑" w:hAnsi="微软雅黑" w:eastAsia="微软雅黑" w:cs="微软雅黑"/>
          <w:kern w:val="2"/>
          <w:highlight w:val="none"/>
        </w:rPr>
        <w:t>（1）与供应商单位负责人为同一人的其他单位；</w:t>
      </w:r>
    </w:p>
    <w:p w14:paraId="4899655F">
      <w:pPr>
        <w:pStyle w:val="8"/>
        <w:ind w:firstLine="480" w:firstLineChars="200"/>
        <w:rPr>
          <w:rFonts w:ascii="微软雅黑" w:hAnsi="微软雅黑" w:eastAsia="微软雅黑" w:cs="微软雅黑"/>
          <w:kern w:val="2"/>
          <w:highlight w:val="none"/>
        </w:rPr>
      </w:pPr>
      <w:r>
        <w:rPr>
          <w:rFonts w:hint="eastAsia" w:ascii="微软雅黑" w:hAnsi="微软雅黑" w:eastAsia="微软雅黑" w:cs="微软雅黑"/>
          <w:kern w:val="2"/>
          <w:highlight w:val="none"/>
        </w:rPr>
        <w:t xml:space="preserve">    （2）与供应商存在直接控股、管理关系的其他单位。</w:t>
      </w:r>
    </w:p>
    <w:p w14:paraId="0D931212">
      <w:pPr>
        <w:pStyle w:val="8"/>
        <w:ind w:firstLineChars="200"/>
        <w:rPr>
          <w:rFonts w:ascii="微软雅黑" w:hAnsi="微软雅黑" w:eastAsia="微软雅黑" w:cs="微软雅黑"/>
          <w:kern w:val="2"/>
          <w:sz w:val="21"/>
          <w:szCs w:val="21"/>
          <w:highlight w:val="none"/>
        </w:rPr>
      </w:pPr>
    </w:p>
    <w:p w14:paraId="656B43B7">
      <w:pPr>
        <w:pStyle w:val="9"/>
        <w:rPr>
          <w:rFonts w:ascii="微软雅黑" w:hAnsi="微软雅黑" w:eastAsia="微软雅黑" w:cs="微软雅黑"/>
          <w:szCs w:val="21"/>
          <w:highlight w:val="none"/>
        </w:rPr>
      </w:pPr>
    </w:p>
    <w:p w14:paraId="7DA32D7D">
      <w:pPr>
        <w:rPr>
          <w:rFonts w:ascii="微软雅黑" w:hAnsi="微软雅黑" w:eastAsia="微软雅黑" w:cs="微软雅黑"/>
          <w:highlight w:val="none"/>
        </w:rPr>
      </w:pPr>
      <w:r>
        <w:rPr>
          <w:rFonts w:hint="eastAsia" w:ascii="微软雅黑" w:hAnsi="微软雅黑" w:eastAsia="微软雅黑" w:cs="微软雅黑"/>
          <w:highlight w:val="none"/>
        </w:rPr>
        <w:br w:type="page"/>
      </w:r>
    </w:p>
    <w:p w14:paraId="7D953F32">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875" w:name="_Toc22375"/>
      <w:r>
        <w:rPr>
          <w:rFonts w:hint="eastAsia" w:ascii="微软雅黑" w:hAnsi="微软雅黑" w:eastAsia="微软雅黑" w:cs="微软雅黑"/>
          <w:b/>
          <w:bCs/>
          <w:color w:val="auto"/>
          <w:sz w:val="24"/>
          <w:szCs w:val="24"/>
          <w:highlight w:val="none"/>
          <w:u w:val="none"/>
          <w:lang w:val="en-US" w:eastAsia="zh-CN"/>
        </w:rPr>
        <w:t>8.企业承诺函</w:t>
      </w:r>
      <w:bookmarkEnd w:id="875"/>
    </w:p>
    <w:p w14:paraId="418E0B66">
      <w:pPr>
        <w:jc w:val="lef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致：</w:t>
      </w:r>
      <w:r>
        <w:rPr>
          <w:rFonts w:hint="eastAsia" w:ascii="微软雅黑" w:hAnsi="微软雅黑" w:eastAsia="微软雅黑" w:cs="微软雅黑"/>
          <w:b/>
          <w:sz w:val="24"/>
          <w:highlight w:val="none"/>
          <w:u w:val="single"/>
        </w:rPr>
        <w:t>采购单位</w:t>
      </w:r>
    </w:p>
    <w:p w14:paraId="1BF96BF7">
      <w:pPr>
        <w:pStyle w:val="3"/>
        <w:spacing w:before="0" w:line="400" w:lineRule="exact"/>
        <w:rPr>
          <w:rFonts w:ascii="微软雅黑" w:hAnsi="微软雅黑" w:eastAsia="微软雅黑" w:cs="微软雅黑"/>
          <w:highlight w:val="none"/>
        </w:rPr>
      </w:pPr>
      <w:r>
        <w:rPr>
          <w:rFonts w:hint="eastAsia" w:ascii="微软雅黑" w:hAnsi="微软雅黑" w:eastAsia="微软雅黑" w:cs="微软雅黑"/>
          <w:highlight w:val="none"/>
        </w:rPr>
        <w:t>我单位参与本项目竞争性磋商，现郑重承诺如下：</w:t>
      </w:r>
    </w:p>
    <w:p w14:paraId="07BA70BB">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一、我单位对正常运行及经营的合法性、真实性及有效性负完全责任，并随时无条件配合采购人对我单位营业执照有效性进一步核查。</w:t>
      </w:r>
    </w:p>
    <w:p w14:paraId="1B7B52F4">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二、若我单位成交，将严格按照国家及省市行业主管部门规定在项目所在地办理施工许可（如需），并在项目所在地交纳相关税费。</w:t>
      </w:r>
    </w:p>
    <w:p w14:paraId="21798CC8">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三、我单位近三年内，未发生重大质量事故和重大安全事故；</w:t>
      </w:r>
    </w:p>
    <w:p w14:paraId="6225C9AC">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四、我单位在本项目磋商有效期内，在本项目所在区域未存在因质量事故、安全事故等被限期承包工程或市场不良行为等被限制磋商资格行为，且处于处罚期内的情况；</w:t>
      </w:r>
    </w:p>
    <w:p w14:paraId="155EDC4D">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 xml:space="preserve">五、我单位近一年内，未发生因拖欠农民工工资被行业管理部门处罚情况； </w:t>
      </w:r>
    </w:p>
    <w:p w14:paraId="6D47F6E2">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六、我单位近一年内，在项目所在地未出现被相关行业主管部门限制磋商资格情况。</w:t>
      </w:r>
    </w:p>
    <w:p w14:paraId="233C036E">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七、我单位近一年内，未受到在市场行为、施工质量、安全等方面被市级及以上行业管理部门处罚的情况。</w:t>
      </w:r>
    </w:p>
    <w:p w14:paraId="719F5036">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八、本项目授权委托人为我单位人员，不存在挂靠行为，否则承担相应法律责任，并随时无条件配合监管部门调查取证。</w:t>
      </w:r>
    </w:p>
    <w:p w14:paraId="0B3998E5">
      <w:pPr>
        <w:pStyle w:val="3"/>
        <w:spacing w:before="0" w:line="400" w:lineRule="exact"/>
        <w:ind w:firstLine="436" w:firstLineChars="200"/>
        <w:rPr>
          <w:rFonts w:hint="eastAsia" w:ascii="微软雅黑" w:hAnsi="微软雅黑" w:eastAsia="微软雅黑" w:cs="微软雅黑"/>
          <w:spacing w:val="-11"/>
          <w:highlight w:val="none"/>
        </w:rPr>
      </w:pPr>
      <w:r>
        <w:rPr>
          <w:rFonts w:hint="eastAsia" w:ascii="微软雅黑" w:hAnsi="微软雅黑" w:eastAsia="微软雅黑" w:cs="微软雅黑"/>
          <w:spacing w:val="-11"/>
          <w:highlight w:val="none"/>
        </w:rPr>
        <w:t>九、我单位一旦成交，将在磋商文件规定时间内缴纳相关费用、领取成交通知书，并与采购人联系并签订合同，组织进场施工事宜，否则贵单位有权取消我单位成交资格。</w:t>
      </w:r>
    </w:p>
    <w:p w14:paraId="107EDD6A">
      <w:pPr>
        <w:pStyle w:val="14"/>
        <w:rPr>
          <w:rFonts w:ascii="微软雅黑" w:hAnsi="微软雅黑" w:eastAsia="微软雅黑" w:cs="微软雅黑"/>
          <w:highlight w:val="none"/>
        </w:rPr>
      </w:pPr>
    </w:p>
    <w:p w14:paraId="08474D6A">
      <w:pPr>
        <w:pStyle w:val="3"/>
        <w:tabs>
          <w:tab w:val="left" w:pos="5539"/>
          <w:tab w:val="left" w:pos="7639"/>
          <w:tab w:val="left" w:pos="8865"/>
          <w:tab w:val="clear" w:pos="567"/>
        </w:tabs>
        <w:spacing w:before="0" w:line="400" w:lineRule="exact"/>
        <w:ind w:firstLine="1200"/>
        <w:jc w:val="right"/>
        <w:rPr>
          <w:rFonts w:ascii="微软雅黑" w:hAnsi="微软雅黑" w:eastAsia="微软雅黑" w:cs="微软雅黑"/>
          <w:highlight w:val="none"/>
          <w:u w:val="single"/>
        </w:rPr>
      </w:pPr>
      <w:r>
        <w:rPr>
          <w:rFonts w:hint="eastAsia" w:ascii="微软雅黑" w:hAnsi="微软雅黑" w:eastAsia="微软雅黑" w:cs="微软雅黑"/>
          <w:highlight w:val="none"/>
        </w:rPr>
        <w:t>供应商名称（公章）：</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u w:val="single"/>
        </w:rPr>
        <w:tab/>
      </w:r>
    </w:p>
    <w:p w14:paraId="13F3F4D8">
      <w:pPr>
        <w:pStyle w:val="3"/>
        <w:tabs>
          <w:tab w:val="left" w:pos="5539"/>
          <w:tab w:val="left" w:pos="7639"/>
          <w:tab w:val="left" w:pos="8865"/>
          <w:tab w:val="clear" w:pos="567"/>
        </w:tabs>
        <w:spacing w:before="0" w:line="400" w:lineRule="exact"/>
        <w:ind w:firstLine="1200"/>
        <w:jc w:val="center"/>
        <w:rPr>
          <w:rFonts w:ascii="微软雅黑" w:hAnsi="微软雅黑" w:eastAsia="微软雅黑" w:cs="微软雅黑"/>
          <w:spacing w:val="26"/>
          <w:highlight w:val="none"/>
          <w:u w:val="single"/>
        </w:rPr>
      </w:pPr>
      <w:r>
        <w:rPr>
          <w:rFonts w:hint="eastAsia" w:ascii="微软雅黑" w:hAnsi="微软雅黑" w:eastAsia="微软雅黑" w:cs="微软雅黑"/>
          <w:highlight w:val="none"/>
        </w:rPr>
        <w:t xml:space="preserve">                法定代表人</w:t>
      </w:r>
      <w:r>
        <w:rPr>
          <w:rFonts w:hint="eastAsia" w:ascii="微软雅黑" w:hAnsi="微软雅黑" w:eastAsia="微软雅黑" w:cs="微软雅黑"/>
          <w:sz w:val="24"/>
          <w:szCs w:val="24"/>
          <w:highlight w:val="none"/>
        </w:rPr>
        <w:t>（签/章）</w:t>
      </w:r>
      <w:r>
        <w:rPr>
          <w:rFonts w:hint="eastAsia" w:ascii="微软雅黑" w:hAnsi="微软雅黑" w:eastAsia="微软雅黑" w:cs="微软雅黑"/>
          <w:highlight w:val="none"/>
        </w:rPr>
        <w:t>：</w:t>
      </w:r>
      <w:r>
        <w:rPr>
          <w:rFonts w:hint="eastAsia" w:ascii="微软雅黑" w:hAnsi="微软雅黑" w:eastAsia="微软雅黑" w:cs="微软雅黑"/>
          <w:spacing w:val="26"/>
          <w:highlight w:val="none"/>
          <w:u w:val="single"/>
        </w:rPr>
        <w:t xml:space="preserve">            </w:t>
      </w:r>
    </w:p>
    <w:p w14:paraId="4D527169">
      <w:pPr>
        <w:pStyle w:val="3"/>
        <w:tabs>
          <w:tab w:val="left" w:pos="5539"/>
          <w:tab w:val="left" w:pos="7639"/>
          <w:tab w:val="left" w:pos="8865"/>
          <w:tab w:val="clear" w:pos="567"/>
        </w:tabs>
        <w:spacing w:before="0" w:line="400" w:lineRule="exact"/>
        <w:ind w:firstLine="1200"/>
        <w:jc w:val="right"/>
        <w:rPr>
          <w:rFonts w:ascii="微软雅黑" w:hAnsi="微软雅黑" w:eastAsia="微软雅黑" w:cs="微软雅黑"/>
          <w:highlight w:val="none"/>
        </w:rPr>
      </w:pPr>
      <w:r>
        <w:rPr>
          <w:rFonts w:hint="eastAsia" w:ascii="微软雅黑" w:hAnsi="微软雅黑" w:eastAsia="微软雅黑" w:cs="微软雅黑"/>
          <w:spacing w:val="26"/>
          <w:highlight w:val="none"/>
        </w:rPr>
        <w:t xml:space="preserve">         </w:t>
      </w:r>
      <w:r>
        <w:rPr>
          <w:rFonts w:hint="eastAsia" w:ascii="微软雅黑" w:hAnsi="微软雅黑" w:eastAsia="微软雅黑" w:cs="微软雅黑"/>
          <w:highlight w:val="none"/>
        </w:rPr>
        <w:t>日 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u w:val="single"/>
        </w:rPr>
        <w:tab/>
      </w:r>
    </w:p>
    <w:p w14:paraId="44304FB2">
      <w:pPr>
        <w:spacing w:line="240" w:lineRule="atLeast"/>
        <w:jc w:val="left"/>
        <w:rPr>
          <w:rFonts w:ascii="微软雅黑" w:hAnsi="微软雅黑" w:eastAsia="微软雅黑" w:cs="微软雅黑"/>
          <w:highlight w:val="none"/>
        </w:rPr>
      </w:pPr>
    </w:p>
    <w:p w14:paraId="198BEF68">
      <w:pPr>
        <w:pStyle w:val="8"/>
        <w:rPr>
          <w:rFonts w:ascii="微软雅黑" w:hAnsi="微软雅黑" w:eastAsia="微软雅黑" w:cs="微软雅黑"/>
          <w:highlight w:val="none"/>
        </w:rPr>
      </w:pPr>
    </w:p>
    <w:p w14:paraId="1A38BDC5">
      <w:pPr>
        <w:pStyle w:val="33"/>
        <w:rPr>
          <w:rFonts w:ascii="微软雅黑" w:hAnsi="微软雅黑" w:eastAsia="微软雅黑" w:cs="微软雅黑"/>
          <w:color w:val="auto"/>
          <w:highlight w:val="none"/>
        </w:rPr>
      </w:pPr>
    </w:p>
    <w:p w14:paraId="30244DF4">
      <w:pPr>
        <w:pStyle w:val="33"/>
        <w:rPr>
          <w:rFonts w:ascii="微软雅黑" w:hAnsi="微软雅黑" w:eastAsia="微软雅黑" w:cs="微软雅黑"/>
          <w:color w:val="auto"/>
          <w:highlight w:val="none"/>
        </w:rPr>
      </w:pPr>
    </w:p>
    <w:p w14:paraId="238F2432">
      <w:pPr>
        <w:rPr>
          <w:rFonts w:ascii="微软雅黑" w:hAnsi="微软雅黑" w:eastAsia="微软雅黑" w:cs="微软雅黑"/>
          <w:b/>
          <w:kern w:val="0"/>
          <w:highlight w:val="none"/>
        </w:rPr>
      </w:pPr>
      <w:r>
        <w:rPr>
          <w:rFonts w:hint="eastAsia" w:ascii="微软雅黑" w:hAnsi="微软雅黑" w:eastAsia="微软雅黑" w:cs="微软雅黑"/>
          <w:b/>
          <w:kern w:val="0"/>
          <w:highlight w:val="none"/>
        </w:rPr>
        <w:br w:type="page"/>
      </w:r>
    </w:p>
    <w:p w14:paraId="7739DA33">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bCs/>
          <w:color w:val="auto"/>
          <w:sz w:val="24"/>
          <w:szCs w:val="24"/>
          <w:highlight w:val="none"/>
          <w:u w:val="none"/>
          <w:lang w:val="en-US" w:eastAsia="zh-CN"/>
        </w:rPr>
      </w:pPr>
      <w:bookmarkStart w:id="876" w:name="_Toc17138"/>
      <w:r>
        <w:rPr>
          <w:rFonts w:hint="eastAsia" w:ascii="微软雅黑" w:hAnsi="微软雅黑" w:eastAsia="微软雅黑" w:cs="微软雅黑"/>
          <w:b/>
          <w:bCs/>
          <w:color w:val="auto"/>
          <w:sz w:val="24"/>
          <w:szCs w:val="24"/>
          <w:highlight w:val="none"/>
          <w:u w:val="none"/>
          <w:lang w:val="en-US" w:eastAsia="zh-CN"/>
        </w:rPr>
        <w:t>9.供应商基本情况表</w:t>
      </w:r>
      <w:bookmarkEnd w:id="876"/>
    </w:p>
    <w:tbl>
      <w:tblPr>
        <w:tblStyle w:val="27"/>
        <w:tblW w:w="8799" w:type="dxa"/>
        <w:tblInd w:w="-2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9"/>
        <w:gridCol w:w="1320"/>
        <w:gridCol w:w="1453"/>
        <w:gridCol w:w="906"/>
        <w:gridCol w:w="1283"/>
        <w:gridCol w:w="943"/>
        <w:gridCol w:w="1325"/>
      </w:tblGrid>
      <w:tr w14:paraId="0DD92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1569" w:type="dxa"/>
            <w:vAlign w:val="center"/>
          </w:tcPr>
          <w:p w14:paraId="37819E21">
            <w:pPr>
              <w:pStyle w:val="50"/>
              <w:spacing w:before="152"/>
              <w:ind w:left="130" w:right="125"/>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供应商名称</w:t>
            </w:r>
          </w:p>
        </w:tc>
        <w:tc>
          <w:tcPr>
            <w:tcW w:w="7230" w:type="dxa"/>
            <w:gridSpan w:val="6"/>
            <w:vAlign w:val="center"/>
          </w:tcPr>
          <w:p w14:paraId="180726F1">
            <w:pPr>
              <w:pStyle w:val="50"/>
              <w:jc w:val="center"/>
              <w:rPr>
                <w:rFonts w:ascii="微软雅黑" w:hAnsi="微软雅黑" w:eastAsia="微软雅黑" w:cs="微软雅黑"/>
                <w:sz w:val="24"/>
                <w:highlight w:val="none"/>
              </w:rPr>
            </w:pPr>
          </w:p>
        </w:tc>
      </w:tr>
      <w:tr w14:paraId="6083C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1569" w:type="dxa"/>
            <w:vAlign w:val="center"/>
          </w:tcPr>
          <w:p w14:paraId="00EC0CEA">
            <w:pPr>
              <w:pStyle w:val="50"/>
              <w:spacing w:before="153"/>
              <w:ind w:left="130" w:right="123"/>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注册地址</w:t>
            </w:r>
          </w:p>
        </w:tc>
        <w:tc>
          <w:tcPr>
            <w:tcW w:w="3679" w:type="dxa"/>
            <w:gridSpan w:val="3"/>
            <w:vAlign w:val="center"/>
          </w:tcPr>
          <w:p w14:paraId="046FA978">
            <w:pPr>
              <w:pStyle w:val="50"/>
              <w:jc w:val="center"/>
              <w:rPr>
                <w:rFonts w:ascii="微软雅黑" w:hAnsi="微软雅黑" w:eastAsia="微软雅黑" w:cs="微软雅黑"/>
                <w:sz w:val="24"/>
                <w:highlight w:val="none"/>
              </w:rPr>
            </w:pPr>
          </w:p>
        </w:tc>
        <w:tc>
          <w:tcPr>
            <w:tcW w:w="1283" w:type="dxa"/>
            <w:vAlign w:val="center"/>
          </w:tcPr>
          <w:p w14:paraId="5DEE0F38">
            <w:pPr>
              <w:pStyle w:val="50"/>
              <w:spacing w:before="153"/>
              <w:ind w:left="119" w:right="109"/>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邮政编码</w:t>
            </w:r>
          </w:p>
        </w:tc>
        <w:tc>
          <w:tcPr>
            <w:tcW w:w="2268" w:type="dxa"/>
            <w:gridSpan w:val="2"/>
            <w:vAlign w:val="center"/>
          </w:tcPr>
          <w:p w14:paraId="46A7D5FB">
            <w:pPr>
              <w:pStyle w:val="50"/>
              <w:jc w:val="center"/>
              <w:rPr>
                <w:rFonts w:ascii="微软雅黑" w:hAnsi="微软雅黑" w:eastAsia="微软雅黑" w:cs="微软雅黑"/>
                <w:sz w:val="24"/>
                <w:highlight w:val="none"/>
              </w:rPr>
            </w:pPr>
          </w:p>
        </w:tc>
      </w:tr>
      <w:tr w14:paraId="7DE89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569" w:type="dxa"/>
            <w:vMerge w:val="restart"/>
            <w:vAlign w:val="center"/>
          </w:tcPr>
          <w:p w14:paraId="05357495">
            <w:pPr>
              <w:pStyle w:val="50"/>
              <w:spacing w:before="6"/>
              <w:jc w:val="center"/>
              <w:rPr>
                <w:rFonts w:ascii="微软雅黑" w:hAnsi="微软雅黑" w:eastAsia="微软雅黑" w:cs="微软雅黑"/>
                <w:b/>
                <w:bCs/>
                <w:sz w:val="24"/>
                <w:highlight w:val="none"/>
              </w:rPr>
            </w:pPr>
          </w:p>
          <w:p w14:paraId="793B759A">
            <w:pPr>
              <w:pStyle w:val="50"/>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联系方式</w:t>
            </w:r>
          </w:p>
        </w:tc>
        <w:tc>
          <w:tcPr>
            <w:tcW w:w="1320" w:type="dxa"/>
            <w:vAlign w:val="center"/>
          </w:tcPr>
          <w:p w14:paraId="7C858E3C">
            <w:pPr>
              <w:pStyle w:val="50"/>
              <w:spacing w:before="152"/>
              <w:ind w:left="8"/>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联系人</w:t>
            </w:r>
          </w:p>
        </w:tc>
        <w:tc>
          <w:tcPr>
            <w:tcW w:w="2359" w:type="dxa"/>
            <w:gridSpan w:val="2"/>
            <w:vAlign w:val="center"/>
          </w:tcPr>
          <w:p w14:paraId="25C619CF">
            <w:pPr>
              <w:pStyle w:val="50"/>
              <w:jc w:val="center"/>
              <w:rPr>
                <w:rFonts w:ascii="微软雅黑" w:hAnsi="微软雅黑" w:eastAsia="微软雅黑" w:cs="微软雅黑"/>
                <w:sz w:val="24"/>
                <w:highlight w:val="none"/>
              </w:rPr>
            </w:pPr>
          </w:p>
        </w:tc>
        <w:tc>
          <w:tcPr>
            <w:tcW w:w="1283" w:type="dxa"/>
            <w:vAlign w:val="center"/>
          </w:tcPr>
          <w:p w14:paraId="683A0E8D">
            <w:pPr>
              <w:pStyle w:val="50"/>
              <w:spacing w:before="152"/>
              <w:ind w:left="116" w:right="109"/>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电 话</w:t>
            </w:r>
          </w:p>
        </w:tc>
        <w:tc>
          <w:tcPr>
            <w:tcW w:w="2268" w:type="dxa"/>
            <w:gridSpan w:val="2"/>
            <w:vAlign w:val="center"/>
          </w:tcPr>
          <w:p w14:paraId="46D15AD3">
            <w:pPr>
              <w:pStyle w:val="50"/>
              <w:jc w:val="center"/>
              <w:rPr>
                <w:rFonts w:ascii="微软雅黑" w:hAnsi="微软雅黑" w:eastAsia="微软雅黑" w:cs="微软雅黑"/>
                <w:sz w:val="24"/>
                <w:highlight w:val="none"/>
              </w:rPr>
            </w:pPr>
          </w:p>
        </w:tc>
      </w:tr>
      <w:tr w14:paraId="4EBC9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569" w:type="dxa"/>
            <w:vMerge w:val="continue"/>
            <w:tcBorders>
              <w:top w:val="nil"/>
            </w:tcBorders>
            <w:vAlign w:val="center"/>
          </w:tcPr>
          <w:p w14:paraId="7C146B03">
            <w:pPr>
              <w:jc w:val="center"/>
              <w:rPr>
                <w:rFonts w:ascii="微软雅黑" w:hAnsi="微软雅黑" w:eastAsia="微软雅黑" w:cs="微软雅黑"/>
                <w:b/>
                <w:bCs/>
                <w:sz w:val="24"/>
                <w:highlight w:val="none"/>
              </w:rPr>
            </w:pPr>
          </w:p>
        </w:tc>
        <w:tc>
          <w:tcPr>
            <w:tcW w:w="1320" w:type="dxa"/>
            <w:vAlign w:val="center"/>
          </w:tcPr>
          <w:p w14:paraId="77C58E20">
            <w:pPr>
              <w:pStyle w:val="50"/>
              <w:tabs>
                <w:tab w:val="left" w:pos="408"/>
              </w:tabs>
              <w:spacing w:before="153"/>
              <w:ind w:left="8"/>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传</w:t>
            </w:r>
            <w:r>
              <w:rPr>
                <w:rFonts w:hint="eastAsia" w:ascii="微软雅黑" w:hAnsi="微软雅黑" w:eastAsia="微软雅黑" w:cs="微软雅黑"/>
                <w:b/>
                <w:bCs/>
                <w:sz w:val="24"/>
                <w:highlight w:val="none"/>
              </w:rPr>
              <w:tab/>
            </w:r>
            <w:r>
              <w:rPr>
                <w:rFonts w:hint="eastAsia" w:ascii="微软雅黑" w:hAnsi="微软雅黑" w:eastAsia="微软雅黑" w:cs="微软雅黑"/>
                <w:b/>
                <w:bCs/>
                <w:sz w:val="24"/>
                <w:highlight w:val="none"/>
              </w:rPr>
              <w:t>真</w:t>
            </w:r>
          </w:p>
        </w:tc>
        <w:tc>
          <w:tcPr>
            <w:tcW w:w="2359" w:type="dxa"/>
            <w:gridSpan w:val="2"/>
            <w:vAlign w:val="center"/>
          </w:tcPr>
          <w:p w14:paraId="5B45D69B">
            <w:pPr>
              <w:pStyle w:val="50"/>
              <w:jc w:val="center"/>
              <w:rPr>
                <w:rFonts w:ascii="微软雅黑" w:hAnsi="微软雅黑" w:eastAsia="微软雅黑" w:cs="微软雅黑"/>
                <w:sz w:val="24"/>
                <w:highlight w:val="none"/>
              </w:rPr>
            </w:pPr>
          </w:p>
        </w:tc>
        <w:tc>
          <w:tcPr>
            <w:tcW w:w="1283" w:type="dxa"/>
            <w:vAlign w:val="center"/>
          </w:tcPr>
          <w:p w14:paraId="17D1BA54">
            <w:pPr>
              <w:pStyle w:val="50"/>
              <w:spacing w:before="153"/>
              <w:ind w:left="119" w:right="109"/>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电子邮件</w:t>
            </w:r>
          </w:p>
        </w:tc>
        <w:tc>
          <w:tcPr>
            <w:tcW w:w="2268" w:type="dxa"/>
            <w:gridSpan w:val="2"/>
            <w:vAlign w:val="center"/>
          </w:tcPr>
          <w:p w14:paraId="70FBE5EF">
            <w:pPr>
              <w:pStyle w:val="50"/>
              <w:jc w:val="center"/>
              <w:rPr>
                <w:rFonts w:ascii="微软雅黑" w:hAnsi="微软雅黑" w:eastAsia="微软雅黑" w:cs="微软雅黑"/>
                <w:sz w:val="24"/>
                <w:highlight w:val="none"/>
              </w:rPr>
            </w:pPr>
          </w:p>
        </w:tc>
      </w:tr>
      <w:tr w14:paraId="30E4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569" w:type="dxa"/>
            <w:vAlign w:val="center"/>
          </w:tcPr>
          <w:p w14:paraId="0B7986B6">
            <w:pPr>
              <w:pStyle w:val="50"/>
              <w:spacing w:before="152"/>
              <w:ind w:left="130" w:right="125"/>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法定代表人</w:t>
            </w:r>
          </w:p>
        </w:tc>
        <w:tc>
          <w:tcPr>
            <w:tcW w:w="1320" w:type="dxa"/>
            <w:vAlign w:val="center"/>
          </w:tcPr>
          <w:p w14:paraId="32AED7D5">
            <w:pPr>
              <w:pStyle w:val="50"/>
              <w:spacing w:before="152"/>
              <w:ind w:left="8"/>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姓名</w:t>
            </w:r>
          </w:p>
        </w:tc>
        <w:tc>
          <w:tcPr>
            <w:tcW w:w="1453" w:type="dxa"/>
            <w:vAlign w:val="center"/>
          </w:tcPr>
          <w:p w14:paraId="31479A4C">
            <w:pPr>
              <w:pStyle w:val="50"/>
              <w:jc w:val="center"/>
              <w:rPr>
                <w:rFonts w:ascii="微软雅黑" w:hAnsi="微软雅黑" w:eastAsia="微软雅黑" w:cs="微软雅黑"/>
                <w:sz w:val="24"/>
                <w:highlight w:val="none"/>
              </w:rPr>
            </w:pPr>
          </w:p>
        </w:tc>
        <w:tc>
          <w:tcPr>
            <w:tcW w:w="906" w:type="dxa"/>
            <w:vAlign w:val="center"/>
          </w:tcPr>
          <w:p w14:paraId="6C8A7165">
            <w:pPr>
              <w:pStyle w:val="50"/>
              <w:spacing w:before="152"/>
              <w:ind w:left="230"/>
              <w:jc w:val="both"/>
              <w:rPr>
                <w:rFonts w:hint="eastAsia" w:ascii="微软雅黑" w:hAnsi="微软雅黑" w:eastAsia="微软雅黑" w:cs="微软雅黑"/>
                <w:b/>
                <w:bCs/>
                <w:sz w:val="24"/>
                <w:highlight w:val="none"/>
                <w:lang w:eastAsia="zh-CN"/>
              </w:rPr>
            </w:pPr>
            <w:r>
              <w:rPr>
                <w:rFonts w:hint="eastAsia" w:ascii="微软雅黑" w:hAnsi="微软雅黑" w:eastAsia="微软雅黑" w:cs="微软雅黑"/>
                <w:b/>
                <w:bCs/>
                <w:sz w:val="24"/>
                <w:highlight w:val="none"/>
                <w:lang w:eastAsia="zh-CN"/>
              </w:rPr>
              <w:t>职务</w:t>
            </w:r>
          </w:p>
        </w:tc>
        <w:tc>
          <w:tcPr>
            <w:tcW w:w="1283" w:type="dxa"/>
            <w:vAlign w:val="center"/>
          </w:tcPr>
          <w:p w14:paraId="13B6EED6">
            <w:pPr>
              <w:pStyle w:val="50"/>
              <w:jc w:val="center"/>
              <w:rPr>
                <w:rFonts w:ascii="微软雅黑" w:hAnsi="微软雅黑" w:eastAsia="微软雅黑" w:cs="微软雅黑"/>
                <w:sz w:val="24"/>
                <w:highlight w:val="none"/>
              </w:rPr>
            </w:pPr>
          </w:p>
        </w:tc>
        <w:tc>
          <w:tcPr>
            <w:tcW w:w="943" w:type="dxa"/>
            <w:vAlign w:val="center"/>
          </w:tcPr>
          <w:p w14:paraId="6515D2EA">
            <w:pPr>
              <w:pStyle w:val="50"/>
              <w:spacing w:before="152"/>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电话</w:t>
            </w:r>
          </w:p>
        </w:tc>
        <w:tc>
          <w:tcPr>
            <w:tcW w:w="1325" w:type="dxa"/>
            <w:vAlign w:val="center"/>
          </w:tcPr>
          <w:p w14:paraId="70F6044F">
            <w:pPr>
              <w:pStyle w:val="50"/>
              <w:jc w:val="center"/>
              <w:rPr>
                <w:rFonts w:ascii="微软雅黑" w:hAnsi="微软雅黑" w:eastAsia="微软雅黑" w:cs="微软雅黑"/>
                <w:sz w:val="24"/>
                <w:highlight w:val="none"/>
              </w:rPr>
            </w:pPr>
          </w:p>
        </w:tc>
      </w:tr>
      <w:tr w14:paraId="0E94C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1569" w:type="dxa"/>
            <w:vAlign w:val="center"/>
          </w:tcPr>
          <w:p w14:paraId="64BF3C9D">
            <w:pPr>
              <w:pStyle w:val="50"/>
              <w:spacing w:before="153"/>
              <w:ind w:left="130" w:right="125"/>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lang w:eastAsia="zh-CN"/>
              </w:rPr>
              <w:t>项目</w:t>
            </w:r>
            <w:r>
              <w:rPr>
                <w:rFonts w:hint="eastAsia" w:ascii="微软雅黑" w:hAnsi="微软雅黑" w:eastAsia="微软雅黑" w:cs="微软雅黑"/>
                <w:b/>
                <w:bCs/>
                <w:sz w:val="24"/>
                <w:highlight w:val="none"/>
              </w:rPr>
              <w:t>负责人</w:t>
            </w:r>
          </w:p>
        </w:tc>
        <w:tc>
          <w:tcPr>
            <w:tcW w:w="1320" w:type="dxa"/>
            <w:vAlign w:val="center"/>
          </w:tcPr>
          <w:p w14:paraId="29DCF8B5">
            <w:pPr>
              <w:pStyle w:val="50"/>
              <w:spacing w:before="153"/>
              <w:ind w:left="8"/>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姓名</w:t>
            </w:r>
          </w:p>
        </w:tc>
        <w:tc>
          <w:tcPr>
            <w:tcW w:w="1453" w:type="dxa"/>
            <w:vAlign w:val="center"/>
          </w:tcPr>
          <w:p w14:paraId="3F69C349">
            <w:pPr>
              <w:pStyle w:val="50"/>
              <w:jc w:val="center"/>
              <w:rPr>
                <w:rFonts w:ascii="微软雅黑" w:hAnsi="微软雅黑" w:eastAsia="微软雅黑" w:cs="微软雅黑"/>
                <w:sz w:val="24"/>
                <w:highlight w:val="none"/>
              </w:rPr>
            </w:pPr>
          </w:p>
        </w:tc>
        <w:tc>
          <w:tcPr>
            <w:tcW w:w="906" w:type="dxa"/>
            <w:vAlign w:val="center"/>
          </w:tcPr>
          <w:p w14:paraId="686E1FED">
            <w:pPr>
              <w:pStyle w:val="50"/>
              <w:spacing w:before="153"/>
              <w:ind w:left="230"/>
              <w:jc w:val="both"/>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lang w:eastAsia="zh-CN"/>
              </w:rPr>
              <w:t>职务</w:t>
            </w:r>
          </w:p>
        </w:tc>
        <w:tc>
          <w:tcPr>
            <w:tcW w:w="1283" w:type="dxa"/>
            <w:vAlign w:val="center"/>
          </w:tcPr>
          <w:p w14:paraId="346BB921">
            <w:pPr>
              <w:pStyle w:val="50"/>
              <w:jc w:val="center"/>
              <w:rPr>
                <w:rFonts w:ascii="微软雅黑" w:hAnsi="微软雅黑" w:eastAsia="微软雅黑" w:cs="微软雅黑"/>
                <w:sz w:val="24"/>
                <w:highlight w:val="none"/>
              </w:rPr>
            </w:pPr>
          </w:p>
        </w:tc>
        <w:tc>
          <w:tcPr>
            <w:tcW w:w="943" w:type="dxa"/>
            <w:vAlign w:val="center"/>
          </w:tcPr>
          <w:p w14:paraId="25CA04DF">
            <w:pPr>
              <w:pStyle w:val="50"/>
              <w:spacing w:before="153"/>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电话</w:t>
            </w:r>
          </w:p>
        </w:tc>
        <w:tc>
          <w:tcPr>
            <w:tcW w:w="1325" w:type="dxa"/>
            <w:vAlign w:val="center"/>
          </w:tcPr>
          <w:p w14:paraId="07D42867">
            <w:pPr>
              <w:pStyle w:val="50"/>
              <w:jc w:val="center"/>
              <w:rPr>
                <w:rFonts w:ascii="微软雅黑" w:hAnsi="微软雅黑" w:eastAsia="微软雅黑" w:cs="微软雅黑"/>
                <w:sz w:val="24"/>
                <w:highlight w:val="none"/>
              </w:rPr>
            </w:pPr>
          </w:p>
        </w:tc>
      </w:tr>
      <w:tr w14:paraId="6B5F3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569" w:type="dxa"/>
            <w:vAlign w:val="center"/>
          </w:tcPr>
          <w:p w14:paraId="233C2A74">
            <w:pPr>
              <w:pStyle w:val="50"/>
              <w:spacing w:before="152"/>
              <w:ind w:left="130" w:right="125"/>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营业执照号</w:t>
            </w:r>
          </w:p>
        </w:tc>
        <w:tc>
          <w:tcPr>
            <w:tcW w:w="2773" w:type="dxa"/>
            <w:gridSpan w:val="2"/>
            <w:vAlign w:val="center"/>
          </w:tcPr>
          <w:p w14:paraId="6C1BB295">
            <w:pPr>
              <w:pStyle w:val="50"/>
              <w:jc w:val="center"/>
              <w:rPr>
                <w:rFonts w:ascii="微软雅黑" w:hAnsi="微软雅黑" w:eastAsia="微软雅黑" w:cs="微软雅黑"/>
                <w:sz w:val="24"/>
                <w:highlight w:val="none"/>
              </w:rPr>
            </w:pPr>
          </w:p>
        </w:tc>
        <w:tc>
          <w:tcPr>
            <w:tcW w:w="4457" w:type="dxa"/>
            <w:gridSpan w:val="4"/>
            <w:vAlign w:val="center"/>
          </w:tcPr>
          <w:p w14:paraId="582160D6">
            <w:pPr>
              <w:pStyle w:val="50"/>
              <w:spacing w:before="152"/>
              <w:ind w:right="1839"/>
              <w:jc w:val="both"/>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员工总人数：</w:t>
            </w:r>
          </w:p>
        </w:tc>
      </w:tr>
      <w:tr w14:paraId="2FADC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trPr>
        <w:tc>
          <w:tcPr>
            <w:tcW w:w="1569" w:type="dxa"/>
            <w:vAlign w:val="center"/>
          </w:tcPr>
          <w:p w14:paraId="4C91E940">
            <w:pPr>
              <w:pStyle w:val="50"/>
              <w:ind w:left="130" w:right="123"/>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经营范围</w:t>
            </w:r>
          </w:p>
        </w:tc>
        <w:tc>
          <w:tcPr>
            <w:tcW w:w="7230" w:type="dxa"/>
            <w:gridSpan w:val="6"/>
            <w:vAlign w:val="center"/>
          </w:tcPr>
          <w:p w14:paraId="0F20F2FA">
            <w:pPr>
              <w:pStyle w:val="50"/>
              <w:jc w:val="center"/>
              <w:rPr>
                <w:rFonts w:ascii="微软雅黑" w:hAnsi="微软雅黑" w:eastAsia="微软雅黑" w:cs="微软雅黑"/>
                <w:sz w:val="24"/>
                <w:highlight w:val="none"/>
              </w:rPr>
            </w:pPr>
          </w:p>
        </w:tc>
      </w:tr>
      <w:tr w14:paraId="4D2D5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569" w:type="dxa"/>
            <w:vAlign w:val="center"/>
          </w:tcPr>
          <w:p w14:paraId="00963C07">
            <w:pPr>
              <w:pStyle w:val="50"/>
              <w:spacing w:before="153"/>
              <w:ind w:left="130" w:right="125"/>
              <w:jc w:val="center"/>
              <w:rPr>
                <w:rFonts w:ascii="微软雅黑" w:hAnsi="微软雅黑" w:eastAsia="微软雅黑" w:cs="微软雅黑"/>
                <w:b/>
                <w:bCs/>
                <w:szCs w:val="21"/>
                <w:highlight w:val="none"/>
              </w:rPr>
            </w:pPr>
            <w:r>
              <w:rPr>
                <w:rFonts w:hint="eastAsia" w:ascii="微软雅黑" w:hAnsi="微软雅黑" w:eastAsia="微软雅黑" w:cs="微软雅黑"/>
                <w:b/>
                <w:bCs/>
                <w:sz w:val="24"/>
                <w:highlight w:val="none"/>
              </w:rPr>
              <w:t>备注</w:t>
            </w:r>
          </w:p>
        </w:tc>
        <w:tc>
          <w:tcPr>
            <w:tcW w:w="7230" w:type="dxa"/>
            <w:gridSpan w:val="6"/>
            <w:vAlign w:val="center"/>
          </w:tcPr>
          <w:p w14:paraId="0D913A4C">
            <w:pPr>
              <w:pStyle w:val="50"/>
              <w:jc w:val="center"/>
              <w:rPr>
                <w:rFonts w:ascii="微软雅黑" w:hAnsi="微软雅黑" w:eastAsia="微软雅黑" w:cs="微软雅黑"/>
                <w:szCs w:val="21"/>
                <w:highlight w:val="none"/>
              </w:rPr>
            </w:pPr>
          </w:p>
        </w:tc>
      </w:tr>
    </w:tbl>
    <w:p w14:paraId="657B42BF">
      <w:pPr>
        <w:rPr>
          <w:rFonts w:ascii="微软雅黑" w:hAnsi="微软雅黑" w:eastAsia="微软雅黑" w:cs="微软雅黑"/>
          <w:b/>
          <w:kern w:val="0"/>
          <w:highlight w:val="none"/>
        </w:rPr>
      </w:pPr>
      <w:r>
        <w:rPr>
          <w:rFonts w:hint="eastAsia" w:ascii="微软雅黑" w:hAnsi="微软雅黑" w:eastAsia="微软雅黑" w:cs="微软雅黑"/>
          <w:b/>
          <w:kern w:val="0"/>
          <w:highlight w:val="none"/>
        </w:rPr>
        <w:br w:type="page"/>
      </w:r>
    </w:p>
    <w:p w14:paraId="07B5F33F">
      <w:pPr>
        <w:spacing w:line="360" w:lineRule="auto"/>
        <w:jc w:val="center"/>
        <w:outlineLvl w:val="2"/>
        <w:rPr>
          <w:rFonts w:ascii="微软雅黑" w:hAnsi="微软雅黑" w:eastAsia="微软雅黑" w:cs="微软雅黑"/>
          <w:b/>
          <w:kern w:val="0"/>
          <w:sz w:val="30"/>
          <w:szCs w:val="20"/>
          <w:highlight w:val="none"/>
        </w:rPr>
      </w:pPr>
      <w:bookmarkStart w:id="877" w:name="_Toc29466"/>
      <w:r>
        <w:rPr>
          <w:rFonts w:hint="eastAsia" w:ascii="微软雅黑" w:hAnsi="微软雅黑" w:eastAsia="微软雅黑" w:cs="微软雅黑"/>
          <w:b/>
          <w:kern w:val="0"/>
          <w:sz w:val="30"/>
          <w:szCs w:val="20"/>
          <w:highlight w:val="none"/>
          <w:lang w:val="en-US" w:eastAsia="zh-CN"/>
        </w:rPr>
        <w:t>10</w:t>
      </w:r>
      <w:r>
        <w:rPr>
          <w:rFonts w:hint="eastAsia" w:ascii="微软雅黑" w:hAnsi="微软雅黑" w:eastAsia="微软雅黑" w:cs="微软雅黑"/>
          <w:b/>
          <w:kern w:val="0"/>
          <w:sz w:val="30"/>
          <w:szCs w:val="20"/>
          <w:highlight w:val="none"/>
        </w:rPr>
        <w:t>.近年完成的类似项目业绩</w:t>
      </w:r>
      <w:bookmarkEnd w:id="877"/>
    </w:p>
    <w:p w14:paraId="5CC4F7E7">
      <w:pPr>
        <w:spacing w:line="200" w:lineRule="exact"/>
        <w:ind w:firstLine="3152" w:firstLineChars="1500"/>
        <w:rPr>
          <w:rFonts w:ascii="微软雅黑" w:hAnsi="微软雅黑" w:eastAsia="微软雅黑" w:cs="微软雅黑"/>
          <w:b/>
          <w:highlight w:val="none"/>
        </w:rPr>
      </w:pPr>
    </w:p>
    <w:p w14:paraId="42A8B112">
      <w:pPr>
        <w:rPr>
          <w:rFonts w:ascii="微软雅黑" w:hAnsi="微软雅黑" w:eastAsia="微软雅黑" w:cs="微软雅黑"/>
          <w:b/>
          <w:color w:val="C00000"/>
          <w:sz w:val="28"/>
          <w:szCs w:val="28"/>
          <w:highlight w:val="none"/>
        </w:rPr>
      </w:pPr>
    </w:p>
    <w:p w14:paraId="5901663C">
      <w:pPr>
        <w:pStyle w:val="8"/>
        <w:rPr>
          <w:rFonts w:ascii="微软雅黑" w:hAnsi="微软雅黑" w:eastAsia="微软雅黑" w:cs="微软雅黑"/>
          <w:b/>
          <w:color w:val="C00000"/>
          <w:sz w:val="28"/>
          <w:szCs w:val="28"/>
          <w:highlight w:val="none"/>
        </w:rPr>
      </w:pPr>
    </w:p>
    <w:p w14:paraId="1F86AA6B">
      <w:pPr>
        <w:pStyle w:val="9"/>
        <w:rPr>
          <w:highlight w:val="none"/>
        </w:rPr>
      </w:pPr>
    </w:p>
    <w:p w14:paraId="1028F6C3">
      <w:pPr>
        <w:pStyle w:val="10"/>
        <w:keepNext/>
        <w:keepLines/>
        <w:pageBreakBefore w:val="0"/>
        <w:widowControl w:val="0"/>
        <w:numPr>
          <w:ilvl w:val="0"/>
          <w:numId w:val="0"/>
        </w:numPr>
        <w:kinsoku/>
        <w:wordWrap/>
        <w:overflowPunct/>
        <w:topLinePunct w:val="0"/>
        <w:autoSpaceDE w:val="0"/>
        <w:autoSpaceDN w:val="0"/>
        <w:bidi w:val="0"/>
        <w:adjustRightInd w:val="0"/>
        <w:snapToGrid/>
        <w:spacing w:before="0" w:line="440" w:lineRule="exact"/>
        <w:jc w:val="center"/>
        <w:outlineLvl w:val="2"/>
        <w:rPr>
          <w:rFonts w:hint="eastAsia" w:ascii="微软雅黑" w:hAnsi="微软雅黑" w:eastAsia="微软雅黑" w:cs="微软雅黑"/>
          <w:b/>
          <w:kern w:val="0"/>
          <w:sz w:val="30"/>
          <w:szCs w:val="20"/>
          <w:highlight w:val="none"/>
          <w:u w:val="none"/>
          <w:lang w:val="en-US" w:eastAsia="zh-CN" w:bidi="ar-SA"/>
        </w:rPr>
      </w:pPr>
      <w:bookmarkStart w:id="878" w:name="_Toc4851"/>
      <w:r>
        <w:rPr>
          <w:rFonts w:hint="eastAsia" w:ascii="微软雅黑" w:hAnsi="微软雅黑" w:eastAsia="微软雅黑" w:cs="微软雅黑"/>
          <w:b/>
          <w:kern w:val="0"/>
          <w:sz w:val="30"/>
          <w:szCs w:val="20"/>
          <w:highlight w:val="none"/>
          <w:u w:val="none"/>
          <w:lang w:val="en-US" w:eastAsia="zh-CN" w:bidi="ar-SA"/>
        </w:rPr>
        <w:t>11.近年发生的诉讼及仲裁情况</w:t>
      </w:r>
      <w:bookmarkEnd w:id="878"/>
    </w:p>
    <w:p w14:paraId="588650AB">
      <w:pPr>
        <w:rPr>
          <w:rFonts w:ascii="微软雅黑" w:hAnsi="微软雅黑" w:eastAsia="微软雅黑" w:cs="微软雅黑"/>
          <w:bCs/>
          <w:sz w:val="24"/>
          <w:highlight w:val="none"/>
        </w:rPr>
      </w:pPr>
      <w:r>
        <w:rPr>
          <w:rFonts w:hint="eastAsia" w:ascii="微软雅黑" w:hAnsi="微软雅黑" w:eastAsia="微软雅黑" w:cs="微软雅黑"/>
          <w:bCs/>
          <w:sz w:val="24"/>
          <w:highlight w:val="none"/>
        </w:rPr>
        <w:t>说明：近三年发生的诉讼和仲裁情况仅限于供应商败诉的，且与履行施工承包合同有关的案件，不包括调解结案以及未裁决的仲裁或未终审判决的诉讼。</w:t>
      </w:r>
    </w:p>
    <w:p w14:paraId="26181D13">
      <w:pPr>
        <w:rPr>
          <w:rFonts w:ascii="微软雅黑" w:hAnsi="微软雅黑" w:eastAsia="微软雅黑" w:cs="微软雅黑"/>
          <w:highlight w:val="none"/>
        </w:rPr>
      </w:pPr>
    </w:p>
    <w:p w14:paraId="360D4184">
      <w:pPr>
        <w:pStyle w:val="3"/>
        <w:rPr>
          <w:rFonts w:ascii="微软雅黑" w:hAnsi="微软雅黑" w:eastAsia="微软雅黑" w:cs="微软雅黑"/>
          <w:highlight w:val="none"/>
        </w:rPr>
      </w:pPr>
    </w:p>
    <w:p w14:paraId="5B9F8528">
      <w:pPr>
        <w:pStyle w:val="4"/>
        <w:ind w:firstLine="240"/>
        <w:rPr>
          <w:rFonts w:ascii="微软雅黑" w:hAnsi="微软雅黑" w:eastAsia="微软雅黑" w:cs="微软雅黑"/>
          <w:highlight w:val="none"/>
        </w:rPr>
      </w:pPr>
    </w:p>
    <w:p w14:paraId="3D87C19A">
      <w:pPr>
        <w:rPr>
          <w:highlight w:val="none"/>
        </w:rPr>
      </w:pPr>
    </w:p>
    <w:p w14:paraId="49273177">
      <w:pPr>
        <w:rPr>
          <w:rFonts w:ascii="微软雅黑" w:hAnsi="微软雅黑" w:eastAsia="微软雅黑" w:cs="微软雅黑"/>
          <w:highlight w:val="none"/>
        </w:rPr>
      </w:pPr>
    </w:p>
    <w:p w14:paraId="1D6F8AC8">
      <w:pPr>
        <w:rPr>
          <w:rFonts w:hint="eastAsia" w:ascii="微软雅黑" w:hAnsi="微软雅黑" w:eastAsia="微软雅黑" w:cs="微软雅黑"/>
          <w:b/>
          <w:kern w:val="0"/>
          <w:sz w:val="30"/>
          <w:szCs w:val="20"/>
          <w:highlight w:val="none"/>
          <w:lang w:val="en-US" w:eastAsia="zh-CN" w:bidi="ar-SA"/>
        </w:rPr>
      </w:pPr>
      <w:bookmarkStart w:id="879" w:name="_Toc14146"/>
      <w:r>
        <w:rPr>
          <w:rFonts w:hint="eastAsia" w:ascii="微软雅黑" w:hAnsi="微软雅黑" w:eastAsia="微软雅黑" w:cs="微软雅黑"/>
          <w:b/>
          <w:kern w:val="0"/>
          <w:sz w:val="30"/>
          <w:szCs w:val="20"/>
          <w:highlight w:val="none"/>
          <w:lang w:val="en-US" w:eastAsia="zh-CN" w:bidi="ar-SA"/>
        </w:rPr>
        <w:br w:type="page"/>
      </w:r>
    </w:p>
    <w:p w14:paraId="39A6A262">
      <w:pPr>
        <w:pStyle w:val="9"/>
        <w:ind w:left="0" w:leftChars="0" w:firstLine="0" w:firstLineChars="0"/>
        <w:jc w:val="center"/>
        <w:outlineLvl w:val="2"/>
        <w:rPr>
          <w:rFonts w:hint="default"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kern w:val="0"/>
          <w:sz w:val="30"/>
          <w:szCs w:val="20"/>
          <w:highlight w:val="none"/>
          <w:lang w:val="en-US" w:eastAsia="zh-CN" w:bidi="ar-SA"/>
        </w:rPr>
        <w:t>12.供应商可提供现场踏勘证明</w:t>
      </w:r>
      <w:bookmarkEnd w:id="879"/>
    </w:p>
    <w:p w14:paraId="6E09E421">
      <w:pPr>
        <w:jc w:val="center"/>
        <w:rPr>
          <w:rFonts w:hint="default" w:ascii="微软雅黑" w:hAnsi="微软雅黑" w:eastAsia="微软雅黑" w:cs="微软雅黑"/>
          <w:b/>
          <w:color w:val="auto"/>
          <w:sz w:val="32"/>
          <w:szCs w:val="32"/>
          <w:highlight w:val="none"/>
          <w:lang w:val="en-US" w:eastAsia="zh-CN"/>
        </w:rPr>
      </w:pPr>
      <w:r>
        <w:rPr>
          <w:rFonts w:hint="default" w:ascii="微软雅黑" w:hAnsi="微软雅黑" w:eastAsia="微软雅黑" w:cs="微软雅黑"/>
          <w:b/>
          <w:color w:val="auto"/>
          <w:sz w:val="32"/>
          <w:szCs w:val="32"/>
          <w:highlight w:val="none"/>
          <w:lang w:val="en-US" w:eastAsia="zh-CN"/>
        </w:rPr>
        <w:t>现场踏勘确认书</w:t>
      </w:r>
    </w:p>
    <w:p w14:paraId="0DF1FA1B">
      <w:pPr>
        <w:rPr>
          <w:rFonts w:hint="default" w:ascii="微软雅黑" w:hAnsi="微软雅黑" w:eastAsia="微软雅黑" w:cs="微软雅黑"/>
          <w:color w:val="auto"/>
          <w:highlight w:val="none"/>
          <w:lang w:val="en-US" w:eastAsia="zh-CN"/>
        </w:rPr>
      </w:pPr>
    </w:p>
    <w:tbl>
      <w:tblPr>
        <w:tblStyle w:val="2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74"/>
        <w:gridCol w:w="2095"/>
        <w:gridCol w:w="1842"/>
        <w:gridCol w:w="2895"/>
      </w:tblGrid>
      <w:tr w14:paraId="0649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47" w:type="dxa"/>
            <w:gridSpan w:val="2"/>
            <w:vAlign w:val="center"/>
          </w:tcPr>
          <w:p w14:paraId="578AB287">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项目名称</w:t>
            </w:r>
          </w:p>
        </w:tc>
        <w:tc>
          <w:tcPr>
            <w:tcW w:w="6832" w:type="dxa"/>
            <w:gridSpan w:val="3"/>
            <w:vAlign w:val="center"/>
          </w:tcPr>
          <w:p w14:paraId="2F83E0C8">
            <w:pPr>
              <w:jc w:val="center"/>
              <w:rPr>
                <w:rFonts w:hint="eastAsia" w:ascii="微软雅黑" w:hAnsi="微软雅黑" w:eastAsia="微软雅黑" w:cs="微软雅黑"/>
                <w:color w:val="auto"/>
                <w:sz w:val="24"/>
                <w:szCs w:val="24"/>
                <w:highlight w:val="none"/>
                <w:vertAlign w:val="baseline"/>
              </w:rPr>
            </w:pPr>
          </w:p>
        </w:tc>
      </w:tr>
      <w:tr w14:paraId="5E5B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47" w:type="dxa"/>
            <w:gridSpan w:val="2"/>
            <w:vAlign w:val="center"/>
          </w:tcPr>
          <w:p w14:paraId="6B956E6C">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项目编号</w:t>
            </w:r>
          </w:p>
        </w:tc>
        <w:tc>
          <w:tcPr>
            <w:tcW w:w="6832" w:type="dxa"/>
            <w:gridSpan w:val="3"/>
            <w:vAlign w:val="center"/>
          </w:tcPr>
          <w:p w14:paraId="1F7179E4">
            <w:pPr>
              <w:jc w:val="center"/>
              <w:rPr>
                <w:rFonts w:hint="eastAsia" w:ascii="微软雅黑" w:hAnsi="微软雅黑" w:eastAsia="微软雅黑" w:cs="微软雅黑"/>
                <w:color w:val="auto"/>
                <w:sz w:val="24"/>
                <w:szCs w:val="24"/>
                <w:highlight w:val="none"/>
                <w:vertAlign w:val="baseline"/>
              </w:rPr>
            </w:pPr>
          </w:p>
        </w:tc>
      </w:tr>
      <w:tr w14:paraId="5A45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47" w:type="dxa"/>
            <w:gridSpan w:val="2"/>
            <w:vAlign w:val="center"/>
          </w:tcPr>
          <w:p w14:paraId="59E428CA">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公司名称</w:t>
            </w:r>
          </w:p>
        </w:tc>
        <w:tc>
          <w:tcPr>
            <w:tcW w:w="6832" w:type="dxa"/>
            <w:gridSpan w:val="3"/>
            <w:vAlign w:val="center"/>
          </w:tcPr>
          <w:p w14:paraId="4F29E0F6">
            <w:pPr>
              <w:jc w:val="center"/>
              <w:rPr>
                <w:rFonts w:hint="eastAsia" w:ascii="微软雅黑" w:hAnsi="微软雅黑" w:eastAsia="微软雅黑" w:cs="微软雅黑"/>
                <w:color w:val="auto"/>
                <w:sz w:val="24"/>
                <w:szCs w:val="24"/>
                <w:highlight w:val="none"/>
                <w:vertAlign w:val="baseline"/>
              </w:rPr>
            </w:pPr>
          </w:p>
        </w:tc>
      </w:tr>
      <w:tr w14:paraId="0500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3" w:type="dxa"/>
            <w:vAlign w:val="center"/>
          </w:tcPr>
          <w:p w14:paraId="648E12D7">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序号</w:t>
            </w:r>
          </w:p>
        </w:tc>
        <w:tc>
          <w:tcPr>
            <w:tcW w:w="1374" w:type="dxa"/>
            <w:vAlign w:val="center"/>
          </w:tcPr>
          <w:p w14:paraId="6CFD5A89">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踏勘项目</w:t>
            </w:r>
          </w:p>
        </w:tc>
        <w:tc>
          <w:tcPr>
            <w:tcW w:w="3937" w:type="dxa"/>
            <w:gridSpan w:val="2"/>
            <w:vAlign w:val="center"/>
          </w:tcPr>
          <w:p w14:paraId="2A773D04">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踏勘要求</w:t>
            </w:r>
          </w:p>
        </w:tc>
        <w:tc>
          <w:tcPr>
            <w:tcW w:w="2895" w:type="dxa"/>
            <w:vAlign w:val="center"/>
          </w:tcPr>
          <w:p w14:paraId="765ADC2A">
            <w:pPr>
              <w:jc w:val="center"/>
              <w:rPr>
                <w:rFonts w:hint="eastAsia"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踏勘结果</w:t>
            </w:r>
          </w:p>
        </w:tc>
      </w:tr>
      <w:tr w14:paraId="2DD7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73" w:type="dxa"/>
            <w:vAlign w:val="center"/>
          </w:tcPr>
          <w:p w14:paraId="46B7238C">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1.</w:t>
            </w:r>
          </w:p>
        </w:tc>
        <w:tc>
          <w:tcPr>
            <w:tcW w:w="1374" w:type="dxa"/>
            <w:vAlign w:val="center"/>
          </w:tcPr>
          <w:p w14:paraId="49287514">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施工范围</w:t>
            </w:r>
          </w:p>
        </w:tc>
        <w:tc>
          <w:tcPr>
            <w:tcW w:w="3937" w:type="dxa"/>
            <w:gridSpan w:val="2"/>
            <w:vAlign w:val="center"/>
          </w:tcPr>
          <w:p w14:paraId="654BAD8A">
            <w:pPr>
              <w:numPr>
                <w:ilvl w:val="0"/>
                <w:numId w:val="0"/>
              </w:numPr>
              <w:jc w:val="left"/>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确保施工范围完全满足磋商文件要求或高于磋商文件要求；</w:t>
            </w:r>
          </w:p>
        </w:tc>
        <w:tc>
          <w:tcPr>
            <w:tcW w:w="2895" w:type="dxa"/>
            <w:vAlign w:val="center"/>
          </w:tcPr>
          <w:p w14:paraId="72EF008A">
            <w:pPr>
              <w:numPr>
                <w:ilvl w:val="0"/>
                <w:numId w:val="0"/>
              </w:numPr>
              <w:jc w:val="center"/>
              <w:rPr>
                <w:rFonts w:hint="default" w:ascii="微软雅黑" w:hAnsi="微软雅黑" w:eastAsia="微软雅黑" w:cs="微软雅黑"/>
                <w:color w:val="auto"/>
                <w:sz w:val="24"/>
                <w:szCs w:val="24"/>
                <w:highlight w:val="none"/>
                <w:vertAlign w:val="baseline"/>
                <w:lang w:val="en-US" w:eastAsia="zh-CN"/>
              </w:rPr>
            </w:pPr>
          </w:p>
        </w:tc>
      </w:tr>
      <w:tr w14:paraId="38C1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jc w:val="center"/>
        </w:trPr>
        <w:tc>
          <w:tcPr>
            <w:tcW w:w="873" w:type="dxa"/>
            <w:vAlign w:val="center"/>
          </w:tcPr>
          <w:p w14:paraId="61FB0622">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2.</w:t>
            </w:r>
          </w:p>
        </w:tc>
        <w:tc>
          <w:tcPr>
            <w:tcW w:w="1374" w:type="dxa"/>
            <w:vAlign w:val="center"/>
          </w:tcPr>
          <w:p w14:paraId="4B0EE674">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踏勘时供应商需携带的样品</w:t>
            </w:r>
          </w:p>
        </w:tc>
        <w:tc>
          <w:tcPr>
            <w:tcW w:w="3937" w:type="dxa"/>
            <w:gridSpan w:val="2"/>
            <w:vAlign w:val="center"/>
          </w:tcPr>
          <w:p w14:paraId="5D8D4AA7">
            <w:pPr>
              <w:numPr>
                <w:ilvl w:val="0"/>
                <w:numId w:val="6"/>
              </w:numPr>
              <w:jc w:val="left"/>
              <w:rPr>
                <w:rFonts w:hint="eastAsia"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EPP积木：通过玩具安全标准，0甲醛/0重金属，生产能耗比EPS（泡沫塑料）低30%。</w:t>
            </w:r>
          </w:p>
          <w:p w14:paraId="6110045A">
            <w:pPr>
              <w:numPr>
                <w:ilvl w:val="0"/>
                <w:numId w:val="6"/>
              </w:numPr>
              <w:jc w:val="left"/>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优良木材：无毒无味，无甲醛等有害物质释放经过特殊防水、防紫外线处理工艺，具备优异的防雨、防爆晒性能</w:t>
            </w:r>
          </w:p>
          <w:p w14:paraId="1A3FB982">
            <w:pPr>
              <w:pStyle w:val="2"/>
              <w:numPr>
                <w:ilvl w:val="0"/>
                <w:numId w:val="6"/>
              </w:numPr>
              <w:ind w:left="0" w:leftChars="0" w:firstLine="0" w:firstLineChars="0"/>
              <w:rPr>
                <w:rFonts w:hint="eastAsia" w:ascii="微软雅黑" w:hAnsi="微软雅黑" w:eastAsia="微软雅黑" w:cs="微软雅黑"/>
                <w:color w:val="auto"/>
                <w:kern w:val="2"/>
                <w:sz w:val="24"/>
                <w:szCs w:val="24"/>
                <w:highlight w:val="none"/>
                <w:vertAlign w:val="baseline"/>
                <w:lang w:val="en-US" w:eastAsia="zh-CN" w:bidi="ar-SA"/>
              </w:rPr>
            </w:pPr>
            <w:r>
              <w:rPr>
                <w:rFonts w:hint="eastAsia" w:ascii="微软雅黑" w:hAnsi="微软雅黑" w:eastAsia="微软雅黑" w:cs="微软雅黑"/>
                <w:color w:val="auto"/>
                <w:sz w:val="24"/>
                <w:szCs w:val="24"/>
                <w:highlight w:val="none"/>
                <w:vertAlign w:val="baseline"/>
                <w:lang w:val="en-US" w:eastAsia="zh-CN"/>
              </w:rPr>
              <w:t>漆料：环保涂鸦漆、清漆、油漆、具有良好的耐候性、耐水性和耐擦洗性</w:t>
            </w:r>
            <w:r>
              <w:rPr>
                <w:rFonts w:hint="eastAsia" w:ascii="微软雅黑" w:hAnsi="微软雅黑" w:eastAsia="微软雅黑" w:cs="微软雅黑"/>
                <w:color w:val="auto"/>
                <w:kern w:val="2"/>
                <w:sz w:val="24"/>
                <w:szCs w:val="24"/>
                <w:highlight w:val="none"/>
                <w:vertAlign w:val="baseline"/>
                <w:lang w:val="en-US" w:eastAsia="zh-CN" w:bidi="ar-SA"/>
              </w:rPr>
              <w:t>，无毒无味，符合国家环保标准。</w:t>
            </w:r>
          </w:p>
          <w:p w14:paraId="26771857">
            <w:pPr>
              <w:numPr>
                <w:ilvl w:val="0"/>
                <w:numId w:val="6"/>
              </w:numPr>
              <w:jc w:val="left"/>
              <w:rPr>
                <w:rFonts w:hint="default" w:ascii="微软雅黑" w:hAnsi="微软雅黑" w:eastAsia="微软雅黑" w:cs="微软雅黑"/>
                <w:color w:val="auto"/>
                <w:kern w:val="2"/>
                <w:sz w:val="24"/>
                <w:szCs w:val="24"/>
                <w:highlight w:val="none"/>
                <w:vertAlign w:val="baseline"/>
                <w:lang w:val="en-US" w:eastAsia="zh-CN" w:bidi="ar-SA"/>
              </w:rPr>
            </w:pPr>
            <w:r>
              <w:rPr>
                <w:rFonts w:hint="default" w:ascii="微软雅黑" w:hAnsi="微软雅黑" w:eastAsia="微软雅黑" w:cs="微软雅黑"/>
                <w:color w:val="auto"/>
                <w:kern w:val="2"/>
                <w:sz w:val="24"/>
                <w:szCs w:val="24"/>
                <w:highlight w:val="none"/>
                <w:vertAlign w:val="baseline"/>
                <w:lang w:val="en-US" w:eastAsia="zh-CN" w:bidi="ar-SA"/>
              </w:rPr>
              <w:t>石材</w:t>
            </w:r>
            <w:r>
              <w:rPr>
                <w:rFonts w:hint="eastAsia" w:ascii="微软雅黑" w:hAnsi="微软雅黑" w:eastAsia="微软雅黑" w:cs="微软雅黑"/>
                <w:color w:val="auto"/>
                <w:kern w:val="2"/>
                <w:sz w:val="24"/>
                <w:szCs w:val="24"/>
                <w:highlight w:val="none"/>
                <w:vertAlign w:val="baseline"/>
                <w:lang w:val="en-US" w:eastAsia="zh-CN" w:bidi="ar-SA"/>
              </w:rPr>
              <w:t>：人造大理石，表面光滑无裂纹，抗污性强，通过国家A类石材放射性标准</w:t>
            </w:r>
          </w:p>
          <w:p w14:paraId="62A6562E">
            <w:pPr>
              <w:pStyle w:val="2"/>
              <w:rPr>
                <w:rFonts w:hint="default"/>
                <w:highlight w:val="none"/>
                <w:lang w:val="en-US" w:eastAsia="zh-CN"/>
              </w:rPr>
            </w:pPr>
            <w:r>
              <w:rPr>
                <w:rFonts w:hint="eastAsia" w:ascii="微软雅黑" w:hAnsi="微软雅黑" w:eastAsia="微软雅黑" w:cs="微软雅黑"/>
                <w:color w:val="auto"/>
                <w:kern w:val="2"/>
                <w:sz w:val="24"/>
                <w:szCs w:val="24"/>
                <w:highlight w:val="none"/>
                <w:vertAlign w:val="baseline"/>
                <w:lang w:val="en-US" w:eastAsia="zh-CN" w:bidi="ar-SA"/>
              </w:rPr>
              <w:t>5.管材：</w:t>
            </w:r>
            <w:r>
              <w:rPr>
                <w:rFonts w:hint="default" w:ascii="微软雅黑" w:hAnsi="微软雅黑" w:eastAsia="微软雅黑" w:cs="微软雅黑"/>
                <w:color w:val="auto"/>
                <w:kern w:val="2"/>
                <w:sz w:val="24"/>
                <w:szCs w:val="24"/>
                <w:highlight w:val="none"/>
                <w:vertAlign w:val="baseline"/>
                <w:lang w:val="en-US" w:eastAsia="zh-CN" w:bidi="ar-SA"/>
              </w:rPr>
              <w:t>食品级PPR管</w:t>
            </w:r>
            <w:r>
              <w:rPr>
                <w:rFonts w:hint="eastAsia" w:ascii="微软雅黑" w:hAnsi="微软雅黑" w:eastAsia="微软雅黑" w:cs="微软雅黑"/>
                <w:color w:val="auto"/>
                <w:kern w:val="2"/>
                <w:sz w:val="24"/>
                <w:szCs w:val="24"/>
                <w:highlight w:val="none"/>
                <w:vertAlign w:val="baseline"/>
                <w:lang w:val="en-US" w:eastAsia="zh-CN" w:bidi="ar-SA"/>
              </w:rPr>
              <w:t>，PVC-U排水管、PPR热熔管件通过国家标准。</w:t>
            </w:r>
          </w:p>
        </w:tc>
        <w:tc>
          <w:tcPr>
            <w:tcW w:w="2895" w:type="dxa"/>
            <w:vAlign w:val="center"/>
          </w:tcPr>
          <w:p w14:paraId="45562B6F">
            <w:pPr>
              <w:numPr>
                <w:ilvl w:val="0"/>
                <w:numId w:val="0"/>
              </w:numPr>
              <w:jc w:val="center"/>
              <w:rPr>
                <w:rFonts w:hint="default" w:ascii="微软雅黑" w:hAnsi="微软雅黑" w:eastAsia="微软雅黑" w:cs="微软雅黑"/>
                <w:color w:val="auto"/>
                <w:sz w:val="24"/>
                <w:szCs w:val="24"/>
                <w:highlight w:val="none"/>
                <w:vertAlign w:val="baseline"/>
                <w:lang w:val="en-US" w:eastAsia="zh-CN"/>
              </w:rPr>
            </w:pPr>
          </w:p>
        </w:tc>
      </w:tr>
      <w:tr w14:paraId="6D52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247" w:type="dxa"/>
            <w:gridSpan w:val="2"/>
            <w:vAlign w:val="center"/>
          </w:tcPr>
          <w:p w14:paraId="00894FCB">
            <w:pPr>
              <w:jc w:val="center"/>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结论</w:t>
            </w:r>
          </w:p>
        </w:tc>
        <w:tc>
          <w:tcPr>
            <w:tcW w:w="6832" w:type="dxa"/>
            <w:gridSpan w:val="3"/>
            <w:vAlign w:val="top"/>
          </w:tcPr>
          <w:p w14:paraId="2855B93C">
            <w:pPr>
              <w:jc w:val="both"/>
              <w:rPr>
                <w:rFonts w:hint="default" w:ascii="微软雅黑" w:hAnsi="微软雅黑" w:eastAsia="微软雅黑" w:cs="微软雅黑"/>
                <w:color w:val="auto"/>
                <w:sz w:val="24"/>
                <w:szCs w:val="24"/>
                <w:highlight w:val="none"/>
                <w:vertAlign w:val="baseline"/>
                <w:lang w:val="en-US" w:eastAsia="zh-CN"/>
              </w:rPr>
            </w:pPr>
            <w:r>
              <w:rPr>
                <w:rFonts w:hint="default" w:ascii="微软雅黑" w:hAnsi="微软雅黑" w:eastAsia="微软雅黑" w:cs="微软雅黑"/>
                <w:color w:val="auto"/>
                <w:sz w:val="24"/>
                <w:szCs w:val="24"/>
                <w:highlight w:val="none"/>
                <w:vertAlign w:val="baseline"/>
                <w:lang w:val="en-US" w:eastAsia="zh-CN"/>
              </w:rPr>
              <w:t>经现场踏勘，我方对该项目现场</w:t>
            </w:r>
            <w:r>
              <w:rPr>
                <w:rFonts w:hint="eastAsia" w:ascii="微软雅黑" w:hAnsi="微软雅黑" w:eastAsia="微软雅黑" w:cs="微软雅黑"/>
                <w:color w:val="auto"/>
                <w:sz w:val="24"/>
                <w:szCs w:val="24"/>
                <w:highlight w:val="none"/>
                <w:vertAlign w:val="baseline"/>
                <w:lang w:val="en-US" w:eastAsia="zh-CN"/>
              </w:rPr>
              <w:t>的</w:t>
            </w:r>
            <w:r>
              <w:rPr>
                <w:rFonts w:hint="default" w:ascii="微软雅黑" w:hAnsi="微软雅黑" w:eastAsia="微软雅黑" w:cs="微软雅黑"/>
                <w:color w:val="auto"/>
                <w:sz w:val="24"/>
                <w:szCs w:val="24"/>
                <w:highlight w:val="none"/>
                <w:vertAlign w:val="baseline"/>
                <w:lang w:val="en-US" w:eastAsia="zh-CN"/>
              </w:rPr>
              <w:t>现状已充分了解，</w:t>
            </w:r>
            <w:r>
              <w:rPr>
                <w:rFonts w:hint="eastAsia" w:ascii="微软雅黑" w:hAnsi="微软雅黑" w:eastAsia="微软雅黑" w:cs="微软雅黑"/>
                <w:color w:val="auto"/>
                <w:sz w:val="24"/>
                <w:szCs w:val="24"/>
                <w:highlight w:val="none"/>
                <w:vertAlign w:val="baseline"/>
                <w:lang w:val="en-US" w:eastAsia="zh-CN"/>
              </w:rPr>
              <w:t>施工范围及施工样品设备均</w:t>
            </w:r>
            <w:r>
              <w:rPr>
                <w:rFonts w:hint="default" w:ascii="微软雅黑" w:hAnsi="微软雅黑" w:eastAsia="微软雅黑" w:cs="微软雅黑"/>
                <w:color w:val="auto"/>
                <w:sz w:val="24"/>
                <w:szCs w:val="24"/>
                <w:highlight w:val="none"/>
                <w:vertAlign w:val="baseline"/>
                <w:lang w:val="en-US" w:eastAsia="zh-CN"/>
              </w:rPr>
              <w:t>能</w:t>
            </w:r>
            <w:r>
              <w:rPr>
                <w:rFonts w:hint="eastAsia" w:ascii="微软雅黑" w:hAnsi="微软雅黑" w:eastAsia="微软雅黑" w:cs="微软雅黑"/>
                <w:color w:val="auto"/>
                <w:sz w:val="24"/>
                <w:szCs w:val="24"/>
                <w:highlight w:val="none"/>
                <w:vertAlign w:val="baseline"/>
                <w:lang w:val="en-US" w:eastAsia="zh-CN"/>
              </w:rPr>
              <w:t>符合磋商文件要求，</w:t>
            </w:r>
            <w:r>
              <w:rPr>
                <w:rFonts w:hint="default" w:ascii="微软雅黑" w:hAnsi="微软雅黑" w:eastAsia="微软雅黑" w:cs="微软雅黑"/>
                <w:color w:val="auto"/>
                <w:sz w:val="24"/>
                <w:szCs w:val="24"/>
                <w:highlight w:val="none"/>
                <w:vertAlign w:val="baseline"/>
                <w:lang w:val="en-US" w:eastAsia="zh-CN"/>
              </w:rPr>
              <w:t>我方愿意遵守和执行本确认书的内容。</w:t>
            </w:r>
          </w:p>
        </w:tc>
      </w:tr>
      <w:tr w14:paraId="41A3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4342" w:type="dxa"/>
            <w:gridSpan w:val="3"/>
            <w:vAlign w:val="top"/>
          </w:tcPr>
          <w:p w14:paraId="7CA96433">
            <w:pPr>
              <w:jc w:val="both"/>
              <w:rPr>
                <w:rFonts w:hint="eastAsia" w:ascii="微软雅黑" w:hAnsi="微软雅黑" w:eastAsia="微软雅黑" w:cs="微软雅黑"/>
                <w:color w:val="auto"/>
                <w:kern w:val="2"/>
                <w:sz w:val="24"/>
                <w:szCs w:val="24"/>
                <w:highlight w:val="none"/>
                <w:vertAlign w:val="baseline"/>
                <w:lang w:val="en-US" w:eastAsia="zh-CN" w:bidi="ar-SA"/>
              </w:rPr>
            </w:pPr>
            <w:r>
              <w:rPr>
                <w:rFonts w:hint="eastAsia" w:ascii="微软雅黑" w:hAnsi="微软雅黑" w:eastAsia="微软雅黑" w:cs="微软雅黑"/>
                <w:color w:val="auto"/>
                <w:kern w:val="2"/>
                <w:sz w:val="24"/>
                <w:szCs w:val="24"/>
                <w:highlight w:val="none"/>
                <w:vertAlign w:val="baseline"/>
                <w:lang w:val="en-US" w:eastAsia="zh-CN" w:bidi="ar-SA"/>
              </w:rPr>
              <w:t>投标单位名称：</w:t>
            </w:r>
          </w:p>
          <w:p w14:paraId="5D59EA41">
            <w:pPr>
              <w:jc w:val="both"/>
              <w:rPr>
                <w:rFonts w:hint="eastAsia" w:ascii="微软雅黑" w:hAnsi="微软雅黑" w:eastAsia="微软雅黑" w:cs="微软雅黑"/>
                <w:color w:val="auto"/>
                <w:kern w:val="2"/>
                <w:sz w:val="24"/>
                <w:szCs w:val="24"/>
                <w:highlight w:val="none"/>
                <w:vertAlign w:val="baseline"/>
                <w:lang w:val="en-US" w:eastAsia="zh-CN" w:bidi="ar-SA"/>
              </w:rPr>
            </w:pPr>
          </w:p>
          <w:p w14:paraId="3070B91B">
            <w:pPr>
              <w:jc w:val="both"/>
              <w:rPr>
                <w:rFonts w:hint="eastAsia" w:ascii="微软雅黑" w:hAnsi="微软雅黑" w:eastAsia="微软雅黑" w:cs="微软雅黑"/>
                <w:color w:val="auto"/>
                <w:kern w:val="2"/>
                <w:sz w:val="24"/>
                <w:szCs w:val="24"/>
                <w:highlight w:val="none"/>
                <w:vertAlign w:val="baseline"/>
                <w:lang w:val="en-US" w:eastAsia="zh-CN" w:bidi="ar-SA"/>
              </w:rPr>
            </w:pPr>
          </w:p>
          <w:p w14:paraId="5EDD87CE">
            <w:pPr>
              <w:jc w:val="both"/>
              <w:rPr>
                <w:rFonts w:hint="default" w:ascii="微软雅黑" w:hAnsi="微软雅黑" w:eastAsia="微软雅黑" w:cs="微软雅黑"/>
                <w:color w:val="auto"/>
                <w:kern w:val="2"/>
                <w:sz w:val="24"/>
                <w:szCs w:val="24"/>
                <w:highlight w:val="none"/>
                <w:vertAlign w:val="baseline"/>
                <w:lang w:val="en-US" w:eastAsia="zh-CN" w:bidi="ar-SA"/>
              </w:rPr>
            </w:pPr>
            <w:r>
              <w:rPr>
                <w:rFonts w:hint="eastAsia" w:ascii="微软雅黑" w:hAnsi="微软雅黑" w:eastAsia="微软雅黑" w:cs="微软雅黑"/>
                <w:color w:val="auto"/>
                <w:kern w:val="2"/>
                <w:sz w:val="24"/>
                <w:szCs w:val="24"/>
                <w:highlight w:val="none"/>
                <w:vertAlign w:val="baseline"/>
                <w:lang w:val="en-US" w:eastAsia="zh-CN" w:bidi="ar-SA"/>
              </w:rPr>
              <w:t>日 期：</w:t>
            </w:r>
          </w:p>
        </w:tc>
        <w:tc>
          <w:tcPr>
            <w:tcW w:w="4737" w:type="dxa"/>
            <w:gridSpan w:val="2"/>
            <w:vAlign w:val="top"/>
          </w:tcPr>
          <w:p w14:paraId="2A854F2D">
            <w:pPr>
              <w:jc w:val="both"/>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甲方单位签字：</w:t>
            </w:r>
          </w:p>
          <w:p w14:paraId="46AE5CE4">
            <w:pPr>
              <w:jc w:val="both"/>
              <w:rPr>
                <w:rFonts w:hint="eastAsia" w:ascii="微软雅黑" w:hAnsi="微软雅黑" w:eastAsia="微软雅黑" w:cs="微软雅黑"/>
                <w:color w:val="auto"/>
                <w:sz w:val="24"/>
                <w:szCs w:val="24"/>
                <w:highlight w:val="none"/>
                <w:vertAlign w:val="baseline"/>
                <w:lang w:val="en-US" w:eastAsia="zh-CN"/>
              </w:rPr>
            </w:pPr>
          </w:p>
          <w:p w14:paraId="140ED80A">
            <w:pPr>
              <w:jc w:val="both"/>
              <w:rPr>
                <w:rFonts w:hint="eastAsia" w:ascii="微软雅黑" w:hAnsi="微软雅黑" w:eastAsia="微软雅黑" w:cs="微软雅黑"/>
                <w:color w:val="auto"/>
                <w:sz w:val="24"/>
                <w:szCs w:val="24"/>
                <w:highlight w:val="none"/>
                <w:vertAlign w:val="baseline"/>
                <w:lang w:val="en-US" w:eastAsia="zh-CN"/>
              </w:rPr>
            </w:pPr>
          </w:p>
          <w:p w14:paraId="60D99B0B">
            <w:pPr>
              <w:jc w:val="both"/>
              <w:rPr>
                <w:rFonts w:hint="default" w:ascii="微软雅黑" w:hAnsi="微软雅黑" w:eastAsia="微软雅黑" w:cs="微软雅黑"/>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日 期：</w:t>
            </w:r>
          </w:p>
        </w:tc>
      </w:tr>
    </w:tbl>
    <w:p w14:paraId="4C614E85">
      <w:pPr>
        <w:rPr>
          <w:rFonts w:ascii="微软雅黑" w:hAnsi="微软雅黑" w:eastAsia="微软雅黑" w:cs="微软雅黑"/>
          <w:highlight w:val="none"/>
        </w:rPr>
      </w:pPr>
    </w:p>
    <w:bookmarkEnd w:id="730"/>
    <w:p w14:paraId="6F908FFE">
      <w:pPr>
        <w:rPr>
          <w:rFonts w:hint="eastAsia" w:ascii="微软雅黑" w:hAnsi="微软雅黑" w:eastAsia="微软雅黑" w:cs="微软雅黑"/>
          <w:b/>
          <w:kern w:val="0"/>
          <w:sz w:val="30"/>
          <w:szCs w:val="20"/>
          <w:highlight w:val="none"/>
          <w:lang w:val="en-US" w:eastAsia="zh-CN" w:bidi="ar-SA"/>
        </w:rPr>
      </w:pPr>
      <w:bookmarkStart w:id="880" w:name="_Toc4732"/>
      <w:bookmarkStart w:id="881" w:name="_Toc6731"/>
      <w:bookmarkStart w:id="882" w:name="_Toc8789"/>
      <w:r>
        <w:rPr>
          <w:rFonts w:hint="eastAsia" w:ascii="微软雅黑" w:hAnsi="微软雅黑" w:eastAsia="微软雅黑" w:cs="微软雅黑"/>
          <w:b/>
          <w:kern w:val="0"/>
          <w:sz w:val="30"/>
          <w:szCs w:val="20"/>
          <w:highlight w:val="none"/>
          <w:lang w:val="en-US" w:eastAsia="zh-CN" w:bidi="ar-SA"/>
        </w:rPr>
        <w:br w:type="page"/>
      </w:r>
    </w:p>
    <w:p w14:paraId="36746F6C">
      <w:pPr>
        <w:pStyle w:val="9"/>
        <w:ind w:left="0" w:leftChars="0" w:firstLine="0" w:firstLineChars="0"/>
        <w:jc w:val="center"/>
        <w:outlineLvl w:val="2"/>
        <w:rPr>
          <w:rFonts w:hint="eastAsia" w:ascii="微软雅黑" w:hAnsi="微软雅黑" w:eastAsia="微软雅黑" w:cs="微软雅黑"/>
          <w:b/>
          <w:kern w:val="0"/>
          <w:sz w:val="30"/>
          <w:szCs w:val="20"/>
          <w:highlight w:val="none"/>
          <w:lang w:val="en-US" w:eastAsia="zh-CN" w:bidi="ar-SA"/>
        </w:rPr>
      </w:pPr>
      <w:r>
        <w:rPr>
          <w:rFonts w:hint="eastAsia" w:ascii="微软雅黑" w:hAnsi="微软雅黑" w:eastAsia="微软雅黑" w:cs="微软雅黑"/>
          <w:b/>
          <w:kern w:val="0"/>
          <w:sz w:val="30"/>
          <w:szCs w:val="20"/>
          <w:highlight w:val="none"/>
          <w:lang w:val="en-US" w:eastAsia="zh-CN" w:bidi="ar-SA"/>
        </w:rPr>
        <w:t>13.二轮报价表（此表用于磋商现场）</w:t>
      </w:r>
      <w:bookmarkEnd w:id="880"/>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48E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528" w:type="dxa"/>
            <w:shd w:val="clear" w:color="auto" w:fill="auto"/>
            <w:vAlign w:val="center"/>
          </w:tcPr>
          <w:p w14:paraId="4E1FA980">
            <w:pPr>
              <w:widowControl/>
              <w:jc w:val="center"/>
              <w:textAlignment w:val="center"/>
              <w:rPr>
                <w:rFonts w:ascii="微软雅黑" w:hAnsi="微软雅黑" w:eastAsia="微软雅黑" w:cs="微软雅黑"/>
                <w:b/>
                <w:bCs/>
                <w:sz w:val="24"/>
                <w:highlight w:val="none"/>
              </w:rPr>
            </w:pPr>
            <w:r>
              <w:rPr>
                <w:rFonts w:hint="eastAsia" w:ascii="微软雅黑" w:hAnsi="微软雅黑" w:eastAsia="微软雅黑" w:cs="微软雅黑"/>
                <w:b/>
                <w:bCs/>
                <w:kern w:val="0"/>
                <w:sz w:val="24"/>
                <w:highlight w:val="none"/>
              </w:rPr>
              <w:t>第二轮报价</w:t>
            </w:r>
          </w:p>
        </w:tc>
      </w:tr>
      <w:tr w14:paraId="7EC9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8" w:type="dxa"/>
            <w:shd w:val="clear" w:color="auto" w:fill="auto"/>
            <w:vAlign w:val="center"/>
          </w:tcPr>
          <w:p w14:paraId="7A03C605">
            <w:pPr>
              <w:widowControl/>
              <w:jc w:val="left"/>
              <w:textAlignment w:val="center"/>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供应商名称（盖章）：</w:t>
            </w:r>
          </w:p>
        </w:tc>
      </w:tr>
      <w:tr w14:paraId="2E58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528" w:type="dxa"/>
            <w:shd w:val="clear" w:color="auto" w:fill="auto"/>
            <w:vAlign w:val="center"/>
          </w:tcPr>
          <w:p w14:paraId="1CEA514E">
            <w:pPr>
              <w:widowControl/>
              <w:jc w:val="left"/>
              <w:textAlignment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xml:space="preserve">最终报价：小写：                     </w:t>
            </w:r>
          </w:p>
          <w:p w14:paraId="562C147D">
            <w:pPr>
              <w:widowControl/>
              <w:jc w:val="left"/>
              <w:textAlignment w:val="center"/>
              <w:rPr>
                <w:rFonts w:ascii="微软雅黑" w:hAnsi="微软雅黑" w:eastAsia="微软雅黑" w:cs="微软雅黑"/>
                <w:kern w:val="0"/>
                <w:sz w:val="24"/>
                <w:highlight w:val="none"/>
              </w:rPr>
            </w:pPr>
          </w:p>
          <w:p w14:paraId="1366696B">
            <w:pPr>
              <w:widowControl/>
              <w:jc w:val="left"/>
              <w:textAlignment w:val="center"/>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 xml:space="preserve">          大写：</w:t>
            </w:r>
          </w:p>
        </w:tc>
      </w:tr>
      <w:tr w14:paraId="2A9F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8528" w:type="dxa"/>
            <w:shd w:val="clear" w:color="auto" w:fill="auto"/>
            <w:vAlign w:val="center"/>
          </w:tcPr>
          <w:p w14:paraId="64D5287A">
            <w:pPr>
              <w:widowControl/>
              <w:jc w:val="left"/>
              <w:textAlignment w:val="center"/>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xml:space="preserve">法定代表人电子签章：                                         </w:t>
            </w:r>
          </w:p>
          <w:p w14:paraId="26C453CA">
            <w:pPr>
              <w:widowControl/>
              <w:jc w:val="left"/>
              <w:textAlignment w:val="center"/>
              <w:rPr>
                <w:rFonts w:ascii="微软雅黑" w:hAnsi="微软雅黑" w:eastAsia="微软雅黑" w:cs="微软雅黑"/>
                <w:kern w:val="0"/>
                <w:sz w:val="24"/>
                <w:highlight w:val="none"/>
              </w:rPr>
            </w:pPr>
          </w:p>
          <w:p w14:paraId="046349B9">
            <w:pPr>
              <w:widowControl/>
              <w:ind w:firstLine="480" w:firstLineChars="200"/>
              <w:jc w:val="left"/>
              <w:textAlignment w:val="center"/>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年   月   日</w:t>
            </w:r>
          </w:p>
        </w:tc>
      </w:tr>
    </w:tbl>
    <w:p w14:paraId="268A254C">
      <w:pPr>
        <w:pStyle w:val="8"/>
        <w:spacing w:line="440" w:lineRule="exact"/>
        <w:ind w:firstLine="0"/>
        <w:rPr>
          <w:rFonts w:ascii="微软雅黑" w:hAnsi="微软雅黑" w:eastAsia="微软雅黑" w:cs="微软雅黑"/>
          <w:b/>
          <w:color w:val="000000" w:themeColor="text1"/>
          <w:szCs w:val="24"/>
          <w:highlight w:val="none"/>
          <w14:textFill>
            <w14:solidFill>
              <w14:schemeClr w14:val="tx1"/>
            </w14:solidFill>
          </w14:textFill>
        </w:rPr>
      </w:pPr>
      <w:r>
        <w:rPr>
          <w:rFonts w:hint="eastAsia" w:ascii="微软雅黑" w:hAnsi="微软雅黑" w:eastAsia="微软雅黑" w:cs="微软雅黑"/>
          <w:b/>
          <w:color w:val="000000" w:themeColor="text1"/>
          <w:szCs w:val="24"/>
          <w:highlight w:val="none"/>
          <w14:textFill>
            <w14:solidFill>
              <w14:schemeClr w14:val="tx1"/>
            </w14:solidFill>
          </w14:textFill>
        </w:rPr>
        <w:t>注：1、二轮报价不得高于第一轮报价；</w:t>
      </w:r>
    </w:p>
    <w:p w14:paraId="6692C18D">
      <w:pPr>
        <w:pStyle w:val="8"/>
        <w:spacing w:line="440" w:lineRule="exact"/>
        <w:rPr>
          <w:rFonts w:ascii="微软雅黑" w:hAnsi="微软雅黑" w:eastAsia="微软雅黑" w:cs="微软雅黑"/>
          <w:b/>
          <w:color w:val="000000" w:themeColor="text1"/>
          <w:szCs w:val="24"/>
          <w:highlight w:val="none"/>
          <w14:textFill>
            <w14:solidFill>
              <w14:schemeClr w14:val="tx1"/>
            </w14:solidFill>
          </w14:textFill>
        </w:rPr>
      </w:pPr>
      <w:r>
        <w:rPr>
          <w:rFonts w:hint="eastAsia" w:ascii="微软雅黑" w:hAnsi="微软雅黑" w:eastAsia="微软雅黑" w:cs="微软雅黑"/>
          <w:b/>
          <w:color w:val="000000" w:themeColor="text1"/>
          <w:szCs w:val="24"/>
          <w:highlight w:val="none"/>
          <w14:textFill>
            <w14:solidFill>
              <w14:schemeClr w14:val="tx1"/>
            </w14:solidFill>
          </w14:textFill>
        </w:rPr>
        <w:t>2、二轮报价为最终报价，须在接到报价邀请后</w:t>
      </w:r>
      <w:r>
        <w:rPr>
          <w:rFonts w:hint="eastAsia" w:ascii="微软雅黑" w:hAnsi="微软雅黑" w:eastAsia="微软雅黑" w:cs="微软雅黑"/>
          <w:b/>
          <w:color w:val="000000" w:themeColor="text1"/>
          <w:szCs w:val="24"/>
          <w:highlight w:val="none"/>
          <w:lang w:val="en-US" w:eastAsia="zh-CN"/>
          <w14:textFill>
            <w14:solidFill>
              <w14:schemeClr w14:val="tx1"/>
            </w14:solidFill>
          </w14:textFill>
        </w:rPr>
        <w:t>三</w:t>
      </w:r>
      <w:r>
        <w:rPr>
          <w:rFonts w:hint="eastAsia" w:ascii="微软雅黑" w:hAnsi="微软雅黑" w:eastAsia="微软雅黑" w:cs="微软雅黑"/>
          <w:b/>
          <w:color w:val="000000" w:themeColor="text1"/>
          <w:szCs w:val="24"/>
          <w:highlight w:val="none"/>
          <w14:textFill>
            <w14:solidFill>
              <w14:schemeClr w14:val="tx1"/>
            </w14:solidFill>
          </w14:textFill>
        </w:rPr>
        <w:t>十分钟内上传本“二轮报价</w:t>
      </w:r>
      <w:r>
        <w:rPr>
          <w:rFonts w:hint="eastAsia" w:ascii="微软雅黑" w:hAnsi="微软雅黑" w:eastAsia="微软雅黑" w:cs="微软雅黑"/>
          <w:b/>
          <w:color w:val="000000" w:themeColor="text1"/>
          <w:szCs w:val="24"/>
          <w:highlight w:val="none"/>
          <w:lang w:val="en-US" w:eastAsia="zh-CN"/>
          <w14:textFill>
            <w14:solidFill>
              <w14:schemeClr w14:val="tx1"/>
            </w14:solidFill>
          </w14:textFill>
        </w:rPr>
        <w:t>表</w:t>
      </w:r>
      <w:r>
        <w:rPr>
          <w:rFonts w:hint="eastAsia" w:ascii="微软雅黑" w:hAnsi="微软雅黑" w:eastAsia="微软雅黑" w:cs="微软雅黑"/>
          <w:b/>
          <w:color w:val="000000" w:themeColor="text1"/>
          <w:szCs w:val="24"/>
          <w:highlight w:val="none"/>
          <w14:textFill>
            <w14:solidFill>
              <w14:schemeClr w14:val="tx1"/>
            </w14:solidFill>
          </w14:textFill>
        </w:rPr>
        <w:t>”否则视为放弃二轮报价机会。</w:t>
      </w:r>
    </w:p>
    <w:p w14:paraId="473A285D">
      <w:pPr>
        <w:pStyle w:val="8"/>
        <w:spacing w:line="440" w:lineRule="exact"/>
        <w:rPr>
          <w:rFonts w:ascii="微软雅黑" w:hAnsi="微软雅黑" w:eastAsia="微软雅黑" w:cs="微软雅黑"/>
          <w:b/>
          <w:color w:val="000000" w:themeColor="text1"/>
          <w:szCs w:val="24"/>
          <w:highlight w:val="none"/>
          <w14:textFill>
            <w14:solidFill>
              <w14:schemeClr w14:val="tx1"/>
            </w14:solidFill>
          </w14:textFill>
        </w:rPr>
      </w:pPr>
      <w:r>
        <w:rPr>
          <w:rFonts w:hint="eastAsia" w:ascii="微软雅黑" w:hAnsi="微软雅黑" w:eastAsia="微软雅黑" w:cs="微软雅黑"/>
          <w:b/>
          <w:color w:val="000000" w:themeColor="text1"/>
          <w:szCs w:val="24"/>
          <w:highlight w:val="none"/>
          <w14:textFill>
            <w14:solidFill>
              <w14:schemeClr w14:val="tx1"/>
            </w14:solidFill>
          </w14:textFill>
        </w:rPr>
        <w:t>3、根据《中华人民共和国招标投标法》第三十三条 投标人不得以低于成本的报价竞标；第四十一条中标人的投标应当符合下列条件之一：（二）能够满足招标文件的实质性要求，并且经评审的投标价格最低；但是投标价格低于成本的除外的相关规定；本</w:t>
      </w:r>
      <w:r>
        <w:rPr>
          <w:rFonts w:hint="eastAsia" w:ascii="微软雅黑" w:hAnsi="微软雅黑" w:eastAsia="微软雅黑" w:cs="微软雅黑"/>
          <w:b/>
          <w:color w:val="000000" w:themeColor="text1"/>
          <w:szCs w:val="24"/>
          <w:highlight w:val="none"/>
          <w:lang w:val="en-US" w:eastAsia="zh-CN"/>
          <w14:textFill>
            <w14:solidFill>
              <w14:schemeClr w14:val="tx1"/>
            </w14:solidFill>
          </w14:textFill>
        </w:rPr>
        <w:t>项目</w:t>
      </w:r>
      <w:r>
        <w:rPr>
          <w:rFonts w:hint="eastAsia" w:ascii="微软雅黑" w:hAnsi="微软雅黑" w:eastAsia="微软雅黑" w:cs="微软雅黑"/>
          <w:b/>
          <w:color w:val="000000" w:themeColor="text1"/>
          <w:szCs w:val="24"/>
          <w:highlight w:val="none"/>
          <w14:textFill>
            <w14:solidFill>
              <w14:schemeClr w14:val="tx1"/>
            </w14:solidFill>
          </w14:textFill>
        </w:rPr>
        <w:t>工程</w:t>
      </w:r>
      <w:r>
        <w:rPr>
          <w:rFonts w:hint="eastAsia" w:ascii="微软雅黑" w:hAnsi="微软雅黑" w:eastAsia="微软雅黑" w:cs="微软雅黑"/>
          <w:b/>
          <w:color w:val="000000" w:themeColor="text1"/>
          <w:szCs w:val="24"/>
          <w:highlight w:val="none"/>
          <w:lang w:val="en-US" w:eastAsia="zh-CN"/>
          <w14:textFill>
            <w14:solidFill>
              <w14:schemeClr w14:val="tx1"/>
            </w14:solidFill>
          </w14:textFill>
        </w:rPr>
        <w:t>部分</w:t>
      </w:r>
      <w:r>
        <w:rPr>
          <w:rFonts w:hint="eastAsia" w:ascii="微软雅黑" w:hAnsi="微软雅黑" w:eastAsia="微软雅黑" w:cs="微软雅黑"/>
          <w:b/>
          <w:color w:val="000000" w:themeColor="text1"/>
          <w:szCs w:val="24"/>
          <w:highlight w:val="none"/>
          <w14:textFill>
            <w14:solidFill>
              <w14:schemeClr w14:val="tx1"/>
            </w14:solidFill>
          </w14:textFill>
        </w:rPr>
        <w:t>为工程量清单报价，清单分项报价不允许出现不均衡报价、偏离市场、低于成本的，否则作无效磋商处理。</w:t>
      </w:r>
    </w:p>
    <w:p w14:paraId="5B63BB26">
      <w:pPr>
        <w:pStyle w:val="24"/>
        <w:rPr>
          <w:rFonts w:ascii="微软雅黑" w:hAnsi="微软雅黑" w:eastAsia="微软雅黑" w:cs="微软雅黑"/>
          <w:highlight w:val="none"/>
        </w:rPr>
      </w:pPr>
    </w:p>
    <w:p w14:paraId="7DA3032E">
      <w:pPr>
        <w:pStyle w:val="8"/>
        <w:rPr>
          <w:highlight w:val="none"/>
        </w:rPr>
      </w:pPr>
    </w:p>
    <w:p w14:paraId="7E33D8A7">
      <w:pPr>
        <w:pStyle w:val="9"/>
        <w:rPr>
          <w:highlight w:val="none"/>
        </w:rPr>
      </w:pPr>
    </w:p>
    <w:p w14:paraId="27948DDD">
      <w:pPr>
        <w:rPr>
          <w:highlight w:val="none"/>
        </w:rPr>
      </w:pPr>
    </w:p>
    <w:p w14:paraId="1D567E98">
      <w:pPr>
        <w:rPr>
          <w:highlight w:val="none"/>
        </w:rPr>
      </w:pPr>
    </w:p>
    <w:p w14:paraId="59FC90C4">
      <w:pPr>
        <w:rPr>
          <w:highlight w:val="none"/>
        </w:rPr>
      </w:pPr>
    </w:p>
    <w:p w14:paraId="5FABE2D5">
      <w:pPr>
        <w:rPr>
          <w:highlight w:val="none"/>
        </w:rPr>
      </w:pPr>
    </w:p>
    <w:p w14:paraId="786FEAAB">
      <w:pPr>
        <w:rPr>
          <w:highlight w:val="none"/>
        </w:rPr>
      </w:pPr>
    </w:p>
    <w:p w14:paraId="794FD2A6">
      <w:pPr>
        <w:rPr>
          <w:highlight w:val="none"/>
        </w:rPr>
      </w:pPr>
    </w:p>
    <w:p w14:paraId="65979D69">
      <w:pPr>
        <w:rPr>
          <w:highlight w:val="none"/>
        </w:rPr>
      </w:pPr>
    </w:p>
    <w:p w14:paraId="3447D205">
      <w:pPr>
        <w:rPr>
          <w:highlight w:val="none"/>
        </w:rPr>
      </w:pPr>
    </w:p>
    <w:p w14:paraId="4C7541C9">
      <w:pPr>
        <w:rPr>
          <w:highlight w:val="none"/>
        </w:rPr>
      </w:pPr>
    </w:p>
    <w:p w14:paraId="29402AC7">
      <w:pPr>
        <w:rPr>
          <w:rFonts w:hint="eastAsia" w:ascii="微软雅黑" w:hAnsi="微软雅黑" w:eastAsia="微软雅黑" w:cs="微软雅黑"/>
          <w:b/>
          <w:kern w:val="0"/>
          <w:sz w:val="24"/>
          <w:szCs w:val="20"/>
          <w:highlight w:val="none"/>
          <w:lang w:val="en-US" w:eastAsia="zh-CN"/>
        </w:rPr>
      </w:pPr>
      <w:r>
        <w:rPr>
          <w:rFonts w:hint="eastAsia" w:ascii="微软雅黑" w:hAnsi="微软雅黑" w:eastAsia="微软雅黑" w:cs="微软雅黑"/>
          <w:b/>
          <w:kern w:val="0"/>
          <w:sz w:val="24"/>
          <w:szCs w:val="20"/>
          <w:highlight w:val="none"/>
          <w:lang w:val="en-US" w:eastAsia="zh-CN"/>
        </w:rPr>
        <w:br w:type="page"/>
      </w:r>
    </w:p>
    <w:p w14:paraId="76677DD1">
      <w:pPr>
        <w:pStyle w:val="9"/>
        <w:ind w:left="0" w:leftChars="0" w:firstLine="0" w:firstLineChars="0"/>
        <w:jc w:val="center"/>
        <w:outlineLvl w:val="2"/>
        <w:rPr>
          <w:rFonts w:hint="eastAsia" w:ascii="微软雅黑" w:hAnsi="微软雅黑" w:eastAsia="微软雅黑" w:cs="微软雅黑"/>
          <w:b/>
          <w:kern w:val="0"/>
          <w:sz w:val="30"/>
          <w:szCs w:val="20"/>
          <w:highlight w:val="none"/>
          <w:lang w:val="en-US" w:eastAsia="zh-CN" w:bidi="ar-SA"/>
        </w:rPr>
      </w:pPr>
      <w:bookmarkStart w:id="883" w:name="_Toc18713"/>
      <w:r>
        <w:rPr>
          <w:rFonts w:hint="eastAsia" w:ascii="微软雅黑" w:hAnsi="微软雅黑" w:eastAsia="微软雅黑" w:cs="微软雅黑"/>
          <w:b/>
          <w:kern w:val="0"/>
          <w:sz w:val="30"/>
          <w:szCs w:val="20"/>
          <w:highlight w:val="none"/>
          <w:lang w:val="en-US" w:eastAsia="zh-CN" w:bidi="ar-SA"/>
        </w:rPr>
        <w:t>14.响应文件格式范本</w:t>
      </w:r>
      <w:bookmarkEnd w:id="881"/>
      <w:bookmarkEnd w:id="882"/>
      <w:bookmarkEnd w:id="883"/>
    </w:p>
    <w:tbl>
      <w:tblPr>
        <w:tblStyle w:val="27"/>
        <w:tblpPr w:leftFromText="180" w:rightFromText="180" w:vertAnchor="text" w:horzAnchor="page" w:tblpX="1380" w:tblpY="440"/>
        <w:tblOverlap w:val="never"/>
        <w:tblW w:w="91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1B2E60AD">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tcPr>
          <w:p w14:paraId="6E06F506">
            <w:pPr>
              <w:pStyle w:val="3"/>
              <w:jc w:val="center"/>
              <w:rPr>
                <w:rFonts w:ascii="微软雅黑" w:hAnsi="微软雅黑" w:eastAsia="微软雅黑" w:cs="微软雅黑"/>
                <w:b/>
                <w:bCs/>
                <w:highlight w:val="none"/>
              </w:rPr>
            </w:pPr>
            <w:r>
              <w:rPr>
                <w:rFonts w:hint="eastAsia" w:ascii="微软雅黑" w:hAnsi="微软雅黑" w:eastAsia="微软雅黑" w:cs="微软雅黑"/>
                <w:b/>
                <w:bCs/>
                <w:highlight w:val="none"/>
              </w:rPr>
              <w:t xml:space="preserve">                                                </w:t>
            </w:r>
          </w:p>
          <w:p w14:paraId="0E1323E4">
            <w:pPr>
              <w:pStyle w:val="3"/>
              <w:ind w:firstLine="2161" w:firstLineChars="900"/>
              <w:rPr>
                <w:rFonts w:ascii="微软雅黑" w:hAnsi="微软雅黑" w:eastAsia="微软雅黑" w:cs="微软雅黑"/>
                <w:b/>
                <w:bCs/>
                <w:highlight w:val="none"/>
              </w:rPr>
            </w:pPr>
          </w:p>
          <w:p w14:paraId="6D8B4EC1">
            <w:pPr>
              <w:pStyle w:val="3"/>
              <w:ind w:firstLine="2161" w:firstLineChars="900"/>
              <w:rPr>
                <w:rFonts w:ascii="微软雅黑" w:hAnsi="微软雅黑" w:eastAsia="微软雅黑" w:cs="微软雅黑"/>
                <w:b/>
                <w:bCs/>
                <w:highlight w:val="none"/>
              </w:rPr>
            </w:pPr>
          </w:p>
          <w:p w14:paraId="7244D43B">
            <w:pPr>
              <w:pStyle w:val="3"/>
              <w:ind w:firstLine="2161" w:firstLineChars="900"/>
              <w:rPr>
                <w:rFonts w:ascii="微软雅黑" w:hAnsi="微软雅黑" w:eastAsia="微软雅黑" w:cs="微软雅黑"/>
                <w:b/>
                <w:bCs/>
                <w:highlight w:val="none"/>
              </w:rPr>
            </w:pPr>
            <w:r>
              <w:rPr>
                <w:rFonts w:hint="eastAsia" w:ascii="微软雅黑" w:hAnsi="微软雅黑" w:eastAsia="微软雅黑" w:cs="微软雅黑"/>
                <w:b/>
                <w:bCs/>
                <w:highlight w:val="none"/>
              </w:rPr>
              <w:t>＊＊＊＊＊＊＊＊＊＊＊＊＊＊＊＊＊＊＊＊＊项目</w:t>
            </w:r>
          </w:p>
          <w:p w14:paraId="204ED9BC">
            <w:pPr>
              <w:pStyle w:val="3"/>
              <w:jc w:val="center"/>
              <w:rPr>
                <w:rFonts w:ascii="微软雅黑" w:hAnsi="微软雅黑" w:eastAsia="微软雅黑" w:cs="微软雅黑"/>
                <w:b/>
                <w:bCs/>
                <w:highlight w:val="none"/>
              </w:rPr>
            </w:pPr>
          </w:p>
          <w:p w14:paraId="7CB3ECBD">
            <w:pPr>
              <w:pStyle w:val="3"/>
              <w:ind w:firstLine="3602" w:firstLineChars="1500"/>
              <w:rPr>
                <w:rFonts w:ascii="微软雅黑" w:hAnsi="微软雅黑" w:eastAsia="微软雅黑" w:cs="微软雅黑"/>
                <w:b/>
                <w:bCs/>
                <w:highlight w:val="none"/>
              </w:rPr>
            </w:pPr>
            <w:r>
              <w:rPr>
                <w:rFonts w:hint="eastAsia" w:ascii="微软雅黑" w:hAnsi="微软雅黑" w:eastAsia="微软雅黑" w:cs="微软雅黑"/>
                <w:b/>
                <w:bCs/>
                <w:highlight w:val="none"/>
              </w:rPr>
              <w:t xml:space="preserve">编号 ＊＊＊      </w:t>
            </w:r>
          </w:p>
          <w:p w14:paraId="1761A645">
            <w:pPr>
              <w:pStyle w:val="3"/>
              <w:jc w:val="center"/>
              <w:rPr>
                <w:rFonts w:ascii="微软雅黑" w:hAnsi="微软雅黑" w:eastAsia="微软雅黑" w:cs="微软雅黑"/>
                <w:b/>
                <w:bCs/>
                <w:highlight w:val="none"/>
              </w:rPr>
            </w:pPr>
          </w:p>
          <w:p w14:paraId="0424E45A">
            <w:pPr>
              <w:pStyle w:val="3"/>
              <w:jc w:val="center"/>
              <w:rPr>
                <w:rFonts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lang w:val="en-US" w:eastAsia="zh-CN"/>
              </w:rPr>
              <w:t>响 应</w:t>
            </w:r>
            <w:r>
              <w:rPr>
                <w:rFonts w:hint="eastAsia" w:ascii="微软雅黑" w:hAnsi="微软雅黑" w:eastAsia="微软雅黑" w:cs="微软雅黑"/>
                <w:b/>
                <w:bCs/>
                <w:sz w:val="44"/>
                <w:szCs w:val="44"/>
                <w:highlight w:val="none"/>
              </w:rPr>
              <w:t xml:space="preserve"> 文 件</w:t>
            </w:r>
          </w:p>
          <w:p w14:paraId="22D7820C">
            <w:pPr>
              <w:pStyle w:val="8"/>
              <w:rPr>
                <w:rFonts w:ascii="微软雅黑" w:hAnsi="微软雅黑" w:eastAsia="微软雅黑" w:cs="微软雅黑"/>
                <w:b/>
                <w:szCs w:val="24"/>
                <w:highlight w:val="none"/>
              </w:rPr>
            </w:pPr>
          </w:p>
          <w:p w14:paraId="4B82D55D">
            <w:pPr>
              <w:spacing w:line="360" w:lineRule="auto"/>
              <w:ind w:left="176" w:leftChars="84" w:firstLine="960" w:firstLineChars="400"/>
              <w:rPr>
                <w:rFonts w:ascii="微软雅黑" w:hAnsi="微软雅黑" w:eastAsia="微软雅黑" w:cs="微软雅黑"/>
                <w:sz w:val="24"/>
                <w:highlight w:val="none"/>
              </w:rPr>
            </w:pPr>
            <w:r>
              <w:rPr>
                <w:rFonts w:hint="eastAsia" w:ascii="微软雅黑" w:hAnsi="微软雅黑" w:eastAsia="微软雅黑" w:cs="微软雅黑"/>
                <w:sz w:val="24"/>
                <w:highlight w:val="none"/>
              </w:rPr>
              <w:t>供应商：</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（公章）</w:t>
            </w:r>
          </w:p>
          <w:p w14:paraId="2F4C6318">
            <w:pPr>
              <w:spacing w:line="360" w:lineRule="auto"/>
              <w:ind w:left="176" w:leftChars="84" w:firstLine="960" w:firstLineChars="4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项目名称：</w:t>
            </w:r>
            <w:r>
              <w:rPr>
                <w:rFonts w:hint="eastAsia" w:ascii="微软雅黑" w:hAnsi="微软雅黑" w:eastAsia="微软雅黑" w:cs="微软雅黑"/>
                <w:sz w:val="24"/>
                <w:highlight w:val="none"/>
                <w:u w:val="single"/>
              </w:rPr>
              <w:t xml:space="preserve">                                        </w:t>
            </w:r>
          </w:p>
          <w:p w14:paraId="0EB2A2B2">
            <w:pPr>
              <w:spacing w:line="360" w:lineRule="auto"/>
              <w:ind w:left="176" w:leftChars="84" w:firstLine="960" w:firstLineChars="4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项目编号：</w:t>
            </w:r>
            <w:r>
              <w:rPr>
                <w:rFonts w:hint="eastAsia" w:ascii="微软雅黑" w:hAnsi="微软雅黑" w:eastAsia="微软雅黑" w:cs="微软雅黑"/>
                <w:sz w:val="24"/>
                <w:highlight w:val="none"/>
                <w:u w:val="single"/>
              </w:rPr>
              <w:t xml:space="preserve">                                        </w:t>
            </w:r>
          </w:p>
          <w:p w14:paraId="047880C4">
            <w:pPr>
              <w:spacing w:line="360" w:lineRule="auto"/>
              <w:ind w:left="176" w:leftChars="84" w:firstLine="960" w:firstLineChars="4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联 系 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w:t>
            </w:r>
          </w:p>
          <w:p w14:paraId="08E809B9">
            <w:pPr>
              <w:spacing w:line="360" w:lineRule="auto"/>
              <w:ind w:left="176" w:leftChars="84" w:firstLine="960" w:firstLineChars="4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    话：</w:t>
            </w:r>
            <w:r>
              <w:rPr>
                <w:rFonts w:hint="eastAsia" w:ascii="微软雅黑" w:hAnsi="微软雅黑" w:eastAsia="微软雅黑" w:cs="微软雅黑"/>
                <w:sz w:val="24"/>
                <w:highlight w:val="none"/>
                <w:u w:val="single"/>
              </w:rPr>
              <w:t xml:space="preserve">                                        </w:t>
            </w:r>
          </w:p>
          <w:p w14:paraId="7B8B5A60">
            <w:pPr>
              <w:spacing w:line="360" w:lineRule="auto"/>
              <w:ind w:left="176" w:leftChars="84" w:firstLine="960" w:firstLineChars="400"/>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地    址：</w:t>
            </w:r>
            <w:r>
              <w:rPr>
                <w:rFonts w:hint="eastAsia" w:ascii="微软雅黑" w:hAnsi="微软雅黑" w:eastAsia="微软雅黑" w:cs="微软雅黑"/>
                <w:sz w:val="24"/>
                <w:highlight w:val="none"/>
                <w:u w:val="single"/>
              </w:rPr>
              <w:t xml:space="preserve">                                         </w:t>
            </w:r>
          </w:p>
          <w:p w14:paraId="0D4D80AB">
            <w:pPr>
              <w:jc w:val="center"/>
              <w:rPr>
                <w:rFonts w:ascii="微软雅黑" w:hAnsi="微软雅黑" w:eastAsia="微软雅黑" w:cs="微软雅黑"/>
                <w:b/>
                <w:bCs/>
                <w:sz w:val="24"/>
                <w:highlight w:val="none"/>
              </w:rPr>
            </w:pPr>
          </w:p>
          <w:p w14:paraId="3FD1A6A5">
            <w:pPr>
              <w:jc w:val="center"/>
              <w:rPr>
                <w:rFonts w:ascii="微软雅黑" w:hAnsi="微软雅黑" w:eastAsia="微软雅黑" w:cs="微软雅黑"/>
                <w:b/>
                <w:bCs/>
                <w:sz w:val="24"/>
                <w:highlight w:val="none"/>
              </w:rPr>
            </w:pPr>
          </w:p>
        </w:tc>
      </w:tr>
    </w:tbl>
    <w:p w14:paraId="38610199">
      <w:pPr>
        <w:spacing w:line="240" w:lineRule="atLeast"/>
        <w:jc w:val="center"/>
        <w:rPr>
          <w:rFonts w:ascii="微软雅黑" w:hAnsi="微软雅黑" w:eastAsia="微软雅黑" w:cs="微软雅黑"/>
          <w:b/>
          <w:sz w:val="32"/>
          <w:highlight w:val="none"/>
        </w:rPr>
      </w:pPr>
    </w:p>
    <w:p w14:paraId="2B985C18">
      <w:pPr>
        <w:spacing w:line="240" w:lineRule="atLeast"/>
        <w:jc w:val="center"/>
        <w:rPr>
          <w:rFonts w:ascii="微软雅黑" w:hAnsi="微软雅黑" w:eastAsia="微软雅黑" w:cs="微软雅黑"/>
          <w:b/>
          <w:sz w:val="32"/>
          <w:highlight w:val="none"/>
        </w:rPr>
      </w:pPr>
    </w:p>
    <w:p w14:paraId="7750AE76">
      <w:pPr>
        <w:spacing w:line="240" w:lineRule="atLeast"/>
        <w:jc w:val="center"/>
        <w:rPr>
          <w:rFonts w:ascii="微软雅黑" w:hAnsi="微软雅黑" w:eastAsia="微软雅黑" w:cs="微软雅黑"/>
          <w:b/>
          <w:sz w:val="44"/>
          <w:szCs w:val="44"/>
          <w:highlight w:val="none"/>
        </w:rPr>
      </w:pPr>
    </w:p>
    <w:p w14:paraId="40485965">
      <w:pPr>
        <w:spacing w:line="240" w:lineRule="atLeast"/>
        <w:jc w:val="center"/>
        <w:rPr>
          <w:rFonts w:ascii="微软雅黑" w:hAnsi="微软雅黑" w:eastAsia="微软雅黑" w:cs="微软雅黑"/>
          <w:b/>
          <w:sz w:val="44"/>
          <w:szCs w:val="44"/>
          <w:highlight w:val="none"/>
        </w:rPr>
      </w:pPr>
    </w:p>
    <w:p w14:paraId="2309BC90">
      <w:pPr>
        <w:spacing w:line="240" w:lineRule="atLeast"/>
        <w:rPr>
          <w:rFonts w:ascii="微软雅黑" w:hAnsi="微软雅黑" w:eastAsia="微软雅黑" w:cs="微软雅黑"/>
          <w:b/>
          <w:sz w:val="44"/>
          <w:szCs w:val="44"/>
          <w:highlight w:val="none"/>
        </w:rPr>
      </w:pPr>
    </w:p>
    <w:p w14:paraId="573E16F0">
      <w:pPr>
        <w:spacing w:line="240" w:lineRule="atLeast"/>
        <w:jc w:val="center"/>
        <w:rPr>
          <w:rFonts w:ascii="微软雅黑" w:hAnsi="微软雅黑" w:eastAsia="微软雅黑" w:cs="微软雅黑"/>
          <w:b/>
          <w:sz w:val="44"/>
          <w:szCs w:val="44"/>
          <w:highlight w:val="none"/>
        </w:rPr>
      </w:pPr>
    </w:p>
    <w:p w14:paraId="68BD0E9B">
      <w:pPr>
        <w:pStyle w:val="8"/>
        <w:rPr>
          <w:rFonts w:ascii="微软雅黑" w:hAnsi="微软雅黑" w:eastAsia="微软雅黑" w:cs="微软雅黑"/>
          <w:b/>
          <w:sz w:val="44"/>
          <w:szCs w:val="44"/>
          <w:highlight w:val="none"/>
        </w:rPr>
      </w:pPr>
    </w:p>
    <w:p w14:paraId="7136C56C">
      <w:pPr>
        <w:pStyle w:val="9"/>
        <w:rPr>
          <w:highlight w:val="none"/>
        </w:rPr>
      </w:pPr>
    </w:p>
    <w:p w14:paraId="55EA44E0">
      <w:pPr>
        <w:pStyle w:val="2"/>
        <w:rPr>
          <w:rFonts w:ascii="微软雅黑" w:hAnsi="微软雅黑" w:eastAsia="微软雅黑" w:cs="微软雅黑"/>
          <w:highlight w:val="none"/>
        </w:rPr>
      </w:pPr>
    </w:p>
    <w:p w14:paraId="4F3D9913">
      <w:pPr>
        <w:pStyle w:val="26"/>
        <w:ind w:firstLine="3082" w:firstLineChars="700"/>
        <w:rPr>
          <w:rFonts w:ascii="微软雅黑" w:hAnsi="微软雅黑" w:eastAsia="微软雅黑" w:cs="微软雅黑"/>
          <w:highlight w:val="none"/>
        </w:rPr>
      </w:pPr>
      <w:r>
        <w:rPr>
          <w:rFonts w:hint="eastAsia" w:ascii="微软雅黑" w:hAnsi="微软雅黑" w:eastAsia="微软雅黑" w:cs="微软雅黑"/>
          <w:b/>
          <w:sz w:val="44"/>
          <w:szCs w:val="44"/>
          <w:highlight w:val="none"/>
        </w:rPr>
        <w:t>磋 商 文 件</w:t>
      </w:r>
    </w:p>
    <w:p w14:paraId="630715D3">
      <w:pPr>
        <w:spacing w:line="400" w:lineRule="exact"/>
        <w:ind w:firstLine="800" w:firstLineChars="200"/>
        <w:rPr>
          <w:rFonts w:ascii="微软雅黑" w:hAnsi="微软雅黑" w:eastAsia="微软雅黑" w:cs="微软雅黑"/>
          <w:b/>
          <w:sz w:val="40"/>
          <w:szCs w:val="40"/>
          <w:highlight w:val="none"/>
        </w:rPr>
      </w:pPr>
      <w:bookmarkStart w:id="884" w:name="_Toc24900_WPSOffice_Level2"/>
    </w:p>
    <w:p w14:paraId="33AD07F0">
      <w:pPr>
        <w:rPr>
          <w:rFonts w:ascii="微软雅黑" w:hAnsi="微软雅黑" w:eastAsia="微软雅黑" w:cs="微软雅黑"/>
          <w:highlight w:val="none"/>
        </w:rPr>
      </w:pPr>
    </w:p>
    <w:p w14:paraId="194BE727">
      <w:pPr>
        <w:spacing w:line="400" w:lineRule="exact"/>
        <w:ind w:firstLine="2001" w:firstLineChars="500"/>
        <w:rPr>
          <w:rFonts w:hint="eastAsia" w:ascii="微软雅黑" w:hAnsi="微软雅黑" w:eastAsia="微软雅黑" w:cs="微软雅黑"/>
          <w:b/>
          <w:sz w:val="40"/>
          <w:szCs w:val="40"/>
          <w:highlight w:val="none"/>
          <w:lang w:eastAsia="zh-CN"/>
        </w:rPr>
      </w:pPr>
      <w:bookmarkStart w:id="885" w:name="_Toc28797"/>
      <w:r>
        <w:rPr>
          <w:rFonts w:hint="eastAsia" w:ascii="微软雅黑" w:hAnsi="微软雅黑" w:eastAsia="微软雅黑" w:cs="微软雅黑"/>
          <w:b/>
          <w:sz w:val="40"/>
          <w:szCs w:val="40"/>
          <w:highlight w:val="none"/>
        </w:rPr>
        <w:t>项目编号：</w:t>
      </w:r>
      <w:bookmarkEnd w:id="884"/>
      <w:bookmarkEnd w:id="885"/>
      <w:r>
        <w:rPr>
          <w:rFonts w:hint="eastAsia" w:ascii="微软雅黑" w:hAnsi="微软雅黑" w:eastAsia="微软雅黑" w:cs="微软雅黑"/>
          <w:b/>
          <w:sz w:val="40"/>
          <w:szCs w:val="40"/>
          <w:highlight w:val="none"/>
          <w:lang w:eastAsia="zh-CN"/>
        </w:rPr>
        <w:t>25LS-(CS)002</w:t>
      </w:r>
    </w:p>
    <w:p w14:paraId="66E1CA74">
      <w:pPr>
        <w:spacing w:line="240" w:lineRule="atLeast"/>
        <w:jc w:val="center"/>
        <w:rPr>
          <w:rFonts w:ascii="微软雅黑" w:hAnsi="微软雅黑" w:eastAsia="微软雅黑" w:cs="微软雅黑"/>
          <w:b/>
          <w:sz w:val="32"/>
          <w:highlight w:val="none"/>
        </w:rPr>
      </w:pPr>
    </w:p>
    <w:p w14:paraId="00F9D38C">
      <w:pPr>
        <w:spacing w:line="240" w:lineRule="atLeast"/>
        <w:jc w:val="center"/>
        <w:rPr>
          <w:rFonts w:ascii="微软雅黑" w:hAnsi="微软雅黑" w:eastAsia="微软雅黑" w:cs="微软雅黑"/>
          <w:b/>
          <w:sz w:val="32"/>
          <w:highlight w:val="none"/>
        </w:rPr>
      </w:pPr>
    </w:p>
    <w:p w14:paraId="3D65C930">
      <w:pPr>
        <w:spacing w:line="240" w:lineRule="atLeast"/>
        <w:jc w:val="center"/>
        <w:rPr>
          <w:rFonts w:ascii="微软雅黑" w:hAnsi="微软雅黑" w:eastAsia="微软雅黑" w:cs="微软雅黑"/>
          <w:b/>
          <w:sz w:val="44"/>
          <w:szCs w:val="36"/>
          <w:highlight w:val="none"/>
        </w:rPr>
      </w:pPr>
      <w:r>
        <w:rPr>
          <w:rFonts w:hint="eastAsia" w:ascii="微软雅黑" w:hAnsi="微软雅黑" w:eastAsia="微软雅黑" w:cs="微软雅黑"/>
          <w:b/>
          <w:sz w:val="44"/>
          <w:szCs w:val="36"/>
          <w:highlight w:val="none"/>
        </w:rPr>
        <w:t>第 二 册</w:t>
      </w:r>
    </w:p>
    <w:p w14:paraId="4457A2E9">
      <w:pPr>
        <w:rPr>
          <w:rFonts w:ascii="微软雅黑" w:hAnsi="微软雅黑" w:eastAsia="微软雅黑" w:cs="微软雅黑"/>
          <w:sz w:val="44"/>
          <w:szCs w:val="36"/>
          <w:highlight w:val="none"/>
        </w:rPr>
      </w:pPr>
    </w:p>
    <w:p w14:paraId="604E4CFC">
      <w:pPr>
        <w:pStyle w:val="8"/>
        <w:rPr>
          <w:rFonts w:ascii="微软雅黑" w:hAnsi="微软雅黑" w:eastAsia="微软雅黑" w:cs="微软雅黑"/>
          <w:b/>
          <w:sz w:val="44"/>
          <w:szCs w:val="36"/>
          <w:highlight w:val="none"/>
        </w:rPr>
      </w:pPr>
    </w:p>
    <w:p w14:paraId="1DE630D7">
      <w:pPr>
        <w:pStyle w:val="9"/>
        <w:rPr>
          <w:rFonts w:ascii="微软雅黑" w:hAnsi="微软雅黑" w:eastAsia="微软雅黑" w:cs="微软雅黑"/>
          <w:b/>
          <w:sz w:val="44"/>
          <w:szCs w:val="36"/>
          <w:highlight w:val="none"/>
        </w:rPr>
      </w:pPr>
    </w:p>
    <w:p w14:paraId="7E52A8DA">
      <w:pPr>
        <w:rPr>
          <w:rFonts w:ascii="微软雅黑" w:hAnsi="微软雅黑" w:eastAsia="微软雅黑" w:cs="微软雅黑"/>
          <w:highlight w:val="none"/>
        </w:rPr>
      </w:pPr>
    </w:p>
    <w:p w14:paraId="4E9A1E37">
      <w:pPr>
        <w:rPr>
          <w:rFonts w:ascii="微软雅黑" w:hAnsi="微软雅黑" w:eastAsia="微软雅黑" w:cs="微软雅黑"/>
          <w:highlight w:val="none"/>
        </w:rPr>
      </w:pPr>
    </w:p>
    <w:p w14:paraId="7BDFADB5">
      <w:pPr>
        <w:spacing w:line="240" w:lineRule="atLeast"/>
        <w:jc w:val="center"/>
        <w:rPr>
          <w:rFonts w:ascii="微软雅黑" w:hAnsi="微软雅黑" w:eastAsia="微软雅黑" w:cs="微软雅黑"/>
          <w:b/>
          <w:sz w:val="32"/>
          <w:highlight w:val="none"/>
        </w:rPr>
      </w:pPr>
    </w:p>
    <w:p w14:paraId="4F58203A">
      <w:pPr>
        <w:pStyle w:val="8"/>
        <w:rPr>
          <w:rFonts w:ascii="微软雅黑" w:hAnsi="微软雅黑" w:eastAsia="微软雅黑" w:cs="微软雅黑"/>
          <w:b/>
          <w:sz w:val="32"/>
          <w:highlight w:val="none"/>
        </w:rPr>
      </w:pPr>
    </w:p>
    <w:bookmarkEnd w:id="706"/>
    <w:bookmarkEnd w:id="707"/>
    <w:bookmarkEnd w:id="708"/>
    <w:bookmarkEnd w:id="709"/>
    <w:bookmarkEnd w:id="731"/>
    <w:bookmarkEnd w:id="732"/>
    <w:bookmarkEnd w:id="733"/>
    <w:bookmarkEnd w:id="734"/>
    <w:bookmarkEnd w:id="735"/>
    <w:bookmarkEnd w:id="736"/>
    <w:p w14:paraId="648F017E">
      <w:pPr>
        <w:pStyle w:val="8"/>
        <w:ind w:firstLine="0"/>
        <w:rPr>
          <w:rFonts w:ascii="微软雅黑" w:hAnsi="微软雅黑" w:eastAsia="微软雅黑" w:cs="微软雅黑"/>
          <w:highlight w:val="none"/>
        </w:rPr>
      </w:pPr>
    </w:p>
    <w:p w14:paraId="6656AAF1">
      <w:pPr>
        <w:pStyle w:val="9"/>
        <w:rPr>
          <w:highlight w:val="none"/>
        </w:rPr>
      </w:pPr>
    </w:p>
    <w:p w14:paraId="62E6010C">
      <w:pPr>
        <w:pStyle w:val="9"/>
        <w:ind w:left="0" w:leftChars="0" w:firstLine="0" w:firstLineChars="0"/>
        <w:rPr>
          <w:highlight w:val="none"/>
        </w:rPr>
      </w:pPr>
    </w:p>
    <w:p w14:paraId="6F10E2B1">
      <w:pPr>
        <w:widowControl/>
        <w:spacing w:line="440" w:lineRule="exact"/>
        <w:jc w:val="center"/>
        <w:outlineLvl w:val="0"/>
        <w:rPr>
          <w:rStyle w:val="37"/>
          <w:rFonts w:ascii="微软雅黑" w:hAnsi="微软雅黑" w:eastAsia="微软雅黑" w:cs="微软雅黑"/>
          <w:sz w:val="44"/>
          <w:szCs w:val="24"/>
          <w:highlight w:val="none"/>
        </w:rPr>
      </w:pPr>
      <w:bookmarkStart w:id="886" w:name="_Toc12759"/>
      <w:bookmarkStart w:id="887" w:name="_Toc8719"/>
      <w:bookmarkStart w:id="888" w:name="_Toc19793"/>
      <w:bookmarkStart w:id="889" w:name="_Toc21529"/>
      <w:bookmarkStart w:id="890" w:name="_Toc13819"/>
      <w:bookmarkStart w:id="891" w:name="_Toc12417"/>
      <w:bookmarkStart w:id="892" w:name="_Toc6622"/>
      <w:bookmarkStart w:id="893" w:name="_Toc495501806"/>
      <w:bookmarkStart w:id="894" w:name="_Toc418164811"/>
      <w:bookmarkStart w:id="895" w:name="_Toc6922"/>
      <w:bookmarkStart w:id="896" w:name="_Toc14099"/>
      <w:bookmarkStart w:id="897" w:name="_Toc14780"/>
      <w:bookmarkStart w:id="898" w:name="_Toc5272"/>
      <w:bookmarkStart w:id="899" w:name="_Toc515647830"/>
      <w:bookmarkStart w:id="900" w:name="_Toc31583"/>
      <w:bookmarkStart w:id="901" w:name="_Toc512937850"/>
      <w:bookmarkStart w:id="902" w:name="_Toc29132"/>
      <w:bookmarkStart w:id="903" w:name="_Toc507399903"/>
      <w:bookmarkStart w:id="904" w:name="_Toc216582823"/>
      <w:bookmarkStart w:id="905" w:name="_Toc10488"/>
      <w:r>
        <w:rPr>
          <w:rStyle w:val="37"/>
          <w:rFonts w:hint="eastAsia" w:ascii="微软雅黑" w:hAnsi="微软雅黑" w:eastAsia="微软雅黑" w:cs="微软雅黑"/>
          <w:sz w:val="44"/>
          <w:szCs w:val="24"/>
          <w:highlight w:val="none"/>
        </w:rPr>
        <w:t xml:space="preserve">第3章  </w:t>
      </w:r>
      <w:bookmarkEnd w:id="886"/>
      <w:r>
        <w:rPr>
          <w:rStyle w:val="37"/>
          <w:rFonts w:hint="eastAsia" w:ascii="微软雅黑" w:hAnsi="微软雅黑" w:eastAsia="微软雅黑" w:cs="微软雅黑"/>
          <w:sz w:val="44"/>
          <w:szCs w:val="24"/>
          <w:highlight w:val="none"/>
        </w:rPr>
        <w:t>磋商邀请</w:t>
      </w:r>
      <w:bookmarkEnd w:id="887"/>
      <w:bookmarkEnd w:id="888"/>
    </w:p>
    <w:p w14:paraId="51F33AF4">
      <w:pPr>
        <w:keepNext w:val="0"/>
        <w:keepLines w:val="0"/>
        <w:pageBreakBefore w:val="0"/>
        <w:widowControl w:val="0"/>
        <w:tabs>
          <w:tab w:val="left" w:pos="0"/>
          <w:tab w:val="left" w:pos="3165"/>
          <w:tab w:val="center" w:pos="4153"/>
        </w:tabs>
        <w:kinsoku/>
        <w:wordWrap/>
        <w:overflowPunct/>
        <w:topLinePunct w:val="0"/>
        <w:autoSpaceDE/>
        <w:autoSpaceDN/>
        <w:bidi w:val="0"/>
        <w:adjustRightInd/>
        <w:snapToGrid/>
        <w:spacing w:line="580" w:lineRule="exact"/>
        <w:jc w:val="center"/>
        <w:textAlignment w:val="auto"/>
        <w:rPr>
          <w:rFonts w:ascii="微软雅黑" w:hAnsi="微软雅黑" w:eastAsia="微软雅黑" w:cs="微软雅黑"/>
          <w:b/>
          <w:bCs/>
          <w:sz w:val="32"/>
          <w:szCs w:val="32"/>
          <w:highlight w:val="none"/>
        </w:rPr>
      </w:pPr>
      <w:bookmarkStart w:id="906" w:name="_Hlk139720656"/>
      <w:r>
        <w:rPr>
          <w:rFonts w:hint="eastAsia" w:ascii="微软雅黑" w:hAnsi="微软雅黑" w:eastAsia="微软雅黑" w:cs="微软雅黑"/>
          <w:b/>
          <w:bCs/>
          <w:sz w:val="32"/>
          <w:szCs w:val="32"/>
          <w:highlight w:val="none"/>
          <w:lang w:eastAsia="zh-CN"/>
        </w:rPr>
        <w:t>喀什联胜项目管理有限责任公司</w:t>
      </w:r>
      <w:r>
        <w:rPr>
          <w:rFonts w:hint="eastAsia" w:ascii="微软雅黑" w:hAnsi="微软雅黑" w:eastAsia="微软雅黑" w:cs="微软雅黑"/>
          <w:b/>
          <w:bCs/>
          <w:sz w:val="32"/>
          <w:szCs w:val="32"/>
          <w:highlight w:val="none"/>
        </w:rPr>
        <w:t>关于</w:t>
      </w:r>
      <w:r>
        <w:rPr>
          <w:rFonts w:hint="eastAsia" w:ascii="微软雅黑" w:hAnsi="微软雅黑" w:eastAsia="微软雅黑" w:cs="微软雅黑"/>
          <w:b/>
          <w:bCs/>
          <w:sz w:val="32"/>
          <w:szCs w:val="32"/>
          <w:highlight w:val="none"/>
          <w:lang w:eastAsia="zh-CN"/>
        </w:rPr>
        <w:t>疏勒县第一幼儿园改造提升项目</w:t>
      </w:r>
      <w:r>
        <w:rPr>
          <w:rFonts w:hint="eastAsia" w:ascii="微软雅黑" w:hAnsi="微软雅黑" w:eastAsia="微软雅黑" w:cs="微软雅黑"/>
          <w:b/>
          <w:bCs/>
          <w:sz w:val="32"/>
          <w:szCs w:val="32"/>
          <w:highlight w:val="none"/>
        </w:rPr>
        <w:t>竞争性磋商公告</w:t>
      </w:r>
    </w:p>
    <w:p w14:paraId="0526A39B">
      <w:pPr>
        <w:pBdr>
          <w:top w:val="single" w:color="auto" w:sz="4" w:space="1"/>
          <w:left w:val="single" w:color="auto" w:sz="4" w:space="4"/>
          <w:bottom w:val="single" w:color="auto" w:sz="4" w:space="1"/>
          <w:right w:val="single" w:color="auto" w:sz="4" w:space="4"/>
        </w:pBdr>
        <w:spacing w:line="380" w:lineRule="exact"/>
        <w:rPr>
          <w:rFonts w:ascii="微软雅黑" w:hAnsi="微软雅黑" w:eastAsia="微软雅黑" w:cs="微软雅黑"/>
          <w:b/>
          <w:bCs/>
          <w:sz w:val="24"/>
          <w:highlight w:val="none"/>
        </w:rPr>
      </w:pPr>
      <w:bookmarkStart w:id="907" w:name="_Toc28359079"/>
      <w:bookmarkStart w:id="908" w:name="_Toc35393790"/>
      <w:bookmarkStart w:id="909" w:name="_Toc28217"/>
      <w:bookmarkStart w:id="910" w:name="_Toc35393621"/>
      <w:bookmarkStart w:id="911" w:name="_Toc28359002"/>
      <w:bookmarkStart w:id="912" w:name="_Toc20970"/>
      <w:bookmarkStart w:id="913" w:name="_Toc28253"/>
      <w:bookmarkStart w:id="914" w:name="_Hlk24379207"/>
      <w:r>
        <w:rPr>
          <w:rFonts w:hint="eastAsia" w:ascii="微软雅黑" w:hAnsi="微软雅黑" w:eastAsia="微软雅黑" w:cs="微软雅黑"/>
          <w:b/>
          <w:bCs/>
          <w:sz w:val="24"/>
          <w:highlight w:val="none"/>
        </w:rPr>
        <w:t>项目概况</w:t>
      </w:r>
    </w:p>
    <w:p w14:paraId="1F818F47">
      <w:pPr>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ascii="微软雅黑" w:hAnsi="微软雅黑" w:eastAsia="微软雅黑" w:cs="微软雅黑"/>
          <w:b/>
          <w:bCs/>
          <w:sz w:val="24"/>
          <w:highlight w:val="none"/>
        </w:rPr>
      </w:pPr>
      <w:r>
        <w:rPr>
          <w:rFonts w:hint="eastAsia" w:ascii="微软雅黑" w:hAnsi="微软雅黑" w:eastAsia="微软雅黑" w:cs="微软雅黑"/>
          <w:sz w:val="24"/>
          <w:highlight w:val="none"/>
          <w:u w:val="single"/>
          <w:lang w:eastAsia="zh-CN"/>
        </w:rPr>
        <w:t>疏勒县第一幼儿园改造提升项目</w:t>
      </w:r>
      <w:r>
        <w:rPr>
          <w:rFonts w:hint="eastAsia" w:ascii="微软雅黑" w:hAnsi="微软雅黑" w:eastAsia="微软雅黑" w:cs="微软雅黑"/>
          <w:sz w:val="24"/>
          <w:highlight w:val="none"/>
        </w:rPr>
        <w:t>的潜在供应商应在</w:t>
      </w:r>
      <w:r>
        <w:rPr>
          <w:rFonts w:hint="eastAsia" w:ascii="微软雅黑" w:hAnsi="微软雅黑" w:eastAsia="微软雅黑" w:cs="微软雅黑"/>
          <w:sz w:val="24"/>
          <w:highlight w:val="none"/>
          <w:u w:val="single"/>
        </w:rPr>
        <w:t>政采云平台（https://login.zcygov.cn/user-login/#/login）</w:t>
      </w:r>
      <w:r>
        <w:rPr>
          <w:rFonts w:hint="eastAsia" w:ascii="微软雅黑" w:hAnsi="微软雅黑" w:eastAsia="微软雅黑" w:cs="微软雅黑"/>
          <w:sz w:val="24"/>
          <w:highlight w:val="none"/>
        </w:rPr>
        <w:t>获取磋商文件，并于</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u w:val="single"/>
          <w:lang w:val="en-US" w:eastAsia="zh-CN"/>
        </w:rPr>
        <w:t>2025</w:t>
      </w:r>
      <w:r>
        <w:rPr>
          <w:rFonts w:hint="eastAsia" w:ascii="微软雅黑" w:hAnsi="微软雅黑" w:eastAsia="微软雅黑" w:cs="微软雅黑"/>
          <w:sz w:val="24"/>
          <w:highlight w:val="none"/>
          <w:u w:val="single"/>
        </w:rPr>
        <w:t xml:space="preserve"> 年</w:t>
      </w:r>
      <w:r>
        <w:rPr>
          <w:rFonts w:hint="eastAsia" w:ascii="微软雅黑" w:hAnsi="微软雅黑" w:eastAsia="微软雅黑" w:cs="微软雅黑"/>
          <w:sz w:val="24"/>
          <w:highlight w:val="none"/>
          <w:u w:val="single"/>
          <w:lang w:val="en-US" w:eastAsia="zh-CN"/>
        </w:rPr>
        <w:t>7</w:t>
      </w:r>
      <w:r>
        <w:rPr>
          <w:rFonts w:hint="eastAsia" w:ascii="微软雅黑" w:hAnsi="微软雅黑" w:eastAsia="微软雅黑" w:cs="微软雅黑"/>
          <w:sz w:val="24"/>
          <w:highlight w:val="none"/>
          <w:u w:val="single"/>
        </w:rPr>
        <w:t>月</w:t>
      </w:r>
      <w:r>
        <w:rPr>
          <w:rFonts w:hint="eastAsia" w:ascii="微软雅黑" w:hAnsi="微软雅黑" w:eastAsia="微软雅黑" w:cs="微软雅黑"/>
          <w:sz w:val="24"/>
          <w:highlight w:val="none"/>
          <w:u w:val="single"/>
          <w:lang w:val="en-US" w:eastAsia="zh-CN"/>
        </w:rPr>
        <w:t>14</w:t>
      </w:r>
      <w:r>
        <w:rPr>
          <w:rFonts w:hint="eastAsia" w:ascii="微软雅黑" w:hAnsi="微软雅黑" w:eastAsia="微软雅黑" w:cs="微软雅黑"/>
          <w:sz w:val="24"/>
          <w:highlight w:val="none"/>
          <w:u w:val="single"/>
        </w:rPr>
        <w:t>日</w:t>
      </w:r>
      <w:r>
        <w:rPr>
          <w:rFonts w:hint="eastAsia" w:ascii="微软雅黑" w:hAnsi="微软雅黑" w:eastAsia="微软雅黑" w:cs="微软雅黑"/>
          <w:sz w:val="24"/>
          <w:highlight w:val="none"/>
          <w:u w:val="single"/>
          <w:lang w:val="en-US" w:eastAsia="zh-CN"/>
        </w:rPr>
        <w:t xml:space="preserve"> 10:30</w:t>
      </w:r>
      <w:r>
        <w:rPr>
          <w:rFonts w:hint="eastAsia" w:ascii="微软雅黑" w:hAnsi="微软雅黑" w:eastAsia="微软雅黑" w:cs="微软雅黑"/>
          <w:sz w:val="24"/>
          <w:highlight w:val="none"/>
          <w:u w:val="single"/>
        </w:rPr>
        <w:t>(北京时间）</w:t>
      </w:r>
      <w:r>
        <w:rPr>
          <w:rFonts w:hint="eastAsia" w:ascii="微软雅黑" w:hAnsi="微软雅黑" w:eastAsia="微软雅黑" w:cs="微软雅黑"/>
          <w:sz w:val="24"/>
          <w:highlight w:val="none"/>
        </w:rPr>
        <w:t>前递交</w:t>
      </w:r>
      <w:r>
        <w:rPr>
          <w:rFonts w:hint="eastAsia" w:ascii="微软雅黑" w:hAnsi="微软雅黑" w:eastAsia="微软雅黑" w:cs="微软雅黑"/>
          <w:bCs/>
          <w:sz w:val="24"/>
          <w:highlight w:val="none"/>
        </w:rPr>
        <w:t>响应文件</w:t>
      </w:r>
      <w:r>
        <w:rPr>
          <w:rFonts w:hint="eastAsia" w:ascii="微软雅黑" w:hAnsi="微软雅黑" w:eastAsia="微软雅黑" w:cs="微软雅黑"/>
          <w:sz w:val="24"/>
          <w:highlight w:val="none"/>
        </w:rPr>
        <w:t>。</w:t>
      </w:r>
    </w:p>
    <w:p w14:paraId="11C6C496">
      <w:pPr>
        <w:spacing w:line="380" w:lineRule="exac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一、</w:t>
      </w:r>
      <w:bookmarkEnd w:id="907"/>
      <w:bookmarkEnd w:id="908"/>
      <w:bookmarkEnd w:id="909"/>
      <w:bookmarkEnd w:id="910"/>
      <w:bookmarkEnd w:id="911"/>
      <w:r>
        <w:rPr>
          <w:rFonts w:hint="eastAsia" w:ascii="微软雅黑" w:hAnsi="微软雅黑" w:eastAsia="微软雅黑" w:cs="微软雅黑"/>
          <w:b/>
          <w:sz w:val="24"/>
          <w:highlight w:val="none"/>
        </w:rPr>
        <w:t>项目基本情况</w:t>
      </w:r>
      <w:bookmarkEnd w:id="912"/>
      <w:bookmarkEnd w:id="913"/>
    </w:p>
    <w:p w14:paraId="40801B0B">
      <w:pPr>
        <w:spacing w:line="38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项目编号：</w:t>
      </w:r>
      <w:r>
        <w:rPr>
          <w:rFonts w:hint="eastAsia" w:ascii="微软雅黑" w:hAnsi="微软雅黑" w:eastAsia="微软雅黑" w:cs="微软雅黑"/>
          <w:sz w:val="24"/>
          <w:highlight w:val="none"/>
          <w:lang w:eastAsia="zh-CN"/>
        </w:rPr>
        <w:t>25LS-(CS)002</w:t>
      </w:r>
    </w:p>
    <w:p w14:paraId="2E0C4A63">
      <w:pPr>
        <w:spacing w:line="38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项目名称：</w:t>
      </w:r>
      <w:bookmarkEnd w:id="914"/>
      <w:r>
        <w:rPr>
          <w:rFonts w:hint="eastAsia" w:ascii="微软雅黑" w:hAnsi="微软雅黑" w:eastAsia="微软雅黑" w:cs="微软雅黑"/>
          <w:sz w:val="24"/>
          <w:highlight w:val="none"/>
          <w:lang w:eastAsia="zh-CN"/>
        </w:rPr>
        <w:t>疏勒县第一幼儿园改造提升项目</w:t>
      </w:r>
    </w:p>
    <w:p w14:paraId="79242699">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采购方式：竞争性磋商 </w:t>
      </w:r>
    </w:p>
    <w:p w14:paraId="46BAE9DC">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预算金额（元）：</w:t>
      </w:r>
      <w:r>
        <w:rPr>
          <w:rFonts w:hint="eastAsia" w:ascii="微软雅黑" w:hAnsi="微软雅黑" w:eastAsia="微软雅黑" w:cs="微软雅黑"/>
          <w:sz w:val="24"/>
          <w:highlight w:val="none"/>
          <w:lang w:val="en-US" w:eastAsia="zh-CN"/>
        </w:rPr>
        <w:t>2000000.00</w:t>
      </w:r>
    </w:p>
    <w:p w14:paraId="119D18DE">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lang w:eastAsia="zh-CN"/>
        </w:rPr>
        <w:t>最高限价（元）</w:t>
      </w:r>
      <w:r>
        <w:rPr>
          <w:rFonts w:hint="eastAsia" w:ascii="微软雅黑" w:hAnsi="微软雅黑" w:eastAsia="微软雅黑" w:cs="微软雅黑"/>
          <w:sz w:val="24"/>
          <w:highlight w:val="none"/>
        </w:rPr>
        <w:t>：1908150.53</w:t>
      </w:r>
    </w:p>
    <w:p w14:paraId="7732D1D0">
      <w:pPr>
        <w:pStyle w:val="8"/>
        <w:ind w:firstLine="480" w:firstLineChars="2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采购需求：</w:t>
      </w:r>
    </w:p>
    <w:p w14:paraId="4F724912">
      <w:pPr>
        <w:pStyle w:val="8"/>
        <w:ind w:firstLine="48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标项名称：</w:t>
      </w:r>
      <w:r>
        <w:rPr>
          <w:rFonts w:hint="eastAsia" w:ascii="微软雅黑" w:hAnsi="微软雅黑" w:eastAsia="微软雅黑" w:cs="微软雅黑"/>
          <w:sz w:val="24"/>
          <w:highlight w:val="none"/>
          <w:lang w:eastAsia="zh-CN"/>
        </w:rPr>
        <w:t>疏勒县第一幼儿园改造提升项目</w:t>
      </w:r>
    </w:p>
    <w:p w14:paraId="3CA2A5DD">
      <w:pPr>
        <w:pStyle w:val="8"/>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数量：1     </w:t>
      </w:r>
    </w:p>
    <w:p w14:paraId="54CC05E3">
      <w:pPr>
        <w:pStyle w:val="8"/>
        <w:ind w:firstLine="480" w:firstLineChars="200"/>
        <w:rPr>
          <w:rFonts w:hint="eastAsia" w:ascii="微软雅黑" w:hAnsi="微软雅黑" w:eastAsia="微软雅黑" w:cs="微软雅黑"/>
          <w:sz w:val="24"/>
          <w:highlight w:val="none"/>
          <w:lang w:val="en-US" w:eastAsia="zh-CN"/>
        </w:rPr>
      </w:pPr>
      <w:r>
        <w:rPr>
          <w:rFonts w:hint="eastAsia" w:ascii="微软雅黑" w:hAnsi="微软雅黑" w:eastAsia="微软雅黑" w:cs="微软雅黑"/>
          <w:highlight w:val="none"/>
        </w:rPr>
        <w:t>预算金额（元）：</w:t>
      </w:r>
      <w:r>
        <w:rPr>
          <w:rFonts w:hint="eastAsia" w:ascii="微软雅黑" w:hAnsi="微软雅黑" w:eastAsia="微软雅黑" w:cs="微软雅黑"/>
          <w:sz w:val="24"/>
          <w:highlight w:val="none"/>
          <w:lang w:val="en-US" w:eastAsia="zh-CN"/>
        </w:rPr>
        <w:t>2000000.00</w:t>
      </w:r>
    </w:p>
    <w:p w14:paraId="4F695BC5">
      <w:pPr>
        <w:spacing w:line="380" w:lineRule="exact"/>
        <w:ind w:firstLine="480" w:firstLineChars="200"/>
        <w:rPr>
          <w:rFonts w:hint="default"/>
          <w:highlight w:val="none"/>
          <w:lang w:val="en-US"/>
        </w:rPr>
      </w:pPr>
      <w:r>
        <w:rPr>
          <w:rFonts w:hint="eastAsia" w:ascii="微软雅黑" w:hAnsi="微软雅黑" w:eastAsia="微软雅黑" w:cs="微软雅黑"/>
          <w:sz w:val="24"/>
          <w:highlight w:val="none"/>
          <w:lang w:eastAsia="zh-CN"/>
        </w:rPr>
        <w:t>最高限价（元）</w:t>
      </w:r>
      <w:r>
        <w:rPr>
          <w:rFonts w:hint="eastAsia" w:ascii="微软雅黑" w:hAnsi="微软雅黑" w:eastAsia="微软雅黑" w:cs="微软雅黑"/>
          <w:sz w:val="24"/>
          <w:highlight w:val="none"/>
        </w:rPr>
        <w:t>：1908150.53</w:t>
      </w:r>
    </w:p>
    <w:p w14:paraId="563BDAB1">
      <w:pPr>
        <w:pStyle w:val="8"/>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单位：项 </w:t>
      </w:r>
    </w:p>
    <w:p w14:paraId="605D6F0E">
      <w:pPr>
        <w:pStyle w:val="8"/>
        <w:ind w:firstLine="48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简要规格描述：</w:t>
      </w:r>
      <w:r>
        <w:rPr>
          <w:rFonts w:hint="eastAsia" w:ascii="微软雅黑" w:hAnsi="微软雅黑" w:eastAsia="微软雅黑" w:cs="微软雅黑"/>
          <w:sz w:val="24"/>
          <w:highlight w:val="none"/>
          <w:lang w:val="en-US" w:eastAsia="zh-CN"/>
        </w:rPr>
        <w:t>对教学楼水电、大厅、二楼活动室改造提升，教学楼及户外设施粉刷，室外地面硬化改造，户外游戏设施采购。（详见工程量清单及磋商文件）</w:t>
      </w:r>
      <w:r>
        <w:rPr>
          <w:rFonts w:hint="eastAsia" w:ascii="微软雅黑" w:hAnsi="微软雅黑" w:eastAsia="微软雅黑" w:cs="微软雅黑"/>
          <w:highlight w:val="none"/>
          <w:lang w:eastAsia="zh-CN"/>
        </w:rPr>
        <w:t>。</w:t>
      </w:r>
    </w:p>
    <w:p w14:paraId="7B7D01C1">
      <w:pPr>
        <w:pStyle w:val="8"/>
        <w:ind w:firstLine="48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备注：</w:t>
      </w:r>
      <w:r>
        <w:rPr>
          <w:rFonts w:hint="eastAsia" w:ascii="微软雅黑" w:hAnsi="微软雅黑" w:eastAsia="微软雅黑" w:cs="微软雅黑"/>
          <w:highlight w:val="none"/>
          <w:lang w:val="en-US" w:eastAsia="zh-CN"/>
        </w:rPr>
        <w:t>/</w:t>
      </w:r>
      <w:r>
        <w:rPr>
          <w:rFonts w:hint="eastAsia" w:ascii="微软雅黑" w:hAnsi="微软雅黑" w:eastAsia="微软雅黑" w:cs="微软雅黑"/>
          <w:highlight w:val="none"/>
        </w:rPr>
        <w:t xml:space="preserve"> </w:t>
      </w:r>
    </w:p>
    <w:p w14:paraId="535C2451">
      <w:pPr>
        <w:spacing w:line="38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合同履行期限：详见</w:t>
      </w: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rPr>
        <w:t>文件。</w:t>
      </w:r>
    </w:p>
    <w:p w14:paraId="1010A5CB">
      <w:pPr>
        <w:spacing w:line="380" w:lineRule="exact"/>
        <w:ind w:firstLine="480" w:firstLineChars="200"/>
        <w:rPr>
          <w:rFonts w:ascii="微软雅黑" w:hAnsi="微软雅黑" w:eastAsia="微软雅黑" w:cs="微软雅黑"/>
          <w:bCs/>
          <w:sz w:val="24"/>
          <w:highlight w:val="none"/>
        </w:rPr>
      </w:pPr>
      <w:bookmarkStart w:id="915" w:name="_Toc35393791"/>
      <w:bookmarkStart w:id="916" w:name="_Toc28359003"/>
      <w:bookmarkStart w:id="917" w:name="_Toc1145"/>
      <w:bookmarkStart w:id="918" w:name="_Toc28359080"/>
      <w:bookmarkStart w:id="919" w:name="_Toc19260"/>
      <w:bookmarkStart w:id="920" w:name="_Toc29506"/>
      <w:bookmarkStart w:id="921" w:name="_Toc35393622"/>
      <w:bookmarkStart w:id="922" w:name="_Toc13688"/>
      <w:r>
        <w:rPr>
          <w:rFonts w:hint="eastAsia" w:ascii="微软雅黑" w:hAnsi="微软雅黑" w:eastAsia="微软雅黑" w:cs="微软雅黑"/>
          <w:bCs/>
          <w:sz w:val="24"/>
          <w:highlight w:val="none"/>
        </w:rPr>
        <w:t>本项目（否）接受联合体投标。</w:t>
      </w:r>
    </w:p>
    <w:p w14:paraId="2B869F82">
      <w:pPr>
        <w:spacing w:line="380" w:lineRule="exac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二、投标供应商资格要求：</w:t>
      </w:r>
      <w:bookmarkEnd w:id="915"/>
      <w:bookmarkEnd w:id="916"/>
      <w:bookmarkEnd w:id="917"/>
      <w:bookmarkEnd w:id="918"/>
      <w:bookmarkEnd w:id="919"/>
      <w:bookmarkEnd w:id="920"/>
      <w:bookmarkEnd w:id="921"/>
      <w:bookmarkEnd w:id="922"/>
    </w:p>
    <w:p w14:paraId="37C7B138">
      <w:pPr>
        <w:spacing w:line="380" w:lineRule="exact"/>
        <w:ind w:firstLine="540"/>
        <w:rPr>
          <w:rFonts w:ascii="微软雅黑" w:hAnsi="微软雅黑" w:eastAsia="微软雅黑" w:cs="微软雅黑"/>
          <w:sz w:val="24"/>
          <w:highlight w:val="none"/>
        </w:rPr>
      </w:pPr>
      <w:r>
        <w:rPr>
          <w:rFonts w:hint="eastAsia" w:ascii="微软雅黑" w:hAnsi="微软雅黑" w:eastAsia="微软雅黑" w:cs="微软雅黑"/>
          <w:sz w:val="24"/>
          <w:highlight w:val="none"/>
        </w:rPr>
        <w:t>1.满足《中华人民共和国政府采购法》第二十二条规定；</w:t>
      </w:r>
    </w:p>
    <w:p w14:paraId="450A0CFE">
      <w:pPr>
        <w:spacing w:line="380" w:lineRule="exact"/>
        <w:ind w:firstLine="540"/>
        <w:rPr>
          <w:rFonts w:ascii="微软雅黑" w:hAnsi="微软雅黑" w:eastAsia="微软雅黑" w:cs="微软雅黑"/>
          <w:sz w:val="24"/>
          <w:highlight w:val="none"/>
        </w:rPr>
      </w:pPr>
      <w:r>
        <w:rPr>
          <w:rFonts w:hint="eastAsia" w:ascii="微软雅黑" w:hAnsi="微软雅黑" w:eastAsia="微软雅黑" w:cs="微软雅黑"/>
          <w:sz w:val="24"/>
          <w:highlight w:val="none"/>
        </w:rPr>
        <w:t>2.落实政府采购政策需满足的资格要求：本项目专门面向中小企业；</w:t>
      </w:r>
    </w:p>
    <w:p w14:paraId="76A0C88F">
      <w:pPr>
        <w:spacing w:line="380" w:lineRule="exact"/>
        <w:ind w:firstLine="54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w:t>
      </w:r>
      <w:r>
        <w:rPr>
          <w:rFonts w:hint="eastAsia" w:ascii="微软雅黑" w:hAnsi="微软雅黑" w:eastAsia="微软雅黑" w:cs="微软雅黑"/>
          <w:sz w:val="24"/>
          <w:highlight w:val="none"/>
          <w:lang w:val="en-US" w:eastAsia="zh-CN"/>
        </w:rPr>
        <w:t>本项目的特定</w:t>
      </w:r>
      <w:r>
        <w:rPr>
          <w:rFonts w:hint="eastAsia" w:ascii="微软雅黑" w:hAnsi="微软雅黑" w:eastAsia="微软雅黑" w:cs="微软雅黑"/>
          <w:sz w:val="24"/>
          <w:highlight w:val="none"/>
        </w:rPr>
        <w:t>资格要求：</w:t>
      </w:r>
    </w:p>
    <w:p w14:paraId="4936923C">
      <w:pPr>
        <w:spacing w:line="380" w:lineRule="exact"/>
        <w:ind w:firstLine="54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（1）</w:t>
      </w:r>
      <w:r>
        <w:rPr>
          <w:rFonts w:hint="eastAsia" w:ascii="微软雅黑" w:hAnsi="微软雅黑" w:eastAsia="微软雅黑" w:cs="微软雅黑"/>
          <w:sz w:val="24"/>
          <w:highlight w:val="none"/>
          <w:lang w:eastAsia="zh-CN"/>
        </w:rPr>
        <w:t>供应商须具有有效的建筑工程施工总承包贰级（含）及以上资质，并取得有效的《安全生产许可证》</w:t>
      </w:r>
      <w:r>
        <w:rPr>
          <w:rFonts w:hint="eastAsia" w:ascii="微软雅黑" w:hAnsi="微软雅黑" w:eastAsia="微软雅黑" w:cs="微软雅黑"/>
          <w:sz w:val="24"/>
          <w:highlight w:val="none"/>
        </w:rPr>
        <w:t>；</w:t>
      </w:r>
    </w:p>
    <w:p w14:paraId="56705E67">
      <w:pPr>
        <w:spacing w:line="380" w:lineRule="exact"/>
        <w:ind w:firstLine="54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lang w:eastAsia="zh-CN"/>
        </w:rPr>
        <w:t>）项目负责人须具备建筑工程贰级(含)及以上注册建造师执业资格, 具备有效的安全生产考核合格证书（B类）</w:t>
      </w:r>
      <w:r>
        <w:rPr>
          <w:rFonts w:hint="eastAsia" w:ascii="微软雅黑" w:hAnsi="微软雅黑" w:eastAsia="微软雅黑" w:cs="微软雅黑"/>
          <w:sz w:val="24"/>
          <w:highlight w:val="none"/>
        </w:rPr>
        <w:t>，且未担任其他在施建设项目的项目负责人并出具无在建承诺书；</w:t>
      </w:r>
    </w:p>
    <w:p w14:paraId="5DCFB226">
      <w:pPr>
        <w:spacing w:line="380" w:lineRule="exact"/>
        <w:rPr>
          <w:rFonts w:ascii="微软雅黑" w:hAnsi="微软雅黑" w:eastAsia="微软雅黑" w:cs="微软雅黑"/>
          <w:b/>
          <w:bCs/>
          <w:kern w:val="0"/>
          <w:sz w:val="24"/>
          <w:highlight w:val="none"/>
        </w:rPr>
      </w:pPr>
      <w:bookmarkStart w:id="923" w:name="_Toc28359004"/>
      <w:bookmarkStart w:id="924" w:name="_Toc32226"/>
      <w:bookmarkStart w:id="925" w:name="_Toc35393792"/>
      <w:bookmarkStart w:id="926" w:name="_Toc27678"/>
      <w:bookmarkStart w:id="927" w:name="_Toc28359081"/>
      <w:bookmarkStart w:id="928" w:name="_Toc35393623"/>
      <w:r>
        <w:rPr>
          <w:rFonts w:hint="eastAsia" w:ascii="微软雅黑" w:hAnsi="微软雅黑" w:eastAsia="微软雅黑" w:cs="微软雅黑"/>
          <w:b/>
          <w:bCs/>
          <w:kern w:val="0"/>
          <w:sz w:val="24"/>
          <w:highlight w:val="none"/>
        </w:rPr>
        <w:t>三、获取招标文件</w:t>
      </w:r>
      <w:bookmarkEnd w:id="923"/>
      <w:bookmarkEnd w:id="924"/>
      <w:bookmarkEnd w:id="925"/>
      <w:bookmarkEnd w:id="926"/>
      <w:bookmarkEnd w:id="927"/>
      <w:bookmarkEnd w:id="928"/>
    </w:p>
    <w:p w14:paraId="4431F96A">
      <w:pPr>
        <w:spacing w:line="440" w:lineRule="exact"/>
        <w:ind w:firstLine="480" w:firstLineChars="200"/>
        <w:jc w:val="left"/>
        <w:rPr>
          <w:rFonts w:hint="eastAsia" w:ascii="微软雅黑" w:hAnsi="微软雅黑" w:eastAsia="微软雅黑" w:cs="微软雅黑"/>
          <w:sz w:val="24"/>
          <w:highlight w:val="none"/>
        </w:rPr>
      </w:pPr>
      <w:bookmarkStart w:id="929" w:name="_Toc35393624"/>
      <w:bookmarkStart w:id="930" w:name="_Toc2422"/>
      <w:bookmarkStart w:id="931" w:name="_Toc9047"/>
      <w:bookmarkStart w:id="932" w:name="_Toc28359005"/>
      <w:bookmarkStart w:id="933" w:name="_Toc35393793"/>
      <w:bookmarkStart w:id="934" w:name="_Toc952"/>
      <w:bookmarkStart w:id="935" w:name="_Toc28359082"/>
      <w:bookmarkStart w:id="936" w:name="_Toc2532"/>
      <w:r>
        <w:rPr>
          <w:rFonts w:hint="eastAsia" w:ascii="微软雅黑" w:hAnsi="微软雅黑" w:eastAsia="微软雅黑" w:cs="微软雅黑"/>
          <w:sz w:val="24"/>
          <w:highlight w:val="none"/>
        </w:rPr>
        <w:t>获取时间：2025年</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3</w:t>
      </w:r>
      <w:r>
        <w:rPr>
          <w:rFonts w:hint="eastAsia" w:ascii="微软雅黑" w:hAnsi="微软雅黑" w:eastAsia="微软雅黑" w:cs="微软雅黑"/>
          <w:sz w:val="24"/>
          <w:highlight w:val="none"/>
        </w:rPr>
        <w:t>日至2025年</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10</w:t>
      </w:r>
      <w:r>
        <w:rPr>
          <w:rFonts w:hint="eastAsia" w:ascii="微软雅黑" w:hAnsi="微软雅黑" w:eastAsia="微软雅黑" w:cs="微软雅黑"/>
          <w:sz w:val="24"/>
          <w:highlight w:val="none"/>
        </w:rPr>
        <w:t>日，每天上午</w:t>
      </w:r>
      <w:r>
        <w:rPr>
          <w:rFonts w:hint="eastAsia" w:ascii="微软雅黑" w:hAnsi="微软雅黑" w:eastAsia="微软雅黑" w:cs="微软雅黑"/>
          <w:sz w:val="24"/>
          <w:highlight w:val="none"/>
          <w:lang w:val="en-US" w:eastAsia="zh-CN"/>
        </w:rPr>
        <w:t>10</w:t>
      </w:r>
      <w:r>
        <w:rPr>
          <w:rFonts w:hint="eastAsia" w:ascii="微软雅黑" w:hAnsi="微软雅黑" w:eastAsia="微软雅黑" w:cs="微软雅黑"/>
          <w:sz w:val="24"/>
          <w:highlight w:val="none"/>
        </w:rPr>
        <w:t>:00至14:00，下午1</w:t>
      </w:r>
      <w:r>
        <w:rPr>
          <w:rFonts w:hint="eastAsia" w:ascii="微软雅黑" w:hAnsi="微软雅黑" w:eastAsia="微软雅黑" w:cs="微软雅黑"/>
          <w:sz w:val="24"/>
          <w:highlight w:val="none"/>
          <w:lang w:val="en-US" w:eastAsia="zh-CN"/>
        </w:rPr>
        <w:t>6</w:t>
      </w:r>
      <w:r>
        <w:rPr>
          <w:rFonts w:hint="eastAsia" w:ascii="微软雅黑" w:hAnsi="微软雅黑" w:eastAsia="微软雅黑" w:cs="微软雅黑"/>
          <w:sz w:val="24"/>
          <w:highlight w:val="none"/>
        </w:rPr>
        <w:t>:00至</w:t>
      </w:r>
      <w:r>
        <w:rPr>
          <w:rFonts w:hint="eastAsia" w:ascii="微软雅黑" w:hAnsi="微软雅黑" w:eastAsia="微软雅黑" w:cs="微软雅黑"/>
          <w:sz w:val="24"/>
          <w:highlight w:val="none"/>
          <w:lang w:val="en-US" w:eastAsia="zh-CN"/>
        </w:rPr>
        <w:t>20</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00</w:t>
      </w:r>
      <w:r>
        <w:rPr>
          <w:rFonts w:hint="eastAsia" w:ascii="微软雅黑" w:hAnsi="微软雅黑" w:eastAsia="微软雅黑" w:cs="微软雅黑"/>
          <w:sz w:val="24"/>
          <w:highlight w:val="none"/>
        </w:rPr>
        <w:t>（法定节假日除外）</w:t>
      </w:r>
    </w:p>
    <w:p w14:paraId="4EEA197B">
      <w:pPr>
        <w:spacing w:line="44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地点：政采云平台线上</w:t>
      </w:r>
    </w:p>
    <w:p w14:paraId="3000CE7D">
      <w:pPr>
        <w:spacing w:line="44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78C47607">
      <w:pPr>
        <w:spacing w:line="3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售    价： 0元 </w:t>
      </w:r>
    </w:p>
    <w:bookmarkEnd w:id="929"/>
    <w:bookmarkEnd w:id="930"/>
    <w:bookmarkEnd w:id="931"/>
    <w:bookmarkEnd w:id="932"/>
    <w:bookmarkEnd w:id="933"/>
    <w:bookmarkEnd w:id="934"/>
    <w:bookmarkEnd w:id="935"/>
    <w:bookmarkEnd w:id="936"/>
    <w:p w14:paraId="78A1919F">
      <w:pPr>
        <w:spacing w:line="440" w:lineRule="exact"/>
        <w:jc w:val="left"/>
        <w:rPr>
          <w:rFonts w:ascii="微软雅黑" w:hAnsi="微软雅黑" w:eastAsia="微软雅黑" w:cs="微软雅黑"/>
          <w:b/>
          <w:bCs/>
          <w:kern w:val="0"/>
          <w:sz w:val="24"/>
          <w:highlight w:val="none"/>
        </w:rPr>
      </w:pPr>
      <w:bookmarkStart w:id="937" w:name="_Toc28359084"/>
      <w:bookmarkStart w:id="938" w:name="_Toc35393625"/>
      <w:bookmarkStart w:id="939" w:name="_Toc35393794"/>
      <w:bookmarkStart w:id="940" w:name="_Toc20863"/>
      <w:bookmarkStart w:id="941" w:name="_Toc30400"/>
      <w:bookmarkStart w:id="942" w:name="_Toc28359007"/>
      <w:bookmarkStart w:id="943" w:name="_Toc23672"/>
      <w:bookmarkStart w:id="944" w:name="_Toc32108"/>
      <w:r>
        <w:rPr>
          <w:rFonts w:hint="eastAsia" w:ascii="微软雅黑" w:hAnsi="微软雅黑" w:eastAsia="微软雅黑" w:cs="微软雅黑"/>
          <w:b/>
          <w:bCs/>
          <w:kern w:val="0"/>
          <w:sz w:val="24"/>
          <w:highlight w:val="none"/>
        </w:rPr>
        <w:t>四、响应文件提交</w:t>
      </w:r>
      <w:r>
        <w:rPr>
          <w:rFonts w:hint="eastAsia" w:ascii="微软雅黑" w:hAnsi="微软雅黑" w:eastAsia="微软雅黑" w:cs="微软雅黑"/>
          <w:b/>
          <w:sz w:val="24"/>
          <w:highlight w:val="none"/>
        </w:rPr>
        <w:t>截止时间、磋商时间和地点</w:t>
      </w:r>
    </w:p>
    <w:bookmarkEnd w:id="937"/>
    <w:bookmarkEnd w:id="938"/>
    <w:bookmarkEnd w:id="939"/>
    <w:bookmarkEnd w:id="940"/>
    <w:bookmarkEnd w:id="941"/>
    <w:bookmarkEnd w:id="942"/>
    <w:bookmarkEnd w:id="943"/>
    <w:bookmarkEnd w:id="944"/>
    <w:p w14:paraId="385226DE">
      <w:pPr>
        <w:spacing w:line="460" w:lineRule="exact"/>
        <w:ind w:firstLine="480" w:firstLineChars="200"/>
        <w:rPr>
          <w:rFonts w:ascii="微软雅黑" w:hAnsi="微软雅黑" w:eastAsia="微软雅黑" w:cs="微软雅黑"/>
          <w:bCs/>
          <w:sz w:val="24"/>
          <w:highlight w:val="none"/>
        </w:rPr>
      </w:pPr>
      <w:bookmarkStart w:id="945" w:name="_Toc35393795"/>
      <w:bookmarkStart w:id="946" w:name="_Toc647"/>
      <w:bookmarkStart w:id="947" w:name="_Toc999"/>
      <w:bookmarkStart w:id="948" w:name="_Toc13675"/>
      <w:bookmarkStart w:id="949" w:name="_Toc18258"/>
      <w:bookmarkStart w:id="950" w:name="_Toc35393626"/>
      <w:r>
        <w:rPr>
          <w:rFonts w:hint="eastAsia" w:ascii="微软雅黑" w:hAnsi="微软雅黑" w:eastAsia="微软雅黑" w:cs="微软雅黑"/>
          <w:sz w:val="24"/>
          <w:highlight w:val="none"/>
        </w:rPr>
        <w:t>提交投标文件截止时间：</w:t>
      </w:r>
      <w:r>
        <w:rPr>
          <w:rFonts w:hint="eastAsia" w:ascii="微软雅黑" w:hAnsi="微软雅黑" w:eastAsia="微软雅黑" w:cs="微软雅黑"/>
          <w:sz w:val="24"/>
          <w:highlight w:val="none"/>
          <w:lang w:eastAsia="zh-CN"/>
        </w:rPr>
        <w:t>2025年7月</w:t>
      </w:r>
      <w:r>
        <w:rPr>
          <w:rFonts w:hint="eastAsia" w:ascii="微软雅黑" w:hAnsi="微软雅黑" w:eastAsia="微软雅黑" w:cs="微软雅黑"/>
          <w:sz w:val="24"/>
          <w:highlight w:val="none"/>
          <w:lang w:val="en-US" w:eastAsia="zh-CN"/>
        </w:rPr>
        <w:t>14</w:t>
      </w:r>
      <w:r>
        <w:rPr>
          <w:rFonts w:hint="eastAsia" w:ascii="微软雅黑" w:hAnsi="微软雅黑" w:eastAsia="微软雅黑" w:cs="微软雅黑"/>
          <w:sz w:val="24"/>
          <w:highlight w:val="none"/>
          <w:lang w:eastAsia="zh-CN"/>
        </w:rPr>
        <w:t>日</w:t>
      </w:r>
      <w:r>
        <w:rPr>
          <w:rFonts w:hint="eastAsia" w:ascii="微软雅黑" w:hAnsi="微软雅黑" w:eastAsia="微软雅黑" w:cs="微软雅黑"/>
          <w:sz w:val="24"/>
          <w:highlight w:val="none"/>
        </w:rPr>
        <w:t>10:30</w:t>
      </w:r>
      <w:r>
        <w:rPr>
          <w:rFonts w:hint="eastAsia" w:ascii="微软雅黑" w:hAnsi="微软雅黑" w:eastAsia="微软雅黑" w:cs="微软雅黑"/>
          <w:bCs/>
          <w:sz w:val="24"/>
          <w:highlight w:val="none"/>
        </w:rPr>
        <w:t>（北京时间）</w:t>
      </w:r>
    </w:p>
    <w:p w14:paraId="22682ECB">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投标地点：请登录政采云投标客户端投标</w:t>
      </w:r>
    </w:p>
    <w:p w14:paraId="2B71566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开标时间：</w:t>
      </w:r>
      <w:r>
        <w:rPr>
          <w:rFonts w:hint="eastAsia" w:ascii="微软雅黑" w:hAnsi="微软雅黑" w:eastAsia="微软雅黑" w:cs="微软雅黑"/>
          <w:sz w:val="24"/>
          <w:highlight w:val="none"/>
          <w:lang w:eastAsia="zh-CN"/>
        </w:rPr>
        <w:t>2025年7月</w:t>
      </w:r>
      <w:r>
        <w:rPr>
          <w:rFonts w:hint="eastAsia" w:ascii="微软雅黑" w:hAnsi="微软雅黑" w:eastAsia="微软雅黑" w:cs="微软雅黑"/>
          <w:sz w:val="24"/>
          <w:highlight w:val="none"/>
          <w:lang w:val="en-US" w:eastAsia="zh-CN"/>
        </w:rPr>
        <w:t>14</w:t>
      </w:r>
      <w:r>
        <w:rPr>
          <w:rFonts w:hint="eastAsia" w:ascii="微软雅黑" w:hAnsi="微软雅黑" w:eastAsia="微软雅黑" w:cs="微软雅黑"/>
          <w:sz w:val="24"/>
          <w:highlight w:val="none"/>
          <w:lang w:eastAsia="zh-CN"/>
        </w:rPr>
        <w:t>日</w:t>
      </w:r>
      <w:r>
        <w:rPr>
          <w:rFonts w:hint="eastAsia" w:ascii="微软雅黑" w:hAnsi="微软雅黑" w:eastAsia="微软雅黑" w:cs="微软雅黑"/>
          <w:sz w:val="24"/>
          <w:highlight w:val="none"/>
        </w:rPr>
        <w:t>10:30（北京时间）</w:t>
      </w:r>
    </w:p>
    <w:p w14:paraId="6576629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开标地点：</w:t>
      </w:r>
      <w:r>
        <w:rPr>
          <w:rFonts w:hint="eastAsia" w:ascii="微软雅黑" w:hAnsi="微软雅黑" w:eastAsia="微软雅黑" w:cs="微软雅黑"/>
          <w:kern w:val="0"/>
          <w:sz w:val="24"/>
          <w:highlight w:val="none"/>
        </w:rPr>
        <w:t>投标人登录政采云平台https://www.zcygov.cn/，进入“项目采购-开标评标-右边选择对应项目点击“进入项目”进入开标大厅。</w:t>
      </w:r>
    </w:p>
    <w:p w14:paraId="43069098">
      <w:pPr>
        <w:spacing w:line="440" w:lineRule="exact"/>
        <w:jc w:val="left"/>
        <w:rPr>
          <w:rFonts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五、公告期限</w:t>
      </w:r>
    </w:p>
    <w:p w14:paraId="1F5B88F6">
      <w:pPr>
        <w:spacing w:line="44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自本公告发布之日起</w:t>
      </w:r>
      <w:r>
        <w:rPr>
          <w:rFonts w:hint="eastAsia" w:ascii="微软雅黑" w:hAnsi="微软雅黑" w:eastAsia="微软雅黑" w:cs="微软雅黑"/>
          <w:sz w:val="24"/>
          <w:highlight w:val="none"/>
          <w:lang w:val="en-US" w:eastAsia="zh-CN"/>
        </w:rPr>
        <w:t>5</w:t>
      </w:r>
      <w:r>
        <w:rPr>
          <w:rFonts w:hint="eastAsia" w:ascii="微软雅黑" w:hAnsi="微软雅黑" w:eastAsia="微软雅黑" w:cs="微软雅黑"/>
          <w:sz w:val="24"/>
          <w:highlight w:val="none"/>
        </w:rPr>
        <w:t>个工作日。</w:t>
      </w:r>
      <w:bookmarkEnd w:id="945"/>
      <w:bookmarkEnd w:id="946"/>
      <w:bookmarkEnd w:id="947"/>
      <w:bookmarkEnd w:id="948"/>
      <w:bookmarkEnd w:id="949"/>
      <w:bookmarkEnd w:id="950"/>
      <w:bookmarkStart w:id="951" w:name="_Toc28359010"/>
      <w:bookmarkStart w:id="952" w:name="_Toc28359087"/>
    </w:p>
    <w:bookmarkEnd w:id="951"/>
    <w:bookmarkEnd w:id="952"/>
    <w:p w14:paraId="647B0E5E">
      <w:pPr>
        <w:spacing w:line="460" w:lineRule="exac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六、其它补充事宜</w:t>
      </w:r>
    </w:p>
    <w:p w14:paraId="15A55ADA">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95763(喀什办理地点喀什东城喀什市行政审批局一楼企业服务专区数字证书窗口，联系电话15001465669)。</w:t>
      </w:r>
    </w:p>
    <w:p w14:paraId="2BD31297">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（2）本项目实行网上磋商，采用电子响应文件(供应商须使用CA加密设备通过政采云电子投标客户端制作响应文件)。若供应商参与投标，自行承担投标一切费用。</w:t>
      </w:r>
    </w:p>
    <w:p w14:paraId="24E224E1">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（3）各供应商在磋商前应确保成为新疆政府采购网正式注册入库供应商，并完成CA数字证书申领。因未注册入库、未办理CA数字证书等原因造成无法投标或投标失败等后果由供应商自行承担。</w:t>
      </w:r>
    </w:p>
    <w:p w14:paraId="4CB14AA2">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12CDF597">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（5）供应商在磋商时须使用制作加密电子响应文件所使用的CA锁及电脑，电脑须提前配置好浏览器（建议使用谷歌浏览器），以便磋商时解锁。</w:t>
      </w:r>
    </w:p>
    <w:p w14:paraId="775012F3">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6）磋商保证金缴纳及确认时间：凡拟参加本次招标项目的供应商，必须在开标前将磋商保证金汇入指定账户。磋商保证金汇款凭证上用途栏应注明:采购项目名称+标项号+磋商保证金。否则，届时其报价将被拒绝。</w:t>
      </w:r>
    </w:p>
    <w:p w14:paraId="0EA691CF">
      <w:pPr>
        <w:keepNext w:val="0"/>
        <w:keepLines w:val="0"/>
        <w:pageBreakBefore w:val="0"/>
        <w:widowControl w:val="0"/>
        <w:kinsoku/>
        <w:wordWrap w:val="0"/>
        <w:overflowPunct/>
        <w:topLinePunct w:val="0"/>
        <w:autoSpaceDE/>
        <w:autoSpaceDN/>
        <w:bidi w:val="0"/>
        <w:adjustRightInd/>
        <w:snapToGrid/>
        <w:spacing w:line="460" w:lineRule="exact"/>
        <w:jc w:val="left"/>
        <w:textAlignment w:val="auto"/>
        <w:rPr>
          <w:rFonts w:ascii="微软雅黑" w:hAnsi="微软雅黑" w:eastAsia="微软雅黑" w:cs="微软雅黑"/>
          <w:sz w:val="24"/>
          <w:highlight w:val="none"/>
        </w:rPr>
      </w:pPr>
      <w:r>
        <w:rPr>
          <w:rFonts w:hint="eastAsia" w:ascii="微软雅黑" w:hAnsi="微软雅黑" w:eastAsia="微软雅黑" w:cs="微软雅黑"/>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20号群：35547618（如已加入1-19群，无需重复加入，十九个群联动直播），钉钉工具软件具有回放功能，直播培训结束后可在钉钉群中回放观看学习。</w:t>
      </w:r>
    </w:p>
    <w:p w14:paraId="3A71CC2A">
      <w:pPr>
        <w:spacing w:line="460" w:lineRule="exact"/>
        <w:jc w:val="left"/>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七、</w:t>
      </w:r>
      <w:bookmarkStart w:id="953" w:name="_Toc35393796"/>
      <w:bookmarkStart w:id="954" w:name="_Toc28359085"/>
      <w:bookmarkStart w:id="955" w:name="_Toc35393627"/>
      <w:bookmarkStart w:id="956" w:name="_Toc28359008"/>
      <w:r>
        <w:rPr>
          <w:rFonts w:hint="eastAsia" w:ascii="微软雅黑" w:hAnsi="微软雅黑" w:eastAsia="微软雅黑" w:cs="微软雅黑"/>
          <w:b/>
          <w:sz w:val="24"/>
          <w:highlight w:val="none"/>
        </w:rPr>
        <w:t>对本次招标提出询问，请按以下方式联系。</w:t>
      </w:r>
      <w:bookmarkEnd w:id="953"/>
      <w:bookmarkEnd w:id="954"/>
      <w:bookmarkEnd w:id="955"/>
      <w:bookmarkEnd w:id="956"/>
    </w:p>
    <w:p w14:paraId="024E207E">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1.采购人信息</w:t>
      </w:r>
    </w:p>
    <w:p w14:paraId="4C365B94">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名    称：</w:t>
      </w:r>
      <w:r>
        <w:rPr>
          <w:rFonts w:hint="eastAsia" w:ascii="微软雅黑" w:hAnsi="微软雅黑" w:eastAsia="微软雅黑" w:cs="微软雅黑"/>
          <w:sz w:val="24"/>
          <w:highlight w:val="none"/>
          <w:lang w:eastAsia="zh-CN"/>
        </w:rPr>
        <w:t>疏勒县第一幼儿园</w:t>
      </w:r>
      <w:r>
        <w:rPr>
          <w:rFonts w:hint="eastAsia" w:ascii="微软雅黑" w:hAnsi="微软雅黑" w:eastAsia="微软雅黑" w:cs="微软雅黑"/>
          <w:sz w:val="24"/>
          <w:highlight w:val="none"/>
        </w:rPr>
        <w:t xml:space="preserve"> </w:t>
      </w:r>
    </w:p>
    <w:p w14:paraId="3F33CA63">
      <w:pPr>
        <w:spacing w:line="46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kern w:val="0"/>
          <w:sz w:val="24"/>
          <w:highlight w:val="none"/>
        </w:rPr>
        <w:t>地    址：</w:t>
      </w:r>
      <w:r>
        <w:rPr>
          <w:rFonts w:hint="eastAsia" w:ascii="微软雅黑" w:hAnsi="微软雅黑" w:eastAsia="微软雅黑" w:cs="微软雅黑"/>
          <w:sz w:val="24"/>
          <w:highlight w:val="none"/>
          <w:lang w:eastAsia="zh-CN"/>
        </w:rPr>
        <w:t>疏勒县第一幼儿园</w:t>
      </w:r>
    </w:p>
    <w:p w14:paraId="47CF5208">
      <w:pPr>
        <w:spacing w:line="46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 xml:space="preserve">联 系 人：万莉莉   </w:t>
      </w:r>
    </w:p>
    <w:p w14:paraId="68ED3EA2">
      <w:pPr>
        <w:spacing w:line="460" w:lineRule="exact"/>
        <w:ind w:firstLine="480" w:firstLineChars="200"/>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eastAsia="zh-CN"/>
        </w:rPr>
        <w:t xml:space="preserve">联系方式：万莉莉  13239726971 </w:t>
      </w:r>
    </w:p>
    <w:p w14:paraId="608E7076">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2.采购代理机构信息</w:t>
      </w:r>
    </w:p>
    <w:p w14:paraId="44E18A38">
      <w:pPr>
        <w:spacing w:line="460" w:lineRule="exact"/>
        <w:ind w:firstLine="480" w:firstLineChars="200"/>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名    称：</w:t>
      </w:r>
      <w:r>
        <w:rPr>
          <w:rFonts w:hint="eastAsia" w:ascii="微软雅黑" w:hAnsi="微软雅黑" w:eastAsia="微软雅黑" w:cs="微软雅黑"/>
          <w:kern w:val="0"/>
          <w:sz w:val="24"/>
          <w:highlight w:val="none"/>
          <w:lang w:eastAsia="zh-CN"/>
        </w:rPr>
        <w:t>喀什联胜项目管理有限责任公司</w:t>
      </w:r>
    </w:p>
    <w:p w14:paraId="323762E8">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地　　址：喀什地区莎车县新盛锦绣嘉园1幢2单元1号</w:t>
      </w:r>
    </w:p>
    <w:p w14:paraId="7EBA359E">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联 系 人：</w:t>
      </w:r>
      <w:r>
        <w:rPr>
          <w:rFonts w:hint="eastAsia" w:ascii="微软雅黑" w:hAnsi="微软雅黑" w:eastAsia="微软雅黑" w:cs="微软雅黑"/>
          <w:kern w:val="0"/>
          <w:sz w:val="24"/>
          <w:highlight w:val="none"/>
          <w:lang w:eastAsia="zh-CN"/>
        </w:rPr>
        <w:t>巩丽</w:t>
      </w:r>
      <w:r>
        <w:rPr>
          <w:rFonts w:hint="eastAsia" w:ascii="微软雅黑" w:hAnsi="微软雅黑" w:eastAsia="微软雅黑" w:cs="微软雅黑"/>
          <w:kern w:val="0"/>
          <w:sz w:val="24"/>
          <w:highlight w:val="none"/>
        </w:rPr>
        <w:t xml:space="preserve">   </w:t>
      </w:r>
    </w:p>
    <w:p w14:paraId="3B5FD4BC">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联系方式：</w:t>
      </w:r>
      <w:r>
        <w:rPr>
          <w:rFonts w:hint="eastAsia" w:ascii="微软雅黑" w:hAnsi="微软雅黑" w:eastAsia="微软雅黑" w:cs="微软雅黑"/>
          <w:kern w:val="0"/>
          <w:sz w:val="24"/>
          <w:highlight w:val="none"/>
          <w:lang w:eastAsia="zh-CN"/>
        </w:rPr>
        <w:t>巩丽</w:t>
      </w:r>
      <w:r>
        <w:rPr>
          <w:rFonts w:hint="eastAsia" w:ascii="微软雅黑" w:hAnsi="微软雅黑" w:eastAsia="微软雅黑" w:cs="微软雅黑"/>
          <w:kern w:val="0"/>
          <w:sz w:val="24"/>
          <w:highlight w:val="none"/>
        </w:rPr>
        <w:t xml:space="preserve">  </w:t>
      </w:r>
      <w:r>
        <w:rPr>
          <w:rFonts w:hint="eastAsia" w:ascii="微软雅黑" w:hAnsi="微软雅黑" w:eastAsia="微软雅黑" w:cs="微软雅黑"/>
          <w:kern w:val="0"/>
          <w:sz w:val="24"/>
          <w:highlight w:val="none"/>
          <w:lang w:eastAsia="zh-CN"/>
        </w:rPr>
        <w:t>19190038815</w:t>
      </w:r>
      <w:r>
        <w:rPr>
          <w:rFonts w:hint="eastAsia" w:ascii="微软雅黑" w:hAnsi="微软雅黑" w:eastAsia="微软雅黑" w:cs="微软雅黑"/>
          <w:kern w:val="0"/>
          <w:sz w:val="24"/>
          <w:highlight w:val="none"/>
        </w:rPr>
        <w:t xml:space="preserve">  </w:t>
      </w:r>
    </w:p>
    <w:p w14:paraId="2EA6A38A">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3.项目联系方式</w:t>
      </w:r>
    </w:p>
    <w:p w14:paraId="7DEB0A37">
      <w:pPr>
        <w:spacing w:line="460" w:lineRule="exact"/>
        <w:ind w:firstLine="480" w:firstLineChars="200"/>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项目联系人：</w:t>
      </w:r>
      <w:r>
        <w:rPr>
          <w:rFonts w:hint="eastAsia" w:ascii="微软雅黑" w:hAnsi="微软雅黑" w:eastAsia="微软雅黑" w:cs="微软雅黑"/>
          <w:kern w:val="0"/>
          <w:sz w:val="24"/>
          <w:highlight w:val="none"/>
          <w:lang w:eastAsia="zh-CN"/>
        </w:rPr>
        <w:t>巩丽</w:t>
      </w:r>
    </w:p>
    <w:p w14:paraId="72D5A43C">
      <w:pPr>
        <w:spacing w:line="460" w:lineRule="exact"/>
        <w:ind w:firstLine="480" w:firstLineChars="200"/>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rPr>
        <w:t>电 话：</w:t>
      </w:r>
      <w:r>
        <w:rPr>
          <w:rFonts w:hint="eastAsia" w:ascii="微软雅黑" w:hAnsi="微软雅黑" w:eastAsia="微软雅黑" w:cs="微软雅黑"/>
          <w:kern w:val="0"/>
          <w:sz w:val="24"/>
          <w:highlight w:val="none"/>
          <w:lang w:eastAsia="zh-CN"/>
        </w:rPr>
        <w:t>19190038815</w:t>
      </w:r>
    </w:p>
    <w:p w14:paraId="01D0D7E7">
      <w:pPr>
        <w:pStyle w:val="8"/>
        <w:rPr>
          <w:rFonts w:ascii="微软雅黑" w:hAnsi="微软雅黑" w:eastAsia="微软雅黑" w:cs="微软雅黑"/>
          <w:highlight w:val="none"/>
        </w:rPr>
      </w:pPr>
    </w:p>
    <w:p w14:paraId="02219FC2">
      <w:pPr>
        <w:pStyle w:val="8"/>
        <w:rPr>
          <w:rFonts w:ascii="微软雅黑" w:hAnsi="微软雅黑" w:eastAsia="微软雅黑" w:cs="微软雅黑"/>
          <w:highlight w:val="none"/>
        </w:rPr>
      </w:pPr>
    </w:p>
    <w:p w14:paraId="233F9959">
      <w:pPr>
        <w:pStyle w:val="8"/>
        <w:rPr>
          <w:rFonts w:ascii="微软雅黑" w:hAnsi="微软雅黑" w:eastAsia="微软雅黑" w:cs="微软雅黑"/>
          <w:highlight w:val="none"/>
        </w:rPr>
      </w:pPr>
    </w:p>
    <w:p w14:paraId="16728110">
      <w:pPr>
        <w:spacing w:line="460" w:lineRule="exact"/>
        <w:ind w:firstLine="480" w:firstLineChars="200"/>
        <w:jc w:val="righ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喀什联胜项目管理有限责任公司</w:t>
      </w:r>
      <w:r>
        <w:rPr>
          <w:rFonts w:hint="eastAsia" w:ascii="微软雅黑" w:hAnsi="微软雅黑" w:eastAsia="微软雅黑" w:cs="微软雅黑"/>
          <w:kern w:val="0"/>
          <w:sz w:val="24"/>
          <w:highlight w:val="none"/>
        </w:rPr>
        <w:t xml:space="preserve"> </w:t>
      </w:r>
    </w:p>
    <w:p w14:paraId="1C5F01A3">
      <w:pPr>
        <w:spacing w:line="460" w:lineRule="exact"/>
        <w:ind w:firstLine="5520" w:firstLineChars="2300"/>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lang w:val="en-US" w:eastAsia="zh-CN"/>
        </w:rPr>
        <w:t>2025</w:t>
      </w:r>
      <w:r>
        <w:rPr>
          <w:rFonts w:hint="eastAsia" w:ascii="微软雅黑" w:hAnsi="微软雅黑" w:eastAsia="微软雅黑" w:cs="微软雅黑"/>
          <w:sz w:val="24"/>
          <w:highlight w:val="none"/>
        </w:rPr>
        <w:t>年</w:t>
      </w:r>
      <w:r>
        <w:rPr>
          <w:rFonts w:hint="eastAsia" w:ascii="微软雅黑" w:hAnsi="微软雅黑" w:eastAsia="微软雅黑" w:cs="微软雅黑"/>
          <w:sz w:val="24"/>
          <w:highlight w:val="none"/>
          <w:lang w:val="en-US" w:eastAsia="zh-CN"/>
        </w:rPr>
        <w:t>7</w:t>
      </w:r>
      <w:r>
        <w:rPr>
          <w:rFonts w:hint="eastAsia" w:ascii="微软雅黑" w:hAnsi="微软雅黑" w:eastAsia="微软雅黑" w:cs="微软雅黑"/>
          <w:sz w:val="24"/>
          <w:highlight w:val="none"/>
        </w:rPr>
        <w:t>月</w:t>
      </w:r>
      <w:r>
        <w:rPr>
          <w:rFonts w:hint="eastAsia" w:ascii="微软雅黑" w:hAnsi="微软雅黑" w:eastAsia="微软雅黑" w:cs="微软雅黑"/>
          <w:sz w:val="24"/>
          <w:highlight w:val="none"/>
          <w:lang w:val="en-US" w:eastAsia="zh-CN"/>
        </w:rPr>
        <w:t>2</w:t>
      </w:r>
      <w:r>
        <w:rPr>
          <w:rFonts w:hint="eastAsia" w:ascii="微软雅黑" w:hAnsi="微软雅黑" w:eastAsia="微软雅黑" w:cs="微软雅黑"/>
          <w:sz w:val="24"/>
          <w:highlight w:val="none"/>
        </w:rPr>
        <w:t>日</w:t>
      </w:r>
    </w:p>
    <w:p w14:paraId="6665BE3B">
      <w:pPr>
        <w:spacing w:line="460" w:lineRule="exact"/>
        <w:rPr>
          <w:rFonts w:ascii="微软雅黑" w:hAnsi="微软雅黑" w:eastAsia="微软雅黑" w:cs="微软雅黑"/>
          <w:highlight w:val="none"/>
        </w:rPr>
      </w:pPr>
    </w:p>
    <w:bookmarkEnd w:id="889"/>
    <w:bookmarkEnd w:id="890"/>
    <w:bookmarkEnd w:id="891"/>
    <w:bookmarkEnd w:id="892"/>
    <w:bookmarkEnd w:id="893"/>
    <w:bookmarkEnd w:id="894"/>
    <w:bookmarkEnd w:id="895"/>
    <w:bookmarkEnd w:id="896"/>
    <w:bookmarkEnd w:id="897"/>
    <w:bookmarkEnd w:id="906"/>
    <w:p w14:paraId="15A124E2">
      <w:pPr>
        <w:rPr>
          <w:rFonts w:hint="eastAsia" w:ascii="微软雅黑" w:hAnsi="微软雅黑" w:eastAsia="微软雅黑" w:cs="微软雅黑"/>
          <w:b/>
          <w:bCs/>
          <w:highlight w:val="none"/>
        </w:rPr>
      </w:pPr>
      <w:bookmarkStart w:id="957" w:name="_Toc1457"/>
      <w:r>
        <w:rPr>
          <w:rFonts w:hint="eastAsia" w:ascii="微软雅黑" w:hAnsi="微软雅黑" w:eastAsia="微软雅黑" w:cs="微软雅黑"/>
          <w:b/>
          <w:bCs/>
          <w:highlight w:val="none"/>
        </w:rPr>
        <w:br w:type="page"/>
      </w:r>
      <w:bookmarkStart w:id="1501" w:name="_GoBack"/>
      <w:bookmarkEnd w:id="1501"/>
    </w:p>
    <w:p w14:paraId="6E5A8BA0">
      <w:pPr>
        <w:pStyle w:val="5"/>
        <w:tabs>
          <w:tab w:val="left" w:pos="0"/>
        </w:tabs>
        <w:spacing w:before="0" w:after="0" w:line="240" w:lineRule="atLeast"/>
        <w:rPr>
          <w:rFonts w:ascii="微软雅黑" w:hAnsi="微软雅黑" w:eastAsia="微软雅黑" w:cs="微软雅黑"/>
          <w:b/>
          <w:bCs/>
          <w:szCs w:val="32"/>
          <w:highlight w:val="none"/>
        </w:rPr>
      </w:pPr>
      <w:bookmarkStart w:id="958" w:name="_Toc32092"/>
      <w:r>
        <w:rPr>
          <w:rFonts w:hint="eastAsia" w:ascii="微软雅黑" w:hAnsi="微软雅黑" w:eastAsia="微软雅黑" w:cs="微软雅黑"/>
          <w:b/>
          <w:bCs/>
          <w:highlight w:val="none"/>
        </w:rPr>
        <w:t>第4章  供应商须知资料表</w:t>
      </w:r>
      <w:bookmarkEnd w:id="898"/>
      <w:bookmarkEnd w:id="899"/>
      <w:bookmarkEnd w:id="900"/>
      <w:bookmarkEnd w:id="901"/>
      <w:bookmarkEnd w:id="902"/>
      <w:bookmarkEnd w:id="903"/>
      <w:bookmarkEnd w:id="904"/>
      <w:bookmarkEnd w:id="905"/>
      <w:bookmarkEnd w:id="957"/>
      <w:bookmarkEnd w:id="958"/>
    </w:p>
    <w:p w14:paraId="51819656">
      <w:pPr>
        <w:spacing w:line="400" w:lineRule="exact"/>
        <w:ind w:firstLine="360" w:firstLineChars="15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本表是本招标项目的具体资料，是对供应商须知的具体补充和修改，如有矛盾，应以本资料表为准。</w:t>
      </w:r>
    </w:p>
    <w:tbl>
      <w:tblPr>
        <w:tblStyle w:val="27"/>
        <w:tblW w:w="9260" w:type="dxa"/>
        <w:tblInd w:w="-3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2"/>
        <w:gridCol w:w="8368"/>
      </w:tblGrid>
      <w:tr w14:paraId="1F1A2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892" w:type="dxa"/>
            <w:vAlign w:val="center"/>
          </w:tcPr>
          <w:p w14:paraId="11173100">
            <w:pPr>
              <w:spacing w:line="360" w:lineRule="exact"/>
              <w:jc w:val="center"/>
              <w:rPr>
                <w:rFonts w:ascii="微软雅黑" w:hAnsi="微软雅黑" w:eastAsia="微软雅黑" w:cs="微软雅黑"/>
                <w:sz w:val="24"/>
                <w:highlight w:val="none"/>
              </w:rPr>
            </w:pPr>
            <w:r>
              <w:rPr>
                <w:rFonts w:hint="eastAsia" w:ascii="微软雅黑" w:hAnsi="微软雅黑" w:eastAsia="微软雅黑" w:cs="微软雅黑"/>
                <w:sz w:val="24"/>
                <w:highlight w:val="none"/>
              </w:rPr>
              <w:t>条款号</w:t>
            </w:r>
          </w:p>
        </w:tc>
        <w:tc>
          <w:tcPr>
            <w:tcW w:w="8368" w:type="dxa"/>
            <w:vAlign w:val="center"/>
          </w:tcPr>
          <w:p w14:paraId="71E9AE07">
            <w:pPr>
              <w:spacing w:line="360" w:lineRule="exact"/>
              <w:ind w:left="1080" w:leftChars="257" w:hanging="540"/>
              <w:rPr>
                <w:rFonts w:ascii="微软雅黑" w:hAnsi="微软雅黑" w:eastAsia="微软雅黑" w:cs="微软雅黑"/>
                <w:b/>
                <w:sz w:val="24"/>
                <w:highlight w:val="none"/>
              </w:rPr>
            </w:pPr>
            <w:r>
              <w:rPr>
                <w:rFonts w:hint="eastAsia" w:ascii="微软雅黑" w:hAnsi="微软雅黑" w:eastAsia="微软雅黑" w:cs="微软雅黑"/>
                <w:b/>
                <w:sz w:val="24"/>
                <w:highlight w:val="none"/>
              </w:rPr>
              <w:t>内      容</w:t>
            </w:r>
          </w:p>
        </w:tc>
      </w:tr>
      <w:tr w14:paraId="6209F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5" w:hRule="atLeast"/>
        </w:trPr>
        <w:tc>
          <w:tcPr>
            <w:tcW w:w="892" w:type="dxa"/>
            <w:vAlign w:val="center"/>
          </w:tcPr>
          <w:p w14:paraId="7C0B2F3B">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1.1</w:t>
            </w:r>
          </w:p>
        </w:tc>
        <w:tc>
          <w:tcPr>
            <w:tcW w:w="8368" w:type="dxa"/>
            <w:vAlign w:val="center"/>
          </w:tcPr>
          <w:p w14:paraId="50805E51">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采购人：</w:t>
            </w:r>
            <w:r>
              <w:rPr>
                <w:rFonts w:hint="eastAsia" w:ascii="微软雅黑" w:hAnsi="微软雅黑" w:eastAsia="微软雅黑" w:cs="微软雅黑"/>
                <w:sz w:val="24"/>
                <w:highlight w:val="none"/>
                <w:u w:val="single"/>
                <w:lang w:eastAsia="zh-CN"/>
              </w:rPr>
              <w:t>疏勒县第一幼儿园</w:t>
            </w:r>
            <w:r>
              <w:rPr>
                <w:rFonts w:hint="eastAsia" w:ascii="微软雅黑" w:hAnsi="微软雅黑" w:eastAsia="微软雅黑" w:cs="微软雅黑"/>
                <w:sz w:val="24"/>
                <w:highlight w:val="none"/>
              </w:rPr>
              <w:t xml:space="preserve"> </w:t>
            </w:r>
          </w:p>
          <w:p w14:paraId="73F886BA">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联 系 人：</w:t>
            </w:r>
            <w:r>
              <w:rPr>
                <w:rFonts w:hint="eastAsia" w:ascii="微软雅黑" w:hAnsi="微软雅黑" w:eastAsia="微软雅黑" w:cs="微软雅黑"/>
                <w:sz w:val="24"/>
                <w:highlight w:val="none"/>
                <w:u w:val="single"/>
              </w:rPr>
              <w:t>万莉莉</w:t>
            </w:r>
            <w:r>
              <w:rPr>
                <w:rFonts w:hint="eastAsia" w:ascii="微软雅黑" w:hAnsi="微软雅黑" w:eastAsia="微软雅黑" w:cs="微软雅黑"/>
                <w:sz w:val="24"/>
                <w:highlight w:val="none"/>
              </w:rPr>
              <w:t xml:space="preserve">   </w:t>
            </w:r>
          </w:p>
          <w:p w14:paraId="63C9DF2E">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w:t>
            </w:r>
            <w:r>
              <w:rPr>
                <w:rFonts w:hint="eastAsia" w:ascii="微软雅黑" w:hAnsi="微软雅黑" w:eastAsia="微软雅黑" w:cs="微软雅黑"/>
                <w:sz w:val="24"/>
                <w:highlight w:val="none"/>
                <w:lang w:val="en-US" w:eastAsia="zh-CN"/>
              </w:rPr>
              <w:t>电话</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u w:val="single"/>
              </w:rPr>
              <w:t>13239726971</w:t>
            </w:r>
            <w:r>
              <w:rPr>
                <w:rFonts w:hint="eastAsia" w:ascii="微软雅黑" w:hAnsi="微软雅黑" w:eastAsia="微软雅黑" w:cs="微软雅黑"/>
                <w:sz w:val="24"/>
                <w:highlight w:val="none"/>
              </w:rPr>
              <w:t xml:space="preserve">   </w:t>
            </w:r>
          </w:p>
        </w:tc>
      </w:tr>
      <w:tr w14:paraId="1C8A8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8" w:hRule="atLeast"/>
        </w:trPr>
        <w:tc>
          <w:tcPr>
            <w:tcW w:w="892" w:type="dxa"/>
            <w:vAlign w:val="center"/>
          </w:tcPr>
          <w:p w14:paraId="4A596411">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1.2</w:t>
            </w:r>
          </w:p>
        </w:tc>
        <w:tc>
          <w:tcPr>
            <w:tcW w:w="8368" w:type="dxa"/>
            <w:vAlign w:val="center"/>
          </w:tcPr>
          <w:p w14:paraId="7E114463">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采购代理机构：</w:t>
            </w:r>
            <w:r>
              <w:rPr>
                <w:rFonts w:hint="eastAsia" w:ascii="微软雅黑" w:hAnsi="微软雅黑" w:eastAsia="微软雅黑" w:cs="微软雅黑"/>
                <w:sz w:val="24"/>
                <w:highlight w:val="none"/>
                <w:u w:val="single"/>
                <w:lang w:eastAsia="zh-CN"/>
              </w:rPr>
              <w:t>喀什联胜项目管理有限责任公司</w:t>
            </w:r>
            <w:r>
              <w:rPr>
                <w:rFonts w:hint="eastAsia" w:ascii="微软雅黑" w:hAnsi="微软雅黑" w:eastAsia="微软雅黑" w:cs="微软雅黑"/>
                <w:sz w:val="24"/>
                <w:highlight w:val="none"/>
                <w:u w:val="single"/>
              </w:rPr>
              <w:t xml:space="preserve">  </w:t>
            </w:r>
          </w:p>
          <w:p w14:paraId="1404A630">
            <w:pPr>
              <w:spacing w:line="360" w:lineRule="exact"/>
              <w:rPr>
                <w:rFonts w:hint="eastAsia" w:ascii="微软雅黑" w:hAnsi="微软雅黑" w:eastAsia="微软雅黑" w:cs="微软雅黑"/>
                <w:sz w:val="24"/>
                <w:highlight w:val="none"/>
                <w:u w:val="single"/>
              </w:rPr>
            </w:pPr>
            <w:r>
              <w:rPr>
                <w:rFonts w:hint="eastAsia" w:ascii="微软雅黑" w:hAnsi="微软雅黑" w:eastAsia="微软雅黑" w:cs="微软雅黑"/>
                <w:sz w:val="24"/>
                <w:highlight w:val="none"/>
              </w:rPr>
              <w:t>地址：</w:t>
            </w:r>
            <w:r>
              <w:rPr>
                <w:rFonts w:hint="eastAsia" w:ascii="微软雅黑" w:hAnsi="微软雅黑" w:eastAsia="微软雅黑" w:cs="微软雅黑"/>
                <w:sz w:val="24"/>
                <w:highlight w:val="none"/>
                <w:u w:val="single"/>
              </w:rPr>
              <w:t>喀什地区莎车县新盛锦绣嘉园1幢2单元1号</w:t>
            </w:r>
          </w:p>
          <w:p w14:paraId="64108F5F">
            <w:pPr>
              <w:spacing w:line="360" w:lineRule="exac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rPr>
              <w:t>业务联系人：</w:t>
            </w:r>
            <w:r>
              <w:rPr>
                <w:rFonts w:hint="eastAsia" w:ascii="微软雅黑" w:hAnsi="微软雅黑" w:eastAsia="微软雅黑" w:cs="微软雅黑"/>
                <w:sz w:val="24"/>
                <w:highlight w:val="none"/>
                <w:u w:val="single"/>
                <w:lang w:eastAsia="zh-CN"/>
              </w:rPr>
              <w:t>巩丽</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联系电话： </w:t>
            </w:r>
            <w:r>
              <w:rPr>
                <w:rFonts w:hint="eastAsia" w:ascii="微软雅黑" w:hAnsi="微软雅黑" w:eastAsia="微软雅黑" w:cs="微软雅黑"/>
                <w:sz w:val="24"/>
                <w:highlight w:val="none"/>
                <w:u w:val="single"/>
                <w:lang w:eastAsia="zh-CN"/>
              </w:rPr>
              <w:t>19190038815</w:t>
            </w:r>
          </w:p>
        </w:tc>
      </w:tr>
      <w:tr w14:paraId="2A62A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92" w:type="dxa"/>
            <w:vAlign w:val="center"/>
          </w:tcPr>
          <w:p w14:paraId="7059FC1B">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1.3.4</w:t>
            </w:r>
          </w:p>
        </w:tc>
        <w:tc>
          <w:tcPr>
            <w:tcW w:w="8368" w:type="dxa"/>
            <w:vAlign w:val="center"/>
          </w:tcPr>
          <w:p w14:paraId="3565E833">
            <w:pPr>
              <w:widowControl/>
              <w:snapToGrid w:val="0"/>
              <w:spacing w:line="380" w:lineRule="exact"/>
              <w:jc w:val="left"/>
              <w:textAlignment w:val="baseline"/>
              <w:rPr>
                <w:rFonts w:ascii="微软雅黑" w:hAnsi="微软雅黑" w:eastAsia="微软雅黑" w:cs="微软雅黑"/>
                <w:b/>
                <w:bCs/>
                <w:sz w:val="24"/>
                <w:highlight w:val="none"/>
              </w:rPr>
            </w:pPr>
            <w:r>
              <w:rPr>
                <w:rFonts w:hint="eastAsia" w:ascii="微软雅黑" w:hAnsi="微软雅黑" w:eastAsia="微软雅黑" w:cs="微软雅黑"/>
                <w:sz w:val="24"/>
                <w:highlight w:val="none"/>
              </w:rPr>
              <w:t>合格供应商的其他资格要求：</w:t>
            </w:r>
            <w:r>
              <w:rPr>
                <w:rFonts w:hint="eastAsia" w:ascii="微软雅黑" w:hAnsi="微软雅黑" w:eastAsia="微软雅黑" w:cs="微软雅黑"/>
                <w:b/>
                <w:bCs/>
                <w:color w:val="auto"/>
                <w:sz w:val="24"/>
                <w:szCs w:val="24"/>
                <w:highlight w:val="none"/>
                <w:lang w:val="en-US" w:eastAsia="zh-CN"/>
              </w:rPr>
              <w:t>（须将以下资格证明材料附在投标文件中）</w:t>
            </w:r>
          </w:p>
          <w:p w14:paraId="6EEBD74A">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bookmarkStart w:id="959" w:name="_Toc24549"/>
            <w:r>
              <w:rPr>
                <w:rFonts w:hint="eastAsia" w:ascii="微软雅黑" w:hAnsi="微软雅黑" w:eastAsia="微软雅黑" w:cs="微软雅黑"/>
                <w:b/>
                <w:bCs/>
                <w:i w:val="0"/>
                <w:color w:val="auto"/>
                <w:spacing w:val="0"/>
                <w:w w:val="100"/>
                <w:sz w:val="24"/>
                <w:szCs w:val="24"/>
                <w:highlight w:val="none"/>
                <w:lang w:val="en-US" w:eastAsia="zh-CN"/>
              </w:rPr>
              <w:t>1.具备有效的营业执照；</w:t>
            </w:r>
          </w:p>
          <w:p w14:paraId="1D3C1C37">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2.供应商须具有有效的建筑工程施工总承包贰级（含）及以上资质，并取得有效的《安全生产许可证》；</w:t>
            </w:r>
          </w:p>
          <w:p w14:paraId="476B214A">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3.项目负责人须具备建筑工程贰级(含)及以上注册建造师执业资格, 具备有效的安全生产考核合格证书（B类），且未担任其他在施建设项目的项目负责人并出具无在建承诺书；</w:t>
            </w:r>
          </w:p>
          <w:p w14:paraId="68B4F44A">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4.法定代表人资格证明（法定代表人需提供身份证）；</w:t>
            </w:r>
          </w:p>
          <w:p w14:paraId="5CE02E94">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5.提供2023年度或2024年度的财务审计报告（成立未满十二个月的新公司可提供近三个月内任意一个月的银行资信证明）；</w:t>
            </w:r>
          </w:p>
          <w:p w14:paraId="3E828752">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6.依法缴纳近六个月内任意一个月的社会保险证明；</w:t>
            </w:r>
          </w:p>
          <w:p w14:paraId="426D17F7">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7.依法缴纳近六个月内任意一个月的税收证明；</w:t>
            </w:r>
          </w:p>
          <w:p w14:paraId="5B510F81">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8.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p w14:paraId="5F3D1BA5">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9. 参加政府采购活动前三年内在经营活动中没有重大违法记录的书面声明；</w:t>
            </w:r>
          </w:p>
          <w:p w14:paraId="35A7D77D">
            <w:pPr>
              <w:widowControl/>
              <w:snapToGrid w:val="0"/>
              <w:spacing w:line="440" w:lineRule="exact"/>
              <w:textAlignment w:val="baseline"/>
              <w:rPr>
                <w:rFonts w:hint="eastAsia" w:ascii="微软雅黑" w:hAnsi="微软雅黑" w:eastAsia="微软雅黑" w:cs="微软雅黑"/>
                <w:b/>
                <w:bCs/>
                <w:i w:val="0"/>
                <w:color w:val="auto"/>
                <w:spacing w:val="0"/>
                <w:w w:val="100"/>
                <w:sz w:val="24"/>
                <w:szCs w:val="24"/>
                <w:highlight w:val="none"/>
                <w:lang w:val="en-US" w:eastAsia="zh-CN"/>
              </w:rPr>
            </w:pPr>
            <w:r>
              <w:rPr>
                <w:rFonts w:hint="eastAsia" w:ascii="微软雅黑" w:hAnsi="微软雅黑" w:eastAsia="微软雅黑" w:cs="微软雅黑"/>
                <w:b/>
                <w:bCs/>
                <w:i w:val="0"/>
                <w:color w:val="auto"/>
                <w:spacing w:val="0"/>
                <w:w w:val="100"/>
                <w:sz w:val="24"/>
                <w:szCs w:val="24"/>
                <w:highlight w:val="none"/>
                <w:lang w:val="en-US" w:eastAsia="zh-CN"/>
              </w:rPr>
              <w:t>10. 具备履行合同所必需的设备和专业技术能力的证明材料</w:t>
            </w:r>
          </w:p>
          <w:p w14:paraId="2EFC7228">
            <w:pPr>
              <w:widowControl/>
              <w:snapToGrid w:val="0"/>
              <w:spacing w:line="440" w:lineRule="exact"/>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i w:val="0"/>
                <w:color w:val="auto"/>
                <w:spacing w:val="0"/>
                <w:w w:val="100"/>
                <w:sz w:val="24"/>
                <w:szCs w:val="24"/>
                <w:highlight w:val="none"/>
                <w:lang w:val="en-US" w:eastAsia="zh-CN"/>
              </w:rPr>
              <w:t xml:space="preserve">11. </w:t>
            </w:r>
            <w:r>
              <w:rPr>
                <w:rFonts w:hint="eastAsia" w:ascii="微软雅黑" w:hAnsi="微软雅黑" w:eastAsia="微软雅黑" w:cs="微软雅黑"/>
                <w:b/>
                <w:bCs/>
                <w:sz w:val="24"/>
                <w:highlight w:val="none"/>
              </w:rPr>
              <w:t>缴纳磋商保证金</w:t>
            </w:r>
            <w:r>
              <w:rPr>
                <w:rFonts w:hint="eastAsia" w:ascii="微软雅黑" w:hAnsi="微软雅黑" w:eastAsia="微软雅黑" w:cs="微软雅黑"/>
                <w:b/>
                <w:bCs/>
                <w:sz w:val="24"/>
                <w:highlight w:val="none"/>
                <w:lang w:val="en-US" w:eastAsia="zh-CN"/>
              </w:rPr>
              <w:t>的</w:t>
            </w:r>
            <w:r>
              <w:rPr>
                <w:rFonts w:hint="eastAsia" w:ascii="微软雅黑" w:hAnsi="微软雅黑" w:eastAsia="微软雅黑" w:cs="微软雅黑"/>
                <w:b/>
                <w:bCs/>
                <w:sz w:val="24"/>
                <w:highlight w:val="none"/>
              </w:rPr>
              <w:t>有效凭证。</w:t>
            </w:r>
          </w:p>
          <w:p w14:paraId="1971E434">
            <w:pPr>
              <w:spacing w:line="380" w:lineRule="exact"/>
              <w:outlineLvl w:val="2"/>
              <w:rPr>
                <w:rFonts w:hint="eastAsia" w:ascii="微软雅黑" w:hAnsi="微软雅黑" w:eastAsia="微软雅黑" w:cs="微软雅黑"/>
                <w:b/>
                <w:bCs/>
                <w:i w:val="0"/>
                <w:color w:val="auto"/>
                <w:spacing w:val="0"/>
                <w:w w:val="100"/>
                <w:sz w:val="24"/>
                <w:szCs w:val="24"/>
                <w:highlight w:val="none"/>
                <w:lang w:val="en-US" w:eastAsia="zh-CN"/>
              </w:rPr>
            </w:pPr>
          </w:p>
          <w:p w14:paraId="5E26C6BC">
            <w:pPr>
              <w:spacing w:line="380" w:lineRule="exact"/>
              <w:outlineLvl w:val="2"/>
              <w:rPr>
                <w:rFonts w:ascii="微软雅黑" w:hAnsi="微软雅黑" w:eastAsia="微软雅黑" w:cs="微软雅黑"/>
                <w:highlight w:val="none"/>
              </w:rPr>
            </w:pPr>
            <w:r>
              <w:rPr>
                <w:rFonts w:hint="eastAsia" w:ascii="微软雅黑" w:hAnsi="微软雅黑" w:eastAsia="微软雅黑" w:cs="微软雅黑"/>
                <w:b/>
                <w:bCs/>
                <w:sz w:val="24"/>
                <w:highlight w:val="none"/>
              </w:rPr>
              <w:t>各供应商应注意以下事项：①本项目要求各投标供应商提供“</w:t>
            </w:r>
            <w:r>
              <w:rPr>
                <w:rFonts w:hint="eastAsia" w:ascii="微软雅黑" w:hAnsi="微软雅黑" w:eastAsia="微软雅黑" w:cs="微软雅黑"/>
                <w:b/>
                <w:bCs/>
                <w:sz w:val="24"/>
                <w:highlight w:val="none"/>
                <w:lang w:eastAsia="zh-CN"/>
              </w:rPr>
              <w:t>提供依法缴纳近6个月中任意</w:t>
            </w:r>
            <w:r>
              <w:rPr>
                <w:rFonts w:hint="eastAsia" w:ascii="微软雅黑" w:hAnsi="微软雅黑" w:eastAsia="微软雅黑" w:cs="微软雅黑"/>
                <w:b/>
                <w:bCs/>
                <w:sz w:val="24"/>
                <w:highlight w:val="none"/>
                <w:lang w:val="en-US" w:eastAsia="zh-CN"/>
              </w:rPr>
              <w:t>一</w:t>
            </w:r>
            <w:r>
              <w:rPr>
                <w:rFonts w:hint="eastAsia" w:ascii="微软雅黑" w:hAnsi="微软雅黑" w:eastAsia="微软雅黑" w:cs="微软雅黑"/>
                <w:b/>
                <w:bCs/>
                <w:sz w:val="24"/>
                <w:highlight w:val="none"/>
                <w:lang w:eastAsia="zh-CN"/>
              </w:rPr>
              <w:t>个月的税收证明</w:t>
            </w:r>
            <w:r>
              <w:rPr>
                <w:rFonts w:hint="eastAsia" w:ascii="微软雅黑" w:hAnsi="微软雅黑" w:eastAsia="微软雅黑" w:cs="微软雅黑"/>
                <w:b/>
                <w:bCs/>
                <w:sz w:val="24"/>
                <w:highlight w:val="none"/>
              </w:rPr>
              <w:t>”，若供应商某月税收为零申报，须提供加盖税务局公章的无欠税证明或申报成功网页截图（供应商可自主登录“国家税务总局电子税务局”12366.chinatax.gov.cn/bsfw/onlinetaxation/main——税费申报及缴纳——申报结果查询）。②税务局代收的社保缴费证明不可作为本项目的税收证明（“税种”不可为养老保险、医疗保险、失业保险、工伤保险和生育保险）</w:t>
            </w:r>
            <w:bookmarkEnd w:id="959"/>
          </w:p>
        </w:tc>
      </w:tr>
      <w:tr w14:paraId="71472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892" w:type="dxa"/>
            <w:vAlign w:val="center"/>
          </w:tcPr>
          <w:p w14:paraId="3D79118E">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1.3.5   </w:t>
            </w:r>
          </w:p>
        </w:tc>
        <w:tc>
          <w:tcPr>
            <w:tcW w:w="8368" w:type="dxa"/>
            <w:vAlign w:val="center"/>
          </w:tcPr>
          <w:p w14:paraId="48CA5494">
            <w:pPr>
              <w:spacing w:line="360" w:lineRule="exact"/>
              <w:rPr>
                <w:rFonts w:ascii="微软雅黑" w:hAnsi="微软雅黑" w:eastAsia="微软雅黑" w:cs="微软雅黑"/>
                <w:highlight w:val="none"/>
              </w:rPr>
            </w:pPr>
            <w:r>
              <w:rPr>
                <w:rFonts w:hint="eastAsia" w:ascii="微软雅黑" w:hAnsi="微软雅黑" w:eastAsia="微软雅黑" w:cs="微软雅黑"/>
                <w:sz w:val="24"/>
                <w:highlight w:val="none"/>
              </w:rPr>
              <w:t>是否允许采购进口产品：</w:t>
            </w:r>
            <w:r>
              <w:rPr>
                <w:rFonts w:hint="eastAsia" w:ascii="微软雅黑" w:hAnsi="微软雅黑" w:eastAsia="微软雅黑" w:cs="微软雅黑"/>
                <w:sz w:val="24"/>
                <w:highlight w:val="none"/>
                <w:u w:val="single"/>
              </w:rPr>
              <w:t>否</w:t>
            </w:r>
            <w:r>
              <w:rPr>
                <w:rFonts w:hint="eastAsia" w:ascii="微软雅黑" w:hAnsi="微软雅黑" w:eastAsia="微软雅黑" w:cs="微软雅黑"/>
                <w:sz w:val="24"/>
                <w:highlight w:val="none"/>
              </w:rPr>
              <w:t>（是、否）</w:t>
            </w:r>
          </w:p>
        </w:tc>
      </w:tr>
      <w:tr w14:paraId="05D5A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92" w:type="dxa"/>
            <w:vAlign w:val="center"/>
          </w:tcPr>
          <w:p w14:paraId="1AB17192">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1.3.6</w:t>
            </w:r>
          </w:p>
        </w:tc>
        <w:tc>
          <w:tcPr>
            <w:tcW w:w="8368" w:type="dxa"/>
            <w:vAlign w:val="center"/>
          </w:tcPr>
          <w:p w14:paraId="1B3B2056">
            <w:pPr>
              <w:rPr>
                <w:rFonts w:ascii="微软雅黑" w:hAnsi="微软雅黑" w:eastAsia="微软雅黑" w:cs="微软雅黑"/>
                <w:sz w:val="24"/>
                <w:highlight w:val="none"/>
              </w:rPr>
            </w:pPr>
            <w:r>
              <w:rPr>
                <w:rFonts w:hint="eastAsia" w:ascii="微软雅黑" w:hAnsi="微软雅黑" w:eastAsia="微软雅黑" w:cs="微软雅黑"/>
                <w:sz w:val="24"/>
                <w:highlight w:val="none"/>
              </w:rPr>
              <w:t>是否为专门面向中小企业采购：</w:t>
            </w:r>
            <w:r>
              <w:rPr>
                <w:rFonts w:hint="eastAsia" w:ascii="微软雅黑" w:hAnsi="微软雅黑" w:eastAsia="微软雅黑" w:cs="微软雅黑"/>
                <w:sz w:val="24"/>
                <w:highlight w:val="none"/>
                <w:u w:val="single"/>
              </w:rPr>
              <w:t xml:space="preserve"> 是 </w:t>
            </w:r>
            <w:r>
              <w:rPr>
                <w:rFonts w:hint="eastAsia" w:ascii="微软雅黑" w:hAnsi="微软雅黑" w:eastAsia="微软雅黑" w:cs="微软雅黑"/>
                <w:sz w:val="24"/>
                <w:highlight w:val="none"/>
              </w:rPr>
              <w:t>（是、否）</w:t>
            </w:r>
          </w:p>
        </w:tc>
      </w:tr>
      <w:tr w14:paraId="77E1B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trPr>
        <w:tc>
          <w:tcPr>
            <w:tcW w:w="892" w:type="dxa"/>
            <w:vAlign w:val="center"/>
          </w:tcPr>
          <w:p w14:paraId="07BE03F9">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1.4</w:t>
            </w:r>
          </w:p>
        </w:tc>
        <w:tc>
          <w:tcPr>
            <w:tcW w:w="8368" w:type="dxa"/>
            <w:vAlign w:val="center"/>
          </w:tcPr>
          <w:p w14:paraId="1C7DB9C1">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是否允许联合体投标：</w:t>
            </w:r>
            <w:r>
              <w:rPr>
                <w:rFonts w:hint="eastAsia" w:ascii="微软雅黑" w:hAnsi="微软雅黑" w:eastAsia="微软雅黑" w:cs="微软雅黑"/>
                <w:sz w:val="24"/>
                <w:highlight w:val="none"/>
                <w:u w:val="single"/>
              </w:rPr>
              <w:t xml:space="preserve">  否  </w:t>
            </w:r>
            <w:r>
              <w:rPr>
                <w:rFonts w:hint="eastAsia" w:ascii="微软雅黑" w:hAnsi="微软雅黑" w:eastAsia="微软雅黑" w:cs="微软雅黑"/>
                <w:sz w:val="24"/>
                <w:highlight w:val="none"/>
              </w:rPr>
              <w:t>（是、否）</w:t>
            </w:r>
          </w:p>
        </w:tc>
      </w:tr>
      <w:tr w14:paraId="3FF97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trPr>
        <w:tc>
          <w:tcPr>
            <w:tcW w:w="892" w:type="dxa"/>
            <w:vAlign w:val="center"/>
          </w:tcPr>
          <w:p w14:paraId="2DE21ED2">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1.4.8</w:t>
            </w:r>
          </w:p>
        </w:tc>
        <w:tc>
          <w:tcPr>
            <w:tcW w:w="8368" w:type="dxa"/>
            <w:vAlign w:val="center"/>
          </w:tcPr>
          <w:p w14:paraId="6153A131">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联合体的其他资格要求：无</w:t>
            </w:r>
          </w:p>
        </w:tc>
      </w:tr>
      <w:tr w14:paraId="703C9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7" w:hRule="atLeast"/>
        </w:trPr>
        <w:tc>
          <w:tcPr>
            <w:tcW w:w="892" w:type="dxa"/>
            <w:vAlign w:val="center"/>
          </w:tcPr>
          <w:p w14:paraId="607CC3BC">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2.2</w:t>
            </w:r>
          </w:p>
        </w:tc>
        <w:tc>
          <w:tcPr>
            <w:tcW w:w="8368" w:type="dxa"/>
            <w:vAlign w:val="center"/>
          </w:tcPr>
          <w:p w14:paraId="1AD333EE">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预算金额：</w:t>
            </w:r>
            <w:r>
              <w:rPr>
                <w:rFonts w:hint="eastAsia" w:ascii="微软雅黑" w:hAnsi="微软雅黑" w:eastAsia="微软雅黑" w:cs="微软雅黑"/>
                <w:sz w:val="24"/>
                <w:highlight w:val="none"/>
                <w:lang w:val="en-US" w:eastAsia="zh-CN"/>
              </w:rPr>
              <w:t>2000000.00</w:t>
            </w:r>
            <w:r>
              <w:rPr>
                <w:rFonts w:hint="eastAsia" w:ascii="微软雅黑" w:hAnsi="微软雅黑" w:eastAsia="微软雅黑" w:cs="微软雅黑"/>
                <w:sz w:val="24"/>
                <w:highlight w:val="none"/>
              </w:rPr>
              <w:t>元；最高限价：1908150.53元；</w:t>
            </w:r>
          </w:p>
        </w:tc>
      </w:tr>
      <w:tr w14:paraId="5AE1B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trPr>
        <w:tc>
          <w:tcPr>
            <w:tcW w:w="892" w:type="dxa"/>
            <w:vAlign w:val="center"/>
          </w:tcPr>
          <w:p w14:paraId="19501E27">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12.1</w:t>
            </w:r>
          </w:p>
        </w:tc>
        <w:tc>
          <w:tcPr>
            <w:tcW w:w="8368" w:type="dxa"/>
            <w:vAlign w:val="center"/>
          </w:tcPr>
          <w:p w14:paraId="4AE571B4">
            <w:pPr>
              <w:spacing w:line="34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rPr>
              <w:t xml:space="preserve">保证金形式： ☑保函  ☑电汇 </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 xml:space="preserve">支票  ☑对公转账  </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 xml:space="preserve">汇票  </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 xml:space="preserve">本票 </w:t>
            </w:r>
          </w:p>
          <w:p w14:paraId="73CF29CD">
            <w:pPr>
              <w:spacing w:line="340" w:lineRule="exact"/>
              <w:rPr>
                <w:rFonts w:hint="eastAsia" w:ascii="微软雅黑" w:hAnsi="微软雅黑" w:eastAsia="微软雅黑" w:cs="微软雅黑"/>
                <w:b/>
                <w:bCs/>
                <w:color w:val="auto"/>
                <w:sz w:val="24"/>
                <w:szCs w:val="24"/>
                <w:highlight w:val="none"/>
                <w:u w:val="none"/>
                <w:lang w:val="en-US" w:eastAsia="zh-CN"/>
              </w:rPr>
            </w:pP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rPr>
              <w:t>保证金数额</w:t>
            </w:r>
            <w:r>
              <w:rPr>
                <w:rFonts w:hint="eastAsia" w:ascii="微软雅黑" w:hAnsi="微软雅黑" w:eastAsia="微软雅黑" w:cs="微软雅黑"/>
                <w:sz w:val="24"/>
                <w:highlight w:val="none"/>
              </w:rPr>
              <w:t>：</w:t>
            </w:r>
            <w:r>
              <w:rPr>
                <w:rFonts w:hint="eastAsia" w:ascii="微软雅黑" w:hAnsi="微软雅黑" w:eastAsia="微软雅黑" w:cs="微软雅黑"/>
                <w:b/>
                <w:bCs/>
                <w:color w:val="auto"/>
                <w:sz w:val="24"/>
                <w:szCs w:val="24"/>
                <w:highlight w:val="none"/>
                <w:lang w:val="en-US" w:eastAsia="zh-CN"/>
              </w:rPr>
              <w:t>小写：</w:t>
            </w:r>
            <w:r>
              <w:rPr>
                <w:rFonts w:hint="eastAsia" w:ascii="微软雅黑" w:hAnsi="微软雅黑" w:eastAsia="微软雅黑" w:cs="微软雅黑"/>
                <w:b/>
                <w:bCs/>
                <w:color w:val="auto"/>
                <w:sz w:val="24"/>
                <w:szCs w:val="24"/>
                <w:highlight w:val="none"/>
                <w:u w:val="single"/>
                <w:lang w:val="en-US" w:eastAsia="zh-CN"/>
              </w:rPr>
              <w:t xml:space="preserve">38000元 </w:t>
            </w:r>
            <w:r>
              <w:rPr>
                <w:rFonts w:hint="eastAsia" w:ascii="微软雅黑" w:hAnsi="微软雅黑" w:eastAsia="微软雅黑" w:cs="微软雅黑"/>
                <w:b/>
                <w:bCs/>
                <w:color w:val="auto"/>
                <w:sz w:val="24"/>
                <w:szCs w:val="24"/>
                <w:highlight w:val="none"/>
                <w:u w:val="none"/>
                <w:lang w:val="en-US" w:eastAsia="zh-CN"/>
              </w:rPr>
              <w:t xml:space="preserve">  大写：</w:t>
            </w:r>
            <w:r>
              <w:rPr>
                <w:rFonts w:hint="eastAsia" w:ascii="微软雅黑" w:hAnsi="微软雅黑" w:eastAsia="微软雅黑" w:cs="微软雅黑"/>
                <w:b/>
                <w:bCs/>
                <w:color w:val="auto"/>
                <w:sz w:val="24"/>
                <w:szCs w:val="24"/>
                <w:highlight w:val="none"/>
                <w:u w:val="single"/>
                <w:lang w:val="en-US" w:eastAsia="zh-CN"/>
              </w:rPr>
              <w:t>叁万捌仟元整</w:t>
            </w:r>
            <w:r>
              <w:rPr>
                <w:rFonts w:hint="eastAsia" w:ascii="微软雅黑" w:hAnsi="微软雅黑" w:eastAsia="微软雅黑" w:cs="微软雅黑"/>
                <w:b/>
                <w:bCs/>
                <w:color w:val="auto"/>
                <w:sz w:val="24"/>
                <w:szCs w:val="24"/>
                <w:highlight w:val="none"/>
                <w:u w:val="none"/>
                <w:lang w:val="en-US" w:eastAsia="zh-CN"/>
              </w:rPr>
              <w:t xml:space="preserve">  </w:t>
            </w:r>
          </w:p>
          <w:p w14:paraId="36F5CBD6">
            <w:pPr>
              <w:spacing w:line="340" w:lineRule="exact"/>
              <w:jc w:val="left"/>
              <w:rPr>
                <w:rFonts w:hint="eastAsia" w:ascii="微软雅黑" w:hAnsi="微软雅黑" w:eastAsia="微软雅黑" w:cs="微软雅黑"/>
                <w:sz w:val="24"/>
                <w:highlight w:val="none"/>
                <w:lang w:eastAsia="zh-CN"/>
              </w:rPr>
            </w:pPr>
            <w:r>
              <w:rPr>
                <w:rFonts w:hint="eastAsia" w:ascii="微软雅黑" w:hAnsi="微软雅黑" w:eastAsia="微软雅黑" w:cs="微软雅黑"/>
                <w:sz w:val="24"/>
                <w:highlight w:val="none"/>
                <w:lang w:val="en-US" w:eastAsia="zh-CN"/>
              </w:rPr>
              <w:t>磋商</w:t>
            </w:r>
            <w:r>
              <w:rPr>
                <w:rFonts w:hint="eastAsia" w:ascii="微软雅黑" w:hAnsi="微软雅黑" w:eastAsia="微软雅黑" w:cs="微软雅黑"/>
                <w:sz w:val="24"/>
                <w:highlight w:val="none"/>
              </w:rPr>
              <w:t>保证金收款单位名称：</w:t>
            </w:r>
            <w:r>
              <w:rPr>
                <w:rFonts w:hint="eastAsia" w:ascii="微软雅黑" w:hAnsi="微软雅黑" w:eastAsia="微软雅黑" w:cs="微软雅黑"/>
                <w:sz w:val="24"/>
                <w:highlight w:val="none"/>
                <w:lang w:eastAsia="zh-CN"/>
              </w:rPr>
              <w:t>喀什联胜项目管理有限责任公司</w:t>
            </w:r>
          </w:p>
          <w:p w14:paraId="58857428">
            <w:pPr>
              <w:spacing w:line="340" w:lineRule="exact"/>
              <w:jc w:val="left"/>
              <w:rPr>
                <w:rFonts w:hint="eastAsia"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开 户 行：中国工商银行股份有限公司莎车新城路支行</w:t>
            </w:r>
          </w:p>
          <w:p w14:paraId="1DAFECDB">
            <w:pPr>
              <w:spacing w:line="340" w:lineRule="exact"/>
              <w:jc w:val="left"/>
              <w:rPr>
                <w:rFonts w:hint="eastAsia"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账  号：3012372109200120552（电汇时请在汇款备注栏注明项目名称及标项（如 有），并注明是</w:t>
            </w:r>
            <w:r>
              <w:rPr>
                <w:rFonts w:hint="eastAsia" w:ascii="微软雅黑" w:hAnsi="微软雅黑" w:eastAsia="微软雅黑" w:cs="微软雅黑"/>
                <w:b w:val="0"/>
                <w:bCs w:val="0"/>
                <w:sz w:val="24"/>
                <w:highlight w:val="none"/>
                <w:lang w:val="en-US" w:eastAsia="zh-CN"/>
              </w:rPr>
              <w:t>磋商</w:t>
            </w:r>
            <w:r>
              <w:rPr>
                <w:rFonts w:hint="eastAsia" w:ascii="微软雅黑" w:hAnsi="微软雅黑" w:eastAsia="微软雅黑" w:cs="微软雅黑"/>
                <w:b w:val="0"/>
                <w:bCs w:val="0"/>
                <w:sz w:val="24"/>
                <w:highlight w:val="none"/>
              </w:rPr>
              <w:t>保证金，否则视为无效</w:t>
            </w:r>
            <w:r>
              <w:rPr>
                <w:rFonts w:hint="eastAsia" w:ascii="微软雅黑" w:hAnsi="微软雅黑" w:eastAsia="微软雅黑" w:cs="微软雅黑"/>
                <w:b w:val="0"/>
                <w:bCs w:val="0"/>
                <w:sz w:val="24"/>
                <w:highlight w:val="none"/>
                <w:lang w:val="en-US" w:eastAsia="zh-CN"/>
              </w:rPr>
              <w:t>磋商</w:t>
            </w:r>
            <w:r>
              <w:rPr>
                <w:rFonts w:hint="eastAsia" w:ascii="微软雅黑" w:hAnsi="微软雅黑" w:eastAsia="微软雅黑" w:cs="微软雅黑"/>
                <w:b w:val="0"/>
                <w:bCs w:val="0"/>
                <w:sz w:val="24"/>
                <w:highlight w:val="none"/>
              </w:rPr>
              <w:t>保证金）</w:t>
            </w:r>
          </w:p>
          <w:p w14:paraId="15AD65B9">
            <w:pPr>
              <w:spacing w:line="340" w:lineRule="exact"/>
              <w:jc w:val="left"/>
              <w:rPr>
                <w:rFonts w:hint="eastAsia"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行  号：102894600014</w:t>
            </w:r>
          </w:p>
          <w:p w14:paraId="5F4E1C14">
            <w:pPr>
              <w:spacing w:line="340" w:lineRule="exact"/>
              <w:jc w:val="left"/>
              <w:rPr>
                <w:rFonts w:hint="eastAsia" w:ascii="微软雅黑" w:hAnsi="微软雅黑" w:eastAsia="微软雅黑" w:cs="微软雅黑"/>
                <w:b w:val="0"/>
                <w:bCs w:val="0"/>
                <w:sz w:val="24"/>
                <w:highlight w:val="none"/>
              </w:rPr>
            </w:pPr>
            <w:r>
              <w:rPr>
                <w:rFonts w:hint="eastAsia" w:ascii="微软雅黑" w:hAnsi="微软雅黑" w:eastAsia="微软雅黑" w:cs="微软雅黑"/>
                <w:b w:val="0"/>
                <w:bCs w:val="0"/>
                <w:sz w:val="24"/>
                <w:highlight w:val="none"/>
              </w:rPr>
              <w:t xml:space="preserve">财务室联系人及联系方式：19190038815 </w:t>
            </w:r>
          </w:p>
          <w:p w14:paraId="581B20FA">
            <w:pPr>
              <w:spacing w:line="34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A:缴纳磋商保证金保证金要求：</w:t>
            </w:r>
          </w:p>
          <w:p w14:paraId="73DBC52B">
            <w:pPr>
              <w:spacing w:line="34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（1）磋商保证金必须在磋商截止时间前提交到代理机构账户中。不接受现金及任何个人、分公司汇款。供应商向银行办理保证金汇（转）款时，应在用途栏（备注栏）注明项目名称及</w:t>
            </w:r>
            <w:r>
              <w:rPr>
                <w:rFonts w:hint="eastAsia" w:ascii="微软雅黑" w:hAnsi="微软雅黑" w:eastAsia="微软雅黑" w:cs="微软雅黑"/>
                <w:b/>
                <w:bCs/>
                <w:sz w:val="24"/>
                <w:highlight w:val="none"/>
                <w:lang w:val="en-US" w:eastAsia="zh-CN"/>
              </w:rPr>
              <w:t>标项</w:t>
            </w:r>
            <w:r>
              <w:rPr>
                <w:rFonts w:hint="eastAsia" w:ascii="微软雅黑" w:hAnsi="微软雅黑" w:eastAsia="微软雅黑" w:cs="微软雅黑"/>
                <w:b/>
                <w:bCs/>
                <w:sz w:val="24"/>
                <w:highlight w:val="none"/>
              </w:rPr>
              <w:t>号（如有），并注明是磋商保证金字样，如填写字数有要求可简写项目名称与</w:t>
            </w:r>
            <w:r>
              <w:rPr>
                <w:rFonts w:hint="eastAsia" w:ascii="微软雅黑" w:hAnsi="微软雅黑" w:eastAsia="微软雅黑" w:cs="微软雅黑"/>
                <w:b/>
                <w:bCs/>
                <w:sz w:val="24"/>
                <w:highlight w:val="none"/>
                <w:lang w:val="en-US" w:eastAsia="zh-CN"/>
              </w:rPr>
              <w:t>标项</w:t>
            </w:r>
            <w:r>
              <w:rPr>
                <w:rFonts w:hint="eastAsia" w:ascii="微软雅黑" w:hAnsi="微软雅黑" w:eastAsia="微软雅黑" w:cs="微软雅黑"/>
                <w:b/>
                <w:bCs/>
                <w:sz w:val="24"/>
                <w:highlight w:val="none"/>
              </w:rPr>
              <w:t>号（如有），由于未按要求注明信息而导致的一切后果由供应商自行承担。</w:t>
            </w:r>
          </w:p>
          <w:p w14:paraId="55D8BF62">
            <w:pPr>
              <w:spacing w:line="34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B：退磋商保证金：</w:t>
            </w:r>
          </w:p>
          <w:p w14:paraId="23BA5EF2">
            <w:pPr>
              <w:spacing w:line="34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根据《中华人民共和国财政部令第87号--政府采购货物和服务招标投标管理办法》第三十八条供应商在磋商截止时间前撤回已提交的磋商文件的，采购人或者采购代理机构应当自收到供应商书面撤回通知之日起５个工作日内，退还已收取的磋商保证金，但因供应商自身原因导致无法及时退还的除外。采购人或者采购代理机构应当自成交通知书发出之日起5个工作日内退还未成交供应商的磋商保证金，自采购合同签订之日起5个工作日内退还成交供应商的磋商保证金。</w:t>
            </w:r>
          </w:p>
          <w:p w14:paraId="457D19FA">
            <w:pPr>
              <w:spacing w:line="340" w:lineRule="exact"/>
              <w:jc w:val="left"/>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（2）成交供应商的磋商保证金在与采购单位签订合同后，把合同扫描件发送至邮箱2723087503@qq.com 后，当日或次日即原账户退回。</w:t>
            </w:r>
          </w:p>
        </w:tc>
      </w:tr>
      <w:tr w14:paraId="6037E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43B01C16">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13.1</w:t>
            </w:r>
          </w:p>
        </w:tc>
        <w:tc>
          <w:tcPr>
            <w:tcW w:w="8368" w:type="dxa"/>
            <w:vAlign w:val="center"/>
          </w:tcPr>
          <w:p w14:paraId="384D35F2">
            <w:pPr>
              <w:spacing w:line="360" w:lineRule="exac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投标有效期：</w:t>
            </w:r>
            <w:r>
              <w:rPr>
                <w:rFonts w:hint="eastAsia" w:ascii="微软雅黑" w:hAnsi="微软雅黑" w:eastAsia="微软雅黑" w:cs="微软雅黑"/>
                <w:sz w:val="24"/>
                <w:highlight w:val="none"/>
                <w:u w:val="single"/>
              </w:rPr>
              <w:t>　90　</w:t>
            </w:r>
            <w:r>
              <w:rPr>
                <w:rFonts w:hint="eastAsia" w:ascii="微软雅黑" w:hAnsi="微软雅黑" w:eastAsia="微软雅黑" w:cs="微软雅黑"/>
                <w:sz w:val="24"/>
                <w:highlight w:val="none"/>
              </w:rPr>
              <w:t>日历日</w:t>
            </w:r>
          </w:p>
        </w:tc>
      </w:tr>
      <w:tr w14:paraId="0F4C3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92" w:type="dxa"/>
            <w:vAlign w:val="center"/>
          </w:tcPr>
          <w:p w14:paraId="576CB9C3">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14.1</w:t>
            </w:r>
          </w:p>
        </w:tc>
        <w:tc>
          <w:tcPr>
            <w:tcW w:w="8368" w:type="dxa"/>
            <w:vAlign w:val="center"/>
          </w:tcPr>
          <w:p w14:paraId="1B6C211F">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95763(喀什办理地点喀什东城喀什市行政审批局一楼企业服务专区数字证书窗口，联系电话15001465669)。</w:t>
            </w:r>
          </w:p>
          <w:p w14:paraId="2ED178E6">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（2）本项目实行网上磋商，采用电子响应文件(供应商须使用CA加密设备通过政采云电子投标客户端制作响应文件)。若供应商参与投标，自行承担投标一切费用。</w:t>
            </w:r>
          </w:p>
          <w:p w14:paraId="0835FB28">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（3）各供应商在磋商前应确保成为新疆政府采购网正式注册入库供应商，并完成CA数字证书申领。因未注册入库、未办理CA数字证书等原因造成无法投标或投标失败等后果由供应商自行承担。</w:t>
            </w:r>
          </w:p>
          <w:p w14:paraId="3A266C11">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4）供应商将政采云电子交易客户端下载、安装完成后，可通过账号密码或CA登录客户端进行响应文件制作。在使用政采云投标客户端时，建议使用WIN7及以上操作系统。客户端请至新疆政府采购网（http://www.ccgp-xinjiang.gov.cn/）下载专区查看，如有问题可拨打政采云客户服务热线95763进行咨询。</w:t>
            </w:r>
          </w:p>
          <w:p w14:paraId="4728B125">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（5）供应商在磋商时须使用制作加密电子响应文件所使用的CA锁及电脑，电脑须提前配置好浏览器（建议使用谷歌浏览器），以便磋商时解锁。</w:t>
            </w:r>
          </w:p>
          <w:p w14:paraId="1E59A045">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6）磋商保证金缴纳及确认时间：凡拟参加本次招标项目的供应商，必须在开标前将磋商保证金汇入指定账户。磋商保证金汇款凭证上用途栏应注明:采购项目名称+标项号+磋商保证金。否则，届时其报价将被拒绝。</w:t>
            </w:r>
          </w:p>
          <w:p w14:paraId="28F9BFFF">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20号群：35547618（如已加入1-19群，无需重复加入，十九个群联动直播），钉钉工具软件具有回放功能，直播培训结束后可在钉钉群中回放观看学习。</w:t>
            </w:r>
          </w:p>
          <w:p w14:paraId="35005750">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8）各供应商须在磋商截止时间前完成在系统上递交电子响应文件。投标供应商的电子响应文件是经过CA证书加密后上传提交的，任何单位或个人均无法在磋商截止时间(即磋商时间)之前查看或篡改，不存在泄密风险。（严格按照政采云电子投标流程制作</w:t>
            </w:r>
            <w:r>
              <w:rPr>
                <w:rFonts w:hint="eastAsia" w:ascii="微软雅黑" w:hAnsi="微软雅黑" w:eastAsia="微软雅黑" w:cs="微软雅黑"/>
                <w:b/>
                <w:bCs/>
                <w:sz w:val="24"/>
                <w:highlight w:val="none"/>
                <w:lang w:eastAsia="zh-CN"/>
              </w:rPr>
              <w:t>，</w:t>
            </w:r>
            <w:r>
              <w:rPr>
                <w:rFonts w:hint="eastAsia" w:ascii="微软雅黑" w:hAnsi="微软雅黑" w:eastAsia="微软雅黑" w:cs="微软雅黑"/>
                <w:b/>
                <w:bCs/>
                <w:sz w:val="24"/>
                <w:highlight w:val="none"/>
              </w:rPr>
              <w:t>并</w:t>
            </w:r>
            <w:r>
              <w:rPr>
                <w:rFonts w:hint="eastAsia" w:ascii="微软雅黑" w:hAnsi="微软雅黑" w:eastAsia="微软雅黑" w:cs="微软雅黑"/>
                <w:b/>
                <w:bCs/>
                <w:sz w:val="24"/>
                <w:highlight w:val="none"/>
                <w:lang w:val="en-US" w:eastAsia="zh-CN"/>
              </w:rPr>
              <w:t>在商务技术文件模块</w:t>
            </w:r>
            <w:r>
              <w:rPr>
                <w:rFonts w:hint="eastAsia" w:ascii="微软雅黑" w:hAnsi="微软雅黑" w:eastAsia="微软雅黑" w:cs="微软雅黑"/>
                <w:b/>
                <w:bCs/>
                <w:sz w:val="24"/>
                <w:highlight w:val="none"/>
              </w:rPr>
              <w:t>上传完整版的电子响应文件</w:t>
            </w:r>
            <w:r>
              <w:rPr>
                <w:rFonts w:hint="eastAsia" w:ascii="微软雅黑" w:hAnsi="微软雅黑" w:eastAsia="微软雅黑" w:cs="微软雅黑"/>
                <w:b/>
                <w:bCs/>
                <w:sz w:val="24"/>
                <w:highlight w:val="none"/>
                <w:lang w:eastAsia="zh-CN"/>
              </w:rPr>
              <w:t>，</w:t>
            </w:r>
            <w:r>
              <w:rPr>
                <w:rFonts w:hint="eastAsia" w:ascii="微软雅黑" w:hAnsi="微软雅黑" w:eastAsia="微软雅黑" w:cs="微软雅黑"/>
                <w:b/>
                <w:bCs/>
                <w:sz w:val="24"/>
                <w:highlight w:val="none"/>
              </w:rPr>
              <w:t>包含第一部分</w:t>
            </w:r>
            <w:r>
              <w:rPr>
                <w:rFonts w:hint="eastAsia" w:ascii="微软雅黑" w:hAnsi="微软雅黑" w:eastAsia="微软雅黑" w:cs="微软雅黑"/>
                <w:b/>
                <w:bCs/>
                <w:sz w:val="24"/>
                <w:highlight w:val="none"/>
                <w:lang w:val="en-US" w:eastAsia="zh-CN"/>
              </w:rPr>
              <w:t xml:space="preserve"> </w:t>
            </w:r>
            <w:r>
              <w:rPr>
                <w:rFonts w:hint="eastAsia" w:ascii="微软雅黑" w:hAnsi="微软雅黑" w:eastAsia="微软雅黑" w:cs="微软雅黑"/>
                <w:b/>
                <w:bCs/>
                <w:sz w:val="24"/>
                <w:highlight w:val="none"/>
              </w:rPr>
              <w:t>磋商一览表及资格证明文件、第二部分商务及技术文件）</w:t>
            </w:r>
          </w:p>
          <w:p w14:paraId="6661AB16">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（9）各供应商应完整地按磋商文件提供的响应文件格式及要求编写响应文件，根据平台关联点上传对应佐证</w:t>
            </w:r>
            <w:r>
              <w:rPr>
                <w:rFonts w:hint="eastAsia" w:ascii="微软雅黑" w:hAnsi="微软雅黑" w:eastAsia="微软雅黑" w:cs="微软雅黑"/>
                <w:b/>
                <w:bCs/>
                <w:sz w:val="24"/>
                <w:highlight w:val="none"/>
              </w:rPr>
              <w:t>资料，</w:t>
            </w:r>
            <w:r>
              <w:rPr>
                <w:rFonts w:hint="eastAsia" w:ascii="微软雅黑" w:hAnsi="微软雅黑" w:eastAsia="微软雅黑" w:cs="微软雅黑"/>
                <w:b/>
                <w:bCs/>
                <w:sz w:val="24"/>
                <w:highlight w:val="none"/>
                <w:lang w:val="en-US" w:eastAsia="zh-CN"/>
              </w:rPr>
              <w:t>商务技术文件模块</w:t>
            </w:r>
            <w:r>
              <w:rPr>
                <w:rFonts w:hint="eastAsia" w:ascii="微软雅黑" w:hAnsi="微软雅黑" w:eastAsia="微软雅黑" w:cs="微软雅黑"/>
                <w:b/>
                <w:bCs/>
                <w:sz w:val="24"/>
                <w:highlight w:val="none"/>
              </w:rPr>
              <w:t>应</w:t>
            </w:r>
            <w:r>
              <w:rPr>
                <w:rFonts w:hint="eastAsia" w:ascii="微软雅黑" w:hAnsi="微软雅黑" w:eastAsia="微软雅黑" w:cs="微软雅黑"/>
                <w:b/>
                <w:bCs/>
                <w:sz w:val="24"/>
                <w:highlight w:val="none"/>
                <w:lang w:val="en-US" w:eastAsia="zh-CN"/>
              </w:rPr>
              <w:t>上传</w:t>
            </w:r>
            <w:r>
              <w:rPr>
                <w:rFonts w:hint="eastAsia" w:ascii="微软雅黑" w:hAnsi="微软雅黑" w:eastAsia="微软雅黑" w:cs="微软雅黑"/>
                <w:b/>
                <w:bCs/>
                <w:sz w:val="24"/>
                <w:highlight w:val="none"/>
              </w:rPr>
              <w:t>包括“磋商一览表及资格证明文件”和“商务及技术文件”</w:t>
            </w:r>
            <w:r>
              <w:rPr>
                <w:rFonts w:hint="eastAsia" w:ascii="微软雅黑" w:hAnsi="微软雅黑" w:eastAsia="微软雅黑" w:cs="微软雅黑"/>
                <w:b/>
                <w:bCs/>
                <w:sz w:val="24"/>
                <w:highlight w:val="none"/>
                <w:u w:val="none" w:color="auto"/>
              </w:rPr>
              <w:t>两部分</w:t>
            </w:r>
            <w:r>
              <w:rPr>
                <w:rFonts w:hint="eastAsia" w:ascii="微软雅黑" w:hAnsi="微软雅黑" w:eastAsia="微软雅黑" w:cs="微软雅黑"/>
                <w:b/>
                <w:bCs/>
                <w:sz w:val="24"/>
                <w:highlight w:val="none"/>
              </w:rPr>
              <w:t>。</w:t>
            </w:r>
          </w:p>
          <w:p w14:paraId="459E368D">
            <w:pPr>
              <w:spacing w:line="400" w:lineRule="exact"/>
              <w:jc w:val="lef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（10）解密时长为30分钟，超出解密时长，作无效投标处理。</w:t>
            </w:r>
          </w:p>
          <w:p w14:paraId="36DB72DE">
            <w:pPr>
              <w:spacing w:line="400" w:lineRule="exact"/>
              <w:jc w:val="left"/>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（11）本项目采用竞争性磋商，在评审过程中有磋商环节，须供应商不离开电脑，并提前调试电脑是否可以正常进行视频通话。</w:t>
            </w:r>
          </w:p>
        </w:tc>
      </w:tr>
      <w:tr w14:paraId="1161E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4B55F840">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16.1</w:t>
            </w:r>
          </w:p>
        </w:tc>
        <w:tc>
          <w:tcPr>
            <w:tcW w:w="8368" w:type="dxa"/>
            <w:vAlign w:val="center"/>
          </w:tcPr>
          <w:p w14:paraId="16F00E2C">
            <w:pPr>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磋商截止时间：</w:t>
            </w:r>
            <w:r>
              <w:rPr>
                <w:rFonts w:hint="eastAsia" w:ascii="微软雅黑" w:hAnsi="微软雅黑" w:eastAsia="微软雅黑" w:cs="微软雅黑"/>
                <w:sz w:val="24"/>
                <w:highlight w:val="none"/>
                <w:u w:val="single"/>
                <w:lang w:eastAsia="zh-CN"/>
              </w:rPr>
              <w:t>2025年7月</w:t>
            </w:r>
            <w:r>
              <w:rPr>
                <w:rFonts w:hint="eastAsia" w:ascii="微软雅黑" w:hAnsi="微软雅黑" w:eastAsia="微软雅黑" w:cs="微软雅黑"/>
                <w:sz w:val="24"/>
                <w:highlight w:val="none"/>
                <w:u w:val="single"/>
                <w:lang w:val="en-US" w:eastAsia="zh-CN"/>
              </w:rPr>
              <w:t>14</w:t>
            </w:r>
            <w:r>
              <w:rPr>
                <w:rFonts w:hint="eastAsia" w:ascii="微软雅黑" w:hAnsi="微软雅黑" w:eastAsia="微软雅黑" w:cs="微软雅黑"/>
                <w:sz w:val="24"/>
                <w:highlight w:val="none"/>
                <w:u w:val="single"/>
                <w:lang w:eastAsia="zh-CN"/>
              </w:rPr>
              <w:t>日</w:t>
            </w:r>
            <w:r>
              <w:rPr>
                <w:rFonts w:hint="eastAsia" w:ascii="微软雅黑" w:hAnsi="微软雅黑" w:eastAsia="微软雅黑" w:cs="微软雅黑"/>
                <w:sz w:val="24"/>
                <w:highlight w:val="none"/>
                <w:u w:val="single"/>
              </w:rPr>
              <w:t>10:30</w:t>
            </w:r>
            <w:r>
              <w:rPr>
                <w:rFonts w:hint="eastAsia" w:ascii="微软雅黑" w:hAnsi="微软雅黑" w:eastAsia="微软雅黑" w:cs="微软雅黑"/>
                <w:bCs/>
                <w:sz w:val="24"/>
                <w:highlight w:val="none"/>
              </w:rPr>
              <w:t>（</w:t>
            </w:r>
            <w:r>
              <w:rPr>
                <w:rFonts w:hint="eastAsia" w:ascii="微软雅黑" w:hAnsi="微软雅黑" w:eastAsia="微软雅黑" w:cs="微软雅黑"/>
                <w:bCs/>
                <w:sz w:val="24"/>
                <w:highlight w:val="none"/>
              </w:rPr>
              <w:t>北京时间）</w:t>
            </w:r>
          </w:p>
        </w:tc>
      </w:tr>
      <w:tr w14:paraId="6D46B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39F4B339">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18.1</w:t>
            </w:r>
          </w:p>
        </w:tc>
        <w:tc>
          <w:tcPr>
            <w:tcW w:w="8368" w:type="dxa"/>
            <w:vAlign w:val="center"/>
          </w:tcPr>
          <w:p w14:paraId="0E2C3C71">
            <w:pPr>
              <w:spacing w:line="40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磋商时间：</w:t>
            </w:r>
            <w:r>
              <w:rPr>
                <w:rFonts w:hint="eastAsia" w:ascii="微软雅黑" w:hAnsi="微软雅黑" w:eastAsia="微软雅黑" w:cs="微软雅黑"/>
                <w:sz w:val="24"/>
                <w:highlight w:val="none"/>
                <w:u w:val="single"/>
                <w:lang w:eastAsia="zh-CN"/>
              </w:rPr>
              <w:t>2025年7月</w:t>
            </w:r>
            <w:r>
              <w:rPr>
                <w:rFonts w:hint="eastAsia" w:ascii="微软雅黑" w:hAnsi="微软雅黑" w:eastAsia="微软雅黑" w:cs="微软雅黑"/>
                <w:sz w:val="24"/>
                <w:highlight w:val="none"/>
                <w:u w:val="single"/>
                <w:lang w:val="en-US" w:eastAsia="zh-CN"/>
              </w:rPr>
              <w:t>14</w:t>
            </w:r>
            <w:r>
              <w:rPr>
                <w:rFonts w:hint="eastAsia" w:ascii="微软雅黑" w:hAnsi="微软雅黑" w:eastAsia="微软雅黑" w:cs="微软雅黑"/>
                <w:sz w:val="24"/>
                <w:highlight w:val="none"/>
                <w:u w:val="single"/>
                <w:lang w:eastAsia="zh-CN"/>
              </w:rPr>
              <w:t>日</w:t>
            </w:r>
            <w:r>
              <w:rPr>
                <w:rFonts w:hint="eastAsia" w:ascii="微软雅黑" w:hAnsi="微软雅黑" w:eastAsia="微软雅黑" w:cs="微软雅黑"/>
                <w:sz w:val="24"/>
                <w:highlight w:val="none"/>
                <w:u w:val="single"/>
              </w:rPr>
              <w:t>10:30</w:t>
            </w:r>
            <w:r>
              <w:rPr>
                <w:rFonts w:hint="eastAsia" w:ascii="微软雅黑" w:hAnsi="微软雅黑" w:eastAsia="微软雅黑" w:cs="微软雅黑"/>
                <w:bCs/>
                <w:sz w:val="24"/>
                <w:highlight w:val="none"/>
              </w:rPr>
              <w:t>（北京时间）</w:t>
            </w:r>
          </w:p>
          <w:p w14:paraId="46D16C09">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开标地点：</w:t>
            </w:r>
            <w:r>
              <w:rPr>
                <w:rFonts w:hint="eastAsia" w:ascii="微软雅黑" w:hAnsi="微软雅黑" w:eastAsia="微软雅黑" w:cs="微软雅黑"/>
                <w:b/>
                <w:bCs/>
                <w:sz w:val="24"/>
                <w:highlight w:val="none"/>
                <w:u w:val="single"/>
              </w:rPr>
              <w:t>投标人登录政采云平台https://www.zcygov.cn/，进入“项目采购-开标评标-右边选择对应项目点击“进入项目”进入开标大厅。</w:t>
            </w:r>
          </w:p>
        </w:tc>
      </w:tr>
      <w:tr w14:paraId="29A89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1D95A8D6">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23.2</w:t>
            </w:r>
          </w:p>
        </w:tc>
        <w:tc>
          <w:tcPr>
            <w:tcW w:w="8368" w:type="dxa"/>
            <w:vAlign w:val="center"/>
          </w:tcPr>
          <w:p w14:paraId="6D9AC355">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评标方法：适用</w:t>
            </w:r>
            <w:r>
              <w:rPr>
                <w:rFonts w:hint="eastAsia" w:ascii="微软雅黑" w:hAnsi="微软雅黑" w:eastAsia="微软雅黑" w:cs="微软雅黑"/>
                <w:sz w:val="24"/>
                <w:highlight w:val="none"/>
                <w:u w:val="single"/>
              </w:rPr>
              <w:t xml:space="preserve"> 综合评分法 </w:t>
            </w:r>
            <w:r>
              <w:rPr>
                <w:rFonts w:hint="eastAsia" w:ascii="微软雅黑" w:hAnsi="微软雅黑" w:eastAsia="微软雅黑" w:cs="微软雅黑"/>
                <w:sz w:val="24"/>
                <w:highlight w:val="none"/>
              </w:rPr>
              <w:t>　　　　　</w:t>
            </w:r>
          </w:p>
        </w:tc>
      </w:tr>
      <w:tr w14:paraId="03D08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01193FE0">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27</w:t>
            </w:r>
          </w:p>
        </w:tc>
        <w:tc>
          <w:tcPr>
            <w:tcW w:w="8368" w:type="dxa"/>
            <w:vAlign w:val="center"/>
          </w:tcPr>
          <w:p w14:paraId="5CF4EE21">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推荐</w:t>
            </w:r>
            <w:r>
              <w:rPr>
                <w:rFonts w:hint="eastAsia" w:ascii="微软雅黑" w:hAnsi="微软雅黑" w:eastAsia="微软雅黑" w:cs="微软雅黑"/>
                <w:sz w:val="24"/>
                <w:highlight w:val="none"/>
                <w:lang w:val="en-US" w:eastAsia="zh-CN"/>
              </w:rPr>
              <w:t>成交</w:t>
            </w:r>
            <w:r>
              <w:rPr>
                <w:rFonts w:hint="eastAsia" w:ascii="微软雅黑" w:hAnsi="微软雅黑" w:eastAsia="微软雅黑" w:cs="微软雅黑"/>
                <w:sz w:val="24"/>
                <w:highlight w:val="none"/>
              </w:rPr>
              <w:t>候选供应商的数量：</w:t>
            </w:r>
            <w:r>
              <w:rPr>
                <w:rFonts w:hint="eastAsia" w:ascii="微软雅黑" w:hAnsi="微软雅黑" w:eastAsia="微软雅黑" w:cs="微软雅黑"/>
                <w:sz w:val="24"/>
                <w:highlight w:val="none"/>
                <w:u w:val="single"/>
              </w:rPr>
              <w:t xml:space="preserve"> 3 </w:t>
            </w:r>
          </w:p>
        </w:tc>
      </w:tr>
      <w:tr w14:paraId="2575D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0ECD973C">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27</w:t>
            </w:r>
          </w:p>
        </w:tc>
        <w:tc>
          <w:tcPr>
            <w:tcW w:w="8368" w:type="dxa"/>
            <w:vAlign w:val="center"/>
          </w:tcPr>
          <w:p w14:paraId="414B00CC">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采购人是否委托评标委员会直接确定中标人：</w:t>
            </w:r>
            <w:r>
              <w:rPr>
                <w:rFonts w:hint="eastAsia" w:ascii="微软雅黑" w:hAnsi="微软雅黑" w:eastAsia="微软雅黑" w:cs="微软雅黑"/>
                <w:sz w:val="24"/>
                <w:highlight w:val="none"/>
                <w:u w:val="single"/>
              </w:rPr>
              <w:t xml:space="preserve"> 否  （是、否）</w:t>
            </w:r>
          </w:p>
        </w:tc>
      </w:tr>
      <w:tr w14:paraId="7D4DE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2D67B82C">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31.1</w:t>
            </w:r>
          </w:p>
        </w:tc>
        <w:tc>
          <w:tcPr>
            <w:tcW w:w="8368" w:type="dxa"/>
            <w:vAlign w:val="center"/>
          </w:tcPr>
          <w:p w14:paraId="11369DC9">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根据《政府采购服务和服务招标投标管理办法》 财政部87号令第三十八条：</w:t>
            </w:r>
          </w:p>
          <w:p w14:paraId="0D273E33">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履约保证金金额：</w:t>
            </w:r>
            <w:r>
              <w:rPr>
                <w:rFonts w:hint="eastAsia" w:ascii="微软雅黑" w:hAnsi="微软雅黑" w:eastAsia="微软雅黑" w:cs="微软雅黑"/>
                <w:sz w:val="24"/>
                <w:highlight w:val="none"/>
              </w:rPr>
              <w:t>合同总价的</w:t>
            </w:r>
            <w:r>
              <w:rPr>
                <w:rFonts w:hint="eastAsia" w:ascii="微软雅黑" w:hAnsi="微软雅黑" w:eastAsia="微软雅黑" w:cs="微软雅黑"/>
                <w:sz w:val="24"/>
                <w:highlight w:val="none"/>
                <w:u w:val="single"/>
              </w:rPr>
              <w:t>　5%　</w:t>
            </w:r>
            <w:r>
              <w:rPr>
                <w:rFonts w:hint="eastAsia" w:ascii="微软雅黑" w:hAnsi="微软雅黑" w:eastAsia="微软雅黑" w:cs="微软雅黑"/>
                <w:sz w:val="24"/>
                <w:highlight w:val="none"/>
              </w:rPr>
              <w:t>（不得超过政府采购合同金额的10%）</w:t>
            </w:r>
          </w:p>
          <w:p w14:paraId="7F150E4B">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履约保证</w:t>
            </w:r>
            <w:r>
              <w:rPr>
                <w:rFonts w:hint="eastAsia" w:ascii="微软雅黑" w:hAnsi="微软雅黑" w:eastAsia="微软雅黑" w:cs="微软雅黑"/>
                <w:color w:val="auto"/>
                <w:sz w:val="24"/>
                <w:highlight w:val="none"/>
              </w:rPr>
              <w:t>金形式：</w:t>
            </w:r>
            <w:r>
              <w:rPr>
                <w:rFonts w:hint="eastAsia" w:ascii="微软雅黑" w:hAnsi="微软雅黑" w:eastAsia="微软雅黑" w:cs="微软雅黑"/>
                <w:color w:val="auto"/>
                <w:sz w:val="24"/>
                <w:highlight w:val="none"/>
                <w:lang w:val="en-US" w:eastAsia="zh-CN"/>
              </w:rPr>
              <w:t xml:space="preserve">☑保函  ☑电汇 □支票  ☑对公转账  □汇票  □本票 </w:t>
            </w:r>
          </w:p>
          <w:p w14:paraId="008EA213">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提交履约保证金的时间：签订合同前 </w:t>
            </w:r>
            <w:r>
              <w:rPr>
                <w:rFonts w:hint="eastAsia" w:ascii="微软雅黑" w:hAnsi="微软雅黑" w:eastAsia="微软雅黑" w:cs="微软雅黑"/>
                <w:sz w:val="24"/>
                <w:highlight w:val="none"/>
                <w:u w:val="single"/>
              </w:rPr>
              <w:t xml:space="preserve">  5  </w:t>
            </w:r>
            <w:r>
              <w:rPr>
                <w:rFonts w:hint="eastAsia" w:ascii="微软雅黑" w:hAnsi="微软雅黑" w:eastAsia="微软雅黑" w:cs="微软雅黑"/>
                <w:sz w:val="24"/>
                <w:highlight w:val="none"/>
              </w:rPr>
              <w:t>日历日打入甲方指定账户</w:t>
            </w:r>
          </w:p>
          <w:p w14:paraId="3EC8C8CE">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注：双方可以通过协商另行约定其他退还时间和方式及用途。</w:t>
            </w:r>
          </w:p>
        </w:tc>
      </w:tr>
      <w:tr w14:paraId="3D96F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24093AEC">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32</w:t>
            </w:r>
          </w:p>
        </w:tc>
        <w:tc>
          <w:tcPr>
            <w:tcW w:w="8368" w:type="dxa"/>
            <w:vAlign w:val="center"/>
          </w:tcPr>
          <w:p w14:paraId="7F59D229">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代理服务费</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rPr>
              <w:t>根据发改价格[2015]299 文件收费标准：</w:t>
            </w:r>
          </w:p>
          <w:p w14:paraId="78D05BB4">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成交金额100万元以下的部分，费率为1.50%；</w:t>
            </w:r>
          </w:p>
          <w:p w14:paraId="7B590998">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成交金额100万元至500万元的部分，费率为1.10%；</w:t>
            </w:r>
          </w:p>
          <w:p w14:paraId="141906E4">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成交金额500万元至1000万元的部分，费率为0.80%；</w:t>
            </w:r>
          </w:p>
          <w:p w14:paraId="3E6D0FCF">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成交金额1000万元至5000万元的部分，费率为0.50%；</w:t>
            </w:r>
          </w:p>
          <w:p w14:paraId="6882375B">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成交金额5000万元至10000万元的部分，费率为0.25%；</w:t>
            </w:r>
          </w:p>
          <w:p w14:paraId="70ED34AA">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成交金额10000万元至100000万元的部分，费率为0.05%；</w:t>
            </w:r>
          </w:p>
          <w:p w14:paraId="19904484">
            <w:pPr>
              <w:spacing w:line="360" w:lineRule="exac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成交金额100000万元以上的部分，费率为0.01%‌</w:t>
            </w:r>
          </w:p>
          <w:p w14:paraId="499D0EED">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(由</w:t>
            </w:r>
            <w:r>
              <w:rPr>
                <w:rFonts w:hint="eastAsia" w:ascii="微软雅黑" w:hAnsi="微软雅黑" w:eastAsia="微软雅黑" w:cs="微软雅黑"/>
                <w:sz w:val="24"/>
                <w:highlight w:val="none"/>
                <w:lang w:val="en-US" w:eastAsia="zh-CN"/>
              </w:rPr>
              <w:t>成交</w:t>
            </w:r>
            <w:r>
              <w:rPr>
                <w:rFonts w:hint="eastAsia" w:ascii="微软雅黑" w:hAnsi="微软雅黑" w:eastAsia="微软雅黑" w:cs="微软雅黑"/>
                <w:sz w:val="24"/>
                <w:highlight w:val="none"/>
              </w:rPr>
              <w:t>供应商领取</w:t>
            </w:r>
            <w:r>
              <w:rPr>
                <w:rFonts w:hint="eastAsia" w:ascii="微软雅黑" w:hAnsi="微软雅黑" w:eastAsia="微软雅黑" w:cs="微软雅黑"/>
                <w:sz w:val="24"/>
                <w:highlight w:val="none"/>
                <w:lang w:val="en-US" w:eastAsia="zh-CN"/>
              </w:rPr>
              <w:t>成交</w:t>
            </w:r>
            <w:r>
              <w:rPr>
                <w:rFonts w:hint="eastAsia" w:ascii="微软雅黑" w:hAnsi="微软雅黑" w:eastAsia="微软雅黑" w:cs="微软雅黑"/>
                <w:sz w:val="24"/>
                <w:highlight w:val="none"/>
              </w:rPr>
              <w:t xml:space="preserve">通知书时一次性支付) 。 </w:t>
            </w:r>
          </w:p>
        </w:tc>
      </w:tr>
      <w:tr w14:paraId="0F96C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74F1C0EF">
            <w:pPr>
              <w:spacing w:line="360" w:lineRule="exact"/>
              <w:ind w:firstLine="240" w:firstLineChars="100"/>
              <w:rPr>
                <w:rFonts w:ascii="微软雅黑" w:hAnsi="微软雅黑" w:eastAsia="微软雅黑" w:cs="微软雅黑"/>
                <w:sz w:val="24"/>
                <w:highlight w:val="none"/>
              </w:rPr>
            </w:pPr>
            <w:r>
              <w:rPr>
                <w:rFonts w:hint="eastAsia" w:ascii="微软雅黑" w:hAnsi="微软雅黑" w:eastAsia="微软雅黑" w:cs="微软雅黑"/>
                <w:sz w:val="24"/>
                <w:highlight w:val="none"/>
              </w:rPr>
              <w:t>33.1</w:t>
            </w:r>
          </w:p>
        </w:tc>
        <w:tc>
          <w:tcPr>
            <w:tcW w:w="8368" w:type="dxa"/>
            <w:vAlign w:val="center"/>
          </w:tcPr>
          <w:p w14:paraId="288897E0">
            <w:pPr>
              <w:spacing w:line="3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本项目是否属于信用担保试点范围</w:t>
            </w:r>
            <w:r>
              <w:rPr>
                <w:rFonts w:hint="eastAsia" w:ascii="微软雅黑" w:hAnsi="微软雅黑" w:eastAsia="微软雅黑" w:cs="微软雅黑"/>
                <w:sz w:val="24"/>
                <w:highlight w:val="none"/>
                <w:u w:val="single"/>
              </w:rPr>
              <w:t>：</w:t>
            </w:r>
            <w:r>
              <w:rPr>
                <w:rFonts w:hint="eastAsia" w:ascii="微软雅黑" w:hAnsi="微软雅黑" w:eastAsia="微软雅黑" w:cs="微软雅黑"/>
                <w:iCs/>
                <w:sz w:val="24"/>
                <w:highlight w:val="none"/>
                <w:u w:val="single"/>
              </w:rPr>
              <w:t>是</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iCs/>
                <w:sz w:val="24"/>
                <w:highlight w:val="none"/>
              </w:rPr>
              <w:t>（是、否）</w:t>
            </w:r>
          </w:p>
        </w:tc>
      </w:tr>
      <w:tr w14:paraId="1D524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892" w:type="dxa"/>
            <w:vAlign w:val="center"/>
          </w:tcPr>
          <w:p w14:paraId="34A78C13">
            <w:pPr>
              <w:spacing w:line="360" w:lineRule="exact"/>
              <w:ind w:firstLine="240" w:firstLineChars="100"/>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3</w:t>
            </w:r>
            <w:r>
              <w:rPr>
                <w:rFonts w:ascii="微软雅黑" w:hAnsi="微软雅黑" w:eastAsia="微软雅黑" w:cs="微软雅黑"/>
                <w:sz w:val="24"/>
                <w:highlight w:val="none"/>
              </w:rPr>
              <w:t>3.2</w:t>
            </w:r>
          </w:p>
        </w:tc>
        <w:tc>
          <w:tcPr>
            <w:tcW w:w="8368" w:type="dxa"/>
            <w:vAlign w:val="center"/>
          </w:tcPr>
          <w:p w14:paraId="0A697BA8">
            <w:pPr>
              <w:spacing w:line="360" w:lineRule="exact"/>
              <w:rPr>
                <w:rFonts w:hint="default" w:ascii="微软雅黑" w:hAnsi="微软雅黑" w:eastAsia="微软雅黑" w:cs="微软雅黑"/>
                <w:sz w:val="24"/>
                <w:highlight w:val="none"/>
                <w:lang w:val="en-US" w:eastAsia="zh-CN"/>
              </w:rPr>
            </w:pPr>
            <w:r>
              <w:rPr>
                <w:rFonts w:hint="eastAsia" w:ascii="微软雅黑" w:hAnsi="微软雅黑" w:eastAsia="微软雅黑" w:cs="微软雅黑"/>
                <w:b/>
                <w:bCs/>
                <w:sz w:val="24"/>
                <w:highlight w:val="none"/>
              </w:rPr>
              <w:t>说明：各潜在投标人于本项目</w:t>
            </w:r>
            <w:r>
              <w:rPr>
                <w:rFonts w:hint="eastAsia" w:ascii="微软雅黑" w:hAnsi="微软雅黑" w:eastAsia="微软雅黑" w:cs="微软雅黑"/>
                <w:b/>
                <w:bCs/>
                <w:sz w:val="24"/>
                <w:highlight w:val="none"/>
                <w:lang w:val="en-US" w:eastAsia="zh-CN"/>
              </w:rPr>
              <w:t>2025年 7月7日 -2025年 7月10日 按照踏勘证明要求</w:t>
            </w:r>
            <w:r>
              <w:rPr>
                <w:rFonts w:hint="eastAsia" w:ascii="微软雅黑" w:hAnsi="微软雅黑" w:eastAsia="微软雅黑" w:cs="微软雅黑"/>
                <w:b/>
                <w:bCs/>
                <w:sz w:val="24"/>
                <w:highlight w:val="none"/>
              </w:rPr>
              <w:t>携带样品到我单位送样并进行现场</w:t>
            </w:r>
            <w:r>
              <w:rPr>
                <w:rFonts w:hint="eastAsia" w:ascii="微软雅黑" w:hAnsi="微软雅黑" w:eastAsia="微软雅黑" w:cs="微软雅黑"/>
                <w:b/>
                <w:bCs/>
                <w:sz w:val="24"/>
                <w:highlight w:val="none"/>
                <w:lang w:val="en-US" w:eastAsia="zh-CN"/>
              </w:rPr>
              <w:t>测试及熟悉本项目施工环境。</w:t>
            </w:r>
          </w:p>
        </w:tc>
      </w:tr>
    </w:tbl>
    <w:p w14:paraId="25016EE1">
      <w:pPr>
        <w:widowControl/>
        <w:jc w:val="center"/>
        <w:rPr>
          <w:rFonts w:ascii="微软雅黑" w:hAnsi="微软雅黑" w:eastAsia="微软雅黑" w:cs="微软雅黑"/>
          <w:b/>
          <w:kern w:val="0"/>
          <w:sz w:val="28"/>
          <w:szCs w:val="28"/>
          <w:highlight w:val="none"/>
        </w:rPr>
      </w:pPr>
    </w:p>
    <w:p w14:paraId="4BD16BAB">
      <w:pPr>
        <w:widowControl/>
        <w:jc w:val="center"/>
        <w:rPr>
          <w:rFonts w:ascii="微软雅黑" w:hAnsi="微软雅黑" w:eastAsia="微软雅黑" w:cs="微软雅黑"/>
          <w:b/>
          <w:kern w:val="0"/>
          <w:sz w:val="28"/>
          <w:szCs w:val="28"/>
          <w:highlight w:val="none"/>
        </w:rPr>
      </w:pPr>
    </w:p>
    <w:p w14:paraId="476E7955">
      <w:pPr>
        <w:widowControl/>
        <w:jc w:val="center"/>
        <w:rPr>
          <w:rFonts w:ascii="微软雅黑" w:hAnsi="微软雅黑" w:eastAsia="微软雅黑" w:cs="微软雅黑"/>
          <w:b/>
          <w:kern w:val="0"/>
          <w:sz w:val="28"/>
          <w:szCs w:val="28"/>
          <w:highlight w:val="none"/>
        </w:rPr>
      </w:pPr>
    </w:p>
    <w:p w14:paraId="5EA1E049">
      <w:pPr>
        <w:widowControl/>
        <w:jc w:val="center"/>
        <w:rPr>
          <w:rFonts w:ascii="微软雅黑" w:hAnsi="微软雅黑" w:eastAsia="微软雅黑" w:cs="微软雅黑"/>
          <w:b/>
          <w:kern w:val="0"/>
          <w:sz w:val="28"/>
          <w:szCs w:val="28"/>
          <w:highlight w:val="none"/>
        </w:rPr>
      </w:pPr>
    </w:p>
    <w:p w14:paraId="3783962F">
      <w:pPr>
        <w:widowControl/>
        <w:jc w:val="center"/>
        <w:rPr>
          <w:rFonts w:ascii="微软雅黑" w:hAnsi="微软雅黑" w:eastAsia="微软雅黑" w:cs="微软雅黑"/>
          <w:b/>
          <w:kern w:val="0"/>
          <w:sz w:val="28"/>
          <w:szCs w:val="28"/>
          <w:highlight w:val="none"/>
        </w:rPr>
      </w:pPr>
    </w:p>
    <w:p w14:paraId="4EF175DC">
      <w:pPr>
        <w:widowControl/>
        <w:jc w:val="both"/>
        <w:rPr>
          <w:rFonts w:ascii="微软雅黑" w:hAnsi="微软雅黑" w:eastAsia="微软雅黑" w:cs="微软雅黑"/>
          <w:b/>
          <w:kern w:val="0"/>
          <w:sz w:val="28"/>
          <w:szCs w:val="28"/>
          <w:highlight w:val="none"/>
        </w:rPr>
      </w:pPr>
    </w:p>
    <w:p w14:paraId="49DC4515">
      <w:pPr>
        <w:spacing w:line="240" w:lineRule="atLeast"/>
        <w:rPr>
          <w:rFonts w:hint="eastAsia" w:ascii="微软雅黑" w:hAnsi="微软雅黑" w:eastAsia="微软雅黑" w:cs="微软雅黑"/>
          <w:sz w:val="24"/>
          <w:highlight w:val="none"/>
          <w:lang w:val="en-US" w:eastAsia="zh-CN"/>
        </w:rPr>
        <w:sectPr>
          <w:footerReference r:id="rId6" w:type="default"/>
          <w:pgSz w:w="11906" w:h="16838"/>
          <w:pgMar w:top="1440" w:right="1797" w:bottom="1440" w:left="1797" w:header="680" w:footer="992" w:gutter="0"/>
          <w:pgNumType w:fmt="decimal" w:start="1"/>
          <w:cols w:space="720" w:num="1"/>
          <w:docGrid w:linePitch="312" w:charSpace="0"/>
        </w:sectPr>
      </w:pPr>
    </w:p>
    <w:p w14:paraId="09F212E5">
      <w:pPr>
        <w:numPr>
          <w:ilvl w:val="0"/>
          <w:numId w:val="7"/>
        </w:numPr>
        <w:spacing w:line="440" w:lineRule="exact"/>
        <w:jc w:val="center"/>
        <w:outlineLvl w:val="0"/>
        <w:rPr>
          <w:rFonts w:ascii="微软雅黑" w:hAnsi="微软雅黑" w:eastAsia="微软雅黑" w:cs="微软雅黑"/>
          <w:b/>
          <w:sz w:val="32"/>
          <w:szCs w:val="32"/>
          <w:highlight w:val="none"/>
        </w:rPr>
      </w:pPr>
      <w:bookmarkStart w:id="960" w:name="_Toc15092"/>
      <w:bookmarkStart w:id="961" w:name="_Toc27053"/>
      <w:bookmarkStart w:id="962" w:name="_Toc512937852"/>
      <w:r>
        <w:rPr>
          <w:rFonts w:hint="eastAsia" w:ascii="微软雅黑" w:hAnsi="微软雅黑" w:eastAsia="微软雅黑" w:cs="微软雅黑"/>
          <w:b/>
          <w:sz w:val="32"/>
          <w:szCs w:val="32"/>
          <w:highlight w:val="none"/>
        </w:rPr>
        <w:t xml:space="preserve"> </w:t>
      </w:r>
      <w:bookmarkStart w:id="963" w:name="_Toc24058"/>
      <w:bookmarkStart w:id="964" w:name="_Toc20565"/>
      <w:r>
        <w:rPr>
          <w:rFonts w:hint="eastAsia" w:ascii="微软雅黑" w:hAnsi="微软雅黑" w:eastAsia="微软雅黑" w:cs="微软雅黑"/>
          <w:b/>
          <w:sz w:val="32"/>
          <w:szCs w:val="32"/>
          <w:highlight w:val="none"/>
        </w:rPr>
        <w:t>采购需求及项目要求</w:t>
      </w:r>
      <w:bookmarkEnd w:id="960"/>
      <w:bookmarkEnd w:id="961"/>
      <w:r>
        <w:rPr>
          <w:rFonts w:hint="eastAsia" w:ascii="微软雅黑" w:hAnsi="微软雅黑" w:eastAsia="微软雅黑" w:cs="微软雅黑"/>
          <w:b/>
          <w:bCs/>
          <w:color w:val="auto"/>
          <w:sz w:val="32"/>
          <w:szCs w:val="32"/>
          <w:highlight w:val="none"/>
          <w:lang w:val="en-US" w:eastAsia="zh-CN"/>
        </w:rPr>
        <w:t>（详见工程量清单）</w:t>
      </w:r>
      <w:bookmarkEnd w:id="963"/>
      <w:bookmarkEnd w:id="964"/>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962"/>
    <w:p w14:paraId="3C1E3F67">
      <w:pPr>
        <w:jc w:val="left"/>
        <w:outlineLvl w:val="1"/>
        <w:rPr>
          <w:rFonts w:hint="eastAsia" w:ascii="微软雅黑" w:hAnsi="微软雅黑" w:eastAsia="微软雅黑" w:cs="微软雅黑"/>
          <w:b/>
          <w:bCs/>
          <w:color w:val="auto"/>
          <w:sz w:val="32"/>
          <w:szCs w:val="32"/>
          <w:highlight w:val="none"/>
          <w:lang w:val="en-US" w:eastAsia="zh-CN"/>
        </w:rPr>
      </w:pPr>
      <w:bookmarkStart w:id="965" w:name="_Toc17144"/>
      <w:bookmarkStart w:id="966" w:name="_Toc22126"/>
      <w:r>
        <w:rPr>
          <w:rFonts w:hint="eastAsia" w:ascii="微软雅黑" w:hAnsi="微软雅黑" w:eastAsia="微软雅黑" w:cs="微软雅黑"/>
          <w:b/>
          <w:bCs/>
          <w:color w:val="auto"/>
          <w:sz w:val="32"/>
          <w:szCs w:val="32"/>
          <w:highlight w:val="none"/>
          <w:lang w:val="en-US" w:eastAsia="zh-CN"/>
        </w:rPr>
        <w:t>一、项目要求如下：</w:t>
      </w:r>
      <w:bookmarkEnd w:id="965"/>
    </w:p>
    <w:tbl>
      <w:tblPr>
        <w:tblStyle w:val="27"/>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471"/>
        <w:gridCol w:w="7549"/>
      </w:tblGrid>
      <w:tr w14:paraId="7B293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7D90D6A">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序号</w:t>
            </w:r>
          </w:p>
        </w:tc>
        <w:tc>
          <w:tcPr>
            <w:tcW w:w="1471" w:type="dxa"/>
            <w:noWrap w:val="0"/>
            <w:vAlign w:val="top"/>
          </w:tcPr>
          <w:p w14:paraId="74E124D8">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条款名称</w:t>
            </w:r>
          </w:p>
        </w:tc>
        <w:tc>
          <w:tcPr>
            <w:tcW w:w="7549" w:type="dxa"/>
            <w:noWrap w:val="0"/>
            <w:vAlign w:val="top"/>
          </w:tcPr>
          <w:p w14:paraId="48BD343D">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说   明</w:t>
            </w:r>
          </w:p>
        </w:tc>
      </w:tr>
      <w:tr w14:paraId="27BFE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3E11255E">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1</w:t>
            </w:r>
          </w:p>
        </w:tc>
        <w:tc>
          <w:tcPr>
            <w:tcW w:w="1471" w:type="dxa"/>
            <w:noWrap w:val="0"/>
            <w:vAlign w:val="top"/>
          </w:tcPr>
          <w:p w14:paraId="48289C7D">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资格要求</w:t>
            </w:r>
          </w:p>
        </w:tc>
        <w:tc>
          <w:tcPr>
            <w:tcW w:w="7549" w:type="dxa"/>
            <w:noWrap w:val="0"/>
            <w:vAlign w:val="top"/>
          </w:tcPr>
          <w:p w14:paraId="563E30C1">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详见本项目磋商文件“供应商须知资料表”。</w:t>
            </w:r>
          </w:p>
        </w:tc>
      </w:tr>
      <w:tr w14:paraId="31B29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4F014C97">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2</w:t>
            </w:r>
          </w:p>
        </w:tc>
        <w:tc>
          <w:tcPr>
            <w:tcW w:w="1471" w:type="dxa"/>
            <w:noWrap w:val="0"/>
            <w:vAlign w:val="top"/>
          </w:tcPr>
          <w:p w14:paraId="68FECD55">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工期</w:t>
            </w:r>
          </w:p>
        </w:tc>
        <w:tc>
          <w:tcPr>
            <w:tcW w:w="7549" w:type="dxa"/>
            <w:noWrap w:val="0"/>
            <w:vAlign w:val="top"/>
          </w:tcPr>
          <w:p w14:paraId="5E9B2CFA">
            <w:pPr>
              <w:jc w:val="left"/>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合同签订生效后</w:t>
            </w:r>
            <w:r>
              <w:rPr>
                <w:rFonts w:hint="eastAsia" w:ascii="微软雅黑" w:hAnsi="微软雅黑" w:eastAsia="微软雅黑" w:cs="微软雅黑"/>
                <w:b w:val="0"/>
                <w:bCs w:val="0"/>
                <w:color w:val="auto"/>
                <w:sz w:val="28"/>
                <w:szCs w:val="28"/>
                <w:highlight w:val="none"/>
                <w:u w:val="single"/>
                <w:lang w:val="en-US" w:eastAsia="zh-CN"/>
              </w:rPr>
              <w:t>90</w:t>
            </w:r>
            <w:r>
              <w:rPr>
                <w:rFonts w:hint="eastAsia" w:ascii="微软雅黑" w:hAnsi="微软雅黑" w:eastAsia="微软雅黑" w:cs="微软雅黑"/>
                <w:b w:val="0"/>
                <w:bCs w:val="0"/>
                <w:color w:val="auto"/>
                <w:sz w:val="28"/>
                <w:szCs w:val="28"/>
                <w:highlight w:val="none"/>
                <w:lang w:val="en-US" w:eastAsia="zh-CN"/>
              </w:rPr>
              <w:t>日历日内完成竣工验收。具体以实际情况为准。</w:t>
            </w:r>
          </w:p>
        </w:tc>
      </w:tr>
      <w:tr w14:paraId="79E59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5F03A8C5">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3</w:t>
            </w:r>
          </w:p>
        </w:tc>
        <w:tc>
          <w:tcPr>
            <w:tcW w:w="1471" w:type="dxa"/>
            <w:noWrap w:val="0"/>
            <w:vAlign w:val="top"/>
          </w:tcPr>
          <w:p w14:paraId="22B389C6">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质保期</w:t>
            </w:r>
          </w:p>
        </w:tc>
        <w:tc>
          <w:tcPr>
            <w:tcW w:w="7549" w:type="dxa"/>
            <w:noWrap w:val="0"/>
            <w:vAlign w:val="top"/>
          </w:tcPr>
          <w:p w14:paraId="1E4B698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按国务院《建设工程质量管理条例》第四十条相关规定执行。</w:t>
            </w:r>
          </w:p>
        </w:tc>
      </w:tr>
      <w:tr w14:paraId="5388D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C896638">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w:t>
            </w:r>
          </w:p>
        </w:tc>
        <w:tc>
          <w:tcPr>
            <w:tcW w:w="1471" w:type="dxa"/>
            <w:noWrap w:val="0"/>
            <w:vAlign w:val="top"/>
          </w:tcPr>
          <w:p w14:paraId="2503ED98">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施工地点 </w:t>
            </w:r>
          </w:p>
        </w:tc>
        <w:tc>
          <w:tcPr>
            <w:tcW w:w="7549" w:type="dxa"/>
            <w:noWrap w:val="0"/>
            <w:vAlign w:val="top"/>
          </w:tcPr>
          <w:p w14:paraId="368C2B1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采购人指定地点。 </w:t>
            </w:r>
          </w:p>
        </w:tc>
      </w:tr>
      <w:tr w14:paraId="581C3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6C4D1132">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5</w:t>
            </w:r>
          </w:p>
        </w:tc>
        <w:tc>
          <w:tcPr>
            <w:tcW w:w="1471" w:type="dxa"/>
            <w:noWrap w:val="0"/>
            <w:vAlign w:val="top"/>
          </w:tcPr>
          <w:p w14:paraId="0D7D9384">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项目概况</w:t>
            </w:r>
          </w:p>
        </w:tc>
        <w:tc>
          <w:tcPr>
            <w:tcW w:w="7549" w:type="dxa"/>
            <w:noWrap w:val="0"/>
            <w:vAlign w:val="top"/>
          </w:tcPr>
          <w:p w14:paraId="16850AD2">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对教学楼水电、大厅、二楼活动室改造提升，教学楼及户外设施粉刷，室外地面硬化改造，户外游戏设施采购。（详见工程量清单及磋商文件）</w:t>
            </w:r>
          </w:p>
        </w:tc>
      </w:tr>
      <w:tr w14:paraId="284F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73544924">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6</w:t>
            </w:r>
          </w:p>
        </w:tc>
        <w:tc>
          <w:tcPr>
            <w:tcW w:w="1471" w:type="dxa"/>
            <w:noWrap w:val="0"/>
            <w:vAlign w:val="top"/>
          </w:tcPr>
          <w:p w14:paraId="30C94DC6">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项目要求及施工要求</w:t>
            </w:r>
          </w:p>
        </w:tc>
        <w:tc>
          <w:tcPr>
            <w:tcW w:w="7549" w:type="dxa"/>
            <w:noWrap w:val="0"/>
            <w:vAlign w:val="top"/>
          </w:tcPr>
          <w:p w14:paraId="469706B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（一）项目要求：</w:t>
            </w:r>
          </w:p>
          <w:p w14:paraId="4F81FAA6">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1、供应商必须遵照采购人的管理及安排，按采购人的内容、质量、时间要求制作,所有的服务必须达到采购人的要求。 </w:t>
            </w:r>
          </w:p>
          <w:p w14:paraId="15E8EC6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2、项目建设工作完成后应按要求及时清理现场工作。 </w:t>
            </w:r>
          </w:p>
          <w:p w14:paraId="4FC890E3">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3、供应商必须在施工过程中注意自身及周边安全，负责施工过程中的所有事故处理和费用。 </w:t>
            </w:r>
          </w:p>
          <w:p w14:paraId="036C5F13">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为便于与采购人就活动细节等方面进行适时沟通联系、及时处理和反馈,并使项目按质、按量、按时、有序实施，供应商应保证有固定专人负责联络工作。本项目必须有一个完善且固定的策划和组织管理团队，供应商须在响应文件中详细列出参与本项目的人员名单。</w:t>
            </w:r>
          </w:p>
          <w:p w14:paraId="2EAF4E4C">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5、根据《建筑工程施工许可管理办法》(住房和城乡建设部令第18号文第二条规定，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w:t>
            </w:r>
          </w:p>
          <w:p w14:paraId="10FF47CF">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bCs/>
                <w:color w:val="auto"/>
                <w:sz w:val="28"/>
                <w:szCs w:val="28"/>
                <w:highlight w:val="none"/>
                <w:lang w:val="en-US" w:eastAsia="zh-CN"/>
              </w:rPr>
              <w:t>（工程投资额在 30 万元以下或者建筑面申请领取施工许可证积在 300 平方米以下的建筑工程，可以不申请办理施工许可证。）</w:t>
            </w:r>
          </w:p>
        </w:tc>
      </w:tr>
      <w:tr w14:paraId="1CC91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190931A8">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7</w:t>
            </w:r>
          </w:p>
        </w:tc>
        <w:tc>
          <w:tcPr>
            <w:tcW w:w="1471" w:type="dxa"/>
            <w:noWrap w:val="0"/>
            <w:vAlign w:val="top"/>
          </w:tcPr>
          <w:p w14:paraId="578C93BB">
            <w:pPr>
              <w:jc w:val="center"/>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报价要求</w:t>
            </w:r>
          </w:p>
        </w:tc>
        <w:tc>
          <w:tcPr>
            <w:tcW w:w="7549" w:type="dxa"/>
            <w:noWrap w:val="0"/>
            <w:vAlign w:val="top"/>
          </w:tcPr>
          <w:p w14:paraId="766C7477">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1、本项目的报价和结算支付均以人民币为货币单位。 </w:t>
            </w:r>
          </w:p>
          <w:p w14:paraId="6F14891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2、供应商报价应包括设计、采购、运输、安装、相关部门验收及保修期内的维护保养等所有含税费用，以及供应商认为必要的其他货物、材料、工程、服务。</w:t>
            </w:r>
          </w:p>
          <w:p w14:paraId="0AD175F8">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3、如出现任何遗漏内容需产生额外费用，均由成交供应商自行承担，采购人将不再另支付任何费用。 </w:t>
            </w:r>
          </w:p>
          <w:p w14:paraId="2C53FDB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5D426D7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5、供应商应被认为在填报报价之前，已经仔细阅读了本磋商文件的所有有关章节以及审查了所有相关资料，已确保本次磋商的所有磋商范围内的各种价格风险均已包含在磋商的报价内。 </w:t>
            </w:r>
          </w:p>
          <w:p w14:paraId="7348A739">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6、最终工程量清单综合单价按照磋商最终报价确定。</w:t>
            </w:r>
          </w:p>
        </w:tc>
      </w:tr>
      <w:tr w14:paraId="2291E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3F54A0D">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8</w:t>
            </w:r>
          </w:p>
        </w:tc>
        <w:tc>
          <w:tcPr>
            <w:tcW w:w="1471" w:type="dxa"/>
            <w:noWrap w:val="0"/>
            <w:vAlign w:val="top"/>
          </w:tcPr>
          <w:p w14:paraId="2AC1D82F">
            <w:pPr>
              <w:jc w:val="left"/>
              <w:rPr>
                <w:rFonts w:hint="eastAsia" w:ascii="微软雅黑" w:hAnsi="微软雅黑" w:eastAsia="微软雅黑" w:cs="微软雅黑"/>
                <w:b w:val="0"/>
                <w:bCs w:val="0"/>
                <w:color w:val="auto"/>
                <w:sz w:val="28"/>
                <w:szCs w:val="28"/>
                <w:highlight w:val="none"/>
                <w:lang w:val="en-US" w:eastAsia="zh-CN"/>
              </w:rPr>
            </w:pPr>
          </w:p>
          <w:p w14:paraId="5118E246">
            <w:pPr>
              <w:jc w:val="left"/>
              <w:rPr>
                <w:rFonts w:hint="eastAsia" w:ascii="微软雅黑" w:hAnsi="微软雅黑" w:eastAsia="微软雅黑" w:cs="微软雅黑"/>
                <w:b w:val="0"/>
                <w:bCs w:val="0"/>
                <w:color w:val="auto"/>
                <w:sz w:val="28"/>
                <w:szCs w:val="28"/>
                <w:highlight w:val="none"/>
                <w:lang w:val="en-US" w:eastAsia="zh-CN"/>
              </w:rPr>
            </w:pPr>
          </w:p>
          <w:p w14:paraId="2010716F">
            <w:pPr>
              <w:jc w:val="left"/>
              <w:rPr>
                <w:rFonts w:hint="eastAsia" w:ascii="微软雅黑" w:hAnsi="微软雅黑" w:eastAsia="微软雅黑" w:cs="微软雅黑"/>
                <w:b w:val="0"/>
                <w:bCs w:val="0"/>
                <w:color w:val="auto"/>
                <w:sz w:val="28"/>
                <w:szCs w:val="28"/>
                <w:highlight w:val="none"/>
                <w:lang w:val="en-US" w:eastAsia="zh-CN"/>
              </w:rPr>
            </w:pPr>
          </w:p>
          <w:p w14:paraId="171423AB">
            <w:pPr>
              <w:jc w:val="left"/>
              <w:rPr>
                <w:rFonts w:hint="eastAsia" w:ascii="微软雅黑" w:hAnsi="微软雅黑" w:eastAsia="微软雅黑" w:cs="微软雅黑"/>
                <w:b w:val="0"/>
                <w:bCs w:val="0"/>
                <w:color w:val="auto"/>
                <w:sz w:val="28"/>
                <w:szCs w:val="28"/>
                <w:highlight w:val="none"/>
                <w:lang w:val="en-US" w:eastAsia="zh-CN"/>
              </w:rPr>
            </w:pPr>
          </w:p>
          <w:p w14:paraId="4DCCC155">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质量要求和质量保修期 </w:t>
            </w:r>
          </w:p>
        </w:tc>
        <w:tc>
          <w:tcPr>
            <w:tcW w:w="7549" w:type="dxa"/>
            <w:noWrap w:val="0"/>
            <w:vAlign w:val="top"/>
          </w:tcPr>
          <w:p w14:paraId="37A9434A">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1、质量：符合国家有关施工质量验收标准的合格工程或合同约定。工程规范以现行的或承担具体施工任务期间国家和行业新颁布施行的规范、规程为准。</w:t>
            </w:r>
          </w:p>
          <w:p w14:paraId="702EC45C">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2、材料、设备、施工须达到现行中华人民共和国以及省、自治区、直辖市或行业的工程建设标准、规范的要求及验收标准及有关规范为质量评定验收标准。 </w:t>
            </w:r>
          </w:p>
          <w:p w14:paraId="289D24AD">
            <w:pPr>
              <w:jc w:val="left"/>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3、配套设备质量保修期：3年（具体以签订合同为准）</w:t>
            </w:r>
          </w:p>
          <w:p w14:paraId="774983BB">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4、配套设备质量保修响应时间：属于保修范围的项目，应在接到采购人通知后的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2769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7D3BE46E">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9</w:t>
            </w:r>
          </w:p>
        </w:tc>
        <w:tc>
          <w:tcPr>
            <w:tcW w:w="1471" w:type="dxa"/>
            <w:noWrap w:val="0"/>
            <w:vAlign w:val="top"/>
          </w:tcPr>
          <w:p w14:paraId="71663BA0">
            <w:pPr>
              <w:jc w:val="left"/>
              <w:rPr>
                <w:rFonts w:hint="eastAsia" w:ascii="微软雅黑" w:hAnsi="微软雅黑" w:eastAsia="微软雅黑" w:cs="微软雅黑"/>
                <w:b w:val="0"/>
                <w:bCs w:val="0"/>
                <w:color w:val="auto"/>
                <w:sz w:val="28"/>
                <w:szCs w:val="28"/>
                <w:highlight w:val="none"/>
                <w:lang w:val="en-US" w:eastAsia="zh-CN"/>
              </w:rPr>
            </w:pPr>
          </w:p>
          <w:p w14:paraId="2E448CB1">
            <w:pPr>
              <w:jc w:val="left"/>
              <w:rPr>
                <w:rFonts w:hint="eastAsia" w:ascii="微软雅黑" w:hAnsi="微软雅黑" w:eastAsia="微软雅黑" w:cs="微软雅黑"/>
                <w:b w:val="0"/>
                <w:bCs w:val="0"/>
                <w:color w:val="auto"/>
                <w:sz w:val="28"/>
                <w:szCs w:val="28"/>
                <w:highlight w:val="none"/>
                <w:lang w:val="en-US" w:eastAsia="zh-CN"/>
              </w:rPr>
            </w:pPr>
          </w:p>
          <w:p w14:paraId="225B9EB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验收 </w:t>
            </w:r>
          </w:p>
        </w:tc>
        <w:tc>
          <w:tcPr>
            <w:tcW w:w="7549" w:type="dxa"/>
            <w:noWrap w:val="0"/>
            <w:vAlign w:val="top"/>
          </w:tcPr>
          <w:p w14:paraId="5486C61D">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1、采购人在收到成交供应商提交的竣工报告后组织验收，并在验收后 7 天内予以认可或提出修改意见。验收不合格，成交供应商应按要求修改后再次提请采购人验收，并承担因自身原因造成修改的费用。 </w:t>
            </w:r>
          </w:p>
          <w:p w14:paraId="560647C8">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2、采购人在收到成交供应商提交的竣工报告后不组织验收，或验收后不提出修改意见，视为竣工报告已被认可。 </w:t>
            </w:r>
          </w:p>
          <w:p w14:paraId="7660DFF4">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3、验收时如发现所交付的设备有短装、次品、损坏或其它不符合竞价文件规定之情形者，采购人应做出详尽的现场记录，或由用户和成交供应商双方签署备忘录。此现场记录或备忘录可用作补充、缺失和更换损坏部件的有效证据。由此产生的有关费用由成交供应商承担。 </w:t>
            </w:r>
          </w:p>
          <w:p w14:paraId="3A3651A2">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4、竣工报告被认可，则表明已完成合同工程，并视为通过竣工验收，采购人应向成交供应商颁发工程竣工验收证书。 </w:t>
            </w:r>
          </w:p>
        </w:tc>
      </w:tr>
      <w:tr w14:paraId="2B6AE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1DE3E6F9">
            <w:pPr>
              <w:jc w:val="center"/>
              <w:rPr>
                <w:rFonts w:hint="default"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10</w:t>
            </w:r>
          </w:p>
        </w:tc>
        <w:tc>
          <w:tcPr>
            <w:tcW w:w="1471" w:type="dxa"/>
            <w:noWrap w:val="0"/>
            <w:vAlign w:val="top"/>
          </w:tcPr>
          <w:p w14:paraId="1023164D">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 xml:space="preserve">付款方式 </w:t>
            </w:r>
          </w:p>
        </w:tc>
        <w:tc>
          <w:tcPr>
            <w:tcW w:w="7549" w:type="dxa"/>
            <w:noWrap w:val="0"/>
            <w:vAlign w:val="top"/>
          </w:tcPr>
          <w:p w14:paraId="2FA95B49">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付款支付比例或金额：以实际签订合同为准。</w:t>
            </w:r>
          </w:p>
        </w:tc>
      </w:tr>
    </w:tbl>
    <w:p w14:paraId="3633817D">
      <w:pPr>
        <w:jc w:val="left"/>
        <w:outlineLvl w:val="1"/>
        <w:rPr>
          <w:rFonts w:hint="eastAsia" w:ascii="微软雅黑" w:hAnsi="微软雅黑" w:eastAsia="微软雅黑" w:cs="微软雅黑"/>
          <w:b/>
          <w:bCs/>
          <w:color w:val="auto"/>
          <w:sz w:val="28"/>
          <w:szCs w:val="28"/>
          <w:highlight w:val="none"/>
          <w:lang w:val="en-US" w:eastAsia="zh-CN"/>
        </w:rPr>
      </w:pPr>
      <w:bookmarkStart w:id="967" w:name="_Toc6615"/>
      <w:r>
        <w:rPr>
          <w:rFonts w:hint="eastAsia" w:ascii="微软雅黑" w:hAnsi="微软雅黑" w:eastAsia="微软雅黑" w:cs="微软雅黑"/>
          <w:b/>
          <w:bCs/>
          <w:color w:val="auto"/>
          <w:sz w:val="28"/>
          <w:szCs w:val="28"/>
          <w:highlight w:val="none"/>
          <w:lang w:val="en-US" w:eastAsia="zh-CN"/>
        </w:rPr>
        <w:t>二、工程量清单说明：</w:t>
      </w:r>
      <w:bookmarkEnd w:id="967"/>
    </w:p>
    <w:p w14:paraId="42CF15C2">
      <w:pPr>
        <w:ind w:firstLine="560" w:firstLineChars="200"/>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9D4F0A5">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2 、本工程量清单应与磋商文件中的供应商须知、通用合同条款、专用合同条款、技术标准和要求及图纸等一起阅读和理解。</w:t>
      </w:r>
    </w:p>
    <w:p w14:paraId="62C5E193">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3、本工程量清单仅是投标报价的共同基础，实际工程计量和工程价款的支付应遵循合同条款的约定。</w:t>
      </w:r>
    </w:p>
    <w:p w14:paraId="3806FC58">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 、补充子目工程量计算规则及子目工作内容说明。</w:t>
      </w:r>
    </w:p>
    <w:p w14:paraId="303C51FE">
      <w:pPr>
        <w:jc w:val="left"/>
        <w:outlineLvl w:val="1"/>
        <w:rPr>
          <w:rFonts w:hint="eastAsia" w:ascii="微软雅黑" w:hAnsi="微软雅黑" w:eastAsia="微软雅黑" w:cs="微软雅黑"/>
          <w:b w:val="0"/>
          <w:bCs w:val="0"/>
          <w:color w:val="auto"/>
          <w:sz w:val="28"/>
          <w:szCs w:val="28"/>
          <w:highlight w:val="none"/>
          <w:lang w:val="en-US" w:eastAsia="zh-CN"/>
        </w:rPr>
      </w:pPr>
      <w:bookmarkStart w:id="968" w:name="_Toc29845"/>
      <w:r>
        <w:rPr>
          <w:rFonts w:hint="eastAsia" w:ascii="微软雅黑" w:hAnsi="微软雅黑" w:eastAsia="微软雅黑" w:cs="微软雅黑"/>
          <w:b/>
          <w:bCs/>
          <w:color w:val="auto"/>
          <w:sz w:val="28"/>
          <w:szCs w:val="28"/>
          <w:highlight w:val="none"/>
          <w:lang w:val="en-US" w:eastAsia="zh-CN"/>
        </w:rPr>
        <w:t>三、投标报价说明：</w:t>
      </w:r>
      <w:bookmarkEnd w:id="968"/>
    </w:p>
    <w:p w14:paraId="05A19D0B">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1 、投标报价应根据磋商文件中的有关计价要求，并按照下列依据自主报价（另附）</w:t>
      </w:r>
    </w:p>
    <w:p w14:paraId="6691EA5B">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2、工程量清单中的每一子目须填入单价或价格，且只允许有一个报价。工程量清单中供应商没有填入单价或价格的子目，其费用视为已分摊在工程量清单中其他相关子目的单价或价格之中。</w:t>
      </w:r>
    </w:p>
    <w:p w14:paraId="0E3113E1">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3、 工程量清单中标价的单价或金额，应包括所需的人工费、材料和施工机具使用费和企业管理费、利润以及一定范围内的风险费用等。</w:t>
      </w:r>
    </w:p>
    <w:p w14:paraId="68321E92">
      <w:pPr>
        <w:jc w:val="left"/>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4 、投标总报价为供应商完成招标范围所述的全部工程内容的体现和完成该工程项目的成本、管理费、技术措施费、利润、风险费及政策性文件规定的不可竞争费用、规费和税金等所有费用，以及所有根据合同或其它原因由供应商支付的税金和其它应缴纳的费用。</w:t>
      </w:r>
    </w:p>
    <w:p w14:paraId="1FEE7367">
      <w:pPr>
        <w:numPr>
          <w:ilvl w:val="0"/>
          <w:numId w:val="8"/>
        </w:numPr>
        <w:jc w:val="left"/>
        <w:outlineLvl w:val="1"/>
        <w:rPr>
          <w:rFonts w:hint="eastAsia" w:ascii="微软雅黑" w:hAnsi="微软雅黑" w:eastAsia="微软雅黑" w:cs="微软雅黑"/>
          <w:b/>
          <w:bCs/>
          <w:color w:val="auto"/>
          <w:sz w:val="28"/>
          <w:szCs w:val="28"/>
          <w:highlight w:val="none"/>
          <w:lang w:val="en-US" w:eastAsia="zh-CN"/>
        </w:rPr>
      </w:pPr>
      <w:bookmarkStart w:id="969" w:name="_Toc17211"/>
      <w:r>
        <w:rPr>
          <w:rFonts w:hint="eastAsia" w:ascii="微软雅黑" w:hAnsi="微软雅黑" w:eastAsia="微软雅黑" w:cs="微软雅黑"/>
          <w:b/>
          <w:bCs/>
          <w:color w:val="auto"/>
          <w:sz w:val="28"/>
          <w:szCs w:val="28"/>
          <w:highlight w:val="none"/>
          <w:lang w:val="en-US" w:eastAsia="zh-CN"/>
        </w:rPr>
        <w:t>户外游戏设施（货物类部分）采购内容</w:t>
      </w:r>
      <w:bookmarkEnd w:id="969"/>
    </w:p>
    <w:tbl>
      <w:tblPr>
        <w:tblStyle w:val="27"/>
        <w:tblW w:w="8696"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1"/>
        <w:gridCol w:w="5742"/>
        <w:gridCol w:w="720"/>
        <w:gridCol w:w="753"/>
      </w:tblGrid>
      <w:tr w14:paraId="57175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81" w:type="dxa"/>
            <w:tcBorders>
              <w:bottom w:val="single" w:color="000000" w:sz="4" w:space="0"/>
              <w:right w:val="single" w:color="000000" w:sz="4" w:space="0"/>
            </w:tcBorders>
            <w:shd w:val="clear" w:color="auto" w:fill="auto"/>
            <w:vAlign w:val="center"/>
          </w:tcPr>
          <w:p w14:paraId="2B47746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分项</w:t>
            </w:r>
          </w:p>
        </w:tc>
        <w:tc>
          <w:tcPr>
            <w:tcW w:w="5742" w:type="dxa"/>
            <w:tcBorders>
              <w:left w:val="single" w:color="000000" w:sz="4" w:space="0"/>
              <w:bottom w:val="single" w:color="000000" w:sz="4" w:space="0"/>
              <w:right w:val="single" w:color="000000" w:sz="4" w:space="0"/>
            </w:tcBorders>
            <w:shd w:val="clear" w:color="auto" w:fill="auto"/>
            <w:vAlign w:val="center"/>
          </w:tcPr>
          <w:p w14:paraId="747B312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规格、技术参数</w:t>
            </w:r>
          </w:p>
        </w:tc>
        <w:tc>
          <w:tcPr>
            <w:tcW w:w="720" w:type="dxa"/>
            <w:tcBorders>
              <w:left w:val="single" w:color="000000" w:sz="4" w:space="0"/>
              <w:bottom w:val="single" w:color="000000" w:sz="4" w:space="0"/>
              <w:right w:val="single" w:color="000000" w:sz="4" w:space="0"/>
            </w:tcBorders>
            <w:shd w:val="clear" w:color="auto" w:fill="auto"/>
            <w:vAlign w:val="center"/>
          </w:tcPr>
          <w:p w14:paraId="7BC8DCB0">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数量</w:t>
            </w:r>
          </w:p>
        </w:tc>
        <w:tc>
          <w:tcPr>
            <w:tcW w:w="753" w:type="dxa"/>
            <w:tcBorders>
              <w:left w:val="single" w:color="000000" w:sz="4" w:space="0"/>
              <w:bottom w:val="single" w:color="000000" w:sz="4" w:space="0"/>
            </w:tcBorders>
            <w:shd w:val="clear" w:color="auto" w:fill="auto"/>
            <w:vAlign w:val="center"/>
          </w:tcPr>
          <w:p w14:paraId="1130AF6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b/>
                <w:bCs/>
                <w:i w:val="0"/>
                <w:iCs w:val="0"/>
                <w:color w:val="000000"/>
                <w:kern w:val="0"/>
                <w:sz w:val="24"/>
                <w:szCs w:val="24"/>
                <w:highlight w:val="none"/>
                <w:u w:val="none"/>
                <w:lang w:val="en-US" w:eastAsia="zh-CN" w:bidi="ar"/>
              </w:rPr>
              <w:t>单位</w:t>
            </w:r>
          </w:p>
        </w:tc>
      </w:tr>
      <w:tr w14:paraId="7AC13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7496A21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燃气热水器</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75E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1.16升，尺寸53*37cm。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2.节能全域无冷感恒温，三种模式零冷水，TURBO涡轮增压泵，7A一级恒温认证，双舱一级能效，三大一级静音认证，密闭稳燃舱性能升级3.0。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7D9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19B19A4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2C1ED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54722397">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联体洗手池</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76C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Style w:val="54"/>
                <w:rFonts w:hint="eastAsia" w:ascii="微软雅黑" w:hAnsi="微软雅黑" w:eastAsia="微软雅黑" w:cs="微软雅黑"/>
                <w:sz w:val="24"/>
                <w:szCs w:val="24"/>
                <w:highlight w:val="none"/>
                <w:lang w:val="en-US" w:eastAsia="zh-CN" w:bidi="ar"/>
              </w:rPr>
              <w:t>1.大理石台面材质大理石：人造大理石（树脂含量≤15%），表面光滑无裂纹，硬度≥莫氏硬度5级，抗污性强，通过国家A类石材放射性标准（氡浓度≤200Bq/m</w:t>
            </w:r>
            <w:r>
              <w:rPr>
                <w:rStyle w:val="55"/>
                <w:rFonts w:hint="eastAsia" w:ascii="微软雅黑" w:hAnsi="微软雅黑" w:eastAsia="微软雅黑" w:cs="微软雅黑"/>
                <w:sz w:val="24"/>
                <w:szCs w:val="24"/>
                <w:highlight w:val="none"/>
                <w:lang w:val="en-US" w:eastAsia="zh-CN" w:bidi="ar"/>
              </w:rPr>
              <w:t>³</w:t>
            </w:r>
            <w:r>
              <w:rPr>
                <w:rStyle w:val="54"/>
                <w:rFonts w:hint="eastAsia" w:ascii="微软雅黑" w:hAnsi="微软雅黑" w:eastAsia="微软雅黑" w:cs="微软雅黑"/>
                <w:sz w:val="24"/>
                <w:szCs w:val="24"/>
                <w:highlight w:val="none"/>
                <w:lang w:val="en-US" w:eastAsia="zh-CN" w:bidi="ar"/>
              </w:rPr>
              <w:t>）。钢架：内部支撑结构采用304不锈钢方管（壁厚≥1.5mm），防锈防腐，确保承重性能。粘结剂：使用食品级硅酮密封胶，无毒无味，防水防霉，符合GB 18583环保标准。</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2. 工艺钢架焊接：不锈钢方管通过氩弧焊接成型，表面抛光处理，焊接处无毛刺、无虚焊，确保结构稳定</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3. 技术参数：台面高度：55-60cm（适配3-6岁儿童身高），台面尺寸：单盆：长60cm×宽40cm。</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4.陶瓷盆材质：选用高温烧制（1280℃以上）的全瓷材质，吸水率≤0.5%，抗污性强，釉面光滑无气孔。铸造工艺：一体精密铸造，表面电解抛光处理，无砂眼、无裂缝。安装接口：标准G1/2螺纹接口，适配常规水管，连接处加装橡胶密封圈。</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5.水管铺设：给水管：采用食品级PPR管（抗菌型），规格DN20，壁厚3.4mm，承压≥2.0MPa，符合GB/T 18742标准。排水管：PVC-U排水管，规格DN50，壁厚2.0mm，抗冲击性能强。管件：PPR热熔管件、PVC胶水连接管件，确保密封性。</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6.防冻保护：埋地深度≥50cm（北方地区需包裹保温棉），排水流量：单洗手池排水≥1.0L/s，使用寿命：水管≥50年，管件≥30年。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B2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14</w:t>
            </w:r>
          </w:p>
        </w:tc>
        <w:tc>
          <w:tcPr>
            <w:tcW w:w="753" w:type="dxa"/>
            <w:tcBorders>
              <w:top w:val="single" w:color="000000" w:sz="4" w:space="0"/>
              <w:left w:val="single" w:color="000000" w:sz="4" w:space="0"/>
              <w:bottom w:val="single" w:color="000000" w:sz="4" w:space="0"/>
            </w:tcBorders>
            <w:shd w:val="clear" w:color="auto" w:fill="auto"/>
            <w:vAlign w:val="center"/>
          </w:tcPr>
          <w:p w14:paraId="425FE8B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61126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52" w:hRule="atLeast"/>
        </w:trPr>
        <w:tc>
          <w:tcPr>
            <w:tcW w:w="1481" w:type="dxa"/>
            <w:tcBorders>
              <w:top w:val="nil"/>
              <w:bottom w:val="single" w:color="000000" w:sz="4" w:space="0"/>
              <w:right w:val="single" w:color="000000" w:sz="4" w:space="0"/>
            </w:tcBorders>
            <w:shd w:val="clear" w:color="auto" w:fill="auto"/>
            <w:vAlign w:val="center"/>
          </w:tcPr>
          <w:p w14:paraId="49A7115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幼儿园红绿灯 </w:t>
            </w:r>
          </w:p>
        </w:tc>
        <w:tc>
          <w:tcPr>
            <w:tcW w:w="5742" w:type="dxa"/>
            <w:tcBorders>
              <w:top w:val="nil"/>
              <w:left w:val="single" w:color="000000" w:sz="4" w:space="0"/>
              <w:bottom w:val="single" w:color="000000" w:sz="4" w:space="0"/>
              <w:right w:val="single" w:color="000000" w:sz="4" w:space="0"/>
            </w:tcBorders>
            <w:shd w:val="clear" w:color="auto" w:fill="auto"/>
            <w:vAlign w:val="center"/>
          </w:tcPr>
          <w:p w14:paraId="314D22C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1.灯组主体：73.5×25×11cm立杆高度：可定制1.2m/1.5m/2m工作电压：AC 85V-220V 50/60Hz（全球电压自适应）防水等级：IP53（防尘防雨，户外全天候适用）。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2.灯箱外壳：5mm加厚ABS工程塑料（抗UV、耐-30℃~50℃温差）一体注塑成型，无缝防渗水结构。</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3.光学系统：OSRAM LED灯珠，灯珠密度加密40%（亮度≥200cd/㎡）扩散板雾面处理，光线均匀不刺眼。</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4.内部结构：304不锈钢骨架+阻燃PC电路板（UL94 V-0级）信号模式：标准三色灯组（红/黄/绿)。</w:t>
            </w:r>
          </w:p>
        </w:tc>
        <w:tc>
          <w:tcPr>
            <w:tcW w:w="720" w:type="dxa"/>
            <w:tcBorders>
              <w:top w:val="nil"/>
              <w:left w:val="single" w:color="000000" w:sz="4" w:space="0"/>
              <w:bottom w:val="single" w:color="000000" w:sz="4" w:space="0"/>
              <w:right w:val="single" w:color="000000" w:sz="4" w:space="0"/>
            </w:tcBorders>
            <w:shd w:val="clear" w:color="auto" w:fill="auto"/>
            <w:vAlign w:val="center"/>
          </w:tcPr>
          <w:p w14:paraId="01C0BA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nil"/>
              <w:left w:val="single" w:color="000000" w:sz="4" w:space="0"/>
              <w:bottom w:val="single" w:color="000000" w:sz="4" w:space="0"/>
            </w:tcBorders>
            <w:shd w:val="clear" w:color="auto" w:fill="auto"/>
            <w:vAlign w:val="center"/>
          </w:tcPr>
          <w:p w14:paraId="12CBA00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79292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1481" w:type="dxa"/>
            <w:tcBorders>
              <w:top w:val="nil"/>
              <w:bottom w:val="single" w:color="000000" w:sz="4" w:space="0"/>
              <w:right w:val="single" w:color="000000" w:sz="4" w:space="0"/>
            </w:tcBorders>
            <w:shd w:val="clear" w:color="auto" w:fill="auto"/>
            <w:vAlign w:val="center"/>
          </w:tcPr>
          <w:p w14:paraId="4544C22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区域标识牌</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41D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1.材质：10mmpvc、画面双面。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2.整体尺寸：1.5m*1m。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3.立柱框架：镀锌钢管。</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4.直埋式安装。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F4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17</w:t>
            </w:r>
          </w:p>
        </w:tc>
        <w:tc>
          <w:tcPr>
            <w:tcW w:w="753" w:type="dxa"/>
            <w:tcBorders>
              <w:top w:val="single" w:color="000000" w:sz="4" w:space="0"/>
              <w:left w:val="single" w:color="000000" w:sz="4" w:space="0"/>
              <w:bottom w:val="single" w:color="000000" w:sz="4" w:space="0"/>
            </w:tcBorders>
            <w:shd w:val="clear" w:color="auto" w:fill="auto"/>
            <w:vAlign w:val="center"/>
          </w:tcPr>
          <w:p w14:paraId="06AF398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个</w:t>
            </w:r>
          </w:p>
        </w:tc>
      </w:tr>
      <w:tr w14:paraId="1F46E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04" w:hRule="atLeast"/>
        </w:trPr>
        <w:tc>
          <w:tcPr>
            <w:tcW w:w="1481" w:type="dxa"/>
            <w:tcBorders>
              <w:top w:val="single" w:color="000000" w:sz="4" w:space="0"/>
              <w:bottom w:val="single" w:color="000000" w:sz="4" w:space="0"/>
              <w:right w:val="single" w:color="000000" w:sz="4" w:space="0"/>
            </w:tcBorders>
            <w:shd w:val="clear" w:color="auto" w:fill="auto"/>
            <w:vAlign w:val="center"/>
          </w:tcPr>
          <w:p w14:paraId="5FC0151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幼儿篮球架含篮球收纳架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C96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1.整体高度：1.8m、立柱规格：Φ165mm加粗圆管（壁厚3.0mm，Q235碳钢）三重防锈处理（热镀锌+环氧底漆+户外粉末涂层）篮板系统：尺寸：80×120cm（10mm钢化玻璃，边缘硅胶包边）。</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2.抗冲击力：承受瞬时冲击（EN1270标准）篮筐高度：支持0.5m升降微调、预埋式安装（基础深度≥40cm，混凝土配重箱）地脚螺栓加固，抗风力。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3.篮网：防缠绕尼龙网（UV抗老化处理，直径35cm）工作温度：-30℃~50℃（涂层抗冻裂、抗高温暴晒）湿度范围：≤95% RH（沿海地区适用）。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4.规格90*70*80cm，加厚铁艺烤漆，可折叠，尼龙万向轮。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6C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5419DB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485F0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1481" w:type="dxa"/>
            <w:tcBorders>
              <w:top w:val="single" w:color="000000" w:sz="4" w:space="0"/>
              <w:bottom w:val="single" w:color="000000" w:sz="4" w:space="0"/>
              <w:right w:val="single" w:color="000000" w:sz="4" w:space="0"/>
            </w:tcBorders>
            <w:shd w:val="clear" w:color="auto" w:fill="auto"/>
            <w:vAlign w:val="center"/>
          </w:tcPr>
          <w:p w14:paraId="3A8496C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红色橡胶轮小车</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92B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1.产品尺寸：65*58*85cm。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2.规格参数：高承重能力：车身结构坚固，最大载重可达100公斤，确保儿童骑行的安全性。3.产品毛重9公斤。轮胎配置：配备橡胶耐轮防充气轮，无需担心爆胎，适合各种路面。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4.材质：采用高碳钢车架，确保产品的强度和耐用性；环保塑料部件，安全无毒害，保护儿童健康。建议身高范围：适合身高85cm至120cm的儿童使用。安全护栏：配备安全护栏，防止儿童在骑行过程中意外跌落。</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5.脚踏板：设计合理的脚踏板位置和大小，确保儿童骑行时的舒适性。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6.手把：符合人体工程学原理的手把设计，便于儿童抓握。</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7.维护保养说明：清洁时请使用柔软的湿布擦拭，避免使用腐蚀性清洁剂。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存放时应选择干燥通风的环境，避免长时间暴露在阳光下。</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8.包装信息：产品采用安全包装，内含防护垫层，确保运输过程中的安全。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454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40</w:t>
            </w:r>
          </w:p>
        </w:tc>
        <w:tc>
          <w:tcPr>
            <w:tcW w:w="753" w:type="dxa"/>
            <w:tcBorders>
              <w:top w:val="single" w:color="000000" w:sz="4" w:space="0"/>
              <w:left w:val="single" w:color="000000" w:sz="4" w:space="0"/>
              <w:bottom w:val="single" w:color="000000" w:sz="4" w:space="0"/>
            </w:tcBorders>
            <w:shd w:val="clear" w:color="auto" w:fill="auto"/>
            <w:vAlign w:val="center"/>
          </w:tcPr>
          <w:p w14:paraId="770FAE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个</w:t>
            </w:r>
          </w:p>
        </w:tc>
      </w:tr>
      <w:tr w14:paraId="089F2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6A57327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EPP积木</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888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1.产品单个尺寸为：大积木是30*15*15cm。数量：280块马卡龙色。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2.材质：EPP（发泡聚丙烯），新型高分子泡沫材料，兼具轻量化与高强韧性。轻量抗震：密度0.03-0.12g/cm</w:t>
            </w:r>
            <w:r>
              <w:rPr>
                <w:rStyle w:val="55"/>
                <w:rFonts w:hint="eastAsia" w:ascii="微软雅黑" w:hAnsi="微软雅黑" w:eastAsia="微软雅黑" w:cs="微软雅黑"/>
                <w:sz w:val="24"/>
                <w:szCs w:val="24"/>
                <w:highlight w:val="none"/>
                <w:lang w:val="en-US" w:eastAsia="zh-CN" w:bidi="ar"/>
              </w:rPr>
              <w:t>³</w:t>
            </w:r>
            <w:r>
              <w:rPr>
                <w:rStyle w:val="54"/>
                <w:rFonts w:hint="eastAsia" w:ascii="微软雅黑" w:hAnsi="微软雅黑" w:eastAsia="微软雅黑" w:cs="微软雅黑"/>
                <w:sz w:val="24"/>
                <w:szCs w:val="24"/>
                <w:highlight w:val="none"/>
                <w:lang w:val="en-US" w:eastAsia="zh-CN" w:bidi="ar"/>
              </w:rPr>
              <w:t>（仅为木材1/10），跌落冲击吸收率≥90%。</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3.工艺：压缩形变恢复率高。耐温范围：-40℃~130℃（暴晒不软化，严寒不开裂）耐酸碱/耐油/防霉变（通过pH1-14溶液浸泡测试）防水不吸水。</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4.儿童安全：通过玩具安全标准，0甲醛/0重金属，生产能耗比EPS（泡沫塑料）低30%。</w:t>
            </w:r>
            <w:r>
              <w:rPr>
                <w:rStyle w:val="54"/>
                <w:rFonts w:hint="eastAsia" w:ascii="微软雅黑" w:hAnsi="微软雅黑" w:eastAsia="微软雅黑" w:cs="微软雅黑"/>
                <w:sz w:val="24"/>
                <w:szCs w:val="24"/>
                <w:highlight w:val="none"/>
                <w:lang w:val="en-US" w:eastAsia="zh-CN" w:bidi="ar"/>
              </w:rPr>
              <w:br w:type="textWrapping"/>
            </w:r>
            <w:r>
              <w:rPr>
                <w:rStyle w:val="54"/>
                <w:rFonts w:hint="eastAsia" w:ascii="微软雅黑" w:hAnsi="微软雅黑" w:eastAsia="微软雅黑" w:cs="微软雅黑"/>
                <w:sz w:val="24"/>
                <w:szCs w:val="24"/>
                <w:highlight w:val="none"/>
                <w:lang w:val="en-US" w:eastAsia="zh-CN" w:bidi="ar"/>
              </w:rPr>
              <w:t>5.结构规格：标准模块尺寸：30×15×15cm（支持定制异形件）。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6B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467164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5FC49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17C3258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户外遮阳棚伸缩式雨棚</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4B52">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1.展开尺寸：靠墙3m伸缩2m，整体高度：2.1m（可调节±20cm）。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2.支架系统：采用全铝合金加厚伸缩臂（壁厚1.5mm），抗风抗压加粗关节头设计，增强结构稳定性内置1.2mm精钢丝绳+精钢弹簧，伸缩顺滑耐用。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3.篷布材质：加厚奥斯布（Oxford），防水PU涂层UV抗紫外线处理，手动开合，排水设计：篷布两侧导。</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4.抗风能力：6级风（12m/s）稳固不晃动耐候性：-20℃~40℃使用。安装方式：墙面打孔固定（含全套安装配件）。</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5.清洁保养：铝合金支架用清水擦拭即可。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C87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6</w:t>
            </w:r>
          </w:p>
        </w:tc>
        <w:tc>
          <w:tcPr>
            <w:tcW w:w="753" w:type="dxa"/>
            <w:tcBorders>
              <w:top w:val="single" w:color="000000" w:sz="4" w:space="0"/>
              <w:left w:val="single" w:color="000000" w:sz="4" w:space="0"/>
              <w:bottom w:val="single" w:color="000000" w:sz="4" w:space="0"/>
            </w:tcBorders>
            <w:shd w:val="clear" w:color="auto" w:fill="auto"/>
            <w:vAlign w:val="center"/>
          </w:tcPr>
          <w:p w14:paraId="5656152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2C85B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2E54770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户外涂鸦系统</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F08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涂鸦墙采用瓷砖墙面，表面使用环保涂鸦漆，具有良好的耐候性、耐水性和耐擦洗性，无毒无味，符合国家环保标准。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水槽材质：采用不锈钢材质，具有耐腐蚀性、易清洁的特点。水槽边缘采用圆角设计，防止幼儿磕碰。工艺：通过焊接或一体成型工艺制作，焊接处光滑平整，无裂缝和渗漏。表面进行抛光处理，使其外观美观，且不易残留污垢。                                                     接水管喷淋材质：水管采用PPR管，具有耐腐蚀、耐高压、无毒卫生的特点。喷头选用塑料或不锈钢材质，具有良好的耐磨性和耐堵塞性。工艺：PPR管采用热熔连接，确保连接处牢固无渗漏。喷头安装在水管上，通过螺纹或卡扣连接，安装牢固。技术参数：PPR管的公称压力不小于1.6MPa，管径根据喷淋范围和水量需求确定，一般为DN20 - DN40。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919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6</w:t>
            </w:r>
          </w:p>
        </w:tc>
        <w:tc>
          <w:tcPr>
            <w:tcW w:w="753" w:type="dxa"/>
            <w:tcBorders>
              <w:top w:val="single" w:color="000000" w:sz="4" w:space="0"/>
              <w:left w:val="single" w:color="000000" w:sz="4" w:space="0"/>
              <w:bottom w:val="single" w:color="000000" w:sz="4" w:space="0"/>
            </w:tcBorders>
            <w:shd w:val="clear" w:color="auto" w:fill="auto"/>
            <w:vAlign w:val="center"/>
          </w:tcPr>
          <w:p w14:paraId="283FE90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0B2D1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319" w:hRule="atLeast"/>
        </w:trPr>
        <w:tc>
          <w:tcPr>
            <w:tcW w:w="1481" w:type="dxa"/>
            <w:tcBorders>
              <w:top w:val="single" w:color="000000" w:sz="4" w:space="0"/>
              <w:bottom w:val="single" w:color="000000" w:sz="4" w:space="0"/>
              <w:right w:val="single" w:color="000000" w:sz="4" w:space="0"/>
            </w:tcBorders>
            <w:shd w:val="clear" w:color="auto" w:fill="auto"/>
            <w:vAlign w:val="center"/>
          </w:tcPr>
          <w:p w14:paraId="532872E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76F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2.尺寸：整体1*0.55*1.2m。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69C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46E940F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6BBC4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1481" w:type="dxa"/>
            <w:tcBorders>
              <w:top w:val="single" w:color="000000" w:sz="4" w:space="0"/>
              <w:bottom w:val="single" w:color="000000" w:sz="4" w:space="0"/>
              <w:right w:val="single" w:color="000000" w:sz="4" w:space="0"/>
            </w:tcBorders>
            <w:shd w:val="clear" w:color="auto" w:fill="auto"/>
            <w:vAlign w:val="center"/>
          </w:tcPr>
          <w:p w14:paraId="38C0E37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15米双层攀爬架</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7米四平台功能攀爬架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A0D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1.进口原木：精选优质进口原木，确保材质坚固耐用，纹理美观，环保无异味。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2.立柱规格：10cm*10cm，采用大尺寸立柱设计，增强滑梯的稳定性和承重能力。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4.工艺处理：打磨修边：所有材料均经过精细打磨和修边处理，确保表面光滑无毛刺，避免儿童在使用过程中受伤。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5.爬网材料：采用32mm直径的镀锌钢管，壁厚2mm，坚固耐用，耐腐蚀性强，确保爬网的安全性和稳定性。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6.网绳材料：采用12mm直径的高强度钢丝绳，单股设计，确保网绳的牢固性和安全性，防止儿童在攀爬过程中发生意外。</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B3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0E4AA18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75A48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928" w:hRule="atLeast"/>
        </w:trPr>
        <w:tc>
          <w:tcPr>
            <w:tcW w:w="1481" w:type="dxa"/>
            <w:tcBorders>
              <w:top w:val="single" w:color="000000" w:sz="4" w:space="0"/>
              <w:bottom w:val="single" w:color="000000" w:sz="4" w:space="0"/>
              <w:right w:val="single" w:color="000000" w:sz="4" w:space="0"/>
            </w:tcBorders>
            <w:shd w:val="clear" w:color="auto" w:fill="auto"/>
            <w:vAlign w:val="center"/>
          </w:tcPr>
          <w:p w14:paraId="54D31959">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荡桥</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595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1.进口原木：精选优质进口原木，确保材质坚固耐用，纹理美观，环保无异味。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2.规格：180*130*80cm，10cm*10cm，采用大尺寸立柱设计，增强滑梯的稳定性和承重能力。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4.工艺处理：打磨修边：所有材料均经过精细打磨和修边处理，确保表面光滑无毛刺，避免儿童在使用过程中受伤。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5.网绳材料：采用12mm直径的高强度钢丝绳，单股设计，确保网绳的牢固性和安全性，防止儿童在攀爬过程中发生意外。</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2A3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60A09D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3A0F0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1481" w:type="dxa"/>
            <w:tcBorders>
              <w:top w:val="single" w:color="000000" w:sz="4" w:space="0"/>
              <w:bottom w:val="single" w:color="000000" w:sz="4" w:space="0"/>
              <w:right w:val="single" w:color="000000" w:sz="4" w:space="0"/>
            </w:tcBorders>
            <w:shd w:val="clear" w:color="auto" w:fill="auto"/>
            <w:vAlign w:val="center"/>
          </w:tcPr>
          <w:p w14:paraId="4AD2D6A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双面攀爬架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6F49">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1.原木：精选进口原木，具有天然的纹理和色泽，同时保证结构的稳定性和耐用性。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2.规格：120*150*200cm，10cm*10cm，确保整体结构的牢固和安全性。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3.平台板厚度：25mm，提供稳固的支撑平台，适合儿童攀爬和行走。</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4.环保塑料：部分配件采用环保塑料材质，无毒无害，保障儿童健康。</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5.工艺处理：打磨修边：所有木材边缘均经过精细打磨和修边处理，确保表面光滑，防止刮伤。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6.爬网：采用32mm直径、2mm壁厚的镀锌钢管，提供额外的安全保障。</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7.网绳：使用12mm直径的高强度钢丝绳，确保网面的牢固和耐用性。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8.表面处理：油漆工艺：成品油油漆工艺，确保涂层均匀、色泽饱满，增强产品的美观度和耐久性。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9.水清漆：采用二底二面的水清漆工艺，环保无毒，保护儿童健康，同时提供良好的防腐性能。</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10.维护保养：定期检查连接部件的紧固性，清洁表面，避免使用腐蚀性清洁剂。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DDE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774073F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69B35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2E60923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单面攀爬架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226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1.原木：精选优质原木，确保材质坚固耐用，纹理美观，环保无异味。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2.立柱规格：10cm*10cm，采用大尺寸立柱设计，增强滑梯的稳定性和承重能力。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4.工艺处理：打磨修边：所有材料均经过精细打磨和修边处理，确保表面光滑无毛刺，避免儿童在使用过程中受伤。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F61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736350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2022A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91" w:hRule="atLeast"/>
        </w:trPr>
        <w:tc>
          <w:tcPr>
            <w:tcW w:w="1481" w:type="dxa"/>
            <w:tcBorders>
              <w:top w:val="single" w:color="000000" w:sz="4" w:space="0"/>
              <w:bottom w:val="single" w:color="000000" w:sz="4" w:space="0"/>
              <w:right w:val="single" w:color="000000" w:sz="4" w:space="0"/>
            </w:tcBorders>
            <w:shd w:val="clear" w:color="auto" w:fill="auto"/>
            <w:vAlign w:val="center"/>
          </w:tcPr>
          <w:p w14:paraId="3CDBDF29">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山型攀爬架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FB4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1.原木：精选优质原木，确保材质坚固耐用，纹理美观，环保无异味。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2.规格：460*100*100cm，10cm*10cm，采用大尺寸立柱设计，增强滑梯的稳定性和承重能力。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4.工艺处理：打磨修边：所有材料均经过精细打磨和修边处理，确保表面光滑无毛刺，避免儿童在使用过程中受伤。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A7D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5B9D837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4AEBA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078" w:hRule="atLeast"/>
        </w:trPr>
        <w:tc>
          <w:tcPr>
            <w:tcW w:w="1481" w:type="dxa"/>
            <w:tcBorders>
              <w:top w:val="single" w:color="000000" w:sz="4" w:space="0"/>
              <w:bottom w:val="single" w:color="000000" w:sz="4" w:space="0"/>
              <w:right w:val="single" w:color="000000" w:sz="4" w:space="0"/>
            </w:tcBorders>
            <w:shd w:val="clear" w:color="auto" w:fill="auto"/>
            <w:vAlign w:val="center"/>
          </w:tcPr>
          <w:p w14:paraId="1E59AF9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吊桥</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6F7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1.进口原木：精选优质进口原木，确保材质坚固耐用，纹理美观，环保无异味。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2.规格：280*130*80cm，10cm*10cm，采用大尺寸立柱设计，增强滑梯的稳定性和承重能力。</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3.平台板厚度：25mm，厚实的平台板设计，确保儿童在使用过程中的安全和舒适。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工艺处理：</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4.打磨修边：所有材料均经过精细打磨和修边处理，确保表面光滑无毛刺，避免儿童在使用过程中受伤。</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5.网绳材料：采用12mm直径的高强度钢丝绳，单股设计，确保网绳的牢固性和安全性，防止儿童在攀爬过程中发生意外。</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6.表面处理：成品油漆工艺：采用高品质成品油油漆工艺，确保表面光滑、色泽均匀，提升产品的美观度和耐用性。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7.水清漆工艺：采用二底二面的水清漆工艺，确保涂层均匀，环保无污染，保护儿童健康。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12B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0749726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75F7E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81" w:hRule="atLeast"/>
        </w:trPr>
        <w:tc>
          <w:tcPr>
            <w:tcW w:w="1481" w:type="dxa"/>
            <w:tcBorders>
              <w:top w:val="single" w:color="000000" w:sz="4" w:space="0"/>
              <w:bottom w:val="single" w:color="000000" w:sz="4" w:space="0"/>
              <w:right w:val="single" w:color="000000" w:sz="4" w:space="0"/>
            </w:tcBorders>
            <w:shd w:val="clear" w:color="auto" w:fill="auto"/>
            <w:vAlign w:val="center"/>
          </w:tcPr>
          <w:p w14:paraId="0B1469A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A23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1.优良木质原料。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8B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16D54E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1D83C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481" w:type="dxa"/>
            <w:tcBorders>
              <w:top w:val="single" w:color="000000" w:sz="4" w:space="0"/>
              <w:bottom w:val="single" w:color="000000" w:sz="4" w:space="0"/>
              <w:right w:val="single" w:color="000000" w:sz="4" w:space="0"/>
            </w:tcBorders>
            <w:shd w:val="clear" w:color="auto" w:fill="auto"/>
            <w:vAlign w:val="center"/>
          </w:tcPr>
          <w:p w14:paraId="0BD245A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4AA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2.尺寸：整体1*0.55*1.2m。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32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3F34862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131B7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1481" w:type="dxa"/>
            <w:tcBorders>
              <w:top w:val="single" w:color="000000" w:sz="4" w:space="0"/>
              <w:bottom w:val="single" w:color="000000" w:sz="4" w:space="0"/>
              <w:right w:val="single" w:color="000000" w:sz="4" w:space="0"/>
            </w:tcBorders>
            <w:shd w:val="clear" w:color="auto" w:fill="auto"/>
            <w:vAlign w:val="center"/>
          </w:tcPr>
          <w:p w14:paraId="3966EF0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004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1.挖沙工具20套（40个一体式铲子，20个桶，大号天枰2套含不锈钢桶两个，大号筛网2个，4个城堡桶，双轮转沙2套，手摇筛沙台2套，加厚沙滩玩具15件套6套）。</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2.沙子2立方米。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AE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20FB00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44F85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481" w:type="dxa"/>
            <w:tcBorders>
              <w:top w:val="single" w:color="000000" w:sz="4" w:space="0"/>
              <w:bottom w:val="single" w:color="000000" w:sz="4" w:space="0"/>
              <w:right w:val="single" w:color="000000" w:sz="4" w:space="0"/>
            </w:tcBorders>
            <w:shd w:val="clear" w:color="auto" w:fill="auto"/>
            <w:vAlign w:val="center"/>
          </w:tcPr>
          <w:p w14:paraId="4E03EAA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ED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1.优良木质原料。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84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1D31CE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393F1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1481" w:type="dxa"/>
            <w:tcBorders>
              <w:top w:val="single" w:color="000000" w:sz="4" w:space="0"/>
              <w:bottom w:val="single" w:color="000000" w:sz="4" w:space="0"/>
              <w:right w:val="single" w:color="000000" w:sz="4" w:space="0"/>
            </w:tcBorders>
            <w:shd w:val="clear" w:color="auto" w:fill="auto"/>
            <w:vAlign w:val="center"/>
          </w:tcPr>
          <w:p w14:paraId="39B4D84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91C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2.尺寸：整体1.2*2m，3层，每层5个。</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12A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3FE9930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29152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21DA9547">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425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1.连体背带雨裤雨鞋40套：防滑耐磨肩带防滑扣，可调节，拉链式口袋，弹力收腰。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2.挖泥工具20套（40个铲子，20个桶）。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894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03C3E90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6F5F5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1" w:hRule="atLeast"/>
        </w:trPr>
        <w:tc>
          <w:tcPr>
            <w:tcW w:w="1481" w:type="dxa"/>
            <w:tcBorders>
              <w:top w:val="single" w:color="000000" w:sz="4" w:space="0"/>
              <w:bottom w:val="nil"/>
              <w:right w:val="single" w:color="000000" w:sz="4" w:space="0"/>
            </w:tcBorders>
            <w:shd w:val="clear" w:color="auto" w:fill="auto"/>
            <w:vAlign w:val="center"/>
          </w:tcPr>
          <w:p w14:paraId="78A9386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多功能展示架</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47D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1.产品材质：优良木质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2.尺寸400*50*230cm一组，300*50*230cm一组。立柱20cm。储物空间4层带柜门。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3.工艺处理：表面处理采用环保漆进行涂装，通过具体环保认证标准，无毒无味，无甲醛等有害物质释放。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173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4290098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05FCB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41" w:hRule="atLeast"/>
        </w:trPr>
        <w:tc>
          <w:tcPr>
            <w:tcW w:w="1481" w:type="dxa"/>
            <w:tcBorders>
              <w:top w:val="single" w:color="000000" w:sz="4" w:space="0"/>
              <w:bottom w:val="single" w:color="000000" w:sz="4" w:space="0"/>
              <w:right w:val="single" w:color="000000" w:sz="4" w:space="0"/>
            </w:tcBorders>
            <w:shd w:val="clear" w:color="auto" w:fill="auto"/>
            <w:vAlign w:val="center"/>
          </w:tcPr>
          <w:p w14:paraId="64B425E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桌椅</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685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1.产品规格：桌子：整体尺寸长230cm、宽100cm、高50cm。凳子：凳面直径35cm，一套含6个凳子。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2.材质标准：选用木质基材，木质坚硬、纹理清晰，具有良好的承重性与耐用性。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3.工艺处理：表面处理采用环保漆进行涂装，通过无毒无味，无甲醛等有害物质释放。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C1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24A21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01E8E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4" w:hRule="atLeast"/>
        </w:trPr>
        <w:tc>
          <w:tcPr>
            <w:tcW w:w="1481" w:type="dxa"/>
            <w:tcBorders>
              <w:top w:val="single" w:color="000000" w:sz="4" w:space="0"/>
              <w:bottom w:val="single" w:color="000000" w:sz="4" w:space="0"/>
              <w:right w:val="single" w:color="000000" w:sz="4" w:space="0"/>
            </w:tcBorders>
            <w:shd w:val="clear" w:color="auto" w:fill="auto"/>
            <w:vAlign w:val="center"/>
          </w:tcPr>
          <w:p w14:paraId="3017186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60F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1.优良木质原料。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B5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07ED871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4D94B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481" w:type="dxa"/>
            <w:tcBorders>
              <w:top w:val="single" w:color="000000" w:sz="4" w:space="0"/>
              <w:bottom w:val="single" w:color="000000" w:sz="4" w:space="0"/>
              <w:right w:val="single" w:color="000000" w:sz="4" w:space="0"/>
            </w:tcBorders>
            <w:shd w:val="clear" w:color="auto" w:fill="auto"/>
            <w:vAlign w:val="center"/>
          </w:tcPr>
          <w:p w14:paraId="7785435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51A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2.尺寸：整体100*55*120cm。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5F1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7D51F2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5BF08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28E361A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C6D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1.手套40套（每套配置：涤纶、乳胶浸胶材质，尺码总长20cm，指长6cm，掌宽7cm。弹力袖口，加厚乳胶发泡掌面）。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2.护目镜40套（每套配置：pc材质，约50g，长170*60mm，防风防飞溅，双层REVO镀膜，防紫外线，防雪盲，双层防雾镜面，大柱面，高清镜片，镜框设有透气孔）。</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木工工具套装2套（每套配置：1.儿童角尺1把。2.儿童手锯1把。3.儿童木工刨1个。4.皮尺1个。5.儿童安全帽1个。6.三样装水平尺划线器1个。7.桌虎钳1个。8.羊角锤1把。9.橡皮胶安装锤1把。10.30cm拉花锯1个。11.工具刀1把。12.螺丝刀1把。13.打磨工具1套。14.65铁合页。15.螺丝钉1盒。16.木片随机6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223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059BAAD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70095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19" w:hRule="atLeast"/>
        </w:trPr>
        <w:tc>
          <w:tcPr>
            <w:tcW w:w="1481" w:type="dxa"/>
            <w:tcBorders>
              <w:top w:val="single" w:color="000000" w:sz="4" w:space="0"/>
              <w:bottom w:val="single" w:color="000000" w:sz="4" w:space="0"/>
              <w:right w:val="single" w:color="000000" w:sz="4" w:space="0"/>
            </w:tcBorders>
            <w:shd w:val="clear" w:color="auto" w:fill="auto"/>
            <w:vAlign w:val="center"/>
          </w:tcPr>
          <w:p w14:paraId="2AC5C73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造型房子-多功能小屋</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5D1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1.每组整体尺寸：2*2*2m。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2.材料：木质，边缘抛圆处理，外表面和内表面以及儿童手指可触</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及的隐蔽处，均不得有锐利的棱角、毛刺以及小五金部件露出的锐利</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尖锐。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3.油漆：环保型全亮光聚酯面漆，产品所有可长期置于室外，防锈、</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防腐，无尖锐点，安全可玩性高。</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4.螺丝需采用子母螺丝，螺母需采用防松螺母，不锈钢膨胀螺丝。</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95F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220C9E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0E987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1BFE330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桌椅</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5B9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1.产品规格：桌子：整体尺寸长230cm、宽100cm、高50cm。凳子：凳面直径35cm，一套含6个凳子。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2.材质标准：选用木质基材，木质坚硬、纹理清晰，具有良好的承重性与耐用性。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3.工艺处理：表面处理采用环保漆进行涂装，通过无毒无味，无甲醛等有害物质释放。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53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953F0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6A189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481" w:type="dxa"/>
            <w:tcBorders>
              <w:top w:val="single" w:color="000000" w:sz="4" w:space="0"/>
              <w:bottom w:val="single" w:color="000000" w:sz="4" w:space="0"/>
              <w:right w:val="single" w:color="000000" w:sz="4" w:space="0"/>
            </w:tcBorders>
            <w:shd w:val="clear" w:color="auto" w:fill="auto"/>
            <w:vAlign w:val="center"/>
          </w:tcPr>
          <w:p w14:paraId="1AFB79D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4D1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1.产品材质：优质加厚木质板材，0.2cm厚带门。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2.尺寸：整体100*55*120cm。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842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590A6E0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01169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1481" w:type="dxa"/>
            <w:tcBorders>
              <w:top w:val="single" w:color="000000" w:sz="4" w:space="0"/>
              <w:bottom w:val="single" w:color="000000" w:sz="4" w:space="0"/>
              <w:right w:val="single" w:color="000000" w:sz="4" w:space="0"/>
            </w:tcBorders>
            <w:shd w:val="clear" w:color="auto" w:fill="auto"/>
            <w:vAlign w:val="center"/>
          </w:tcPr>
          <w:p w14:paraId="571C6DC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AD3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1.手套40副（涤纶、乳胶浸胶材质，尺码总长20cm，指长6cm，掌宽7cm。弹力袖口，加厚乳胶发泡掌面）。</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 xml:space="preserve">2.织布机3套（超大号多功能织布机，尺寸285*260*320mm，优质槐木环保，带防滑垫，三只梭子）。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3.扎染套盒40套（每套配置：15色套盒，染料15个，滴管15个，围裙15个，弹珠44个，皮筋150根，竹夹子40个，固色剂3瓶，造型板3个，雪糕棒4根，密封袋15个，扎染线3卷）。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524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1F3628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31066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481" w:type="dxa"/>
            <w:tcBorders>
              <w:top w:val="single" w:color="000000" w:sz="4" w:space="0"/>
              <w:bottom w:val="single" w:color="000000" w:sz="4" w:space="0"/>
              <w:right w:val="single" w:color="000000" w:sz="4" w:space="0"/>
            </w:tcBorders>
            <w:shd w:val="clear" w:color="auto" w:fill="auto"/>
            <w:vAlign w:val="center"/>
          </w:tcPr>
          <w:p w14:paraId="50130E6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0422">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1.优良木质原料。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B25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362082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3B555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51" w:hRule="atLeast"/>
        </w:trPr>
        <w:tc>
          <w:tcPr>
            <w:tcW w:w="1481" w:type="dxa"/>
            <w:tcBorders>
              <w:top w:val="single" w:color="000000" w:sz="4" w:space="0"/>
              <w:bottom w:val="single" w:color="000000" w:sz="4" w:space="0"/>
              <w:right w:val="single" w:color="000000" w:sz="4" w:space="0"/>
            </w:tcBorders>
            <w:shd w:val="clear" w:color="auto" w:fill="auto"/>
            <w:vAlign w:val="center"/>
          </w:tcPr>
          <w:p w14:paraId="24D6565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百变云梯-多功能攀爬组合</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78D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1.总长度：11米（两侧各3.5m+ 中间4m）宽度：1.5m高度：两侧2.5m，中间3m（拱形设计）。</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2.材质：主框架：Φ89mm加厚镀锌钢管（壁厚2.5mm），高温烤漆处理，防锈耐候；连接件：精铸钢节点，防松动螺栓固定。</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运动组件配置标准挂件套装（44件）/大型攀爬盘（直径60cm）：4个/尼龙编织爬绳（直径3cm）：8条软质吊球（直径40cm）：2个/彩色塑料踏板梯：4套/糖葫芦攀爬杆：4组/弧形弯板秋千：2套树脂圆吊环（直径15cm）：20个。</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3.附加组件：防滑走板：2套（宽30cm，PE材质）可扩展配件接口（支持后期增配）</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安全设计：全圆角处理，无锐利边缘，关键承重部位双螺母防松。动态载荷≥100kg（符合EN1176标准）。</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4.表面处理：三层防腐工艺（镀锌+底漆+户外粉末涂层）。</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5.安装方式：预埋式安装（混凝土基础深度≥40cm）含地脚螺栓及安装定位。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A07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6C4CD06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36186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9" w:hRule="atLeast"/>
        </w:trPr>
        <w:tc>
          <w:tcPr>
            <w:tcW w:w="1481" w:type="dxa"/>
            <w:tcBorders>
              <w:top w:val="single" w:color="000000" w:sz="4" w:space="0"/>
              <w:bottom w:val="single" w:color="000000" w:sz="4" w:space="0"/>
              <w:right w:val="single" w:color="000000" w:sz="4" w:space="0"/>
            </w:tcBorders>
            <w:shd w:val="clear" w:color="auto" w:fill="auto"/>
            <w:vAlign w:val="center"/>
          </w:tcPr>
          <w:p w14:paraId="323860D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饲养笼</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127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1.规格155*120*135cm2组。规格1.8*0.78*0.53cm 1组。</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3.材料：实木材质，立柱10*10cm，边缘抛圆处理，外表面和内表面以及儿童手指可触</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及的隐蔽处，均不得有锐利的棱角、毛刺以及小五金部件露出的锐利</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尖锐。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4.油漆：环保型全亮光聚酯面漆，产品所有可长期置于室外，防锈、</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防腐，无尖锐点，安全可玩性高。</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5.螺丝需采用子母螺丝，螺母需采用防松螺母，不锈钢膨胀螺丝。</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6.防护采用钢丝网，一体成型，无外漏，防护性高。</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7.主屋和网笼底部都带漏粪网盘和接粪盘。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C0D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17AC39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253E5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61" w:hRule="atLeast"/>
        </w:trPr>
        <w:tc>
          <w:tcPr>
            <w:tcW w:w="1481" w:type="dxa"/>
            <w:tcBorders>
              <w:top w:val="single" w:color="000000" w:sz="4" w:space="0"/>
              <w:bottom w:val="single" w:color="000000" w:sz="4" w:space="0"/>
              <w:right w:val="single" w:color="000000" w:sz="4" w:space="0"/>
            </w:tcBorders>
            <w:shd w:val="clear" w:color="auto" w:fill="auto"/>
            <w:vAlign w:val="center"/>
          </w:tcPr>
          <w:p w14:paraId="1D4661E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茅草门</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832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1.基础材质：加厚优良木质框架，直埋式安装,上覆茅草原料。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2.规格尺寸：2.1m高*1.5m宽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87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1C846B3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084FB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481" w:type="dxa"/>
            <w:tcBorders>
              <w:top w:val="single" w:color="000000" w:sz="4" w:space="0"/>
              <w:bottom w:val="single" w:color="000000" w:sz="4" w:space="0"/>
              <w:right w:val="single" w:color="000000" w:sz="4" w:space="0"/>
            </w:tcBorders>
            <w:shd w:val="clear" w:color="auto" w:fill="auto"/>
            <w:vAlign w:val="center"/>
          </w:tcPr>
          <w:p w14:paraId="7FDF57A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桌椅</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99E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1.产品规格：桌子：整体尺寸长230cm、宽100cm、高50cm。凳子：凳面直径35cm，一套含6个凳子。</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2.材质标准：选用木质基材，木质坚硬、纹理清晰，具有良好的承重性与耐用性。</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3.工艺处理：表面处理采用环保漆进行涂装，通过无毒无味，无甲醛等有害物质释放。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961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1E3CC3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1C4B9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3" w:hRule="atLeast"/>
        </w:trPr>
        <w:tc>
          <w:tcPr>
            <w:tcW w:w="1481" w:type="dxa"/>
            <w:tcBorders>
              <w:top w:val="single" w:color="000000" w:sz="4" w:space="0"/>
              <w:bottom w:val="single" w:color="000000" w:sz="4" w:space="0"/>
              <w:right w:val="single" w:color="000000" w:sz="4" w:space="0"/>
            </w:tcBorders>
            <w:shd w:val="clear" w:color="auto" w:fill="auto"/>
            <w:vAlign w:val="center"/>
          </w:tcPr>
          <w:p w14:paraId="44DF6CD2">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小厨房灶台含棚</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71D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灶台主体水泥砖：采用强度等级为MU7.5的蒸压灰砂砖或混凝土实心砖，具有良好的抗压性与耐久性。水泥：选用强度等级≥32.5的普通硅酸盐水泥，搭配中砂，确保砌筑砂浆强度与稳定性。钢筋：灶台台面及关键承重部位内置直径6-8mm的HRB400级钢筋，增强结构抗裂性。饰面材料：灶台表面涂抹1:2.5水泥砂浆找平，外覆无毒环保的儿童专用防水漆或釉面瓷砖（圆角处理），便于清洁且防油污渗透。</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基础施工：地面平整压实后浇筑10-15cm厚C20混凝土垫层，确保灶台稳固。砌筑工艺：采用“三一砌筑法”（一铲灰、一块砖、一挤揉），灰缝宽度控制在8-12mm，横竖缝饱满度≥90%，每砌筑50cm高度设置2根直径6mm的拉结筋。台面处理：浇筑8-10cm厚C25混凝土台面，内置钢筋网片，表面收光抹平，预留直径比铁锅大5-8cm的圆形凹槽。</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3.灶台高度：60-65cm（适配儿童身高，便于安全操作。灶台尺寸：长×宽约120cm×60cm，单灶眼直径30-35cm，双灶眼间距40cm。承重标准：台面承重≥200kg/㎡，防火等级：A1级不燃材料。</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铁锅：锅体：选用304食品级不锈钢或生铁锅（内壁无涂层），确保无毒无害，耐腐蚀性强。手柄：采用耐高温硅胶或木质材料，表面光滑无毛刺，防烫防滑。锅体加工：一体冲压成型或无缝焊接工艺，确保无漏点，内壁打磨光滑无锐角，手柄安装：通过铆钉或螺丝牢固固定，承重测试≥10kg。直径：28-32cm（适配灶台凹槽，便于幼儿双手操作）深度：8-10cm（防止液体外溅）。壁厚：不锈钢≥1.2mm；生铁≥3mm，安全标准：符合GB 4806.9《食品安全国家标准 食品接触用金属材料及制品》</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配套安全设施：防火隔热层：灶台底部及侧面铺设5cm厚岩棉板，外层包裹镀锌铁皮，防火等级A1级。防烫围栏：灶台边缘加装高度10-15cm的圆角不锈钢防护栏，防止幼儿误触高温区域。排水系统：灶台下方预留排水口，连接PVC排水管，坡度≥2%，确保废水顺畅排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3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33FBA07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1B845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21" w:hRule="atLeast"/>
        </w:trPr>
        <w:tc>
          <w:tcPr>
            <w:tcW w:w="1481" w:type="dxa"/>
            <w:tcBorders>
              <w:top w:val="single" w:color="000000" w:sz="4" w:space="0"/>
              <w:bottom w:val="single" w:color="000000" w:sz="4" w:space="0"/>
              <w:right w:val="single" w:color="000000" w:sz="4" w:space="0"/>
            </w:tcBorders>
            <w:shd w:val="clear" w:color="auto" w:fill="auto"/>
            <w:vAlign w:val="center"/>
          </w:tcPr>
          <w:p w14:paraId="7FE9E22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蘑菇茅草伞</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0C0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1.主体材质：加厚优良木质。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2.茅草伞，撑开2.5m。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3.立柱2*2m。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4.围边0.6*0.85m。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5.龙骨0.5*0.09。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6.盖板梁0.5*0.9。</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7.望板0.15。</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8.撑条0.5*0.5。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AF7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126DF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1E40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1481" w:type="dxa"/>
            <w:tcBorders>
              <w:top w:val="nil"/>
              <w:bottom w:val="single" w:color="000000" w:sz="4" w:space="0"/>
              <w:right w:val="single" w:color="000000" w:sz="4" w:space="0"/>
            </w:tcBorders>
            <w:shd w:val="clear" w:color="auto" w:fill="auto"/>
            <w:vAlign w:val="center"/>
          </w:tcPr>
          <w:p w14:paraId="5EF7B3A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厨房投放材料</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94A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1.灶台铲盆：10套 。 </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2.儿童菜板菜刀厨具10套。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649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646DA64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套</w:t>
            </w:r>
          </w:p>
        </w:tc>
      </w:tr>
      <w:tr w14:paraId="68D9F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81" w:hRule="atLeast"/>
        </w:trPr>
        <w:tc>
          <w:tcPr>
            <w:tcW w:w="1481" w:type="dxa"/>
            <w:tcBorders>
              <w:top w:val="nil"/>
              <w:bottom w:val="single" w:color="000000" w:sz="4" w:space="0"/>
              <w:right w:val="single" w:color="000000" w:sz="4" w:space="0"/>
            </w:tcBorders>
            <w:shd w:val="clear" w:color="auto" w:fill="auto"/>
            <w:vAlign w:val="center"/>
          </w:tcPr>
          <w:p w14:paraId="45742DC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带门储物柜</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93C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1.产品材质：优质加厚木质板材，2cm厚带门。</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2.尺寸：整体100*55*120cm。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3.工艺处理：表面处理采用环保漆进行涂装，无毒无味，无甲醛等有害物质释放。</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4.户外防护：经过特殊防水、防紫外线处理工艺，具备优异的防雨、防爆晒性能。能在户外环境中长时间使用，有效抵御雨水侵蚀与阳光暴晒，不易开裂、褪色。</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5.所有边角均进行圆润打磨处理，无尖锐棱角，避免幼儿磕碰受伤。稳固结构设计。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3B9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w:t>
            </w:r>
          </w:p>
        </w:tc>
        <w:tc>
          <w:tcPr>
            <w:tcW w:w="753" w:type="dxa"/>
            <w:tcBorders>
              <w:top w:val="single" w:color="000000" w:sz="4" w:space="0"/>
              <w:left w:val="single" w:color="000000" w:sz="4" w:space="0"/>
              <w:bottom w:val="single" w:color="000000" w:sz="4" w:space="0"/>
            </w:tcBorders>
            <w:shd w:val="clear" w:color="auto" w:fill="auto"/>
            <w:vAlign w:val="center"/>
          </w:tcPr>
          <w:p w14:paraId="4E5E102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组</w:t>
            </w:r>
          </w:p>
        </w:tc>
      </w:tr>
      <w:tr w14:paraId="44AA4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481" w:type="dxa"/>
            <w:tcBorders>
              <w:top w:val="single" w:color="000000" w:sz="4" w:space="0"/>
              <w:bottom w:val="single" w:color="000000" w:sz="4" w:space="0"/>
              <w:right w:val="single" w:color="000000" w:sz="4" w:space="0"/>
            </w:tcBorders>
            <w:shd w:val="clear" w:color="auto" w:fill="auto"/>
            <w:vAlign w:val="center"/>
          </w:tcPr>
          <w:p w14:paraId="7939044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大厅：消防门</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5FA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1.尺寸：2.26*5.4m。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2.材质：防火氟碳型材门，氟碳漆喷涂铝合金型材，钢化防爆玻璃，专业专用五金配件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A72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w:t>
            </w:r>
          </w:p>
        </w:tc>
        <w:tc>
          <w:tcPr>
            <w:tcW w:w="753" w:type="dxa"/>
            <w:tcBorders>
              <w:top w:val="single" w:color="000000" w:sz="4" w:space="0"/>
              <w:left w:val="single" w:color="000000" w:sz="4" w:space="0"/>
              <w:bottom w:val="single" w:color="000000" w:sz="4" w:space="0"/>
            </w:tcBorders>
            <w:shd w:val="clear" w:color="auto" w:fill="auto"/>
            <w:vAlign w:val="center"/>
          </w:tcPr>
          <w:p w14:paraId="7D3E3BC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项</w:t>
            </w:r>
          </w:p>
        </w:tc>
      </w:tr>
      <w:tr w14:paraId="53493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1481" w:type="dxa"/>
            <w:tcBorders>
              <w:top w:val="single" w:color="000000" w:sz="4" w:space="0"/>
              <w:bottom w:val="single" w:color="000000" w:sz="4" w:space="0"/>
              <w:right w:val="single" w:color="000000" w:sz="4" w:space="0"/>
            </w:tcBorders>
            <w:shd w:val="clear" w:color="auto" w:fill="auto"/>
            <w:vAlign w:val="center"/>
          </w:tcPr>
          <w:p w14:paraId="3C587B4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大厅：横屏</w:t>
            </w:r>
          </w:p>
        </w:tc>
        <w:tc>
          <w:tcPr>
            <w:tcW w:w="5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169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1.尺寸：6*0.5m。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单色红色条形屏，模组：采用SMD2121等贴片式灯珠，具有发光均匀、亮度高、视角广等特点。单元板尺寸304×152mm，通过拼接组成完整屏体。边框：铝合金边框，质轻、耐腐蚀。线路板：采用优质的PCB板，具有良好的导电性、绝缘性和稳定性，确保信号传输稳定，减少线路故障。像素点间距：P4.75，像素密度为44321点/㎡，1200cd/m²，可根据室内光线环境进行调节，既能保证显示清晰，又不会造成光污染。可视角度：水平可视角度可达140°-160°，垂直可视角度可达130°-160°，能保证在较大范围内清晰观看。灰度等级：16bit，可显示丰富的色彩层次，使文字和图像显示更加平滑。刷新频率：大于1920Hz，高刷新频率可有效减少画面闪烁，提高视觉体验。</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安装方式：挂装：适用于重量较轻、面积较小的显示屏。如果屏体总重量小于50kg，可直接挂在承重墙上，无需留维修空间；若重量大于50kg，屏体高度和宽度均大于1200mm，可采用旋转支架挂装，安装在承重墙上，通过屏体旋转解决维修空间问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47E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bottom w:val="single" w:color="000000" w:sz="4" w:space="0"/>
            </w:tcBorders>
            <w:shd w:val="clear" w:color="auto" w:fill="auto"/>
            <w:vAlign w:val="center"/>
          </w:tcPr>
          <w:p w14:paraId="528AB23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平方米</w:t>
            </w:r>
          </w:p>
        </w:tc>
      </w:tr>
      <w:tr w14:paraId="6DC83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1481" w:type="dxa"/>
            <w:tcBorders>
              <w:top w:val="single" w:color="000000" w:sz="4" w:space="0"/>
              <w:right w:val="single" w:color="000000" w:sz="4" w:space="0"/>
            </w:tcBorders>
            <w:shd w:val="clear" w:color="auto" w:fill="auto"/>
            <w:vAlign w:val="center"/>
          </w:tcPr>
          <w:p w14:paraId="38B0752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大厅：文化空间打造提升</w:t>
            </w:r>
          </w:p>
        </w:tc>
        <w:tc>
          <w:tcPr>
            <w:tcW w:w="5742" w:type="dxa"/>
            <w:tcBorders>
              <w:top w:val="single" w:color="000000" w:sz="4" w:space="0"/>
              <w:left w:val="single" w:color="000000" w:sz="4" w:space="0"/>
              <w:right w:val="single" w:color="000000" w:sz="4" w:space="0"/>
            </w:tcBorders>
            <w:shd w:val="clear" w:color="auto" w:fill="auto"/>
            <w:vAlign w:val="center"/>
          </w:tcPr>
          <w:p w14:paraId="6AC6551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1.尺寸：4.6*2.92m  7.82*2.92m  4.63*2.92m。</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2.材质：主体材质：10mmpvc+2mm亚克力uv，标题大字造型单层亚克力凸出，其他装饰造型pvcuv。</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3.造型材料允许拼接，6色油墨喷涂高清画质无晕染，板材一体切割无毛边。</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4.安装方式：环保结构胶粘贴。</w:t>
            </w:r>
          </w:p>
        </w:tc>
        <w:tc>
          <w:tcPr>
            <w:tcW w:w="720" w:type="dxa"/>
            <w:tcBorders>
              <w:top w:val="single" w:color="000000" w:sz="4" w:space="0"/>
              <w:left w:val="single" w:color="000000" w:sz="4" w:space="0"/>
              <w:right w:val="single" w:color="000000" w:sz="4" w:space="0"/>
            </w:tcBorders>
            <w:shd w:val="clear" w:color="auto" w:fill="auto"/>
            <w:vAlign w:val="center"/>
          </w:tcPr>
          <w:p w14:paraId="114C09D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w:t>
            </w:r>
          </w:p>
        </w:tc>
        <w:tc>
          <w:tcPr>
            <w:tcW w:w="753" w:type="dxa"/>
            <w:tcBorders>
              <w:top w:val="single" w:color="000000" w:sz="4" w:space="0"/>
              <w:left w:val="single" w:color="000000" w:sz="4" w:space="0"/>
            </w:tcBorders>
            <w:shd w:val="clear" w:color="auto" w:fill="auto"/>
            <w:vAlign w:val="center"/>
          </w:tcPr>
          <w:p w14:paraId="10E09B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处</w:t>
            </w:r>
          </w:p>
        </w:tc>
      </w:tr>
    </w:tbl>
    <w:p w14:paraId="7A38E9DA">
      <w:pPr>
        <w:numPr>
          <w:ilvl w:val="0"/>
          <w:numId w:val="8"/>
        </w:numPr>
        <w:jc w:val="left"/>
        <w:outlineLvl w:val="1"/>
        <w:rPr>
          <w:rFonts w:hint="eastAsia" w:ascii="微软雅黑" w:hAnsi="微软雅黑" w:eastAsia="微软雅黑" w:cs="微软雅黑"/>
          <w:b/>
          <w:bCs/>
          <w:color w:val="auto"/>
          <w:sz w:val="28"/>
          <w:szCs w:val="28"/>
          <w:highlight w:val="none"/>
          <w:lang w:val="en-US" w:eastAsia="zh-CN"/>
        </w:rPr>
      </w:pPr>
      <w:bookmarkStart w:id="970" w:name="_Toc984"/>
      <w:r>
        <w:rPr>
          <w:rFonts w:hint="eastAsia" w:ascii="微软雅黑" w:hAnsi="微软雅黑" w:eastAsia="微软雅黑" w:cs="微软雅黑"/>
          <w:b/>
          <w:bCs/>
          <w:color w:val="auto"/>
          <w:sz w:val="28"/>
          <w:szCs w:val="28"/>
          <w:highlight w:val="none"/>
          <w:lang w:val="en-US" w:eastAsia="zh-CN"/>
        </w:rPr>
        <w:t>工程量清单 （工程类部分）（另附）</w:t>
      </w:r>
      <w:bookmarkEnd w:id="970"/>
    </w:p>
    <w:p w14:paraId="0AB57D87">
      <w:pPr>
        <w:numPr>
          <w:ilvl w:val="0"/>
          <w:numId w:val="8"/>
        </w:numPr>
        <w:jc w:val="left"/>
        <w:outlineLvl w:val="1"/>
        <w:rPr>
          <w:rStyle w:val="37"/>
          <w:rFonts w:ascii="微软雅黑" w:hAnsi="微软雅黑" w:eastAsia="微软雅黑" w:cs="微软雅黑"/>
          <w:highlight w:val="none"/>
        </w:rPr>
      </w:pPr>
      <w:bookmarkStart w:id="971" w:name="_Toc16479"/>
      <w:r>
        <w:rPr>
          <w:rFonts w:hint="eastAsia" w:ascii="微软雅黑" w:hAnsi="微软雅黑" w:eastAsia="微软雅黑" w:cs="微软雅黑"/>
          <w:b/>
          <w:bCs/>
          <w:color w:val="auto"/>
          <w:sz w:val="28"/>
          <w:szCs w:val="28"/>
          <w:highlight w:val="none"/>
          <w:lang w:val="en-US" w:eastAsia="zh-CN"/>
        </w:rPr>
        <w:t>图纸（如有，另附）</w:t>
      </w:r>
      <w:bookmarkEnd w:id="971"/>
    </w:p>
    <w:bookmarkEnd w:id="966"/>
    <w:p w14:paraId="24576CD8">
      <w:pPr>
        <w:rPr>
          <w:rFonts w:hint="eastAsia" w:ascii="微软雅黑" w:hAnsi="微软雅黑" w:eastAsia="微软雅黑" w:cs="微软雅黑"/>
          <w:b/>
          <w:bCs/>
          <w:highlight w:val="none"/>
        </w:rPr>
      </w:pPr>
      <w:bookmarkStart w:id="972" w:name="_Toc28167"/>
      <w:bookmarkStart w:id="973" w:name="_Toc11214"/>
      <w:bookmarkStart w:id="974" w:name="_Toc23496"/>
      <w:bookmarkStart w:id="975" w:name="_Toc3257"/>
      <w:bookmarkStart w:id="976" w:name="_Toc507399904"/>
      <w:r>
        <w:rPr>
          <w:rFonts w:hint="eastAsia" w:ascii="微软雅黑" w:hAnsi="微软雅黑" w:eastAsia="微软雅黑" w:cs="微软雅黑"/>
          <w:b/>
          <w:bCs/>
          <w:highlight w:val="none"/>
        </w:rPr>
        <w:br w:type="page"/>
      </w:r>
    </w:p>
    <w:p w14:paraId="2CA68104">
      <w:pPr>
        <w:pStyle w:val="5"/>
        <w:tabs>
          <w:tab w:val="left" w:pos="0"/>
        </w:tabs>
        <w:snapToGrid w:val="0"/>
        <w:spacing w:before="0" w:after="0" w:line="240" w:lineRule="atLeast"/>
        <w:textAlignment w:val="baseline"/>
        <w:rPr>
          <w:rFonts w:ascii="微软雅黑" w:hAnsi="微软雅黑" w:eastAsia="微软雅黑" w:cs="微软雅黑"/>
          <w:b/>
          <w:bCs/>
          <w:sz w:val="24"/>
          <w:highlight w:val="none"/>
        </w:rPr>
      </w:pPr>
      <w:bookmarkStart w:id="977" w:name="_Toc1631"/>
      <w:r>
        <w:rPr>
          <w:rFonts w:hint="eastAsia" w:ascii="微软雅黑" w:hAnsi="微软雅黑" w:eastAsia="微软雅黑" w:cs="微软雅黑"/>
          <w:b/>
          <w:bCs/>
          <w:highlight w:val="none"/>
        </w:rPr>
        <w:t>第6章 评审方法和标准</w:t>
      </w:r>
      <w:bookmarkEnd w:id="972"/>
      <w:bookmarkEnd w:id="973"/>
      <w:bookmarkEnd w:id="974"/>
      <w:bookmarkEnd w:id="977"/>
    </w:p>
    <w:p w14:paraId="4C6ED3E9">
      <w:pPr>
        <w:pStyle w:val="3"/>
        <w:snapToGrid w:val="0"/>
        <w:spacing w:before="0" w:line="400" w:lineRule="exact"/>
        <w:ind w:firstLine="540" w:firstLineChars="225"/>
        <w:textAlignment w:val="baseline"/>
        <w:rPr>
          <w:rFonts w:ascii="微软雅黑" w:hAnsi="微软雅黑" w:eastAsia="微软雅黑" w:cs="微软雅黑"/>
          <w:highlight w:val="none"/>
        </w:rPr>
      </w:pPr>
      <w:bookmarkStart w:id="978" w:name="_Toc26542"/>
      <w:r>
        <w:rPr>
          <w:rFonts w:hint="eastAsia" w:ascii="微软雅黑" w:hAnsi="微软雅黑" w:eastAsia="微软雅黑" w:cs="微软雅黑"/>
          <w:highlight w:val="none"/>
        </w:rPr>
        <w:t>本项目将按照磋商文件第一章供应商须知中“五 磋商开启及评审”、“六 确定成交”及本章的规定评审。</w:t>
      </w:r>
    </w:p>
    <w:p w14:paraId="271B1372">
      <w:pPr>
        <w:widowControl/>
        <w:snapToGrid w:val="0"/>
        <w:spacing w:line="400" w:lineRule="exact"/>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注：1.磋商无效的情形：</w:t>
      </w:r>
    </w:p>
    <w:p w14:paraId="561EB70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（1）单位负责人为同一人或者存在直接控股、管理关系的不同供应商，其相关磋商将被认定为磋商无效。</w:t>
      </w:r>
    </w:p>
    <w:p w14:paraId="7912CC1A">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（2）若供应商须知资料表中未写明允许采购进口产品，如供应商所投产品为进口产品，其磋商将被认定为磋商无效。</w:t>
      </w:r>
    </w:p>
    <w:p w14:paraId="7C7AF2F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3）为本项目提供过整体设计、规范编制或者项目管理、监理、检测等货物的供应商，不得再参加本项目上述货物以外的其他采购活动。否则其磋商将被认定为磋商无效。供应商在磋商过程中不得向采购人提供、给予任何有价值的物品，影响其正常决策行为。一经发现，其将被认定为磋商无效。</w:t>
      </w:r>
    </w:p>
    <w:p w14:paraId="6CE5A035">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（4）供应商报价超过磋商文件规定的预算金额或者分项、分包最高限价的，其磋商将被认定为磋商无效。</w:t>
      </w:r>
    </w:p>
    <w:p w14:paraId="293D7BFB">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供应商应认真阅读磋商文件所有的事项、格式、条款和技术规范等。如供应商没有按照磋商文件要求提交全部资料，或者响应文件没有对磋商文件在各方面都做出实质性响应，可能导致其磋商将被认定为磋商无效。</w:t>
      </w:r>
    </w:p>
    <w:p w14:paraId="0F44CF1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 （6）供应商应当对所投分包磋商文件中“采购需求”所列的所有内容进行磋商，如仅响应某一包中的部分内容，其该包磋商将被认定为磋商无效。</w:t>
      </w:r>
    </w:p>
    <w:p w14:paraId="227DA402">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（7）供应商未按本须知第12.1和12.3条规定提交磋商保证金的，其磋商资格将被认定为无效。</w:t>
      </w:r>
    </w:p>
    <w:p w14:paraId="40701067">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所有磋商均以人民币报价。供应商的磋商报价应遵守《中华人民共和国价格法》。同时，根据《中华人民共和国政府采购法》第二条的规定，为保证公平竞争，如有服务主体部分的赠与行为，其磋商将被认定为磋商无效。</w:t>
      </w:r>
    </w:p>
    <w:p w14:paraId="280E65D8">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（9）供应商所报的各分项磋商单价在合同履行过程中是固定不变的，不得以任何理由予以变更。任何包含价格调整要求的磋商，其磋商将被认定为磋商无效。</w:t>
      </w:r>
    </w:p>
    <w:p w14:paraId="754EF4E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（10）磋商应在供应商须知资料表中规定时间内保持有效。磋商有效期不满足要求的磋商，其磋商将被认定为磋商无效。</w:t>
      </w:r>
    </w:p>
    <w:p w14:paraId="627AD35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（11）采购人或采购代理机构将在磋商前1个工作日至磋商截止后1小时的期间内查询供应商的信用记录。供应商存在不良信用记录的，其磋商将被认定为磋商无效。</w:t>
      </w:r>
    </w:p>
    <w:p w14:paraId="48320C7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12）总价金额与按单价汇总金额不一致的，以单价金额计算结果为准。同时出现两种以上不一致的，按照前款规定的顺序修正。修正后的报价按照第20.2条的规定经供应商确认后产生约束力，供应商不确认的，其磋商将被认定为磋商无效。</w:t>
      </w:r>
    </w:p>
    <w:p w14:paraId="0A7AEC90">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13）在比较与评价之前，根据本须知的规定，磋商小组要审查每份响应文件是否实质上响应了磋商文件的要求。实质上响应的磋商应该是与磋商文件要求的全部条款、条件和规格相符，没有重大偏离的磋商。对关键条款的偏离，将被认定为磋商无效。</w:t>
      </w:r>
    </w:p>
    <w:p w14:paraId="074D213E">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（14）如发现下列情况之一的，其磋商将被认定为磋商无效：</w:t>
      </w:r>
    </w:p>
    <w:p w14:paraId="6F2FD783">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未按磋商文件规定的形式和金额提交磋商保证金的；未按照磋商文件规定要求签署、盖章的；未满足磋商文件中技术条款的实质性要求；与其他供应商串通磋商，或者与采购人串通磋商；属于磋商文件规定的其他磋商无效情形；磋商小组认为供应商的报价明显低于其他通过符合性检查供应商的报价，有可能影响履约的，且供应商未按照规定证明其报价合理性的；响应文件含有采购人不能接受的附加条件的；不符合法规和磋商文件中规定的其他实质性要求的。</w:t>
      </w:r>
    </w:p>
    <w:p w14:paraId="4304E4EB">
      <w:pPr>
        <w:widowControl/>
        <w:snapToGrid w:val="0"/>
        <w:spacing w:line="400" w:lineRule="exact"/>
        <w:jc w:val="left"/>
        <w:textAlignment w:val="baseline"/>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2.本项目专门面向中小企业采购。根据《财政部关于进一步加大政府采购支持中小企业力度的通知》财库〔2022〕19号、《政府采购促进中小企业发展管理办法》（财库[2020]46号）、《财政部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的小微企业、微型企业且在响应文件中提交了《中小企业声明函》或省级以上监狱管理局、戒毒管理局（含新疆生产建设兵团）出具的属于监狱企业的证明文件的供应商。其报价不进行扣除。</w:t>
      </w:r>
    </w:p>
    <w:p w14:paraId="30EE86A3">
      <w:pPr>
        <w:widowControl/>
        <w:snapToGrid w:val="0"/>
        <w:spacing w:line="400" w:lineRule="exact"/>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3.联合协议中约定，小型、微型企业和监狱企业的协议合同金额占到联合体协议合同总金额30%以上的，可给予联合体</w:t>
      </w:r>
      <w:r>
        <w:rPr>
          <w:rFonts w:hint="eastAsia" w:ascii="微软雅黑" w:hAnsi="微软雅黑" w:eastAsia="微软雅黑" w:cs="微软雅黑"/>
          <w:sz w:val="24"/>
          <w:highlight w:val="none"/>
          <w:u w:val="single" w:color="000000"/>
        </w:rPr>
        <w:t xml:space="preserve"> 2%-3</w:t>
      </w:r>
      <w:r>
        <w:rPr>
          <w:rFonts w:hint="eastAsia" w:ascii="微软雅黑" w:hAnsi="微软雅黑" w:eastAsia="微软雅黑" w:cs="微软雅黑"/>
          <w:sz w:val="24"/>
          <w:highlight w:val="none"/>
        </w:rPr>
        <w:t>%的价格扣除。</w:t>
      </w:r>
      <w:r>
        <w:rPr>
          <w:rFonts w:hint="eastAsia" w:ascii="微软雅黑" w:hAnsi="微软雅黑" w:eastAsia="微软雅黑" w:cs="微软雅黑"/>
          <w:b/>
          <w:bCs/>
          <w:sz w:val="24"/>
          <w:highlight w:val="none"/>
        </w:rPr>
        <w:t>（本项目不适用）</w:t>
      </w:r>
    </w:p>
    <w:p w14:paraId="1326C6BB">
      <w:pPr>
        <w:widowControl/>
        <w:snapToGrid w:val="0"/>
        <w:spacing w:line="400" w:lineRule="exact"/>
        <w:ind w:firstLine="480" w:firstLineChars="200"/>
        <w:jc w:val="lef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联合体各方均为小型、微型企业和监狱企业的，联合体视同为小型、微型企业和监狱企业。</w:t>
      </w:r>
    </w:p>
    <w:p w14:paraId="77EDD0CB">
      <w:pPr>
        <w:pStyle w:val="3"/>
        <w:numPr>
          <w:ilvl w:val="0"/>
          <w:numId w:val="9"/>
        </w:numPr>
        <w:tabs>
          <w:tab w:val="clear" w:pos="312"/>
        </w:tabs>
        <w:snapToGrid w:val="0"/>
        <w:spacing w:before="0" w:line="400" w:lineRule="exact"/>
        <w:textAlignment w:val="baseline"/>
        <w:rPr>
          <w:rFonts w:ascii="微软雅黑" w:hAnsi="微软雅黑" w:eastAsia="微软雅黑" w:cs="微软雅黑"/>
          <w:highlight w:val="none"/>
          <w:u w:val="single" w:color="000000"/>
        </w:rPr>
      </w:pPr>
      <w:r>
        <w:rPr>
          <w:rFonts w:hint="eastAsia" w:ascii="微软雅黑" w:hAnsi="微软雅黑" w:eastAsia="微软雅黑" w:cs="微软雅黑"/>
          <w:highlight w:val="none"/>
        </w:rPr>
        <w:t>供应商为提供货物在磋商中伴随磋商的产品如被列入财政部与国家主管部门颁发的节能产品目录或环境标志产品目录或无线局域网产品目录，应提供相关证明，在评审时予以优先采购，具体优惠措施为</w:t>
      </w:r>
      <w:r>
        <w:rPr>
          <w:rFonts w:hint="eastAsia" w:ascii="微软雅黑" w:hAnsi="微软雅黑" w:eastAsia="微软雅黑" w:cs="微软雅黑"/>
          <w:highlight w:val="none"/>
          <w:u w:val="single" w:color="000000"/>
        </w:rPr>
        <w:t>：供应商所投产品应优先选择《关于印发节能产品政府采购品目清单的通知》（财库〔2019〕19号）、《关于印发环境标志产品政府采购品目清单的通知》（财库〔2019〕18号）目录内的产品。</w:t>
      </w:r>
    </w:p>
    <w:p w14:paraId="1D6E6E80">
      <w:pPr>
        <w:pStyle w:val="3"/>
        <w:tabs>
          <w:tab w:val="clear" w:pos="567"/>
        </w:tabs>
        <w:spacing w:before="0" w:line="436" w:lineRule="exact"/>
        <w:rPr>
          <w:rFonts w:ascii="微软雅黑" w:hAnsi="微软雅黑" w:eastAsia="微软雅黑" w:cs="微软雅黑"/>
          <w:highlight w:val="none"/>
        </w:rPr>
      </w:pPr>
      <w:r>
        <w:rPr>
          <w:rFonts w:hint="eastAsia" w:ascii="微软雅黑" w:hAnsi="微软雅黑" w:eastAsia="微软雅黑" w:cs="微软雅黑"/>
          <w:b/>
          <w:bCs/>
          <w:highlight w:val="none"/>
        </w:rPr>
        <w:t>5.对创新产</w:t>
      </w:r>
      <w:r>
        <w:rPr>
          <w:rFonts w:hint="eastAsia" w:ascii="微软雅黑" w:hAnsi="微软雅黑" w:eastAsia="微软雅黑" w:cs="微软雅黑"/>
          <w:highlight w:val="none"/>
        </w:rPr>
        <w:t>品或创新性企业的优惠措施为：</w:t>
      </w:r>
      <w:r>
        <w:rPr>
          <w:rFonts w:hint="eastAsia" w:ascii="微软雅黑" w:hAnsi="微软雅黑" w:eastAsia="微软雅黑" w:cs="微软雅黑"/>
          <w:highlight w:val="none"/>
          <w:u w:val="single"/>
        </w:rPr>
        <w:t xml:space="preserve">     /      </w:t>
      </w:r>
    </w:p>
    <w:p w14:paraId="64FF057E">
      <w:pPr>
        <w:pStyle w:val="8"/>
        <w:snapToGrid w:val="0"/>
        <w:spacing w:line="400" w:lineRule="exact"/>
        <w:ind w:firstLine="0"/>
        <w:textAlignment w:val="baseline"/>
        <w:rPr>
          <w:rFonts w:ascii="微软雅黑" w:hAnsi="微软雅黑" w:eastAsia="微软雅黑" w:cs="微软雅黑"/>
          <w:b/>
          <w:bCs/>
          <w:kern w:val="2"/>
          <w:szCs w:val="24"/>
          <w:highlight w:val="none"/>
        </w:rPr>
      </w:pPr>
      <w:r>
        <w:rPr>
          <w:rFonts w:hint="eastAsia" w:ascii="微软雅黑" w:hAnsi="微软雅黑" w:eastAsia="微软雅黑" w:cs="微软雅黑"/>
          <w:b/>
          <w:bCs/>
          <w:kern w:val="2"/>
          <w:szCs w:val="24"/>
          <w:highlight w:val="none"/>
        </w:rPr>
        <w:t>6.磋商：</w:t>
      </w:r>
    </w:p>
    <w:p w14:paraId="14E7A1B8">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（1）供应商按照须知资料表中规定的磋商时间和地点，在规定时间内上传响应文件。</w:t>
      </w:r>
    </w:p>
    <w:p w14:paraId="388DA2AF">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2）到磋商截止时间，对供应商上传的响应文件进行解密，解密时长为30分钟。供应商须在规定时间内使用CA锁在政采云平台解密，解密失败或未在规定时间内解密，将无法参加下一阶段的磋商，将被认定为无效磋商。请供应商提前调试好CA锁，确定在操作时能正常使用。  </w:t>
      </w:r>
    </w:p>
    <w:p w14:paraId="2BF3F967">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（3）在开标记录时，代理机构开启签字时段，须供应商使用CA锁在政采云平台进行签字确认报价。</w:t>
      </w:r>
    </w:p>
    <w:p w14:paraId="1F4483EB">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（4）采购人登录政采云平台对供应商的资格证明材料进行审查。</w:t>
      </w:r>
    </w:p>
    <w:p w14:paraId="0A391999">
      <w:pPr>
        <w:widowControl/>
        <w:snapToGrid w:val="0"/>
        <w:spacing w:line="436"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（5）在评审磋商环节，须供应商提前调试电脑是否可以正常视频通话，与评审专家进行一对一的磋商。</w:t>
      </w:r>
    </w:p>
    <w:p w14:paraId="0DD1B99A">
      <w:pP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7.评审：</w:t>
      </w:r>
    </w:p>
    <w:p w14:paraId="4F092F1B">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（1）依法组建3名评审人员负责评审工作。</w:t>
      </w:r>
    </w:p>
    <w:p w14:paraId="6F7E6A33">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（2）磋商小组应当按照磋商文件中规定的评标方法和标准，对符合资格要求的供应商的响应文件进行符合性审查，以确定其是否满足磋商文件的实质性要求。</w:t>
      </w:r>
    </w:p>
    <w:p w14:paraId="3A17A289">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3）若对于响应文件中含义不明确、同类问题表述不一致或者有明显文字和计算错误的内容，磋商小组应当以书面形式要求供应商作出必要的澄清、说明或者补正。供应商的澄清、说明或者补正应当采用书面形式，并加盖公章，或者由法定代表人或其授权的代表签字。供应商的澄清、说明或者补正不得超出响应文件的范围或者改变响应文件的实质性内容。</w:t>
      </w:r>
    </w:p>
    <w:p w14:paraId="39C880F8">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014E09C">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5）邀请合格供应商一对一进行磋商。共有两次报价，二次报价为最终报价，磋商小组所有成员集中与单一供应商分别进行磋商，并给予所有参加磋商的供应商平等的磋商机会，磋商小组要求所有实质性响应的供应商在规定时间内提交最后报价。　</w:t>
      </w:r>
    </w:p>
    <w:p w14:paraId="6B784726">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6）磋商小组应当按照磋商文件中规定的评标方法和标准，对符合性审查合格的响应文件进行商务和技术评估，综合比较与评价。综合评分法，是指响应文件满足磋商文件全部实质性要求，且按照评审因素的量化指标评审得分最高的供应商为成交候选人的评标方法。</w:t>
      </w:r>
    </w:p>
    <w:p w14:paraId="06537FE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7）采用综合评分法的，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w:t>
      </w:r>
    </w:p>
    <w:p w14:paraId="2CA9A0BC">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（8）磋商小组成员对需要共同认定的事项存在争议的，应当按照少数服从多数的原则作出结论。持不同意见的磋商小组成员应当在评标报告上签署不同意见及理由，否则视为同意评标报告。</w:t>
      </w:r>
    </w:p>
    <w:p w14:paraId="21B3CC2F">
      <w:pPr>
        <w:pStyle w:val="3"/>
        <w:snapToGrid w:val="0"/>
        <w:spacing w:before="0" w:line="400" w:lineRule="exact"/>
        <w:textAlignment w:val="baseline"/>
        <w:rPr>
          <w:rFonts w:ascii="微软雅黑" w:hAnsi="微软雅黑" w:eastAsia="微软雅黑" w:cs="微软雅黑"/>
          <w:b/>
          <w:bCs/>
          <w:highlight w:val="none"/>
        </w:rPr>
      </w:pPr>
      <w:r>
        <w:rPr>
          <w:rFonts w:hint="eastAsia" w:ascii="微软雅黑" w:hAnsi="微软雅黑" w:eastAsia="微软雅黑" w:cs="微软雅黑"/>
          <w:b/>
          <w:bCs/>
          <w:highlight w:val="none"/>
        </w:rPr>
        <w:t>8.定标：</w:t>
      </w:r>
    </w:p>
    <w:p w14:paraId="5B556CE8">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（1）采购代理机构应当在评标结束后2个工作日内将评标报告送采购人。</w:t>
      </w:r>
    </w:p>
    <w:p w14:paraId="469858D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采购人委托磋商小组直接确定成交人。磋商小组推荐成交候选供应商的数量为3家。采购人应当自收到评标报告之日起5个工作日内，在评标报告确定的成交候选人名单中按顺序确定成交人。成交候选人并列的，由采购人按照磋商文件规定的方式确定成交人。</w:t>
      </w:r>
    </w:p>
    <w:p w14:paraId="212C2529">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3）成交候选人并列式时的处理方式：评标结果按评审后得分由高到低顺序排列。得分相同的，按磋商报价由低到高顺序排列。得分且磋商报价相同的并列。响应文件满足磋商文件全部实质性要求，且按照评审因素的量化指标评审得分最高的供应商为排名第一的成交候选人。  </w:t>
      </w:r>
    </w:p>
    <w:p w14:paraId="0386CBD5">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（4）采购人在收到评标报告5个工作日内未按评标报告推荐的成交候选人顺序确定成交人，又不能说明合法理由的，视同按评标报告推荐的顺序确定排名第一的成交候选人为成交人。</w:t>
      </w:r>
    </w:p>
    <w:p w14:paraId="5BD7B36F">
      <w:pPr>
        <w:pStyle w:val="2"/>
        <w:spacing w:line="50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9.答疑澄清：</w:t>
      </w:r>
    </w:p>
    <w:p w14:paraId="068049C8">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（1）磋商小组对于响应文件中含义不明确、同类问题表述不一致或者有明显文字和计算错误的内容，要求供应商以书面形式现场作出必要的澄清、说明或者补正。</w:t>
      </w:r>
    </w:p>
    <w:p w14:paraId="488C3165">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（2）供应商的澄清、说明或者补正应当采用书面形式，并加盖公章，或者由法定代表人或其授权的代表签字。供应商的澄清、说明或者补正不得超出响应文件的范围或者改变响应文件的实质性内容。</w:t>
      </w:r>
    </w:p>
    <w:p w14:paraId="5A736AFD">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b/>
          <w:bCs/>
          <w:sz w:val="24"/>
          <w:highlight w:val="none"/>
        </w:rPr>
        <w:t>10.评审标准</w:t>
      </w:r>
      <w:r>
        <w:rPr>
          <w:rFonts w:hint="eastAsia" w:ascii="微软雅黑" w:hAnsi="微软雅黑" w:eastAsia="微软雅黑" w:cs="微软雅黑"/>
          <w:sz w:val="24"/>
          <w:highlight w:val="none"/>
        </w:rPr>
        <w:t>：</w:t>
      </w:r>
      <w:r>
        <w:rPr>
          <w:rFonts w:hint="eastAsia" w:ascii="微软雅黑" w:hAnsi="微软雅黑" w:eastAsia="微软雅黑" w:cs="微软雅黑"/>
          <w:b/>
          <w:bCs/>
          <w:sz w:val="24"/>
          <w:highlight w:val="none"/>
        </w:rPr>
        <w:t>（具体详见综合评分表）</w:t>
      </w:r>
    </w:p>
    <w:p w14:paraId="575245F9">
      <w:pPr>
        <w:widowControl/>
        <w:snapToGrid w:val="0"/>
        <w:spacing w:line="400" w:lineRule="exact"/>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（1）竞争性磋商共有两次报价，二次报价为最终报价，磋商小组所有成员集中与单一供应商分别进行磋商，并给予所有参加磋商的供应商平等的磋商机会，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质量和服务均能满足采购文件实质性响应要求的供应商中，按照综合评分由高到低的顺序提出成交候选人，并编写评审报告，将结果通知所有参加磋商的未成交的供应商。　　</w:t>
      </w:r>
    </w:p>
    <w:p w14:paraId="16E42D59">
      <w:pPr>
        <w:snapToGrid w:val="0"/>
        <w:spacing w:line="400" w:lineRule="exact"/>
        <w:ind w:left="900" w:hanging="900" w:hangingChars="375"/>
        <w:textAlignment w:val="baseline"/>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（5）推荐成交候选供应商的数量：3。 </w:t>
      </w:r>
    </w:p>
    <w:p w14:paraId="2CC60C02">
      <w:pPr>
        <w:rPr>
          <w:rFonts w:ascii="微软雅黑" w:hAnsi="微软雅黑" w:eastAsia="微软雅黑" w:cs="微软雅黑"/>
          <w:sz w:val="24"/>
          <w:highlight w:val="none"/>
        </w:rPr>
      </w:pPr>
      <w:r>
        <w:rPr>
          <w:rFonts w:hint="eastAsia" w:ascii="微软雅黑" w:hAnsi="微软雅黑" w:eastAsia="微软雅黑" w:cs="微软雅黑"/>
          <w:sz w:val="24"/>
          <w:highlight w:val="none"/>
        </w:rPr>
        <w:br w:type="page"/>
      </w:r>
    </w:p>
    <w:p w14:paraId="6245EDF6">
      <w:pPr>
        <w:pStyle w:val="6"/>
        <w:rPr>
          <w:rFonts w:ascii="微软雅黑" w:hAnsi="微软雅黑" w:eastAsia="微软雅黑" w:cs="微软雅黑"/>
          <w:highlight w:val="none"/>
        </w:rPr>
      </w:pPr>
      <w:bookmarkStart w:id="979" w:name="_Toc1545"/>
      <w:bookmarkStart w:id="980" w:name="_Toc18687"/>
      <w:bookmarkStart w:id="981" w:name="_Toc1126"/>
      <w:bookmarkStart w:id="982" w:name="_Toc3470"/>
      <w:bookmarkStart w:id="983" w:name="_Toc32177"/>
      <w:bookmarkStart w:id="984" w:name="_Toc7781"/>
      <w:bookmarkStart w:id="985" w:name="_Toc13711"/>
      <w:bookmarkStart w:id="986" w:name="_Toc13647"/>
      <w:bookmarkStart w:id="987" w:name="_Toc8137"/>
      <w:bookmarkStart w:id="988" w:name="_Toc5510"/>
      <w:bookmarkStart w:id="989" w:name="_Toc27829"/>
      <w:bookmarkStart w:id="990" w:name="_Toc26572"/>
      <w:bookmarkStart w:id="991" w:name="_Toc19633"/>
      <w:bookmarkStart w:id="992" w:name="_Toc12438"/>
      <w:bookmarkStart w:id="993" w:name="_Toc32167"/>
      <w:bookmarkStart w:id="994" w:name="_Toc28201"/>
      <w:bookmarkStart w:id="995" w:name="_Toc12716"/>
      <w:bookmarkStart w:id="996" w:name="_Toc19540"/>
      <w:r>
        <w:rPr>
          <w:rFonts w:hint="eastAsia" w:ascii="微软雅黑" w:hAnsi="微软雅黑" w:eastAsia="微软雅黑" w:cs="微软雅黑"/>
          <w:highlight w:val="none"/>
        </w:rPr>
        <w:t>初步评审—资格性审查表</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tbl>
      <w:tblPr>
        <w:tblStyle w:val="27"/>
        <w:tblpPr w:leftFromText="180" w:rightFromText="180" w:vertAnchor="text" w:horzAnchor="page" w:tblpXSpec="center" w:tblpY="234"/>
        <w:tblOverlap w:val="never"/>
        <w:tblW w:w="10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303"/>
        <w:gridCol w:w="1195"/>
        <w:gridCol w:w="1184"/>
        <w:gridCol w:w="1237"/>
      </w:tblGrid>
      <w:tr w14:paraId="7B76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557" w:type="dxa"/>
            <w:vMerge w:val="restart"/>
            <w:vAlign w:val="center"/>
          </w:tcPr>
          <w:p w14:paraId="59199698">
            <w:p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序号</w:t>
            </w:r>
          </w:p>
        </w:tc>
        <w:tc>
          <w:tcPr>
            <w:tcW w:w="6303" w:type="dxa"/>
            <w:vMerge w:val="restart"/>
            <w:vAlign w:val="center"/>
          </w:tcPr>
          <w:p w14:paraId="5420C96F">
            <w:pPr>
              <w:spacing w:line="360" w:lineRule="exact"/>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评审内容</w:t>
            </w:r>
          </w:p>
        </w:tc>
        <w:tc>
          <w:tcPr>
            <w:tcW w:w="3616" w:type="dxa"/>
            <w:gridSpan w:val="3"/>
            <w:vAlign w:val="center"/>
          </w:tcPr>
          <w:p w14:paraId="25480D54">
            <w:pPr>
              <w:spacing w:line="360" w:lineRule="exact"/>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供应商名称</w:t>
            </w:r>
          </w:p>
        </w:tc>
      </w:tr>
      <w:tr w14:paraId="7076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57" w:type="dxa"/>
            <w:vMerge w:val="continue"/>
            <w:vAlign w:val="center"/>
          </w:tcPr>
          <w:p w14:paraId="3BBD621D">
            <w:pPr>
              <w:spacing w:line="360" w:lineRule="exact"/>
              <w:rPr>
                <w:rFonts w:ascii="微软雅黑" w:hAnsi="微软雅黑" w:eastAsia="微软雅黑" w:cs="微软雅黑"/>
                <w:b/>
                <w:bCs/>
                <w:sz w:val="24"/>
                <w:highlight w:val="none"/>
              </w:rPr>
            </w:pPr>
          </w:p>
        </w:tc>
        <w:tc>
          <w:tcPr>
            <w:tcW w:w="6303" w:type="dxa"/>
            <w:vMerge w:val="continue"/>
            <w:vAlign w:val="center"/>
          </w:tcPr>
          <w:p w14:paraId="5F1E9FFD">
            <w:pPr>
              <w:spacing w:line="360" w:lineRule="exact"/>
              <w:rPr>
                <w:rFonts w:ascii="微软雅黑" w:hAnsi="微软雅黑" w:eastAsia="微软雅黑" w:cs="微软雅黑"/>
                <w:b/>
                <w:bCs/>
                <w:sz w:val="24"/>
                <w:highlight w:val="none"/>
              </w:rPr>
            </w:pPr>
          </w:p>
        </w:tc>
        <w:tc>
          <w:tcPr>
            <w:tcW w:w="1195" w:type="dxa"/>
            <w:vAlign w:val="center"/>
          </w:tcPr>
          <w:p w14:paraId="18E6FEEF">
            <w:p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是否合格</w:t>
            </w:r>
          </w:p>
        </w:tc>
        <w:tc>
          <w:tcPr>
            <w:tcW w:w="1184" w:type="dxa"/>
            <w:vAlign w:val="center"/>
          </w:tcPr>
          <w:p w14:paraId="2EC94F2F">
            <w:p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是否合格</w:t>
            </w:r>
          </w:p>
        </w:tc>
        <w:tc>
          <w:tcPr>
            <w:tcW w:w="1237" w:type="dxa"/>
            <w:vAlign w:val="center"/>
          </w:tcPr>
          <w:p w14:paraId="5724B8CD">
            <w:pPr>
              <w:spacing w:line="36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是否合格</w:t>
            </w:r>
          </w:p>
        </w:tc>
      </w:tr>
      <w:tr w14:paraId="49E2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Align w:val="center"/>
          </w:tcPr>
          <w:p w14:paraId="5773599B">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rPr>
              <w:t>1</w:t>
            </w:r>
          </w:p>
        </w:tc>
        <w:tc>
          <w:tcPr>
            <w:tcW w:w="6303" w:type="dxa"/>
            <w:vAlign w:val="center"/>
          </w:tcPr>
          <w:p w14:paraId="35B2CF4B">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具备有效的营业执照；</w:t>
            </w:r>
          </w:p>
        </w:tc>
        <w:tc>
          <w:tcPr>
            <w:tcW w:w="1195" w:type="dxa"/>
            <w:vAlign w:val="center"/>
          </w:tcPr>
          <w:p w14:paraId="6E7AB98C">
            <w:pPr>
              <w:spacing w:line="360" w:lineRule="exact"/>
              <w:rPr>
                <w:rFonts w:ascii="微软雅黑" w:hAnsi="微软雅黑" w:eastAsia="微软雅黑" w:cs="微软雅黑"/>
                <w:sz w:val="24"/>
                <w:highlight w:val="none"/>
              </w:rPr>
            </w:pPr>
          </w:p>
        </w:tc>
        <w:tc>
          <w:tcPr>
            <w:tcW w:w="1184" w:type="dxa"/>
            <w:vAlign w:val="center"/>
          </w:tcPr>
          <w:p w14:paraId="19FA4934">
            <w:pPr>
              <w:spacing w:line="360" w:lineRule="exact"/>
              <w:rPr>
                <w:rFonts w:ascii="微软雅黑" w:hAnsi="微软雅黑" w:eastAsia="微软雅黑" w:cs="微软雅黑"/>
                <w:sz w:val="24"/>
                <w:highlight w:val="none"/>
              </w:rPr>
            </w:pPr>
          </w:p>
        </w:tc>
        <w:tc>
          <w:tcPr>
            <w:tcW w:w="1237" w:type="dxa"/>
            <w:vAlign w:val="center"/>
          </w:tcPr>
          <w:p w14:paraId="70866AD2">
            <w:pPr>
              <w:spacing w:line="360" w:lineRule="exact"/>
              <w:rPr>
                <w:rFonts w:ascii="微软雅黑" w:hAnsi="微软雅黑" w:eastAsia="微软雅黑" w:cs="微软雅黑"/>
                <w:sz w:val="24"/>
                <w:highlight w:val="none"/>
              </w:rPr>
            </w:pPr>
          </w:p>
        </w:tc>
      </w:tr>
      <w:tr w14:paraId="78AD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shd w:val="clear" w:color="auto" w:fill="auto"/>
            <w:vAlign w:val="center"/>
          </w:tcPr>
          <w:p w14:paraId="1FECCE0E">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rPr>
              <w:t>2</w:t>
            </w:r>
          </w:p>
        </w:tc>
        <w:tc>
          <w:tcPr>
            <w:tcW w:w="6303" w:type="dxa"/>
            <w:vAlign w:val="center"/>
          </w:tcPr>
          <w:p w14:paraId="5545469A">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微软雅黑" w:hAnsi="微软雅黑" w:eastAsia="微软雅黑" w:cs="微软雅黑"/>
                <w:color w:val="auto"/>
                <w:spacing w:val="-2"/>
                <w:szCs w:val="21"/>
                <w:highlight w:val="none"/>
                <w:lang w:eastAsia="zh-CN"/>
              </w:rPr>
            </w:pPr>
            <w:r>
              <w:rPr>
                <w:rFonts w:hint="eastAsia" w:ascii="微软雅黑" w:hAnsi="微软雅黑" w:eastAsia="微软雅黑" w:cs="微软雅黑"/>
                <w:color w:val="auto"/>
                <w:spacing w:val="-2"/>
                <w:szCs w:val="21"/>
                <w:highlight w:val="none"/>
                <w:lang w:eastAsia="zh-CN"/>
              </w:rPr>
              <w:t>供应商须具有有效的建筑工程施工总承包贰级（含）及以上资质，并取得有效的《安全生产许可证》；</w:t>
            </w:r>
          </w:p>
        </w:tc>
        <w:tc>
          <w:tcPr>
            <w:tcW w:w="1195" w:type="dxa"/>
            <w:vAlign w:val="center"/>
          </w:tcPr>
          <w:p w14:paraId="25127BFE">
            <w:pPr>
              <w:spacing w:line="360" w:lineRule="exact"/>
              <w:rPr>
                <w:rFonts w:ascii="微软雅黑" w:hAnsi="微软雅黑" w:eastAsia="微软雅黑" w:cs="微软雅黑"/>
                <w:sz w:val="24"/>
                <w:highlight w:val="none"/>
              </w:rPr>
            </w:pPr>
          </w:p>
        </w:tc>
        <w:tc>
          <w:tcPr>
            <w:tcW w:w="1184" w:type="dxa"/>
            <w:vAlign w:val="center"/>
          </w:tcPr>
          <w:p w14:paraId="7DEF6A30">
            <w:pPr>
              <w:spacing w:line="360" w:lineRule="exact"/>
              <w:rPr>
                <w:rFonts w:ascii="微软雅黑" w:hAnsi="微软雅黑" w:eastAsia="微软雅黑" w:cs="微软雅黑"/>
                <w:sz w:val="24"/>
                <w:highlight w:val="none"/>
              </w:rPr>
            </w:pPr>
          </w:p>
        </w:tc>
        <w:tc>
          <w:tcPr>
            <w:tcW w:w="1237" w:type="dxa"/>
            <w:vAlign w:val="center"/>
          </w:tcPr>
          <w:p w14:paraId="0A3ED512">
            <w:pPr>
              <w:spacing w:line="360" w:lineRule="exact"/>
              <w:rPr>
                <w:rFonts w:ascii="微软雅黑" w:hAnsi="微软雅黑" w:eastAsia="微软雅黑" w:cs="微软雅黑"/>
                <w:sz w:val="24"/>
                <w:highlight w:val="none"/>
              </w:rPr>
            </w:pPr>
          </w:p>
        </w:tc>
      </w:tr>
      <w:tr w14:paraId="081B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shd w:val="clear" w:color="auto" w:fill="auto"/>
            <w:vAlign w:val="center"/>
          </w:tcPr>
          <w:p w14:paraId="17B54D6A">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3</w:t>
            </w:r>
          </w:p>
        </w:tc>
        <w:tc>
          <w:tcPr>
            <w:tcW w:w="6303" w:type="dxa"/>
            <w:vAlign w:val="center"/>
          </w:tcPr>
          <w:p w14:paraId="450DF593">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项目负责人须具备建筑工程贰级(含)及以上注册建造师执业资格, 具备有效的安全生产考核合格证书（B类），且未担任其他在施建设项目的项目负责人并出具无在建承诺书；</w:t>
            </w:r>
          </w:p>
        </w:tc>
        <w:tc>
          <w:tcPr>
            <w:tcW w:w="1195" w:type="dxa"/>
            <w:vAlign w:val="center"/>
          </w:tcPr>
          <w:p w14:paraId="1E881D3A">
            <w:pPr>
              <w:spacing w:line="360" w:lineRule="exact"/>
              <w:rPr>
                <w:rFonts w:ascii="微软雅黑" w:hAnsi="微软雅黑" w:eastAsia="微软雅黑" w:cs="微软雅黑"/>
                <w:sz w:val="24"/>
                <w:highlight w:val="none"/>
              </w:rPr>
            </w:pPr>
          </w:p>
        </w:tc>
        <w:tc>
          <w:tcPr>
            <w:tcW w:w="1184" w:type="dxa"/>
            <w:vAlign w:val="center"/>
          </w:tcPr>
          <w:p w14:paraId="3AE35A95">
            <w:pPr>
              <w:spacing w:line="360" w:lineRule="exact"/>
              <w:rPr>
                <w:rFonts w:ascii="微软雅黑" w:hAnsi="微软雅黑" w:eastAsia="微软雅黑" w:cs="微软雅黑"/>
                <w:sz w:val="24"/>
                <w:highlight w:val="none"/>
              </w:rPr>
            </w:pPr>
          </w:p>
        </w:tc>
        <w:tc>
          <w:tcPr>
            <w:tcW w:w="1237" w:type="dxa"/>
            <w:vAlign w:val="center"/>
          </w:tcPr>
          <w:p w14:paraId="4711E498">
            <w:pPr>
              <w:spacing w:line="360" w:lineRule="exact"/>
              <w:rPr>
                <w:rFonts w:ascii="微软雅黑" w:hAnsi="微软雅黑" w:eastAsia="微软雅黑" w:cs="微软雅黑"/>
                <w:sz w:val="24"/>
                <w:highlight w:val="none"/>
              </w:rPr>
            </w:pPr>
          </w:p>
        </w:tc>
      </w:tr>
      <w:tr w14:paraId="026A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57" w:type="dxa"/>
            <w:shd w:val="clear" w:color="auto" w:fill="auto"/>
            <w:vAlign w:val="center"/>
          </w:tcPr>
          <w:p w14:paraId="6B9C8877">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4</w:t>
            </w:r>
          </w:p>
        </w:tc>
        <w:tc>
          <w:tcPr>
            <w:tcW w:w="6303" w:type="dxa"/>
            <w:vAlign w:val="center"/>
          </w:tcPr>
          <w:p w14:paraId="143E640E">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微软雅黑" w:hAnsi="微软雅黑" w:eastAsia="微软雅黑" w:cs="微软雅黑"/>
                <w:color w:val="auto"/>
                <w:spacing w:val="-2"/>
                <w:szCs w:val="21"/>
                <w:highlight w:val="none"/>
                <w:lang w:val="en-US" w:eastAsia="zh-CN"/>
              </w:rPr>
            </w:pPr>
            <w:r>
              <w:rPr>
                <w:rFonts w:hint="eastAsia" w:ascii="微软雅黑" w:hAnsi="微软雅黑" w:eastAsia="微软雅黑" w:cs="微软雅黑"/>
                <w:color w:val="auto"/>
                <w:spacing w:val="-2"/>
                <w:szCs w:val="21"/>
                <w:highlight w:val="none"/>
                <w:lang w:val="en-US" w:eastAsia="zh-CN"/>
              </w:rPr>
              <w:t>法定代表人资格证明（法定代表人需提供身份证）；</w:t>
            </w:r>
          </w:p>
        </w:tc>
        <w:tc>
          <w:tcPr>
            <w:tcW w:w="1195" w:type="dxa"/>
            <w:vAlign w:val="center"/>
          </w:tcPr>
          <w:p w14:paraId="07BDE872">
            <w:pPr>
              <w:spacing w:line="360" w:lineRule="exact"/>
              <w:rPr>
                <w:rFonts w:ascii="微软雅黑" w:hAnsi="微软雅黑" w:eastAsia="微软雅黑" w:cs="微软雅黑"/>
                <w:sz w:val="24"/>
                <w:highlight w:val="none"/>
              </w:rPr>
            </w:pPr>
          </w:p>
        </w:tc>
        <w:tc>
          <w:tcPr>
            <w:tcW w:w="1184" w:type="dxa"/>
            <w:vAlign w:val="center"/>
          </w:tcPr>
          <w:p w14:paraId="509D3083">
            <w:pPr>
              <w:spacing w:line="360" w:lineRule="exact"/>
              <w:rPr>
                <w:rFonts w:ascii="微软雅黑" w:hAnsi="微软雅黑" w:eastAsia="微软雅黑" w:cs="微软雅黑"/>
                <w:sz w:val="24"/>
                <w:highlight w:val="none"/>
              </w:rPr>
            </w:pPr>
          </w:p>
        </w:tc>
        <w:tc>
          <w:tcPr>
            <w:tcW w:w="1237" w:type="dxa"/>
            <w:vAlign w:val="center"/>
          </w:tcPr>
          <w:p w14:paraId="391E8B4D">
            <w:pPr>
              <w:spacing w:line="360" w:lineRule="exact"/>
              <w:rPr>
                <w:rFonts w:ascii="微软雅黑" w:hAnsi="微软雅黑" w:eastAsia="微软雅黑" w:cs="微软雅黑"/>
                <w:sz w:val="24"/>
                <w:highlight w:val="none"/>
              </w:rPr>
            </w:pPr>
          </w:p>
        </w:tc>
      </w:tr>
      <w:tr w14:paraId="2969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57" w:type="dxa"/>
            <w:shd w:val="clear" w:color="auto" w:fill="auto"/>
            <w:vAlign w:val="center"/>
          </w:tcPr>
          <w:p w14:paraId="3FE60B2E">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5</w:t>
            </w:r>
          </w:p>
        </w:tc>
        <w:tc>
          <w:tcPr>
            <w:tcW w:w="6303" w:type="dxa"/>
            <w:vAlign w:val="center"/>
          </w:tcPr>
          <w:p w14:paraId="60C22968">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提供2023年度或2024年度的财务审计报告（成立未满十二个月的新公司可提供近三个月内任意一个月的银行资信证明）；</w:t>
            </w:r>
          </w:p>
        </w:tc>
        <w:tc>
          <w:tcPr>
            <w:tcW w:w="1195" w:type="dxa"/>
            <w:vAlign w:val="center"/>
          </w:tcPr>
          <w:p w14:paraId="0F51B810">
            <w:pPr>
              <w:spacing w:line="360" w:lineRule="exact"/>
              <w:rPr>
                <w:rFonts w:ascii="微软雅黑" w:hAnsi="微软雅黑" w:eastAsia="微软雅黑" w:cs="微软雅黑"/>
                <w:sz w:val="24"/>
                <w:highlight w:val="none"/>
              </w:rPr>
            </w:pPr>
          </w:p>
        </w:tc>
        <w:tc>
          <w:tcPr>
            <w:tcW w:w="1184" w:type="dxa"/>
            <w:vAlign w:val="center"/>
          </w:tcPr>
          <w:p w14:paraId="2874BF7A">
            <w:pPr>
              <w:spacing w:line="360" w:lineRule="exact"/>
              <w:rPr>
                <w:rFonts w:ascii="微软雅黑" w:hAnsi="微软雅黑" w:eastAsia="微软雅黑" w:cs="微软雅黑"/>
                <w:sz w:val="24"/>
                <w:highlight w:val="none"/>
              </w:rPr>
            </w:pPr>
          </w:p>
        </w:tc>
        <w:tc>
          <w:tcPr>
            <w:tcW w:w="1237" w:type="dxa"/>
            <w:vAlign w:val="center"/>
          </w:tcPr>
          <w:p w14:paraId="5ED3B962">
            <w:pPr>
              <w:spacing w:line="360" w:lineRule="exact"/>
              <w:rPr>
                <w:rFonts w:ascii="微软雅黑" w:hAnsi="微软雅黑" w:eastAsia="微软雅黑" w:cs="微软雅黑"/>
                <w:sz w:val="24"/>
                <w:highlight w:val="none"/>
              </w:rPr>
            </w:pPr>
          </w:p>
        </w:tc>
      </w:tr>
      <w:tr w14:paraId="0B7E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57" w:type="dxa"/>
            <w:shd w:val="clear" w:color="auto" w:fill="auto"/>
            <w:vAlign w:val="center"/>
          </w:tcPr>
          <w:p w14:paraId="0670C4EB">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6</w:t>
            </w:r>
          </w:p>
        </w:tc>
        <w:tc>
          <w:tcPr>
            <w:tcW w:w="6303" w:type="dxa"/>
            <w:vAlign w:val="center"/>
          </w:tcPr>
          <w:p w14:paraId="3EF98398">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依法缴纳近六个月内任意一个月的社会保险证明</w:t>
            </w:r>
            <w:r>
              <w:rPr>
                <w:rFonts w:hint="eastAsia" w:ascii="微软雅黑" w:hAnsi="微软雅黑" w:eastAsia="微软雅黑" w:cs="微软雅黑"/>
                <w:color w:val="auto"/>
                <w:spacing w:val="-2"/>
                <w:szCs w:val="21"/>
                <w:highlight w:val="none"/>
              </w:rPr>
              <w:t>；</w:t>
            </w:r>
          </w:p>
        </w:tc>
        <w:tc>
          <w:tcPr>
            <w:tcW w:w="1195" w:type="dxa"/>
            <w:vAlign w:val="center"/>
          </w:tcPr>
          <w:p w14:paraId="436CABE2">
            <w:pPr>
              <w:spacing w:line="360" w:lineRule="exact"/>
              <w:rPr>
                <w:rFonts w:ascii="微软雅黑" w:hAnsi="微软雅黑" w:eastAsia="微软雅黑" w:cs="微软雅黑"/>
                <w:sz w:val="24"/>
                <w:highlight w:val="none"/>
              </w:rPr>
            </w:pPr>
          </w:p>
        </w:tc>
        <w:tc>
          <w:tcPr>
            <w:tcW w:w="1184" w:type="dxa"/>
            <w:vAlign w:val="center"/>
          </w:tcPr>
          <w:p w14:paraId="697D6C6F">
            <w:pPr>
              <w:spacing w:line="360" w:lineRule="exact"/>
              <w:rPr>
                <w:rFonts w:ascii="微软雅黑" w:hAnsi="微软雅黑" w:eastAsia="微软雅黑" w:cs="微软雅黑"/>
                <w:sz w:val="24"/>
                <w:highlight w:val="none"/>
              </w:rPr>
            </w:pPr>
          </w:p>
        </w:tc>
        <w:tc>
          <w:tcPr>
            <w:tcW w:w="1237" w:type="dxa"/>
            <w:vAlign w:val="center"/>
          </w:tcPr>
          <w:p w14:paraId="3D8D48AF">
            <w:pPr>
              <w:spacing w:line="360" w:lineRule="exact"/>
              <w:rPr>
                <w:rFonts w:ascii="微软雅黑" w:hAnsi="微软雅黑" w:eastAsia="微软雅黑" w:cs="微软雅黑"/>
                <w:sz w:val="24"/>
                <w:highlight w:val="none"/>
              </w:rPr>
            </w:pPr>
          </w:p>
        </w:tc>
      </w:tr>
      <w:tr w14:paraId="4F2E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7" w:type="dxa"/>
            <w:shd w:val="clear" w:color="auto" w:fill="auto"/>
            <w:vAlign w:val="center"/>
          </w:tcPr>
          <w:p w14:paraId="1E4DCA66">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7</w:t>
            </w:r>
          </w:p>
        </w:tc>
        <w:tc>
          <w:tcPr>
            <w:tcW w:w="6303" w:type="dxa"/>
            <w:vAlign w:val="center"/>
          </w:tcPr>
          <w:p w14:paraId="6EC7BE2D">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szCs w:val="21"/>
                <w:highlight w:val="none"/>
                <w:lang w:eastAsia="zh-CN"/>
              </w:rPr>
              <w:t>依法缴纳近六个月内任意一个月的税收证明</w:t>
            </w:r>
            <w:r>
              <w:rPr>
                <w:rFonts w:hint="eastAsia" w:ascii="微软雅黑" w:hAnsi="微软雅黑" w:eastAsia="微软雅黑" w:cs="微软雅黑"/>
                <w:color w:val="auto"/>
                <w:spacing w:val="-2"/>
                <w:szCs w:val="21"/>
                <w:highlight w:val="none"/>
              </w:rPr>
              <w:t>；</w:t>
            </w:r>
          </w:p>
        </w:tc>
        <w:tc>
          <w:tcPr>
            <w:tcW w:w="1195" w:type="dxa"/>
            <w:vAlign w:val="center"/>
          </w:tcPr>
          <w:p w14:paraId="3784DC82">
            <w:pPr>
              <w:spacing w:line="360" w:lineRule="exact"/>
              <w:rPr>
                <w:rFonts w:ascii="微软雅黑" w:hAnsi="微软雅黑" w:eastAsia="微软雅黑" w:cs="微软雅黑"/>
                <w:sz w:val="24"/>
                <w:highlight w:val="none"/>
              </w:rPr>
            </w:pPr>
          </w:p>
        </w:tc>
        <w:tc>
          <w:tcPr>
            <w:tcW w:w="1184" w:type="dxa"/>
            <w:vAlign w:val="center"/>
          </w:tcPr>
          <w:p w14:paraId="04C0C67F">
            <w:pPr>
              <w:spacing w:line="360" w:lineRule="exact"/>
              <w:rPr>
                <w:rFonts w:ascii="微软雅黑" w:hAnsi="微软雅黑" w:eastAsia="微软雅黑" w:cs="微软雅黑"/>
                <w:sz w:val="24"/>
                <w:highlight w:val="none"/>
              </w:rPr>
            </w:pPr>
          </w:p>
        </w:tc>
        <w:tc>
          <w:tcPr>
            <w:tcW w:w="1237" w:type="dxa"/>
            <w:vAlign w:val="center"/>
          </w:tcPr>
          <w:p w14:paraId="4A8FFEDE">
            <w:pPr>
              <w:spacing w:line="360" w:lineRule="exact"/>
              <w:rPr>
                <w:rFonts w:ascii="微软雅黑" w:hAnsi="微软雅黑" w:eastAsia="微软雅黑" w:cs="微软雅黑"/>
                <w:sz w:val="24"/>
                <w:highlight w:val="none"/>
              </w:rPr>
            </w:pPr>
          </w:p>
        </w:tc>
      </w:tr>
      <w:tr w14:paraId="0F14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7" w:type="dxa"/>
            <w:shd w:val="clear" w:color="auto" w:fill="auto"/>
            <w:vAlign w:val="center"/>
          </w:tcPr>
          <w:p w14:paraId="71B9F171">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8</w:t>
            </w:r>
          </w:p>
        </w:tc>
        <w:tc>
          <w:tcPr>
            <w:tcW w:w="6303" w:type="dxa"/>
            <w:vAlign w:val="center"/>
          </w:tcPr>
          <w:p w14:paraId="4D80060A">
            <w:pPr>
              <w:keepNext w:val="0"/>
              <w:keepLines w:val="0"/>
              <w:pageBreakBefore w:val="0"/>
              <w:widowControl w:val="0"/>
              <w:kinsoku/>
              <w:wordWrap w:val="0"/>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kern w:val="2"/>
                <w:sz w:val="21"/>
                <w:szCs w:val="21"/>
                <w:highlight w:val="none"/>
                <w:lang w:val="en-US" w:eastAsia="zh-CN" w:bidi="ar-SA"/>
              </w:rPr>
              <w:t>根据《财政部关于在政府采购活动中查询及使用信用记录有关问题的通知》（财库﹝2016﹞125号）的要求，凡拟参加本次招标项目的供应商，如在“信用中国”网站（https://www.creditchina.gov.cn/）被列入失信被执行人、重大税收违法失信主体名单（信息公示-重点领域严重失信主体名单查询-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p>
        </w:tc>
        <w:tc>
          <w:tcPr>
            <w:tcW w:w="1195" w:type="dxa"/>
            <w:vAlign w:val="center"/>
          </w:tcPr>
          <w:p w14:paraId="460645C1">
            <w:pPr>
              <w:spacing w:line="360" w:lineRule="exact"/>
              <w:rPr>
                <w:rFonts w:ascii="微软雅黑" w:hAnsi="微软雅黑" w:eastAsia="微软雅黑" w:cs="微软雅黑"/>
                <w:sz w:val="24"/>
                <w:highlight w:val="none"/>
              </w:rPr>
            </w:pPr>
          </w:p>
        </w:tc>
        <w:tc>
          <w:tcPr>
            <w:tcW w:w="1184" w:type="dxa"/>
            <w:vAlign w:val="center"/>
          </w:tcPr>
          <w:p w14:paraId="7D2E87BA">
            <w:pPr>
              <w:spacing w:line="360" w:lineRule="exact"/>
              <w:rPr>
                <w:rFonts w:ascii="微软雅黑" w:hAnsi="微软雅黑" w:eastAsia="微软雅黑" w:cs="微软雅黑"/>
                <w:sz w:val="24"/>
                <w:highlight w:val="none"/>
              </w:rPr>
            </w:pPr>
          </w:p>
        </w:tc>
        <w:tc>
          <w:tcPr>
            <w:tcW w:w="1237" w:type="dxa"/>
            <w:vAlign w:val="center"/>
          </w:tcPr>
          <w:p w14:paraId="7ED8380B">
            <w:pPr>
              <w:spacing w:line="360" w:lineRule="exact"/>
              <w:rPr>
                <w:rFonts w:ascii="微软雅黑" w:hAnsi="微软雅黑" w:eastAsia="微软雅黑" w:cs="微软雅黑"/>
                <w:sz w:val="24"/>
                <w:highlight w:val="none"/>
              </w:rPr>
            </w:pPr>
          </w:p>
        </w:tc>
      </w:tr>
      <w:tr w14:paraId="20F5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7" w:type="dxa"/>
            <w:shd w:val="clear" w:color="auto" w:fill="auto"/>
            <w:vAlign w:val="center"/>
          </w:tcPr>
          <w:p w14:paraId="52EBD487">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color w:val="auto"/>
                <w:spacing w:val="-2"/>
                <w:szCs w:val="21"/>
                <w:highlight w:val="none"/>
                <w:lang w:val="en-US" w:eastAsia="zh-CN"/>
              </w:rPr>
              <w:t>9</w:t>
            </w:r>
          </w:p>
        </w:tc>
        <w:tc>
          <w:tcPr>
            <w:tcW w:w="6303" w:type="dxa"/>
            <w:vAlign w:val="center"/>
          </w:tcPr>
          <w:p w14:paraId="070B09A2">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z w:val="24"/>
                <w:highlight w:val="none"/>
              </w:rPr>
            </w:pPr>
            <w:r>
              <w:rPr>
                <w:rFonts w:hint="eastAsia" w:ascii="微软雅黑" w:hAnsi="微软雅黑" w:eastAsia="微软雅黑" w:cs="微软雅黑"/>
                <w:color w:val="auto"/>
                <w:spacing w:val="-2"/>
                <w:kern w:val="2"/>
                <w:sz w:val="21"/>
                <w:szCs w:val="21"/>
                <w:highlight w:val="none"/>
                <w:lang w:val="en-US" w:eastAsia="zh-CN" w:bidi="ar-SA"/>
              </w:rPr>
              <w:t>参加政府采购活动前三年内在经营活动中没有重大违法记录的书面声明</w:t>
            </w:r>
          </w:p>
        </w:tc>
        <w:tc>
          <w:tcPr>
            <w:tcW w:w="1195" w:type="dxa"/>
            <w:vAlign w:val="center"/>
          </w:tcPr>
          <w:p w14:paraId="73324595">
            <w:pPr>
              <w:spacing w:line="360" w:lineRule="exact"/>
              <w:rPr>
                <w:rFonts w:ascii="微软雅黑" w:hAnsi="微软雅黑" w:eastAsia="微软雅黑" w:cs="微软雅黑"/>
                <w:sz w:val="24"/>
                <w:highlight w:val="none"/>
              </w:rPr>
            </w:pPr>
          </w:p>
        </w:tc>
        <w:tc>
          <w:tcPr>
            <w:tcW w:w="1184" w:type="dxa"/>
            <w:vAlign w:val="center"/>
          </w:tcPr>
          <w:p w14:paraId="1C16376A">
            <w:pPr>
              <w:spacing w:line="360" w:lineRule="exact"/>
              <w:rPr>
                <w:rFonts w:ascii="微软雅黑" w:hAnsi="微软雅黑" w:eastAsia="微软雅黑" w:cs="微软雅黑"/>
                <w:sz w:val="24"/>
                <w:highlight w:val="none"/>
              </w:rPr>
            </w:pPr>
          </w:p>
        </w:tc>
        <w:tc>
          <w:tcPr>
            <w:tcW w:w="1237" w:type="dxa"/>
            <w:vAlign w:val="center"/>
          </w:tcPr>
          <w:p w14:paraId="01A46811">
            <w:pPr>
              <w:spacing w:line="360" w:lineRule="exact"/>
              <w:rPr>
                <w:rFonts w:ascii="微软雅黑" w:hAnsi="微软雅黑" w:eastAsia="微软雅黑" w:cs="微软雅黑"/>
                <w:sz w:val="24"/>
                <w:highlight w:val="none"/>
              </w:rPr>
            </w:pPr>
          </w:p>
        </w:tc>
      </w:tr>
      <w:tr w14:paraId="29ED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7" w:type="dxa"/>
            <w:shd w:val="clear" w:color="auto" w:fill="auto"/>
            <w:vAlign w:val="center"/>
          </w:tcPr>
          <w:p w14:paraId="36773CC3">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微软雅黑" w:hAnsi="微软雅黑" w:eastAsia="微软雅黑" w:cs="微软雅黑"/>
                <w:color w:val="auto"/>
                <w:spacing w:val="-2"/>
                <w:szCs w:val="21"/>
                <w:highlight w:val="none"/>
                <w:lang w:val="en-US" w:eastAsia="zh-CN"/>
              </w:rPr>
            </w:pPr>
            <w:r>
              <w:rPr>
                <w:rFonts w:hint="eastAsia" w:ascii="微软雅黑" w:hAnsi="微软雅黑" w:eastAsia="微软雅黑" w:cs="微软雅黑"/>
                <w:color w:val="auto"/>
                <w:spacing w:val="-2"/>
                <w:szCs w:val="21"/>
                <w:highlight w:val="none"/>
                <w:lang w:val="en-US" w:eastAsia="zh-CN"/>
              </w:rPr>
              <w:t>10</w:t>
            </w:r>
          </w:p>
        </w:tc>
        <w:tc>
          <w:tcPr>
            <w:tcW w:w="6303" w:type="dxa"/>
            <w:vAlign w:val="center"/>
          </w:tcPr>
          <w:p w14:paraId="4D5E9245">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具备履行合同所必需的设备和专业技术能力的证明材料</w:t>
            </w:r>
          </w:p>
        </w:tc>
        <w:tc>
          <w:tcPr>
            <w:tcW w:w="1195" w:type="dxa"/>
            <w:vAlign w:val="center"/>
          </w:tcPr>
          <w:p w14:paraId="7F6470B5">
            <w:pPr>
              <w:spacing w:line="360" w:lineRule="exact"/>
              <w:rPr>
                <w:rFonts w:ascii="微软雅黑" w:hAnsi="微软雅黑" w:eastAsia="微软雅黑" w:cs="微软雅黑"/>
                <w:sz w:val="24"/>
                <w:highlight w:val="none"/>
              </w:rPr>
            </w:pPr>
          </w:p>
        </w:tc>
        <w:tc>
          <w:tcPr>
            <w:tcW w:w="1184" w:type="dxa"/>
            <w:vAlign w:val="center"/>
          </w:tcPr>
          <w:p w14:paraId="3026F475">
            <w:pPr>
              <w:spacing w:line="360" w:lineRule="exact"/>
              <w:rPr>
                <w:rFonts w:ascii="微软雅黑" w:hAnsi="微软雅黑" w:eastAsia="微软雅黑" w:cs="微软雅黑"/>
                <w:sz w:val="24"/>
                <w:highlight w:val="none"/>
              </w:rPr>
            </w:pPr>
          </w:p>
        </w:tc>
        <w:tc>
          <w:tcPr>
            <w:tcW w:w="1237" w:type="dxa"/>
            <w:vAlign w:val="center"/>
          </w:tcPr>
          <w:p w14:paraId="64D9C33A">
            <w:pPr>
              <w:spacing w:line="360" w:lineRule="exact"/>
              <w:rPr>
                <w:rFonts w:ascii="微软雅黑" w:hAnsi="微软雅黑" w:eastAsia="微软雅黑" w:cs="微软雅黑"/>
                <w:sz w:val="24"/>
                <w:highlight w:val="none"/>
              </w:rPr>
            </w:pPr>
          </w:p>
        </w:tc>
      </w:tr>
      <w:tr w14:paraId="657D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7" w:type="dxa"/>
            <w:shd w:val="clear" w:color="auto" w:fill="auto"/>
            <w:vAlign w:val="center"/>
          </w:tcPr>
          <w:p w14:paraId="406F5D7D">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微软雅黑" w:hAnsi="微软雅黑" w:eastAsia="微软雅黑" w:cs="微软雅黑"/>
                <w:color w:val="auto"/>
                <w:spacing w:val="-2"/>
                <w:szCs w:val="21"/>
                <w:highlight w:val="none"/>
                <w:lang w:val="en-US" w:eastAsia="zh-CN"/>
              </w:rPr>
            </w:pPr>
            <w:r>
              <w:rPr>
                <w:rFonts w:hint="eastAsia" w:ascii="微软雅黑" w:hAnsi="微软雅黑" w:eastAsia="微软雅黑" w:cs="微软雅黑"/>
                <w:color w:val="auto"/>
                <w:spacing w:val="-2"/>
                <w:szCs w:val="21"/>
                <w:highlight w:val="none"/>
                <w:lang w:val="en-US" w:eastAsia="zh-CN"/>
              </w:rPr>
              <w:t>11</w:t>
            </w:r>
          </w:p>
        </w:tc>
        <w:tc>
          <w:tcPr>
            <w:tcW w:w="6303" w:type="dxa"/>
            <w:vAlign w:val="center"/>
          </w:tcPr>
          <w:p w14:paraId="175D0391">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缴纳磋商保证金的有效凭证。</w:t>
            </w:r>
          </w:p>
        </w:tc>
        <w:tc>
          <w:tcPr>
            <w:tcW w:w="1195" w:type="dxa"/>
            <w:vAlign w:val="center"/>
          </w:tcPr>
          <w:p w14:paraId="2A75250D">
            <w:pPr>
              <w:spacing w:line="360" w:lineRule="exact"/>
              <w:rPr>
                <w:rFonts w:ascii="微软雅黑" w:hAnsi="微软雅黑" w:eastAsia="微软雅黑" w:cs="微软雅黑"/>
                <w:sz w:val="24"/>
                <w:highlight w:val="none"/>
              </w:rPr>
            </w:pPr>
          </w:p>
        </w:tc>
        <w:tc>
          <w:tcPr>
            <w:tcW w:w="1184" w:type="dxa"/>
            <w:vAlign w:val="center"/>
          </w:tcPr>
          <w:p w14:paraId="05005A0E">
            <w:pPr>
              <w:spacing w:line="360" w:lineRule="exact"/>
              <w:rPr>
                <w:rFonts w:ascii="微软雅黑" w:hAnsi="微软雅黑" w:eastAsia="微软雅黑" w:cs="微软雅黑"/>
                <w:sz w:val="24"/>
                <w:highlight w:val="none"/>
              </w:rPr>
            </w:pPr>
          </w:p>
        </w:tc>
        <w:tc>
          <w:tcPr>
            <w:tcW w:w="1237" w:type="dxa"/>
            <w:vAlign w:val="center"/>
          </w:tcPr>
          <w:p w14:paraId="0AD0C991">
            <w:pPr>
              <w:spacing w:line="360" w:lineRule="exact"/>
              <w:rPr>
                <w:rFonts w:ascii="微软雅黑" w:hAnsi="微软雅黑" w:eastAsia="微软雅黑" w:cs="微软雅黑"/>
                <w:sz w:val="24"/>
                <w:highlight w:val="none"/>
              </w:rPr>
            </w:pPr>
          </w:p>
        </w:tc>
      </w:tr>
      <w:tr w14:paraId="24D6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860" w:type="dxa"/>
            <w:gridSpan w:val="2"/>
            <w:vAlign w:val="center"/>
          </w:tcPr>
          <w:p w14:paraId="2227EF7F">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sz w:val="24"/>
                <w:highlight w:val="none"/>
              </w:rPr>
            </w:pPr>
            <w:r>
              <w:rPr>
                <w:rFonts w:hint="eastAsia" w:ascii="微软雅黑" w:hAnsi="微软雅黑" w:eastAsia="微软雅黑" w:cs="微软雅黑"/>
                <w:color w:val="auto"/>
                <w:spacing w:val="-2"/>
                <w:sz w:val="20"/>
                <w:szCs w:val="20"/>
                <w:highlight w:val="none"/>
                <w:lang w:val="en-US" w:eastAsia="zh-CN"/>
              </w:rPr>
              <w:t>结论</w:t>
            </w:r>
          </w:p>
        </w:tc>
        <w:tc>
          <w:tcPr>
            <w:tcW w:w="1195" w:type="dxa"/>
            <w:vAlign w:val="center"/>
          </w:tcPr>
          <w:p w14:paraId="7A463C93">
            <w:pPr>
              <w:spacing w:line="360" w:lineRule="exact"/>
              <w:rPr>
                <w:rFonts w:ascii="微软雅黑" w:hAnsi="微软雅黑" w:eastAsia="微软雅黑" w:cs="微软雅黑"/>
                <w:sz w:val="24"/>
                <w:highlight w:val="none"/>
              </w:rPr>
            </w:pPr>
          </w:p>
        </w:tc>
        <w:tc>
          <w:tcPr>
            <w:tcW w:w="1184" w:type="dxa"/>
            <w:vAlign w:val="center"/>
          </w:tcPr>
          <w:p w14:paraId="0D51F787">
            <w:pPr>
              <w:spacing w:line="360" w:lineRule="exact"/>
              <w:rPr>
                <w:rFonts w:ascii="微软雅黑" w:hAnsi="微软雅黑" w:eastAsia="微软雅黑" w:cs="微软雅黑"/>
                <w:sz w:val="24"/>
                <w:highlight w:val="none"/>
              </w:rPr>
            </w:pPr>
          </w:p>
        </w:tc>
        <w:tc>
          <w:tcPr>
            <w:tcW w:w="1237" w:type="dxa"/>
            <w:vAlign w:val="center"/>
          </w:tcPr>
          <w:p w14:paraId="4B17F159">
            <w:pPr>
              <w:spacing w:line="360" w:lineRule="exact"/>
              <w:rPr>
                <w:rFonts w:ascii="微软雅黑" w:hAnsi="微软雅黑" w:eastAsia="微软雅黑" w:cs="微软雅黑"/>
                <w:sz w:val="24"/>
                <w:highlight w:val="none"/>
              </w:rPr>
            </w:pPr>
          </w:p>
        </w:tc>
      </w:tr>
    </w:tbl>
    <w:p w14:paraId="5EAF7DE3">
      <w:pPr>
        <w:spacing w:line="320" w:lineRule="exact"/>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未通过资格审查的供应商不进入评审；通过资格审查的供应商不足三家的，不得评审。</w:t>
      </w:r>
    </w:p>
    <w:p w14:paraId="7406365F">
      <w:pPr>
        <w:pStyle w:val="26"/>
        <w:ind w:firstLine="480"/>
        <w:rPr>
          <w:rFonts w:ascii="微软雅黑" w:hAnsi="微软雅黑" w:eastAsia="微软雅黑" w:cs="微软雅黑"/>
          <w:b/>
          <w:bCs/>
          <w:szCs w:val="21"/>
          <w:highlight w:val="none"/>
        </w:rPr>
      </w:pPr>
    </w:p>
    <w:p w14:paraId="79C6A0FD">
      <w:pPr>
        <w:pStyle w:val="8"/>
        <w:rPr>
          <w:rFonts w:ascii="微软雅黑" w:hAnsi="微软雅黑" w:eastAsia="微软雅黑" w:cs="微软雅黑"/>
          <w:b/>
          <w:bCs/>
          <w:szCs w:val="21"/>
          <w:highlight w:val="none"/>
        </w:rPr>
      </w:pPr>
    </w:p>
    <w:p w14:paraId="63CEA89D">
      <w:pPr>
        <w:pStyle w:val="9"/>
        <w:ind w:left="0" w:leftChars="0" w:firstLine="0" w:firstLineChars="0"/>
        <w:rPr>
          <w:highlight w:val="none"/>
        </w:rPr>
      </w:pPr>
    </w:p>
    <w:bookmarkEnd w:id="978"/>
    <w:p w14:paraId="409C4677">
      <w:pPr>
        <w:rPr>
          <w:rFonts w:hint="eastAsia" w:ascii="微软雅黑" w:hAnsi="微软雅黑" w:eastAsia="微软雅黑" w:cs="微软雅黑"/>
          <w:highlight w:val="none"/>
        </w:rPr>
      </w:pPr>
      <w:bookmarkStart w:id="997" w:name="_Toc7284"/>
      <w:r>
        <w:rPr>
          <w:rFonts w:hint="eastAsia" w:ascii="微软雅黑" w:hAnsi="微软雅黑" w:eastAsia="微软雅黑" w:cs="微软雅黑"/>
          <w:highlight w:val="none"/>
        </w:rPr>
        <w:br w:type="page"/>
      </w:r>
    </w:p>
    <w:p w14:paraId="49C9C76C">
      <w:pPr>
        <w:pStyle w:val="6"/>
        <w:rPr>
          <w:rFonts w:ascii="微软雅黑" w:hAnsi="微软雅黑" w:eastAsia="微软雅黑" w:cs="微软雅黑"/>
          <w:highlight w:val="none"/>
        </w:rPr>
      </w:pPr>
      <w:bookmarkStart w:id="998" w:name="_Toc20698"/>
      <w:r>
        <w:rPr>
          <w:rFonts w:hint="eastAsia" w:ascii="微软雅黑" w:hAnsi="微软雅黑" w:eastAsia="微软雅黑" w:cs="微软雅黑"/>
          <w:highlight w:val="none"/>
        </w:rPr>
        <w:t>初步评审—符合性审查表</w:t>
      </w:r>
      <w:bookmarkEnd w:id="997"/>
      <w:bookmarkEnd w:id="998"/>
    </w:p>
    <w:tbl>
      <w:tblPr>
        <w:tblStyle w:val="27"/>
        <w:tblpPr w:leftFromText="180" w:rightFromText="180" w:vertAnchor="text" w:horzAnchor="page" w:tblpXSpec="center" w:tblpY="262"/>
        <w:tblOverlap w:val="never"/>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511"/>
        <w:gridCol w:w="1178"/>
      </w:tblGrid>
      <w:tr w14:paraId="4F3F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41" w:type="dxa"/>
            <w:gridSpan w:val="2"/>
            <w:vAlign w:val="center"/>
          </w:tcPr>
          <w:p w14:paraId="013AD856">
            <w:pPr>
              <w:spacing w:line="40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b/>
                <w:bCs/>
                <w:spacing w:val="-2"/>
                <w:sz w:val="24"/>
                <w:highlight w:val="none"/>
              </w:rPr>
              <w:t>评审内容</w:t>
            </w:r>
          </w:p>
        </w:tc>
        <w:tc>
          <w:tcPr>
            <w:tcW w:w="1178" w:type="dxa"/>
            <w:vAlign w:val="center"/>
          </w:tcPr>
          <w:p w14:paraId="3A0B126F">
            <w:pPr>
              <w:spacing w:line="40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b/>
                <w:sz w:val="24"/>
                <w:highlight w:val="none"/>
              </w:rPr>
              <w:t>评审意见</w:t>
            </w:r>
          </w:p>
        </w:tc>
      </w:tr>
      <w:tr w14:paraId="0B26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6C8234BD">
            <w:pPr>
              <w:spacing w:line="400" w:lineRule="exact"/>
              <w:jc w:val="center"/>
              <w:rPr>
                <w:rFonts w:ascii="微软雅黑" w:hAnsi="微软雅黑" w:eastAsia="微软雅黑" w:cs="微软雅黑"/>
                <w:b/>
                <w:bCs/>
                <w:sz w:val="24"/>
                <w:highlight w:val="none"/>
              </w:rPr>
            </w:pPr>
            <w:r>
              <w:rPr>
                <w:rFonts w:hint="eastAsia" w:ascii="微软雅黑" w:hAnsi="微软雅黑" w:eastAsia="微软雅黑" w:cs="微软雅黑"/>
                <w:b/>
                <w:bCs/>
                <w:sz w:val="24"/>
                <w:highlight w:val="none"/>
              </w:rPr>
              <w:t>序号</w:t>
            </w:r>
          </w:p>
        </w:tc>
        <w:tc>
          <w:tcPr>
            <w:tcW w:w="7511" w:type="dxa"/>
            <w:vAlign w:val="center"/>
          </w:tcPr>
          <w:p w14:paraId="023B0F5C">
            <w:pPr>
              <w:spacing w:line="400" w:lineRule="exact"/>
              <w:rPr>
                <w:rFonts w:ascii="微软雅黑" w:hAnsi="微软雅黑" w:eastAsia="微软雅黑" w:cs="微软雅黑"/>
                <w:b/>
                <w:bCs/>
                <w:spacing w:val="-2"/>
                <w:sz w:val="24"/>
                <w:highlight w:val="none"/>
              </w:rPr>
            </w:pPr>
          </w:p>
        </w:tc>
        <w:tc>
          <w:tcPr>
            <w:tcW w:w="1178" w:type="dxa"/>
            <w:vAlign w:val="center"/>
          </w:tcPr>
          <w:p w14:paraId="6C2FC5C9">
            <w:pPr>
              <w:spacing w:line="400" w:lineRule="exact"/>
              <w:jc w:val="center"/>
              <w:rPr>
                <w:rFonts w:ascii="微软雅黑" w:hAnsi="微软雅黑" w:eastAsia="微软雅黑" w:cs="微软雅黑"/>
                <w:b/>
                <w:bCs/>
                <w:spacing w:val="-2"/>
                <w:sz w:val="24"/>
                <w:highlight w:val="none"/>
              </w:rPr>
            </w:pPr>
            <w:r>
              <w:rPr>
                <w:rFonts w:hint="eastAsia" w:ascii="微软雅黑" w:hAnsi="微软雅黑" w:eastAsia="微软雅黑" w:cs="微软雅黑"/>
                <w:b/>
                <w:bCs/>
                <w:spacing w:val="-2"/>
                <w:sz w:val="24"/>
                <w:highlight w:val="none"/>
              </w:rPr>
              <w:t>是否合格</w:t>
            </w:r>
          </w:p>
        </w:tc>
      </w:tr>
      <w:tr w14:paraId="7D73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2435CA53">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z w:val="24"/>
                <w:highlight w:val="none"/>
              </w:rPr>
            </w:pPr>
            <w:r>
              <w:rPr>
                <w:rFonts w:hint="eastAsia" w:ascii="微软雅黑" w:hAnsi="微软雅黑" w:eastAsia="微软雅黑" w:cs="微软雅黑"/>
                <w:color w:val="auto"/>
                <w:spacing w:val="-2"/>
                <w:sz w:val="24"/>
                <w:szCs w:val="24"/>
                <w:highlight w:val="none"/>
              </w:rPr>
              <w:t>1</w:t>
            </w:r>
          </w:p>
        </w:tc>
        <w:tc>
          <w:tcPr>
            <w:tcW w:w="7511" w:type="dxa"/>
            <w:vAlign w:val="center"/>
          </w:tcPr>
          <w:p w14:paraId="21D0C8BB">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各供应商投标报价未高于</w:t>
            </w:r>
            <w:r>
              <w:rPr>
                <w:rFonts w:hint="eastAsia" w:ascii="微软雅黑" w:hAnsi="微软雅黑" w:eastAsia="微软雅黑" w:cs="微软雅黑"/>
                <w:color w:val="auto"/>
                <w:spacing w:val="-2"/>
                <w:sz w:val="24"/>
                <w:szCs w:val="24"/>
                <w:highlight w:val="none"/>
                <w:lang w:val="en-US" w:eastAsia="zh-CN"/>
              </w:rPr>
              <w:t>最高限价</w:t>
            </w:r>
            <w:r>
              <w:rPr>
                <w:rFonts w:hint="eastAsia" w:ascii="微软雅黑" w:hAnsi="微软雅黑" w:eastAsia="微软雅黑" w:cs="微软雅黑"/>
                <w:color w:val="auto"/>
                <w:spacing w:val="-2"/>
                <w:sz w:val="24"/>
                <w:szCs w:val="24"/>
                <w:highlight w:val="none"/>
              </w:rPr>
              <w:t>；</w:t>
            </w:r>
          </w:p>
        </w:tc>
        <w:tc>
          <w:tcPr>
            <w:tcW w:w="1178" w:type="dxa"/>
            <w:vAlign w:val="center"/>
          </w:tcPr>
          <w:p w14:paraId="49459205">
            <w:pPr>
              <w:spacing w:line="400" w:lineRule="exact"/>
              <w:jc w:val="center"/>
              <w:rPr>
                <w:rFonts w:ascii="微软雅黑" w:hAnsi="微软雅黑" w:eastAsia="微软雅黑" w:cs="微软雅黑"/>
                <w:spacing w:val="-2"/>
                <w:sz w:val="24"/>
                <w:highlight w:val="none"/>
              </w:rPr>
            </w:pPr>
          </w:p>
        </w:tc>
      </w:tr>
      <w:tr w14:paraId="4565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5F671233">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2</w:t>
            </w:r>
          </w:p>
        </w:tc>
        <w:tc>
          <w:tcPr>
            <w:tcW w:w="7511" w:type="dxa"/>
            <w:vAlign w:val="center"/>
          </w:tcPr>
          <w:p w14:paraId="7C549A50">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评标委员会认为供应商的报价无明显低于其他通过</w:t>
            </w:r>
            <w:r>
              <w:rPr>
                <w:rFonts w:hint="eastAsia" w:ascii="微软雅黑" w:hAnsi="微软雅黑" w:eastAsia="微软雅黑" w:cs="微软雅黑"/>
                <w:color w:val="auto"/>
                <w:spacing w:val="-2"/>
                <w:sz w:val="24"/>
                <w:szCs w:val="24"/>
                <w:highlight w:val="none"/>
                <w:lang w:val="en-US" w:eastAsia="zh-CN"/>
              </w:rPr>
              <w:t>符合</w:t>
            </w:r>
            <w:r>
              <w:rPr>
                <w:rFonts w:hint="eastAsia" w:ascii="微软雅黑" w:hAnsi="微软雅黑" w:eastAsia="微软雅黑" w:cs="微软雅黑"/>
                <w:color w:val="auto"/>
                <w:spacing w:val="-2"/>
                <w:sz w:val="24"/>
                <w:szCs w:val="24"/>
                <w:highlight w:val="none"/>
              </w:rPr>
              <w:t>性审查供应商的报价的，供应商的报价不存在异常一致并成规律性的，其报价合理；</w:t>
            </w:r>
          </w:p>
        </w:tc>
        <w:tc>
          <w:tcPr>
            <w:tcW w:w="1178" w:type="dxa"/>
            <w:vAlign w:val="center"/>
          </w:tcPr>
          <w:p w14:paraId="7E28EED5">
            <w:pPr>
              <w:spacing w:line="400" w:lineRule="exact"/>
              <w:jc w:val="center"/>
              <w:rPr>
                <w:rFonts w:ascii="微软雅黑" w:hAnsi="微软雅黑" w:eastAsia="微软雅黑" w:cs="微软雅黑"/>
                <w:spacing w:val="-2"/>
                <w:sz w:val="24"/>
                <w:highlight w:val="none"/>
              </w:rPr>
            </w:pPr>
          </w:p>
        </w:tc>
      </w:tr>
      <w:tr w14:paraId="6D64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767103B1">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kern w:val="2"/>
                <w:sz w:val="24"/>
                <w:szCs w:val="24"/>
                <w:highlight w:val="none"/>
                <w:lang w:val="en-US" w:eastAsia="zh-CN" w:bidi="ar-SA"/>
              </w:rPr>
              <w:t>3</w:t>
            </w:r>
          </w:p>
        </w:tc>
        <w:tc>
          <w:tcPr>
            <w:tcW w:w="7511" w:type="dxa"/>
            <w:vAlign w:val="center"/>
          </w:tcPr>
          <w:p w14:paraId="41594469">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投标文件按照</w:t>
            </w:r>
            <w:r>
              <w:rPr>
                <w:rFonts w:hint="eastAsia" w:ascii="微软雅黑" w:hAnsi="微软雅黑" w:eastAsia="微软雅黑" w:cs="微软雅黑"/>
                <w:color w:val="auto"/>
                <w:spacing w:val="-2"/>
                <w:sz w:val="24"/>
                <w:szCs w:val="24"/>
                <w:highlight w:val="none"/>
                <w:lang w:eastAsia="zh-CN"/>
              </w:rPr>
              <w:t>磋商</w:t>
            </w:r>
            <w:r>
              <w:rPr>
                <w:rFonts w:hint="eastAsia" w:ascii="微软雅黑" w:hAnsi="微软雅黑" w:eastAsia="微软雅黑" w:cs="微软雅黑"/>
                <w:color w:val="auto"/>
                <w:spacing w:val="-2"/>
                <w:sz w:val="24"/>
                <w:szCs w:val="24"/>
                <w:highlight w:val="none"/>
              </w:rPr>
              <w:t>文件的规定编制、标记及签署盖章的，法定代表人</w:t>
            </w:r>
            <w:r>
              <w:rPr>
                <w:rFonts w:hint="eastAsia" w:ascii="微软雅黑" w:hAnsi="微软雅黑" w:eastAsia="微软雅黑" w:cs="微软雅黑"/>
                <w:color w:val="auto"/>
                <w:spacing w:val="-2"/>
                <w:sz w:val="24"/>
                <w:szCs w:val="24"/>
                <w:highlight w:val="none"/>
                <w:lang w:val="en-US" w:eastAsia="zh-CN"/>
              </w:rPr>
              <w:t>签/</w:t>
            </w:r>
            <w:r>
              <w:rPr>
                <w:rFonts w:hint="eastAsia" w:ascii="微软雅黑" w:hAnsi="微软雅黑" w:eastAsia="微软雅黑" w:cs="微软雅黑"/>
                <w:color w:val="auto"/>
                <w:spacing w:val="-2"/>
                <w:sz w:val="24"/>
                <w:szCs w:val="24"/>
                <w:highlight w:val="none"/>
              </w:rPr>
              <w:t>章</w:t>
            </w:r>
            <w:r>
              <w:rPr>
                <w:rFonts w:hint="eastAsia" w:ascii="微软雅黑" w:hAnsi="微软雅黑" w:eastAsia="微软雅黑" w:cs="微软雅黑"/>
                <w:color w:val="auto"/>
                <w:spacing w:val="-2"/>
                <w:sz w:val="24"/>
                <w:szCs w:val="24"/>
                <w:highlight w:val="none"/>
                <w:lang w:eastAsia="zh-CN"/>
              </w:rPr>
              <w:t>；</w:t>
            </w:r>
          </w:p>
        </w:tc>
        <w:tc>
          <w:tcPr>
            <w:tcW w:w="1178" w:type="dxa"/>
            <w:vAlign w:val="center"/>
          </w:tcPr>
          <w:p w14:paraId="17401FF9">
            <w:pPr>
              <w:spacing w:line="400" w:lineRule="exact"/>
              <w:jc w:val="center"/>
              <w:rPr>
                <w:rFonts w:ascii="微软雅黑" w:hAnsi="微软雅黑" w:eastAsia="微软雅黑" w:cs="微软雅黑"/>
                <w:spacing w:val="-2"/>
                <w:sz w:val="24"/>
                <w:highlight w:val="none"/>
              </w:rPr>
            </w:pPr>
          </w:p>
        </w:tc>
      </w:tr>
      <w:tr w14:paraId="5480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761632BA">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4</w:t>
            </w:r>
          </w:p>
        </w:tc>
        <w:tc>
          <w:tcPr>
            <w:tcW w:w="7511" w:type="dxa"/>
            <w:vAlign w:val="center"/>
          </w:tcPr>
          <w:p w14:paraId="3DB573E6">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按</w:t>
            </w:r>
            <w:r>
              <w:rPr>
                <w:rFonts w:hint="eastAsia" w:ascii="微软雅黑" w:hAnsi="微软雅黑" w:eastAsia="微软雅黑" w:cs="微软雅黑"/>
                <w:color w:val="auto"/>
                <w:spacing w:val="-2"/>
                <w:sz w:val="24"/>
                <w:szCs w:val="24"/>
                <w:highlight w:val="none"/>
                <w:lang w:eastAsia="zh-CN"/>
              </w:rPr>
              <w:t>磋商</w:t>
            </w:r>
            <w:r>
              <w:rPr>
                <w:rFonts w:hint="eastAsia" w:ascii="微软雅黑" w:hAnsi="微软雅黑" w:eastAsia="微软雅黑" w:cs="微软雅黑"/>
                <w:color w:val="auto"/>
                <w:spacing w:val="-2"/>
                <w:sz w:val="24"/>
                <w:szCs w:val="24"/>
                <w:highlight w:val="none"/>
              </w:rPr>
              <w:t>文件规定的格式填写，内容</w:t>
            </w:r>
            <w:r>
              <w:rPr>
                <w:rFonts w:hint="eastAsia" w:ascii="微软雅黑" w:hAnsi="微软雅黑" w:eastAsia="微软雅黑" w:cs="微软雅黑"/>
                <w:color w:val="auto"/>
                <w:spacing w:val="-2"/>
                <w:sz w:val="24"/>
                <w:szCs w:val="24"/>
                <w:highlight w:val="none"/>
                <w:lang w:val="en-US" w:eastAsia="zh-CN"/>
              </w:rPr>
              <w:t>全面</w:t>
            </w:r>
            <w:r>
              <w:rPr>
                <w:rFonts w:hint="eastAsia" w:ascii="微软雅黑" w:hAnsi="微软雅黑" w:eastAsia="微软雅黑" w:cs="微软雅黑"/>
                <w:color w:val="auto"/>
                <w:spacing w:val="-2"/>
                <w:sz w:val="24"/>
                <w:szCs w:val="24"/>
                <w:highlight w:val="none"/>
              </w:rPr>
              <w:t>；</w:t>
            </w:r>
          </w:p>
        </w:tc>
        <w:tc>
          <w:tcPr>
            <w:tcW w:w="1178" w:type="dxa"/>
            <w:vAlign w:val="center"/>
          </w:tcPr>
          <w:p w14:paraId="30D26FBF">
            <w:pPr>
              <w:spacing w:line="400" w:lineRule="exact"/>
              <w:jc w:val="center"/>
              <w:rPr>
                <w:rFonts w:ascii="微软雅黑" w:hAnsi="微软雅黑" w:eastAsia="微软雅黑" w:cs="微软雅黑"/>
                <w:spacing w:val="-2"/>
                <w:sz w:val="24"/>
                <w:highlight w:val="none"/>
              </w:rPr>
            </w:pPr>
          </w:p>
        </w:tc>
      </w:tr>
      <w:tr w14:paraId="248B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64D71A90">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5</w:t>
            </w:r>
          </w:p>
        </w:tc>
        <w:tc>
          <w:tcPr>
            <w:tcW w:w="7511" w:type="dxa"/>
            <w:vAlign w:val="center"/>
          </w:tcPr>
          <w:p w14:paraId="26B46593">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lang w:val="en-US" w:eastAsia="zh-CN"/>
              </w:rPr>
              <w:t>符合磋商文件中规定的要求；</w:t>
            </w:r>
          </w:p>
        </w:tc>
        <w:tc>
          <w:tcPr>
            <w:tcW w:w="1178" w:type="dxa"/>
            <w:vAlign w:val="center"/>
          </w:tcPr>
          <w:p w14:paraId="704EA8BC">
            <w:pPr>
              <w:spacing w:line="400" w:lineRule="exact"/>
              <w:jc w:val="center"/>
              <w:rPr>
                <w:rFonts w:ascii="微软雅黑" w:hAnsi="微软雅黑" w:eastAsia="微软雅黑" w:cs="微软雅黑"/>
                <w:spacing w:val="-2"/>
                <w:sz w:val="24"/>
                <w:highlight w:val="none"/>
              </w:rPr>
            </w:pPr>
          </w:p>
        </w:tc>
      </w:tr>
      <w:tr w14:paraId="1AFC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14EA715D">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6</w:t>
            </w:r>
          </w:p>
        </w:tc>
        <w:tc>
          <w:tcPr>
            <w:tcW w:w="7511" w:type="dxa"/>
            <w:vAlign w:val="center"/>
          </w:tcPr>
          <w:p w14:paraId="106AD770">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没有采购人不能接受的附加条件的；</w:t>
            </w:r>
          </w:p>
        </w:tc>
        <w:tc>
          <w:tcPr>
            <w:tcW w:w="1178" w:type="dxa"/>
            <w:vAlign w:val="center"/>
          </w:tcPr>
          <w:p w14:paraId="008D17F1">
            <w:pPr>
              <w:spacing w:line="400" w:lineRule="exact"/>
              <w:jc w:val="center"/>
              <w:rPr>
                <w:rFonts w:ascii="微软雅黑" w:hAnsi="微软雅黑" w:eastAsia="微软雅黑" w:cs="微软雅黑"/>
                <w:spacing w:val="-2"/>
                <w:sz w:val="24"/>
                <w:highlight w:val="none"/>
              </w:rPr>
            </w:pPr>
          </w:p>
        </w:tc>
      </w:tr>
      <w:tr w14:paraId="7744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1A0C1D11">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7</w:t>
            </w:r>
          </w:p>
        </w:tc>
        <w:tc>
          <w:tcPr>
            <w:tcW w:w="7511" w:type="dxa"/>
            <w:vAlign w:val="center"/>
          </w:tcPr>
          <w:p w14:paraId="0C10E3C1">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不同供应商的投标文件没有错漏一致的情况；</w:t>
            </w:r>
          </w:p>
        </w:tc>
        <w:tc>
          <w:tcPr>
            <w:tcW w:w="1178" w:type="dxa"/>
            <w:vAlign w:val="center"/>
          </w:tcPr>
          <w:p w14:paraId="0E8CD187">
            <w:pPr>
              <w:spacing w:line="400" w:lineRule="exact"/>
              <w:jc w:val="center"/>
              <w:rPr>
                <w:rFonts w:ascii="微软雅黑" w:hAnsi="微软雅黑" w:eastAsia="微软雅黑" w:cs="微软雅黑"/>
                <w:spacing w:val="-2"/>
                <w:sz w:val="24"/>
                <w:highlight w:val="none"/>
              </w:rPr>
            </w:pPr>
          </w:p>
        </w:tc>
      </w:tr>
      <w:tr w14:paraId="358C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30" w:type="dxa"/>
            <w:vAlign w:val="center"/>
          </w:tcPr>
          <w:p w14:paraId="630911E4">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8</w:t>
            </w:r>
          </w:p>
        </w:tc>
        <w:tc>
          <w:tcPr>
            <w:tcW w:w="7511" w:type="dxa"/>
            <w:vAlign w:val="center"/>
          </w:tcPr>
          <w:p w14:paraId="52DA2F2F">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供应商附有详细地址、联系人、电话标明的</w:t>
            </w:r>
            <w:r>
              <w:rPr>
                <w:rFonts w:hint="eastAsia" w:ascii="微软雅黑" w:hAnsi="微软雅黑" w:eastAsia="微软雅黑" w:cs="微软雅黑"/>
                <w:color w:val="auto"/>
                <w:spacing w:val="-2"/>
                <w:sz w:val="24"/>
                <w:szCs w:val="24"/>
                <w:highlight w:val="none"/>
                <w:lang w:eastAsia="zh-CN"/>
              </w:rPr>
              <w:t>；</w:t>
            </w:r>
          </w:p>
        </w:tc>
        <w:tc>
          <w:tcPr>
            <w:tcW w:w="1178" w:type="dxa"/>
            <w:vAlign w:val="center"/>
          </w:tcPr>
          <w:p w14:paraId="7AD653F9">
            <w:pPr>
              <w:spacing w:line="400" w:lineRule="exact"/>
              <w:jc w:val="center"/>
              <w:rPr>
                <w:rFonts w:ascii="微软雅黑" w:hAnsi="微软雅黑" w:eastAsia="微软雅黑" w:cs="微软雅黑"/>
                <w:spacing w:val="-2"/>
                <w:sz w:val="24"/>
                <w:highlight w:val="none"/>
              </w:rPr>
            </w:pPr>
          </w:p>
        </w:tc>
      </w:tr>
      <w:tr w14:paraId="3B4A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0" w:type="dxa"/>
            <w:vAlign w:val="center"/>
          </w:tcPr>
          <w:p w14:paraId="7D37D2B8">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lang w:val="en-US" w:eastAsia="zh-CN"/>
              </w:rPr>
              <w:t>9</w:t>
            </w:r>
          </w:p>
        </w:tc>
        <w:tc>
          <w:tcPr>
            <w:tcW w:w="7511" w:type="dxa"/>
            <w:vAlign w:val="center"/>
          </w:tcPr>
          <w:p w14:paraId="4B834872">
            <w:pPr>
              <w:keepNext w:val="0"/>
              <w:keepLines w:val="0"/>
              <w:pageBreakBefore w:val="0"/>
              <w:widowControl w:val="0"/>
              <w:kinsoku/>
              <w:wordWrap/>
              <w:overflowPunct/>
              <w:topLinePunct w:val="0"/>
              <w:autoSpaceDE/>
              <w:autoSpaceDN/>
              <w:bidi w:val="0"/>
              <w:adjustRightInd/>
              <w:snapToGrid/>
              <w:spacing w:line="320" w:lineRule="exact"/>
              <w:jc w:val="left"/>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lang w:val="en-US" w:eastAsia="zh-CN"/>
              </w:rPr>
              <w:t>没有出现</w:t>
            </w:r>
            <w:r>
              <w:rPr>
                <w:rFonts w:hint="eastAsia" w:ascii="微软雅黑" w:hAnsi="微软雅黑" w:eastAsia="微软雅黑" w:cs="微软雅黑"/>
                <w:color w:val="auto"/>
                <w:spacing w:val="-2"/>
                <w:sz w:val="24"/>
                <w:szCs w:val="24"/>
                <w:highlight w:val="none"/>
              </w:rPr>
              <w:t>法律、法规和</w:t>
            </w:r>
            <w:r>
              <w:rPr>
                <w:rFonts w:hint="eastAsia" w:ascii="微软雅黑" w:hAnsi="微软雅黑" w:eastAsia="微软雅黑" w:cs="微软雅黑"/>
                <w:color w:val="auto"/>
                <w:spacing w:val="-2"/>
                <w:sz w:val="24"/>
                <w:szCs w:val="24"/>
                <w:highlight w:val="none"/>
                <w:lang w:eastAsia="zh-CN"/>
              </w:rPr>
              <w:t>磋商</w:t>
            </w:r>
            <w:r>
              <w:rPr>
                <w:rFonts w:hint="eastAsia" w:ascii="微软雅黑" w:hAnsi="微软雅黑" w:eastAsia="微软雅黑" w:cs="微软雅黑"/>
                <w:color w:val="auto"/>
                <w:spacing w:val="-2"/>
                <w:sz w:val="24"/>
                <w:szCs w:val="24"/>
                <w:highlight w:val="none"/>
              </w:rPr>
              <w:t>文件规定的其他无效情形</w:t>
            </w:r>
            <w:r>
              <w:rPr>
                <w:rFonts w:hint="eastAsia" w:ascii="微软雅黑" w:hAnsi="微软雅黑" w:eastAsia="微软雅黑" w:cs="微软雅黑"/>
                <w:color w:val="auto"/>
                <w:spacing w:val="-2"/>
                <w:sz w:val="24"/>
                <w:szCs w:val="24"/>
                <w:highlight w:val="none"/>
                <w:lang w:eastAsia="zh-CN"/>
              </w:rPr>
              <w:t>；</w:t>
            </w:r>
          </w:p>
        </w:tc>
        <w:tc>
          <w:tcPr>
            <w:tcW w:w="1178" w:type="dxa"/>
            <w:vAlign w:val="center"/>
          </w:tcPr>
          <w:p w14:paraId="374E879F">
            <w:pPr>
              <w:spacing w:line="400" w:lineRule="exact"/>
              <w:jc w:val="center"/>
              <w:rPr>
                <w:rFonts w:ascii="微软雅黑" w:hAnsi="微软雅黑" w:eastAsia="微软雅黑" w:cs="微软雅黑"/>
                <w:spacing w:val="-2"/>
                <w:sz w:val="24"/>
                <w:highlight w:val="none"/>
              </w:rPr>
            </w:pPr>
          </w:p>
        </w:tc>
      </w:tr>
      <w:tr w14:paraId="2BA6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30" w:type="dxa"/>
            <w:vAlign w:val="center"/>
          </w:tcPr>
          <w:p w14:paraId="23316520">
            <w:pPr>
              <w:keepNext w:val="0"/>
              <w:keepLines w:val="0"/>
              <w:pageBreakBefore w:val="0"/>
              <w:widowControl w:val="0"/>
              <w:kinsoku/>
              <w:wordWrap/>
              <w:overflowPunct/>
              <w:topLinePunct w:val="0"/>
              <w:autoSpaceDE/>
              <w:autoSpaceDN/>
              <w:bidi w:val="0"/>
              <w:adjustRightInd/>
              <w:snapToGrid/>
              <w:spacing w:line="320" w:lineRule="exact"/>
              <w:jc w:val="center"/>
              <w:rPr>
                <w:rFonts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lang w:val="en-US" w:eastAsia="zh-CN"/>
              </w:rPr>
              <w:t>10</w:t>
            </w:r>
          </w:p>
        </w:tc>
        <w:tc>
          <w:tcPr>
            <w:tcW w:w="7511" w:type="dxa"/>
            <w:vAlign w:val="center"/>
          </w:tcPr>
          <w:p w14:paraId="3312A61B">
            <w:pPr>
              <w:keepNext w:val="0"/>
              <w:keepLines w:val="0"/>
              <w:pageBreakBefore w:val="0"/>
              <w:widowControl w:val="0"/>
              <w:kinsoku/>
              <w:wordWrap/>
              <w:overflowPunct/>
              <w:topLinePunct w:val="0"/>
              <w:autoSpaceDE/>
              <w:autoSpaceDN/>
              <w:bidi w:val="0"/>
              <w:adjustRightInd/>
              <w:snapToGrid/>
              <w:spacing w:line="320" w:lineRule="exact"/>
              <w:jc w:val="left"/>
              <w:rPr>
                <w:highlight w:val="none"/>
              </w:rPr>
            </w:pPr>
            <w:r>
              <w:rPr>
                <w:rFonts w:hint="eastAsia" w:ascii="微软雅黑" w:hAnsi="微软雅黑" w:eastAsia="微软雅黑" w:cs="微软雅黑"/>
                <w:color w:val="auto"/>
                <w:spacing w:val="-2"/>
                <w:sz w:val="24"/>
                <w:szCs w:val="24"/>
                <w:highlight w:val="none"/>
                <w:lang w:val="en-US" w:eastAsia="zh-CN"/>
              </w:rPr>
              <w:t>没有出现改动</w:t>
            </w:r>
            <w:r>
              <w:rPr>
                <w:rFonts w:hint="eastAsia" w:ascii="微软雅黑" w:hAnsi="微软雅黑" w:eastAsia="微软雅黑" w:cs="微软雅黑"/>
                <w:color w:val="auto"/>
                <w:spacing w:val="-2"/>
                <w:sz w:val="24"/>
                <w:szCs w:val="24"/>
                <w:highlight w:val="none"/>
              </w:rPr>
              <w:t>规费、税金及安全文明施工费中“环境保护费、文明施工费、安全施工费”、“智慧工地基础配置费用”等不可竞争费的计费基础和费率的；</w:t>
            </w:r>
          </w:p>
        </w:tc>
        <w:tc>
          <w:tcPr>
            <w:tcW w:w="1178" w:type="dxa"/>
            <w:vAlign w:val="center"/>
          </w:tcPr>
          <w:p w14:paraId="4CE543AE">
            <w:pPr>
              <w:spacing w:line="400" w:lineRule="exact"/>
              <w:ind w:firstLine="424" w:firstLineChars="180"/>
              <w:rPr>
                <w:rFonts w:ascii="微软雅黑" w:hAnsi="微软雅黑" w:eastAsia="微软雅黑" w:cs="微软雅黑"/>
                <w:spacing w:val="-2"/>
                <w:sz w:val="24"/>
                <w:highlight w:val="none"/>
              </w:rPr>
            </w:pPr>
          </w:p>
        </w:tc>
      </w:tr>
      <w:tr w14:paraId="1F46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241" w:type="dxa"/>
            <w:gridSpan w:val="2"/>
            <w:vAlign w:val="center"/>
          </w:tcPr>
          <w:p w14:paraId="4965A469">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微软雅黑" w:hAnsi="微软雅黑" w:eastAsia="微软雅黑" w:cs="微软雅黑"/>
                <w:spacing w:val="-2"/>
                <w:sz w:val="24"/>
                <w:highlight w:val="none"/>
              </w:rPr>
            </w:pPr>
            <w:r>
              <w:rPr>
                <w:rFonts w:hint="eastAsia" w:ascii="微软雅黑" w:hAnsi="微软雅黑" w:eastAsia="微软雅黑" w:cs="微软雅黑"/>
                <w:color w:val="auto"/>
                <w:spacing w:val="-2"/>
                <w:sz w:val="24"/>
                <w:szCs w:val="24"/>
                <w:highlight w:val="none"/>
              </w:rPr>
              <w:t>结论：通过评审打“√”，未通过评审打“×”</w:t>
            </w:r>
          </w:p>
        </w:tc>
        <w:tc>
          <w:tcPr>
            <w:tcW w:w="1178" w:type="dxa"/>
            <w:vAlign w:val="center"/>
          </w:tcPr>
          <w:p w14:paraId="57276618">
            <w:pPr>
              <w:spacing w:line="400" w:lineRule="exact"/>
              <w:ind w:firstLine="424" w:firstLineChars="180"/>
              <w:rPr>
                <w:rFonts w:ascii="微软雅黑" w:hAnsi="微软雅黑" w:eastAsia="微软雅黑" w:cs="微软雅黑"/>
                <w:spacing w:val="-2"/>
                <w:sz w:val="24"/>
                <w:highlight w:val="none"/>
              </w:rPr>
            </w:pPr>
          </w:p>
        </w:tc>
      </w:tr>
    </w:tbl>
    <w:p w14:paraId="797301B3">
      <w:pPr>
        <w:ind w:left="60"/>
        <w:rPr>
          <w:rFonts w:ascii="微软雅黑" w:hAnsi="微软雅黑" w:eastAsia="微软雅黑" w:cs="微软雅黑"/>
          <w:b/>
          <w:bCs/>
          <w:szCs w:val="21"/>
          <w:highlight w:val="none"/>
        </w:rPr>
      </w:pPr>
      <w:r>
        <w:rPr>
          <w:rFonts w:hint="eastAsia" w:ascii="微软雅黑" w:hAnsi="微软雅黑" w:eastAsia="微软雅黑" w:cs="微软雅黑"/>
          <w:sz w:val="24"/>
          <w:highlight w:val="none"/>
        </w:rPr>
        <w:t>说明：</w:t>
      </w:r>
      <w:r>
        <w:rPr>
          <w:rFonts w:hint="eastAsia" w:ascii="微软雅黑" w:hAnsi="微软雅黑" w:eastAsia="微软雅黑" w:cs="微软雅黑"/>
          <w:b/>
          <w:bCs/>
          <w:sz w:val="24"/>
          <w:highlight w:val="none"/>
        </w:rPr>
        <w:t>未通过符合性审查的供应商不进入评审；通过符合性审查的供应商不足三家的，不得评审。</w:t>
      </w:r>
    </w:p>
    <w:p w14:paraId="3E01F9F4">
      <w:pPr>
        <w:pStyle w:val="8"/>
        <w:rPr>
          <w:rFonts w:ascii="微软雅黑" w:hAnsi="微软雅黑" w:eastAsia="微软雅黑" w:cs="微软雅黑"/>
          <w:b/>
          <w:bCs/>
          <w:szCs w:val="21"/>
          <w:highlight w:val="none"/>
        </w:rPr>
      </w:pPr>
    </w:p>
    <w:p w14:paraId="762541E2">
      <w:pPr>
        <w:pStyle w:val="9"/>
        <w:rPr>
          <w:rFonts w:ascii="微软雅黑" w:hAnsi="微软雅黑" w:eastAsia="微软雅黑" w:cs="微软雅黑"/>
          <w:highlight w:val="none"/>
        </w:rPr>
      </w:pPr>
    </w:p>
    <w:p w14:paraId="74EE3A8A">
      <w:pPr>
        <w:pStyle w:val="6"/>
        <w:rPr>
          <w:rFonts w:ascii="微软雅黑" w:hAnsi="微软雅黑" w:eastAsia="微软雅黑" w:cs="微软雅黑"/>
          <w:highlight w:val="none"/>
        </w:rPr>
      </w:pPr>
      <w:r>
        <w:rPr>
          <w:rFonts w:hint="eastAsia" w:ascii="微软雅黑" w:hAnsi="微软雅黑" w:eastAsia="微软雅黑" w:cs="微软雅黑"/>
          <w:bCs/>
          <w:sz w:val="24"/>
          <w:szCs w:val="24"/>
          <w:highlight w:val="none"/>
        </w:rPr>
        <w:br w:type="page"/>
      </w:r>
      <w:bookmarkStart w:id="999" w:name="_Toc25794"/>
      <w:bookmarkStart w:id="1000" w:name="_Toc16987"/>
      <w:bookmarkStart w:id="1001" w:name="_Toc17484"/>
      <w:r>
        <w:rPr>
          <w:rFonts w:hint="eastAsia" w:ascii="微软雅黑" w:hAnsi="微软雅黑" w:eastAsia="微软雅黑" w:cs="微软雅黑"/>
          <w:highlight w:val="none"/>
        </w:rPr>
        <w:t>综合评分表</w:t>
      </w:r>
      <w:bookmarkEnd w:id="999"/>
      <w:bookmarkEnd w:id="1000"/>
      <w:bookmarkEnd w:id="1001"/>
    </w:p>
    <w:tbl>
      <w:tblPr>
        <w:tblStyle w:val="27"/>
        <w:tblpPr w:leftFromText="180" w:rightFromText="180" w:vertAnchor="text" w:horzAnchor="page" w:tblpX="942" w:tblpY="249"/>
        <w:tblOverlap w:val="never"/>
        <w:tblW w:w="5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46"/>
        <w:gridCol w:w="736"/>
        <w:gridCol w:w="6657"/>
        <w:gridCol w:w="1170"/>
      </w:tblGrid>
      <w:tr w14:paraId="5781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63" w:type="dxa"/>
            <w:vAlign w:val="center"/>
          </w:tcPr>
          <w:p w14:paraId="45C1A27F">
            <w:pPr>
              <w:kinsoku w:val="0"/>
              <w:overflowPunct w:val="0"/>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评分项目</w:t>
            </w:r>
          </w:p>
        </w:tc>
        <w:tc>
          <w:tcPr>
            <w:tcW w:w="846" w:type="dxa"/>
            <w:vAlign w:val="center"/>
          </w:tcPr>
          <w:p w14:paraId="5F9022AB">
            <w:pPr>
              <w:kinsoku w:val="0"/>
              <w:overflowPunct w:val="0"/>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评审项目</w:t>
            </w:r>
          </w:p>
        </w:tc>
        <w:tc>
          <w:tcPr>
            <w:tcW w:w="736" w:type="dxa"/>
            <w:vAlign w:val="center"/>
          </w:tcPr>
          <w:p w14:paraId="4DF99F51">
            <w:pPr>
              <w:kinsoku w:val="0"/>
              <w:overflowPunct w:val="0"/>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分值</w:t>
            </w:r>
          </w:p>
        </w:tc>
        <w:tc>
          <w:tcPr>
            <w:tcW w:w="6657" w:type="dxa"/>
            <w:vAlign w:val="center"/>
          </w:tcPr>
          <w:p w14:paraId="33F53FA1">
            <w:pPr>
              <w:spacing w:line="320" w:lineRule="exact"/>
              <w:ind w:firstLine="28"/>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评 标 要 点 及 说 明</w:t>
            </w:r>
          </w:p>
          <w:p w14:paraId="03D533E9">
            <w:pPr>
              <w:spacing w:line="320" w:lineRule="exact"/>
              <w:ind w:firstLine="28"/>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sz w:val="24"/>
                <w:szCs w:val="24"/>
                <w:highlight w:val="none"/>
              </w:rPr>
              <w:t>价格：</w:t>
            </w:r>
            <w:r>
              <w:rPr>
                <w:rFonts w:hint="eastAsia" w:ascii="微软雅黑" w:hAnsi="微软雅黑" w:eastAsia="微软雅黑" w:cs="微软雅黑"/>
                <w:sz w:val="24"/>
                <w:szCs w:val="24"/>
                <w:highlight w:val="none"/>
                <w:lang w:val="en-US" w:eastAsia="zh-CN"/>
              </w:rPr>
              <w:t>30</w:t>
            </w:r>
            <w:r>
              <w:rPr>
                <w:rFonts w:hint="eastAsia" w:ascii="微软雅黑" w:hAnsi="微软雅黑" w:eastAsia="微软雅黑" w:cs="微软雅黑"/>
                <w:sz w:val="24"/>
                <w:szCs w:val="24"/>
                <w:highlight w:val="none"/>
              </w:rPr>
              <w:t>分    商务：</w:t>
            </w:r>
            <w:r>
              <w:rPr>
                <w:rFonts w:hint="eastAsia" w:ascii="微软雅黑" w:hAnsi="微软雅黑" w:eastAsia="微软雅黑" w:cs="微软雅黑"/>
                <w:sz w:val="24"/>
                <w:szCs w:val="24"/>
                <w:highlight w:val="none"/>
                <w:lang w:val="en-US" w:eastAsia="zh-CN"/>
              </w:rPr>
              <w:t>12</w:t>
            </w:r>
            <w:r>
              <w:rPr>
                <w:rFonts w:hint="eastAsia" w:ascii="微软雅黑" w:hAnsi="微软雅黑" w:eastAsia="微软雅黑" w:cs="微软雅黑"/>
                <w:sz w:val="24"/>
                <w:szCs w:val="24"/>
                <w:highlight w:val="none"/>
              </w:rPr>
              <w:t>分    技术：</w:t>
            </w:r>
            <w:r>
              <w:rPr>
                <w:rFonts w:hint="eastAsia" w:ascii="微软雅黑" w:hAnsi="微软雅黑" w:eastAsia="微软雅黑" w:cs="微软雅黑"/>
                <w:sz w:val="24"/>
                <w:szCs w:val="24"/>
                <w:highlight w:val="none"/>
                <w:lang w:val="en-US" w:eastAsia="zh-CN"/>
              </w:rPr>
              <w:t>58</w:t>
            </w:r>
            <w:r>
              <w:rPr>
                <w:rFonts w:hint="eastAsia" w:ascii="微软雅黑" w:hAnsi="微软雅黑" w:eastAsia="微软雅黑" w:cs="微软雅黑"/>
                <w:sz w:val="24"/>
                <w:szCs w:val="24"/>
                <w:highlight w:val="none"/>
              </w:rPr>
              <w:t xml:space="preserve">分   </w:t>
            </w:r>
            <w:r>
              <w:rPr>
                <w:rFonts w:hint="eastAsia" w:ascii="微软雅黑" w:hAnsi="微软雅黑" w:eastAsia="微软雅黑" w:cs="微软雅黑"/>
                <w:sz w:val="24"/>
                <w:szCs w:val="24"/>
                <w:highlight w:val="none"/>
              </w:rPr>
              <w:t xml:space="preserve">              </w:t>
            </w:r>
          </w:p>
        </w:tc>
        <w:tc>
          <w:tcPr>
            <w:tcW w:w="1170" w:type="dxa"/>
            <w:vAlign w:val="center"/>
          </w:tcPr>
          <w:p w14:paraId="4C22591E">
            <w:pPr>
              <w:spacing w:line="320" w:lineRule="exact"/>
              <w:ind w:firstLine="28"/>
              <w:jc w:val="center"/>
              <w:rPr>
                <w:rFonts w:hint="eastAsia" w:ascii="微软雅黑" w:hAnsi="微软雅黑" w:eastAsia="微软雅黑" w:cs="微软雅黑"/>
                <w:sz w:val="24"/>
                <w:szCs w:val="24"/>
                <w:highlight w:val="none"/>
              </w:rPr>
            </w:pPr>
          </w:p>
        </w:tc>
      </w:tr>
      <w:tr w14:paraId="4453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Align w:val="center"/>
          </w:tcPr>
          <w:p w14:paraId="204522B8">
            <w:pPr>
              <w:kinsoku w:val="0"/>
              <w:overflowPunct w:val="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Cs/>
                <w:sz w:val="24"/>
                <w:szCs w:val="24"/>
                <w:highlight w:val="none"/>
              </w:rPr>
              <w:t>报价部分</w:t>
            </w:r>
          </w:p>
        </w:tc>
        <w:tc>
          <w:tcPr>
            <w:tcW w:w="846" w:type="dxa"/>
            <w:vAlign w:val="center"/>
          </w:tcPr>
          <w:p w14:paraId="55228E2F">
            <w:pPr>
              <w:kinsoku w:val="0"/>
              <w:overflowPunct w:val="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Cs/>
                <w:sz w:val="24"/>
                <w:szCs w:val="24"/>
                <w:highlight w:val="none"/>
              </w:rPr>
              <w:t>投标报价</w:t>
            </w:r>
          </w:p>
        </w:tc>
        <w:tc>
          <w:tcPr>
            <w:tcW w:w="736" w:type="dxa"/>
            <w:vAlign w:val="center"/>
          </w:tcPr>
          <w:p w14:paraId="3C157102">
            <w:pPr>
              <w:kinsoku w:val="0"/>
              <w:overflowPunct w:val="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Cs/>
                <w:sz w:val="24"/>
                <w:szCs w:val="24"/>
                <w:highlight w:val="none"/>
                <w:lang w:val="en-US" w:eastAsia="zh-CN"/>
              </w:rPr>
              <w:t>30</w:t>
            </w:r>
            <w:r>
              <w:rPr>
                <w:rFonts w:hint="eastAsia" w:ascii="微软雅黑" w:hAnsi="微软雅黑" w:eastAsia="微软雅黑" w:cs="微软雅黑"/>
                <w:bCs/>
                <w:sz w:val="24"/>
                <w:szCs w:val="24"/>
                <w:highlight w:val="none"/>
                <w:lang w:val="en-US" w:eastAsia="zh-CN"/>
              </w:rPr>
              <w:t>分</w:t>
            </w:r>
          </w:p>
        </w:tc>
        <w:tc>
          <w:tcPr>
            <w:tcW w:w="6657" w:type="dxa"/>
            <w:vAlign w:val="center"/>
          </w:tcPr>
          <w:p w14:paraId="03A947AD">
            <w:pPr>
              <w:spacing w:line="32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bCs/>
                <w:sz w:val="24"/>
                <w:szCs w:val="24"/>
                <w:highlight w:val="none"/>
              </w:rPr>
              <w:t>评标基准价=有效投标报价的最低值，有效投标报价等于基准值的得满分，投标报价得分=（评标基准价/投标报价）×价格权重×100。有效投标报价为通过初步审查的供应商报价。</w:t>
            </w:r>
          </w:p>
        </w:tc>
        <w:tc>
          <w:tcPr>
            <w:tcW w:w="1170" w:type="dxa"/>
            <w:vAlign w:val="center"/>
          </w:tcPr>
          <w:p w14:paraId="19A80CEF">
            <w:pPr>
              <w:spacing w:line="320" w:lineRule="exact"/>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响应报价超过</w:t>
            </w:r>
            <w:r>
              <w:rPr>
                <w:rFonts w:hint="eastAsia" w:ascii="微软雅黑" w:hAnsi="微软雅黑" w:eastAsia="微软雅黑" w:cs="微软雅黑"/>
                <w:b/>
                <w:bCs/>
                <w:sz w:val="24"/>
                <w:szCs w:val="24"/>
                <w:highlight w:val="none"/>
                <w:lang w:val="en-US" w:eastAsia="zh-CN"/>
              </w:rPr>
              <w:t>最高限价</w:t>
            </w:r>
            <w:r>
              <w:rPr>
                <w:rFonts w:hint="eastAsia" w:ascii="微软雅黑" w:hAnsi="微软雅黑" w:eastAsia="微软雅黑" w:cs="微软雅黑"/>
                <w:b/>
                <w:bCs/>
                <w:sz w:val="24"/>
                <w:szCs w:val="24"/>
                <w:highlight w:val="none"/>
              </w:rPr>
              <w:t>的按废标处理</w:t>
            </w:r>
          </w:p>
        </w:tc>
      </w:tr>
      <w:tr w14:paraId="61BA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3" w:type="dxa"/>
            <w:vMerge w:val="restart"/>
            <w:vAlign w:val="center"/>
          </w:tcPr>
          <w:p w14:paraId="56A624B6">
            <w:pPr>
              <w:spacing w:line="320" w:lineRule="exact"/>
              <w:jc w:val="center"/>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商务部分</w:t>
            </w:r>
          </w:p>
          <w:p w14:paraId="5395289C">
            <w:pPr>
              <w:spacing w:line="320" w:lineRule="exact"/>
              <w:jc w:val="center"/>
              <w:rPr>
                <w:rFonts w:hint="eastAsia" w:ascii="微软雅黑" w:hAnsi="微软雅黑" w:eastAsia="微软雅黑" w:cs="微软雅黑"/>
                <w:bCs/>
                <w:sz w:val="24"/>
                <w:szCs w:val="24"/>
                <w:highlight w:val="none"/>
              </w:rPr>
            </w:pPr>
          </w:p>
          <w:p w14:paraId="4DFEEF84">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67030EBA">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业绩</w:t>
            </w:r>
          </w:p>
        </w:tc>
        <w:tc>
          <w:tcPr>
            <w:tcW w:w="736" w:type="dxa"/>
            <w:vAlign w:val="center"/>
          </w:tcPr>
          <w:p w14:paraId="6E7F6D6E">
            <w:pPr>
              <w:spacing w:line="320" w:lineRule="exact"/>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3分</w:t>
            </w:r>
          </w:p>
        </w:tc>
        <w:tc>
          <w:tcPr>
            <w:tcW w:w="6657" w:type="dxa"/>
            <w:vAlign w:val="center"/>
          </w:tcPr>
          <w:p w14:paraId="667A992C">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投标人近三年（2022年1月1日至今，以竣工验收表日期为准）已完成业绩每提供一项得1分，满分3分；</w:t>
            </w:r>
          </w:p>
          <w:p w14:paraId="021D40D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
                <w:bCs w:val="0"/>
                <w:sz w:val="24"/>
                <w:szCs w:val="24"/>
                <w:highlight w:val="none"/>
                <w:lang w:val="en-US" w:eastAsia="zh-CN"/>
              </w:rPr>
              <w:t>（注:业绩证明须提供相关证明材料或提供证明材料，如：中标通知书（如有）或发包通知书（如有）、合同协议书、工程接收证书或工程竣工验收证书（表）的扫描件，未提供相关证明材料或提供证明材料内容模糊不清的视为无效）。</w:t>
            </w:r>
          </w:p>
        </w:tc>
        <w:tc>
          <w:tcPr>
            <w:tcW w:w="1170" w:type="dxa"/>
            <w:vMerge w:val="restart"/>
            <w:vAlign w:val="center"/>
          </w:tcPr>
          <w:p w14:paraId="23B93B29">
            <w:pPr>
              <w:spacing w:line="32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color w:val="auto"/>
                <w:sz w:val="24"/>
                <w:szCs w:val="24"/>
                <w:highlight w:val="none"/>
              </w:rPr>
              <w:t>根据需求提供必要的证明资料</w:t>
            </w:r>
          </w:p>
        </w:tc>
      </w:tr>
      <w:tr w14:paraId="765C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63" w:type="dxa"/>
            <w:vMerge w:val="continue"/>
            <w:vAlign w:val="center"/>
          </w:tcPr>
          <w:p w14:paraId="560B23BF">
            <w:pPr>
              <w:spacing w:line="320" w:lineRule="exact"/>
              <w:jc w:val="center"/>
              <w:rPr>
                <w:rFonts w:hint="eastAsia" w:ascii="微软雅黑" w:hAnsi="微软雅黑" w:eastAsia="微软雅黑" w:cs="微软雅黑"/>
                <w:bCs/>
                <w:sz w:val="24"/>
                <w:szCs w:val="24"/>
                <w:highlight w:val="none"/>
              </w:rPr>
            </w:pPr>
          </w:p>
        </w:tc>
        <w:tc>
          <w:tcPr>
            <w:tcW w:w="846" w:type="dxa"/>
            <w:vAlign w:val="center"/>
          </w:tcPr>
          <w:p w14:paraId="46846FB8">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组织机构及人员配备</w:t>
            </w:r>
          </w:p>
          <w:p w14:paraId="629E3D8C">
            <w:pPr>
              <w:spacing w:line="320" w:lineRule="exact"/>
              <w:jc w:val="center"/>
              <w:rPr>
                <w:rFonts w:hint="eastAsia" w:ascii="微软雅黑" w:hAnsi="微软雅黑" w:eastAsia="微软雅黑" w:cs="微软雅黑"/>
                <w:bCs/>
                <w:sz w:val="24"/>
                <w:szCs w:val="24"/>
                <w:highlight w:val="none"/>
                <w:lang w:val="en-US" w:eastAsia="zh-CN"/>
              </w:rPr>
            </w:pPr>
          </w:p>
        </w:tc>
        <w:tc>
          <w:tcPr>
            <w:tcW w:w="736" w:type="dxa"/>
            <w:vAlign w:val="center"/>
          </w:tcPr>
          <w:p w14:paraId="611B05C7">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7分</w:t>
            </w:r>
          </w:p>
        </w:tc>
        <w:tc>
          <w:tcPr>
            <w:tcW w:w="6657" w:type="dxa"/>
            <w:vAlign w:val="center"/>
          </w:tcPr>
          <w:p w14:paraId="0061C323">
            <w:pPr>
              <w:spacing w:line="320" w:lineRule="exact"/>
              <w:jc w:val="both"/>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1.提供项目经理近三年(2022年1月至今，以竣工验收表日期为准）承担过类似项目业绩，每提供一项得1分,本小项最高得3分，不提供不</w:t>
            </w:r>
            <w:r>
              <w:rPr>
                <w:rFonts w:hint="eastAsia" w:ascii="微软雅黑" w:hAnsi="微软雅黑" w:eastAsia="微软雅黑" w:cs="微软雅黑"/>
                <w:bCs/>
                <w:sz w:val="24"/>
                <w:szCs w:val="24"/>
                <w:highlight w:val="none"/>
                <w:lang w:val="en-US" w:eastAsia="zh-CN"/>
              </w:rPr>
              <w:t>得分；</w:t>
            </w:r>
          </w:p>
          <w:p w14:paraId="0FFADB0B">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2.项目须配备人员包括：项目技术负责人、施工员 、质量员、材料员、预算员、资料员、安全员、测量员等，配备人员须附相应的岗位证、身份证、</w:t>
            </w:r>
            <w:r>
              <w:rPr>
                <w:rFonts w:hint="eastAsia" w:ascii="微软雅黑" w:hAnsi="微软雅黑" w:eastAsia="微软雅黑" w:cs="微软雅黑"/>
                <w:bCs/>
                <w:sz w:val="24"/>
                <w:szCs w:val="24"/>
                <w:highlight w:val="none"/>
                <w:lang w:val="en-US" w:eastAsia="zh-CN"/>
              </w:rPr>
              <w:t>学历证，不能用职称证代替（技术负责人除外）。每一个岗位人员计0.5分，本小项最高得4分，不提供不得分；</w:t>
            </w:r>
          </w:p>
          <w:p w14:paraId="413C7AB2">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
                <w:bCs w:val="0"/>
                <w:sz w:val="24"/>
                <w:szCs w:val="24"/>
                <w:highlight w:val="none"/>
                <w:lang w:val="en-US" w:eastAsia="zh-CN"/>
              </w:rPr>
              <w:t>（注:业绩证明须提供相关证明材料或提供证明材料，如：中标通知书（如有）或发包通知书（如有）、合同协议书、工程接收证书或工程竣工验收证书（表）的扫描件，未提供相关证明材料或提供证明材料内容模糊不清的视为无效）。</w:t>
            </w:r>
          </w:p>
        </w:tc>
        <w:tc>
          <w:tcPr>
            <w:tcW w:w="1170" w:type="dxa"/>
            <w:vMerge w:val="continue"/>
            <w:vAlign w:val="center"/>
          </w:tcPr>
          <w:p w14:paraId="1054A761">
            <w:pPr>
              <w:spacing w:line="320" w:lineRule="exact"/>
              <w:rPr>
                <w:rFonts w:hint="eastAsia" w:ascii="微软雅黑" w:hAnsi="微软雅黑" w:eastAsia="微软雅黑" w:cs="微软雅黑"/>
                <w:b/>
                <w:bCs/>
                <w:sz w:val="24"/>
                <w:szCs w:val="24"/>
                <w:highlight w:val="none"/>
              </w:rPr>
            </w:pPr>
          </w:p>
        </w:tc>
      </w:tr>
      <w:tr w14:paraId="51D1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763" w:type="dxa"/>
            <w:vMerge w:val="continue"/>
            <w:vAlign w:val="center"/>
          </w:tcPr>
          <w:p w14:paraId="4902F994">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47D44C89">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工程承诺</w:t>
            </w:r>
          </w:p>
        </w:tc>
        <w:tc>
          <w:tcPr>
            <w:tcW w:w="736" w:type="dxa"/>
            <w:vAlign w:val="center"/>
          </w:tcPr>
          <w:p w14:paraId="67F765A6">
            <w:pPr>
              <w:spacing w:line="320" w:lineRule="exact"/>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2分</w:t>
            </w:r>
          </w:p>
        </w:tc>
        <w:tc>
          <w:tcPr>
            <w:tcW w:w="6657" w:type="dxa"/>
            <w:vAlign w:val="center"/>
          </w:tcPr>
          <w:p w14:paraId="44AAD0A4">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①提供不参与围标串标承诺书；</w:t>
            </w:r>
          </w:p>
          <w:p w14:paraId="39FF2DFF">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②提供承包商履约保证；</w:t>
            </w:r>
          </w:p>
          <w:p w14:paraId="10BD0E32">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③提供质保保修承诺和违约经济处罚承诺；</w:t>
            </w:r>
          </w:p>
          <w:p w14:paraId="4449E48B">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④提供未拖欠农民工工资承诺（须提供信用中国”网站(https://www.creditchina.gov.cn/xinyongfuwu/?navPage=4)“拖欠农民工工资失信联合惩戒对象名单截图）；</w:t>
            </w:r>
          </w:p>
          <w:p w14:paraId="4F5895E1">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每提供一个得0.5分，不供不得分；满分2分</w:t>
            </w:r>
          </w:p>
        </w:tc>
        <w:tc>
          <w:tcPr>
            <w:tcW w:w="1170" w:type="dxa"/>
            <w:vMerge w:val="continue"/>
            <w:vAlign w:val="center"/>
          </w:tcPr>
          <w:p w14:paraId="4E6B5529">
            <w:pPr>
              <w:spacing w:line="320" w:lineRule="exact"/>
              <w:rPr>
                <w:rFonts w:hint="eastAsia" w:ascii="微软雅黑" w:hAnsi="微软雅黑" w:eastAsia="微软雅黑" w:cs="微软雅黑"/>
                <w:sz w:val="24"/>
                <w:szCs w:val="24"/>
                <w:highlight w:val="none"/>
              </w:rPr>
            </w:pPr>
          </w:p>
        </w:tc>
      </w:tr>
      <w:tr w14:paraId="7B61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763" w:type="dxa"/>
            <w:vMerge w:val="restart"/>
            <w:vAlign w:val="center"/>
          </w:tcPr>
          <w:p w14:paraId="1F82A52F">
            <w:pPr>
              <w:spacing w:line="320" w:lineRule="exact"/>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技术部分</w:t>
            </w:r>
          </w:p>
        </w:tc>
        <w:tc>
          <w:tcPr>
            <w:tcW w:w="846" w:type="dxa"/>
            <w:vAlign w:val="center"/>
          </w:tcPr>
          <w:p w14:paraId="787669C0">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施工方案</w:t>
            </w:r>
          </w:p>
        </w:tc>
        <w:tc>
          <w:tcPr>
            <w:tcW w:w="736" w:type="dxa"/>
            <w:vAlign w:val="center"/>
          </w:tcPr>
          <w:p w14:paraId="51B9CBFE">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12分</w:t>
            </w:r>
          </w:p>
        </w:tc>
        <w:tc>
          <w:tcPr>
            <w:tcW w:w="6657" w:type="dxa"/>
            <w:vAlign w:val="center"/>
          </w:tcPr>
          <w:p w14:paraId="06022019">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根据对本项目的总体认识制定施工方案（方案应包括工程概况及特点、施工准备计划、施工进度计划、施工平面图、劳动力需用量计划、材料需用量计划、机械设备需用量计划等）进行评分。</w:t>
            </w:r>
            <w:r>
              <w:rPr>
                <w:rFonts w:hint="default" w:ascii="微软雅黑" w:hAnsi="微软雅黑" w:eastAsia="微软雅黑" w:cs="微软雅黑"/>
                <w:bCs/>
                <w:sz w:val="24"/>
                <w:szCs w:val="24"/>
                <w:highlight w:val="none"/>
                <w:lang w:val="en-US" w:eastAsia="zh-CN"/>
              </w:rPr>
              <w:t>对本项目</w:t>
            </w:r>
            <w:r>
              <w:rPr>
                <w:rFonts w:hint="eastAsia" w:ascii="微软雅黑" w:hAnsi="微软雅黑" w:eastAsia="微软雅黑" w:cs="微软雅黑"/>
                <w:bCs/>
                <w:sz w:val="24"/>
                <w:szCs w:val="24"/>
                <w:highlight w:val="none"/>
                <w:lang w:val="en-US" w:eastAsia="zh-CN"/>
              </w:rPr>
              <w:t>的</w:t>
            </w:r>
            <w:r>
              <w:rPr>
                <w:rFonts w:hint="default" w:ascii="微软雅黑" w:hAnsi="微软雅黑" w:eastAsia="微软雅黑" w:cs="微软雅黑"/>
                <w:bCs/>
                <w:sz w:val="24"/>
                <w:szCs w:val="24"/>
                <w:highlight w:val="none"/>
                <w:lang w:val="en-US" w:eastAsia="zh-CN"/>
              </w:rPr>
              <w:t>需求理解透彻</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方案设计完整</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科学合理</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可行性高</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针对性强</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可扩展性强</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专业</w:t>
            </w:r>
            <w:r>
              <w:rPr>
                <w:rFonts w:hint="eastAsia" w:ascii="微软雅黑" w:hAnsi="微软雅黑" w:eastAsia="微软雅黑" w:cs="微软雅黑"/>
                <w:bCs/>
                <w:sz w:val="24"/>
                <w:szCs w:val="24"/>
                <w:highlight w:val="none"/>
                <w:lang w:val="en-US" w:eastAsia="zh-CN"/>
              </w:rPr>
              <w:t>技术</w:t>
            </w:r>
            <w:r>
              <w:rPr>
                <w:rFonts w:hint="default" w:ascii="微软雅黑" w:hAnsi="微软雅黑" w:eastAsia="微软雅黑" w:cs="微软雅黑"/>
                <w:bCs/>
                <w:sz w:val="24"/>
                <w:szCs w:val="24"/>
                <w:highlight w:val="none"/>
                <w:lang w:val="en-US" w:eastAsia="zh-CN"/>
              </w:rPr>
              <w:t xml:space="preserve">经验丰富得 </w:t>
            </w:r>
            <w:r>
              <w:rPr>
                <w:rFonts w:hint="eastAsia" w:ascii="微软雅黑" w:hAnsi="微软雅黑" w:eastAsia="微软雅黑" w:cs="微软雅黑"/>
                <w:bCs/>
                <w:sz w:val="24"/>
                <w:szCs w:val="24"/>
                <w:highlight w:val="none"/>
                <w:lang w:val="en-US" w:eastAsia="zh-CN"/>
              </w:rPr>
              <w:t>12</w:t>
            </w:r>
            <w:r>
              <w:rPr>
                <w:rFonts w:hint="default" w:ascii="微软雅黑" w:hAnsi="微软雅黑" w:eastAsia="微软雅黑" w:cs="微软雅黑"/>
                <w:bCs/>
                <w:sz w:val="24"/>
                <w:szCs w:val="24"/>
                <w:highlight w:val="none"/>
                <w:lang w:val="en-US" w:eastAsia="zh-CN"/>
              </w:rPr>
              <w:t xml:space="preserve"> 分 ；对本项目</w:t>
            </w:r>
            <w:r>
              <w:rPr>
                <w:rFonts w:hint="eastAsia" w:ascii="微软雅黑" w:hAnsi="微软雅黑" w:eastAsia="微软雅黑" w:cs="微软雅黑"/>
                <w:bCs/>
                <w:sz w:val="24"/>
                <w:szCs w:val="24"/>
                <w:highlight w:val="none"/>
                <w:lang w:val="en-US" w:eastAsia="zh-CN"/>
              </w:rPr>
              <w:t>的</w:t>
            </w:r>
            <w:r>
              <w:rPr>
                <w:rFonts w:hint="default" w:ascii="微软雅黑" w:hAnsi="微软雅黑" w:eastAsia="微软雅黑" w:cs="微软雅黑"/>
                <w:bCs/>
                <w:sz w:val="24"/>
                <w:szCs w:val="24"/>
                <w:highlight w:val="none"/>
                <w:lang w:val="en-US" w:eastAsia="zh-CN"/>
              </w:rPr>
              <w:t>需求理解较透彻</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方案设计较完整</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可行性和针对性一般</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有一定的可扩展性</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 xml:space="preserve">专业服务经验一般得 </w:t>
            </w:r>
            <w:r>
              <w:rPr>
                <w:rFonts w:hint="eastAsia" w:ascii="微软雅黑" w:hAnsi="微软雅黑" w:eastAsia="微软雅黑" w:cs="微软雅黑"/>
                <w:bCs/>
                <w:sz w:val="24"/>
                <w:szCs w:val="24"/>
                <w:highlight w:val="none"/>
                <w:lang w:val="en-US" w:eastAsia="zh-CN"/>
              </w:rPr>
              <w:t>8</w:t>
            </w:r>
            <w:r>
              <w:rPr>
                <w:rFonts w:hint="default" w:ascii="微软雅黑" w:hAnsi="微软雅黑" w:eastAsia="微软雅黑" w:cs="微软雅黑"/>
                <w:bCs/>
                <w:sz w:val="24"/>
                <w:szCs w:val="24"/>
                <w:highlight w:val="none"/>
                <w:lang w:val="en-US" w:eastAsia="zh-CN"/>
              </w:rPr>
              <w:t xml:space="preserve"> 分</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对本项目</w:t>
            </w:r>
            <w:r>
              <w:rPr>
                <w:rFonts w:hint="eastAsia" w:ascii="微软雅黑" w:hAnsi="微软雅黑" w:eastAsia="微软雅黑" w:cs="微软雅黑"/>
                <w:bCs/>
                <w:sz w:val="24"/>
                <w:szCs w:val="24"/>
                <w:highlight w:val="none"/>
                <w:lang w:val="en-US" w:eastAsia="zh-CN"/>
              </w:rPr>
              <w:t>的</w:t>
            </w:r>
            <w:r>
              <w:rPr>
                <w:rFonts w:hint="default" w:ascii="微软雅黑" w:hAnsi="微软雅黑" w:eastAsia="微软雅黑" w:cs="微软雅黑"/>
                <w:bCs/>
                <w:sz w:val="24"/>
                <w:szCs w:val="24"/>
                <w:highlight w:val="none"/>
                <w:lang w:val="en-US" w:eastAsia="zh-CN"/>
              </w:rPr>
              <w:t>需求理解不够</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方案设计不完整</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可操作性不强得</w:t>
            </w:r>
            <w:r>
              <w:rPr>
                <w:rFonts w:hint="eastAsia" w:ascii="微软雅黑" w:hAnsi="微软雅黑" w:eastAsia="微软雅黑" w:cs="微软雅黑"/>
                <w:bCs/>
                <w:sz w:val="24"/>
                <w:szCs w:val="24"/>
                <w:highlight w:val="none"/>
                <w:lang w:val="en-US" w:eastAsia="zh-CN"/>
              </w:rPr>
              <w:t>5</w:t>
            </w:r>
            <w:r>
              <w:rPr>
                <w:rFonts w:hint="default" w:ascii="微软雅黑" w:hAnsi="微软雅黑" w:eastAsia="微软雅黑" w:cs="微软雅黑"/>
                <w:bCs/>
                <w:sz w:val="24"/>
                <w:szCs w:val="24"/>
                <w:highlight w:val="none"/>
                <w:lang w:val="en-US" w:eastAsia="zh-CN"/>
              </w:rPr>
              <w:t>分</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提供的实施方案无法满足</w:t>
            </w:r>
            <w:r>
              <w:rPr>
                <w:rFonts w:hint="eastAsia" w:ascii="微软雅黑" w:hAnsi="微软雅黑" w:eastAsia="微软雅黑" w:cs="微软雅黑"/>
                <w:bCs/>
                <w:sz w:val="24"/>
                <w:szCs w:val="24"/>
                <w:highlight w:val="none"/>
                <w:lang w:val="en-US" w:eastAsia="zh-CN"/>
              </w:rPr>
              <w:t>磋商</w:t>
            </w:r>
            <w:r>
              <w:rPr>
                <w:rFonts w:hint="default" w:ascii="微软雅黑" w:hAnsi="微软雅黑" w:eastAsia="微软雅黑" w:cs="微软雅黑"/>
                <w:bCs/>
                <w:sz w:val="24"/>
                <w:szCs w:val="24"/>
                <w:highlight w:val="none"/>
                <w:lang w:val="en-US" w:eastAsia="zh-CN"/>
              </w:rPr>
              <w:t>文件要求或与本项目无关得</w:t>
            </w:r>
            <w:r>
              <w:rPr>
                <w:rFonts w:hint="eastAsia" w:ascii="微软雅黑" w:hAnsi="微软雅黑" w:eastAsia="微软雅黑" w:cs="微软雅黑"/>
                <w:bCs/>
                <w:sz w:val="24"/>
                <w:szCs w:val="24"/>
                <w:highlight w:val="none"/>
                <w:lang w:val="en-US" w:eastAsia="zh-CN"/>
              </w:rPr>
              <w:t>1分；</w:t>
            </w:r>
            <w:r>
              <w:rPr>
                <w:rFonts w:hint="default" w:ascii="微软雅黑" w:hAnsi="微软雅黑" w:eastAsia="微软雅黑" w:cs="微软雅黑"/>
                <w:bCs/>
                <w:sz w:val="24"/>
                <w:szCs w:val="24"/>
                <w:highlight w:val="none"/>
                <w:lang w:val="en-US" w:eastAsia="zh-CN"/>
              </w:rPr>
              <w:t>未提供的不得分。</w:t>
            </w:r>
          </w:p>
        </w:tc>
        <w:tc>
          <w:tcPr>
            <w:tcW w:w="1170" w:type="dxa"/>
            <w:vMerge w:val="restart"/>
            <w:vAlign w:val="center"/>
          </w:tcPr>
          <w:p w14:paraId="2899069C">
            <w:pPr>
              <w:spacing w:line="32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color w:val="auto"/>
                <w:sz w:val="24"/>
                <w:szCs w:val="24"/>
                <w:highlight w:val="none"/>
              </w:rPr>
              <w:t>根据需求提供必要的证明资料</w:t>
            </w:r>
          </w:p>
        </w:tc>
      </w:tr>
      <w:tr w14:paraId="2DFD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trPr>
        <w:tc>
          <w:tcPr>
            <w:tcW w:w="763" w:type="dxa"/>
            <w:vMerge w:val="continue"/>
            <w:vAlign w:val="center"/>
          </w:tcPr>
          <w:p w14:paraId="2AABFA18">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4987B2D2">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效果图设计及方案</w:t>
            </w:r>
          </w:p>
        </w:tc>
        <w:tc>
          <w:tcPr>
            <w:tcW w:w="736" w:type="dxa"/>
            <w:vAlign w:val="center"/>
          </w:tcPr>
          <w:p w14:paraId="24CDD0E1">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12分</w:t>
            </w:r>
          </w:p>
        </w:tc>
        <w:tc>
          <w:tcPr>
            <w:tcW w:w="6657" w:type="dxa"/>
            <w:vAlign w:val="center"/>
          </w:tcPr>
          <w:p w14:paraId="4686C7C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根据投标人针对本项目制定的效果图设计及方案（包括功能区域展示、安全细节呈现、空间规划、安全保障措施等）方案进行评分：契合幼儿的心理和审美需求、各功能区布局与设施展示清晰明了、安全防护设计可行性高、空间规划功能区动静分区合理、材料环保易清洁、设施丰富得12分；比较契合幼儿的心理和审美需求、对各功能区布局与设施展示比较清晰明了、安全防护设计可行性较高、空间规划功能区动静分区比较合理、材料环保易清洁、设施丰富得8分；未契合幼儿的心理和审美需求、对各功能区布局与设施展示不清晰、安全防护设计可行性不高、空间规划功能区动静分区不合理、材料环保不易清洁、设施丰不富得5分；</w:t>
            </w:r>
            <w:r>
              <w:rPr>
                <w:rFonts w:hint="default" w:ascii="微软雅黑" w:hAnsi="微软雅黑" w:eastAsia="微软雅黑" w:cs="微软雅黑"/>
                <w:bCs/>
                <w:sz w:val="24"/>
                <w:szCs w:val="24"/>
                <w:highlight w:val="none"/>
                <w:lang w:val="en-US" w:eastAsia="zh-CN"/>
              </w:rPr>
              <w:t>提供的效果图设计及方案无法满足</w:t>
            </w:r>
            <w:r>
              <w:rPr>
                <w:rFonts w:hint="eastAsia" w:ascii="微软雅黑" w:hAnsi="微软雅黑" w:eastAsia="微软雅黑" w:cs="微软雅黑"/>
                <w:bCs/>
                <w:sz w:val="24"/>
                <w:szCs w:val="24"/>
                <w:highlight w:val="none"/>
                <w:lang w:val="en-US" w:eastAsia="zh-CN"/>
              </w:rPr>
              <w:t>磋商</w:t>
            </w:r>
            <w:r>
              <w:rPr>
                <w:rFonts w:hint="default" w:ascii="微软雅黑" w:hAnsi="微软雅黑" w:eastAsia="微软雅黑" w:cs="微软雅黑"/>
                <w:bCs/>
                <w:sz w:val="24"/>
                <w:szCs w:val="24"/>
                <w:highlight w:val="none"/>
                <w:lang w:val="en-US" w:eastAsia="zh-CN"/>
              </w:rPr>
              <w:t>文件要求或与本项目无关得</w:t>
            </w:r>
            <w:r>
              <w:rPr>
                <w:rFonts w:hint="eastAsia" w:ascii="微软雅黑" w:hAnsi="微软雅黑" w:eastAsia="微软雅黑" w:cs="微软雅黑"/>
                <w:bCs/>
                <w:sz w:val="24"/>
                <w:szCs w:val="24"/>
                <w:highlight w:val="none"/>
                <w:lang w:val="en-US" w:eastAsia="zh-CN"/>
              </w:rPr>
              <w:t>1分；</w:t>
            </w:r>
            <w:r>
              <w:rPr>
                <w:rFonts w:hint="default" w:ascii="微软雅黑" w:hAnsi="微软雅黑" w:eastAsia="微软雅黑" w:cs="微软雅黑"/>
                <w:bCs/>
                <w:sz w:val="24"/>
                <w:szCs w:val="24"/>
                <w:highlight w:val="none"/>
                <w:lang w:val="en-US" w:eastAsia="zh-CN"/>
              </w:rPr>
              <w:t>未提供的不得分。</w:t>
            </w:r>
          </w:p>
        </w:tc>
        <w:tc>
          <w:tcPr>
            <w:tcW w:w="1170" w:type="dxa"/>
            <w:vMerge w:val="continue"/>
            <w:vAlign w:val="center"/>
          </w:tcPr>
          <w:p w14:paraId="2AC00669">
            <w:pPr>
              <w:spacing w:line="320" w:lineRule="exact"/>
              <w:rPr>
                <w:rFonts w:hint="eastAsia" w:ascii="微软雅黑" w:hAnsi="微软雅黑" w:eastAsia="微软雅黑" w:cs="微软雅黑"/>
                <w:sz w:val="24"/>
                <w:szCs w:val="24"/>
                <w:highlight w:val="none"/>
              </w:rPr>
            </w:pPr>
          </w:p>
        </w:tc>
      </w:tr>
      <w:tr w14:paraId="4A85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763" w:type="dxa"/>
            <w:vMerge w:val="continue"/>
            <w:shd w:val="clear" w:color="auto" w:fill="auto"/>
            <w:vAlign w:val="center"/>
          </w:tcPr>
          <w:p w14:paraId="40C3ACD1">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36BA3D2B">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项目进度安排方</w:t>
            </w:r>
          </w:p>
          <w:p w14:paraId="0DDE8E88">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案</w:t>
            </w:r>
          </w:p>
        </w:tc>
        <w:tc>
          <w:tcPr>
            <w:tcW w:w="736" w:type="dxa"/>
            <w:vAlign w:val="center"/>
          </w:tcPr>
          <w:p w14:paraId="0DACB623">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8分</w:t>
            </w:r>
          </w:p>
        </w:tc>
        <w:tc>
          <w:tcPr>
            <w:tcW w:w="6657" w:type="dxa"/>
            <w:vAlign w:val="center"/>
          </w:tcPr>
          <w:p w14:paraId="10E8D07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根据投标人针对本项目制定的项目施工进度计划(包括施工过程、工期计划安排、进度保障措施等)方案进行评分:</w:t>
            </w:r>
          </w:p>
          <w:p w14:paraId="32970092">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对本项目采购需求理解透彻 ，项目进度安排及措施完整 ，逻辑  清晰 ，针对性强 ，可扩展性强 ，专业服务经验丰富得 8 分；对本项目的需求理解较透彻，项目进度安排及措施较完整，有一定的可扩展性，专业服务经验较为满足项目需要得5分；对本项目采购需求理解不够，项目进度安排及措施不完整，可操作性不强得2分；提供的项目进度安排与措施无法满足磋商文件要求或与本项目无关得 1；未提供项目进度安排与措施不得分。</w:t>
            </w:r>
          </w:p>
        </w:tc>
        <w:tc>
          <w:tcPr>
            <w:tcW w:w="1170" w:type="dxa"/>
            <w:vMerge w:val="continue"/>
            <w:vAlign w:val="center"/>
          </w:tcPr>
          <w:p w14:paraId="25F2FDB1">
            <w:pPr>
              <w:spacing w:line="320" w:lineRule="exact"/>
              <w:rPr>
                <w:rFonts w:hint="eastAsia" w:ascii="微软雅黑" w:hAnsi="微软雅黑" w:eastAsia="微软雅黑" w:cs="微软雅黑"/>
                <w:sz w:val="24"/>
                <w:szCs w:val="24"/>
                <w:highlight w:val="none"/>
              </w:rPr>
            </w:pPr>
          </w:p>
        </w:tc>
      </w:tr>
      <w:tr w14:paraId="5468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63" w:type="dxa"/>
            <w:vMerge w:val="continue"/>
            <w:shd w:val="clear" w:color="auto" w:fill="auto"/>
            <w:vAlign w:val="center"/>
          </w:tcPr>
          <w:p w14:paraId="375FFEBE">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0F27E9EF">
            <w:pPr>
              <w:spacing w:line="320" w:lineRule="exact"/>
              <w:jc w:val="center"/>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质量保障方案</w:t>
            </w:r>
          </w:p>
        </w:tc>
        <w:tc>
          <w:tcPr>
            <w:tcW w:w="736" w:type="dxa"/>
            <w:vAlign w:val="center"/>
          </w:tcPr>
          <w:p w14:paraId="7B5DD6B0">
            <w:pPr>
              <w:spacing w:line="320" w:lineRule="exact"/>
              <w:jc w:val="center"/>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12分</w:t>
            </w:r>
          </w:p>
        </w:tc>
        <w:tc>
          <w:tcPr>
            <w:tcW w:w="6657" w:type="dxa"/>
            <w:vAlign w:val="center"/>
          </w:tcPr>
          <w:p w14:paraId="268DC2E9">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1.根据投标人针对本项目制定的施工质量控制方案 ：①工程技术管理（施工规律、国家规定的强制性标准）、②施工质量管理（健全的质量管理机构的和管理制度）、③质量保障措施（违约责任及质量检测能力）进行评分，对本项目采购需求理解透彻，施工质量控制方案完整，逻辑清晰，针对性强，可扩展性强，专业服务经验丰富得 7分；对本项目采购需求理解较透彻，施工质量控制方案较完整，有一定的可扩展性，专业服务经验较为满足项目需要得5分 ；对本项目采购需求理解不够，施工质量控制方案不完整，可操作性不强得3分；未提供项目质量措施不得分。</w:t>
            </w:r>
          </w:p>
          <w:p w14:paraId="6B3088ED">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2.涉及重点内容制定质量通病的防治措施、措施可行性较高得3分，基本满足要求得1分，未提供不得分。</w:t>
            </w:r>
          </w:p>
          <w:p w14:paraId="2081F40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3.根据项目内容提供创优措施，创优措施切实可行得 2分，基本满足要求得1分，未提供不得分。</w:t>
            </w:r>
          </w:p>
        </w:tc>
        <w:tc>
          <w:tcPr>
            <w:tcW w:w="1170" w:type="dxa"/>
            <w:vMerge w:val="continue"/>
            <w:vAlign w:val="center"/>
          </w:tcPr>
          <w:p w14:paraId="798650F1">
            <w:pPr>
              <w:spacing w:line="320" w:lineRule="exact"/>
              <w:rPr>
                <w:rFonts w:hint="eastAsia" w:ascii="微软雅黑" w:hAnsi="微软雅黑" w:eastAsia="微软雅黑" w:cs="微软雅黑"/>
                <w:sz w:val="24"/>
                <w:szCs w:val="24"/>
                <w:highlight w:val="none"/>
              </w:rPr>
            </w:pPr>
          </w:p>
        </w:tc>
      </w:tr>
      <w:tr w14:paraId="4563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63" w:type="dxa"/>
            <w:vMerge w:val="continue"/>
            <w:shd w:val="clear" w:color="auto" w:fill="auto"/>
            <w:vAlign w:val="center"/>
          </w:tcPr>
          <w:p w14:paraId="56A13551">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2BC63AEA">
            <w:pPr>
              <w:spacing w:line="320" w:lineRule="exact"/>
              <w:jc w:val="center"/>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安全文明施工方案</w:t>
            </w:r>
          </w:p>
        </w:tc>
        <w:tc>
          <w:tcPr>
            <w:tcW w:w="736" w:type="dxa"/>
            <w:vAlign w:val="center"/>
          </w:tcPr>
          <w:p w14:paraId="0E7B4FBD">
            <w:pPr>
              <w:spacing w:line="320" w:lineRule="exact"/>
              <w:jc w:val="center"/>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12分</w:t>
            </w:r>
          </w:p>
        </w:tc>
        <w:tc>
          <w:tcPr>
            <w:tcW w:w="6657" w:type="dxa"/>
            <w:vAlign w:val="center"/>
          </w:tcPr>
          <w:p w14:paraId="24507338">
            <w:pPr>
              <w:spacing w:line="320" w:lineRule="exact"/>
              <w:jc w:val="both"/>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根据投标人针对本项目制定的安全文明施工保证措施方案(在施工的各个环节、管理制度和操作规程、现场管控、扬尘解决方案等)进行评分 ：</w:t>
            </w:r>
          </w:p>
          <w:p w14:paraId="02289F23">
            <w:pPr>
              <w:spacing w:line="320" w:lineRule="exact"/>
              <w:jc w:val="both"/>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val="en-US" w:eastAsia="zh-CN"/>
              </w:rPr>
              <w:t>对本项目采购需求理解透彻，安全文明施工保证措施完整 ，逻辑清晰，针对性强，可扩展性强，专业服务经验丰富得12分；对本项目采购需求理解较透彻，安全文明施工保证措施较完整，有一定的可扩展性，专业服务经验较为满足项目需要得 8 分；对本项目采购需求理解不够，安全文明施工保证措施不完整，可操作性不强得 5分；提供的安全文明施工保证措施无法满足磋商文件要求或与本项目无关得 1 分；未提供安全文明施工保证措施不得分。</w:t>
            </w:r>
          </w:p>
        </w:tc>
        <w:tc>
          <w:tcPr>
            <w:tcW w:w="1170" w:type="dxa"/>
            <w:vMerge w:val="continue"/>
            <w:vAlign w:val="center"/>
          </w:tcPr>
          <w:p w14:paraId="0FCDA1BF">
            <w:pPr>
              <w:spacing w:line="320" w:lineRule="exact"/>
              <w:rPr>
                <w:rFonts w:hint="eastAsia" w:ascii="微软雅黑" w:hAnsi="微软雅黑" w:eastAsia="微软雅黑" w:cs="微软雅黑"/>
                <w:sz w:val="24"/>
                <w:szCs w:val="24"/>
                <w:highlight w:val="none"/>
              </w:rPr>
            </w:pPr>
          </w:p>
        </w:tc>
      </w:tr>
      <w:tr w14:paraId="05AA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63" w:type="dxa"/>
            <w:vMerge w:val="continue"/>
            <w:shd w:val="clear" w:color="auto" w:fill="auto"/>
            <w:vAlign w:val="center"/>
          </w:tcPr>
          <w:p w14:paraId="026DCD01">
            <w:pPr>
              <w:spacing w:line="320" w:lineRule="exact"/>
              <w:jc w:val="center"/>
              <w:rPr>
                <w:rFonts w:hint="eastAsia" w:ascii="微软雅黑" w:hAnsi="微软雅黑" w:eastAsia="微软雅黑" w:cs="微软雅黑"/>
                <w:sz w:val="24"/>
                <w:szCs w:val="24"/>
                <w:highlight w:val="none"/>
              </w:rPr>
            </w:pPr>
          </w:p>
        </w:tc>
        <w:tc>
          <w:tcPr>
            <w:tcW w:w="846" w:type="dxa"/>
            <w:vAlign w:val="center"/>
          </w:tcPr>
          <w:p w14:paraId="512B0CA1">
            <w:pPr>
              <w:spacing w:line="320" w:lineRule="exact"/>
              <w:jc w:val="center"/>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售后及服务方案</w:t>
            </w:r>
          </w:p>
        </w:tc>
        <w:tc>
          <w:tcPr>
            <w:tcW w:w="736" w:type="dxa"/>
            <w:vAlign w:val="center"/>
          </w:tcPr>
          <w:p w14:paraId="5566121C">
            <w:pPr>
              <w:spacing w:line="320" w:lineRule="exact"/>
              <w:jc w:val="center"/>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2分</w:t>
            </w:r>
          </w:p>
        </w:tc>
        <w:tc>
          <w:tcPr>
            <w:tcW w:w="6657" w:type="dxa"/>
            <w:vAlign w:val="center"/>
          </w:tcPr>
          <w:p w14:paraId="0A6EB821">
            <w:pPr>
              <w:spacing w:line="320" w:lineRule="exact"/>
              <w:jc w:val="both"/>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val="en-US" w:eastAsia="zh-CN"/>
              </w:rPr>
              <w:t>对本项目工程量清单中配套设备及设施的（货物类部分）质保承诺在质保期3年以上的基础上，每增加一年的得1 分，最高得2分。</w:t>
            </w:r>
          </w:p>
        </w:tc>
        <w:tc>
          <w:tcPr>
            <w:tcW w:w="1170" w:type="dxa"/>
            <w:vMerge w:val="continue"/>
            <w:vAlign w:val="center"/>
          </w:tcPr>
          <w:p w14:paraId="6F397261">
            <w:pPr>
              <w:spacing w:line="320" w:lineRule="exact"/>
              <w:rPr>
                <w:rFonts w:hint="eastAsia" w:ascii="微软雅黑" w:hAnsi="微软雅黑" w:eastAsia="微软雅黑" w:cs="微软雅黑"/>
                <w:sz w:val="24"/>
                <w:szCs w:val="24"/>
                <w:highlight w:val="none"/>
              </w:rPr>
            </w:pPr>
          </w:p>
        </w:tc>
      </w:tr>
    </w:tbl>
    <w:p w14:paraId="3A54EB73">
      <w:pPr>
        <w:pStyle w:val="9"/>
        <w:ind w:firstLine="0"/>
        <w:rPr>
          <w:highlight w:val="none"/>
        </w:rPr>
      </w:pPr>
    </w:p>
    <w:bookmarkEnd w:id="975"/>
    <w:bookmarkEnd w:id="976"/>
    <w:p w14:paraId="732B8836">
      <w:pPr>
        <w:spacing w:line="240" w:lineRule="atLeast"/>
        <w:jc w:val="center"/>
        <w:rPr>
          <w:rFonts w:ascii="微软雅黑" w:hAnsi="微软雅黑" w:eastAsia="微软雅黑" w:cs="微软雅黑"/>
          <w:b/>
          <w:sz w:val="44"/>
          <w:szCs w:val="44"/>
          <w:highlight w:val="none"/>
        </w:rPr>
      </w:pPr>
    </w:p>
    <w:p w14:paraId="0F8428BB">
      <w:pPr>
        <w:spacing w:line="240" w:lineRule="atLeast"/>
        <w:jc w:val="center"/>
        <w:rPr>
          <w:rFonts w:ascii="微软雅黑" w:hAnsi="微软雅黑" w:eastAsia="微软雅黑" w:cs="微软雅黑"/>
          <w:b/>
          <w:sz w:val="44"/>
          <w:szCs w:val="44"/>
          <w:highlight w:val="none"/>
        </w:rPr>
      </w:pPr>
    </w:p>
    <w:p w14:paraId="6F596CE3">
      <w:pPr>
        <w:spacing w:line="240" w:lineRule="atLeast"/>
        <w:jc w:val="center"/>
        <w:rPr>
          <w:rFonts w:ascii="微软雅黑" w:hAnsi="微软雅黑" w:eastAsia="微软雅黑" w:cs="微软雅黑"/>
          <w:b/>
          <w:sz w:val="44"/>
          <w:szCs w:val="44"/>
          <w:highlight w:val="none"/>
        </w:rPr>
      </w:pPr>
    </w:p>
    <w:p w14:paraId="7FCB7378">
      <w:pPr>
        <w:spacing w:line="240" w:lineRule="atLeast"/>
        <w:jc w:val="center"/>
        <w:rPr>
          <w:rFonts w:ascii="微软雅黑" w:hAnsi="微软雅黑" w:eastAsia="微软雅黑" w:cs="微软雅黑"/>
          <w:b/>
          <w:sz w:val="44"/>
          <w:szCs w:val="44"/>
          <w:highlight w:val="none"/>
        </w:rPr>
      </w:pPr>
    </w:p>
    <w:p w14:paraId="10541419">
      <w:pPr>
        <w:spacing w:line="240" w:lineRule="atLeast"/>
        <w:jc w:val="center"/>
        <w:rPr>
          <w:rFonts w:ascii="微软雅黑" w:hAnsi="微软雅黑" w:eastAsia="微软雅黑" w:cs="微软雅黑"/>
          <w:b/>
          <w:sz w:val="44"/>
          <w:szCs w:val="44"/>
          <w:highlight w:val="none"/>
        </w:rPr>
      </w:pPr>
    </w:p>
    <w:p w14:paraId="3F8C6F46">
      <w:pPr>
        <w:spacing w:line="240" w:lineRule="atLeast"/>
        <w:jc w:val="center"/>
        <w:rPr>
          <w:rFonts w:ascii="微软雅黑" w:hAnsi="微软雅黑" w:eastAsia="微软雅黑" w:cs="微软雅黑"/>
          <w:b/>
          <w:sz w:val="44"/>
          <w:szCs w:val="44"/>
          <w:highlight w:val="none"/>
        </w:rPr>
      </w:pPr>
    </w:p>
    <w:p w14:paraId="77489F86">
      <w:pPr>
        <w:spacing w:line="240" w:lineRule="atLeast"/>
        <w:jc w:val="center"/>
        <w:rPr>
          <w:rFonts w:ascii="微软雅黑" w:hAnsi="微软雅黑" w:eastAsia="微软雅黑" w:cs="微软雅黑"/>
          <w:b/>
          <w:sz w:val="44"/>
          <w:szCs w:val="44"/>
          <w:highlight w:val="none"/>
        </w:rPr>
      </w:pPr>
    </w:p>
    <w:p w14:paraId="0207BE62">
      <w:pPr>
        <w:spacing w:line="240" w:lineRule="atLeast"/>
        <w:jc w:val="center"/>
        <w:rPr>
          <w:rFonts w:ascii="微软雅黑" w:hAnsi="微软雅黑" w:eastAsia="微软雅黑" w:cs="微软雅黑"/>
          <w:b/>
          <w:sz w:val="44"/>
          <w:szCs w:val="44"/>
          <w:highlight w:val="none"/>
        </w:rPr>
      </w:pPr>
    </w:p>
    <w:p w14:paraId="6D6618CD">
      <w:pPr>
        <w:spacing w:line="240" w:lineRule="atLeast"/>
        <w:jc w:val="center"/>
        <w:rPr>
          <w:rFonts w:ascii="微软雅黑" w:hAnsi="微软雅黑" w:eastAsia="微软雅黑" w:cs="微软雅黑"/>
          <w:b/>
          <w:sz w:val="44"/>
          <w:szCs w:val="44"/>
          <w:highlight w:val="none"/>
        </w:rPr>
      </w:pPr>
    </w:p>
    <w:p w14:paraId="10A47636">
      <w:pPr>
        <w:spacing w:line="240" w:lineRule="atLeast"/>
        <w:jc w:val="center"/>
        <w:rPr>
          <w:rFonts w:ascii="微软雅黑" w:hAnsi="微软雅黑" w:eastAsia="微软雅黑" w:cs="微软雅黑"/>
          <w:b/>
          <w:sz w:val="44"/>
          <w:szCs w:val="44"/>
          <w:highlight w:val="none"/>
        </w:rPr>
      </w:pPr>
    </w:p>
    <w:p w14:paraId="0390A4D5">
      <w:pPr>
        <w:spacing w:line="240" w:lineRule="atLeast"/>
        <w:jc w:val="center"/>
        <w:rPr>
          <w:rFonts w:ascii="微软雅黑" w:hAnsi="微软雅黑" w:eastAsia="微软雅黑" w:cs="微软雅黑"/>
          <w:b/>
          <w:sz w:val="44"/>
          <w:szCs w:val="44"/>
          <w:highlight w:val="none"/>
        </w:rPr>
      </w:pPr>
    </w:p>
    <w:p w14:paraId="592B29DF">
      <w:pPr>
        <w:spacing w:line="240" w:lineRule="atLeast"/>
        <w:jc w:val="center"/>
        <w:rPr>
          <w:rFonts w:ascii="微软雅黑" w:hAnsi="微软雅黑" w:eastAsia="微软雅黑" w:cs="微软雅黑"/>
          <w:b/>
          <w:sz w:val="44"/>
          <w:szCs w:val="44"/>
          <w:highlight w:val="none"/>
        </w:rPr>
      </w:pPr>
    </w:p>
    <w:p w14:paraId="346320F1">
      <w:pPr>
        <w:spacing w:line="240" w:lineRule="atLeast"/>
        <w:jc w:val="center"/>
        <w:rPr>
          <w:rFonts w:ascii="微软雅黑" w:hAnsi="微软雅黑" w:eastAsia="微软雅黑" w:cs="微软雅黑"/>
          <w:b/>
          <w:sz w:val="40"/>
          <w:szCs w:val="40"/>
          <w:highlight w:val="none"/>
        </w:rPr>
      </w:pPr>
      <w:r>
        <w:rPr>
          <w:rFonts w:hint="eastAsia" w:ascii="微软雅黑" w:hAnsi="微软雅黑" w:eastAsia="微软雅黑" w:cs="微软雅黑"/>
          <w:b/>
          <w:sz w:val="44"/>
          <w:szCs w:val="44"/>
          <w:highlight w:val="none"/>
        </w:rPr>
        <w:t>磋 商 文 件</w:t>
      </w:r>
    </w:p>
    <w:p w14:paraId="6A2A2628">
      <w:pPr>
        <w:pStyle w:val="9"/>
        <w:rPr>
          <w:rFonts w:ascii="微软雅黑" w:hAnsi="微软雅黑" w:eastAsia="微软雅黑" w:cs="微软雅黑"/>
          <w:highlight w:val="none"/>
        </w:rPr>
      </w:pPr>
    </w:p>
    <w:p w14:paraId="093CEDBC">
      <w:pPr>
        <w:spacing w:line="240" w:lineRule="atLeast"/>
        <w:jc w:val="center"/>
        <w:rPr>
          <w:rFonts w:hint="eastAsia" w:ascii="微软雅黑" w:hAnsi="微软雅黑" w:eastAsia="微软雅黑" w:cs="微软雅黑"/>
          <w:b/>
          <w:sz w:val="40"/>
          <w:szCs w:val="40"/>
          <w:highlight w:val="none"/>
          <w:lang w:eastAsia="zh-CN"/>
        </w:rPr>
      </w:pPr>
      <w:r>
        <w:rPr>
          <w:rFonts w:hint="eastAsia" w:ascii="微软雅黑" w:hAnsi="微软雅黑" w:eastAsia="微软雅黑" w:cs="微软雅黑"/>
          <w:b/>
          <w:sz w:val="40"/>
          <w:szCs w:val="40"/>
          <w:highlight w:val="none"/>
        </w:rPr>
        <w:t>项目编号：</w:t>
      </w:r>
      <w:r>
        <w:rPr>
          <w:rFonts w:hint="eastAsia" w:ascii="微软雅黑" w:hAnsi="微软雅黑" w:eastAsia="微软雅黑" w:cs="微软雅黑"/>
          <w:b/>
          <w:sz w:val="40"/>
          <w:szCs w:val="40"/>
          <w:highlight w:val="none"/>
          <w:lang w:eastAsia="zh-CN"/>
        </w:rPr>
        <w:t>25LS-(CS)002</w:t>
      </w:r>
    </w:p>
    <w:p w14:paraId="6731374F">
      <w:pPr>
        <w:rPr>
          <w:rFonts w:ascii="微软雅黑" w:hAnsi="微软雅黑" w:eastAsia="微软雅黑" w:cs="微软雅黑"/>
          <w:highlight w:val="none"/>
        </w:rPr>
      </w:pPr>
    </w:p>
    <w:p w14:paraId="3CC5519C">
      <w:pPr>
        <w:pStyle w:val="8"/>
        <w:rPr>
          <w:rFonts w:ascii="微软雅黑" w:hAnsi="微软雅黑" w:eastAsia="微软雅黑" w:cs="微软雅黑"/>
          <w:highlight w:val="none"/>
        </w:rPr>
      </w:pPr>
    </w:p>
    <w:p w14:paraId="29B314AB">
      <w:pPr>
        <w:spacing w:line="240" w:lineRule="atLeast"/>
        <w:jc w:val="center"/>
        <w:rPr>
          <w:rFonts w:ascii="微软雅黑" w:hAnsi="微软雅黑" w:eastAsia="微软雅黑" w:cs="微软雅黑"/>
          <w:b/>
          <w:sz w:val="44"/>
          <w:szCs w:val="44"/>
          <w:highlight w:val="none"/>
        </w:rPr>
      </w:pPr>
      <w:bookmarkStart w:id="1002" w:name="_Toc16427"/>
      <w:bookmarkStart w:id="1003" w:name="_Toc29605"/>
      <w:bookmarkStart w:id="1004" w:name="_Toc24544"/>
      <w:bookmarkStart w:id="1005" w:name="_Toc5580"/>
      <w:bookmarkStart w:id="1006" w:name="_Toc25236"/>
      <w:bookmarkStart w:id="1007" w:name="_Toc10296"/>
      <w:bookmarkStart w:id="1008" w:name="_Toc997"/>
      <w:bookmarkStart w:id="1009" w:name="_Toc17537"/>
      <w:bookmarkStart w:id="1010" w:name="_Toc770"/>
      <w:bookmarkStart w:id="1011" w:name="_Toc32424"/>
      <w:bookmarkStart w:id="1012" w:name="_Toc22799"/>
      <w:bookmarkStart w:id="1013" w:name="_Toc8381"/>
      <w:bookmarkStart w:id="1014" w:name="_Toc8709"/>
      <w:bookmarkStart w:id="1015" w:name="_Toc4522"/>
      <w:bookmarkStart w:id="1016" w:name="_Toc28750"/>
      <w:bookmarkStart w:id="1017" w:name="_Toc30135"/>
      <w:bookmarkStart w:id="1018" w:name="_Toc20854"/>
      <w:bookmarkStart w:id="1019" w:name="_Toc11428"/>
      <w:bookmarkStart w:id="1020" w:name="_Toc25543"/>
      <w:bookmarkStart w:id="1021" w:name="_Toc7062"/>
      <w:r>
        <w:rPr>
          <w:rFonts w:hint="eastAsia" w:ascii="微软雅黑" w:hAnsi="微软雅黑" w:eastAsia="微软雅黑" w:cs="微软雅黑"/>
          <w:b/>
          <w:sz w:val="44"/>
          <w:szCs w:val="44"/>
          <w:highlight w:val="none"/>
        </w:rPr>
        <w:t>第 三 册</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43F4B287">
      <w:pPr>
        <w:spacing w:line="240" w:lineRule="atLeast"/>
        <w:jc w:val="center"/>
        <w:rPr>
          <w:rFonts w:ascii="微软雅黑" w:hAnsi="微软雅黑" w:eastAsia="微软雅黑" w:cs="微软雅黑"/>
          <w:b/>
          <w:sz w:val="32"/>
          <w:highlight w:val="none"/>
        </w:rPr>
      </w:pPr>
    </w:p>
    <w:p w14:paraId="781AB0D2">
      <w:pPr>
        <w:spacing w:line="240" w:lineRule="atLeast"/>
        <w:ind w:left="1080" w:leftChars="257" w:hanging="540"/>
        <w:jc w:val="center"/>
        <w:rPr>
          <w:rFonts w:ascii="微软雅黑" w:hAnsi="微软雅黑" w:eastAsia="微软雅黑" w:cs="微软雅黑"/>
          <w:b/>
          <w:sz w:val="52"/>
          <w:highlight w:val="none"/>
        </w:rPr>
      </w:pPr>
    </w:p>
    <w:p w14:paraId="73312F30">
      <w:pPr>
        <w:spacing w:line="240" w:lineRule="atLeast"/>
        <w:ind w:left="1080" w:leftChars="257" w:hanging="540"/>
        <w:jc w:val="center"/>
        <w:rPr>
          <w:rFonts w:ascii="微软雅黑" w:hAnsi="微软雅黑" w:eastAsia="微软雅黑" w:cs="微软雅黑"/>
          <w:b/>
          <w:sz w:val="52"/>
          <w:highlight w:val="none"/>
        </w:rPr>
      </w:pPr>
    </w:p>
    <w:p w14:paraId="592AEE44">
      <w:pPr>
        <w:rPr>
          <w:rFonts w:ascii="微软雅黑" w:hAnsi="微软雅黑" w:eastAsia="微软雅黑" w:cs="微软雅黑"/>
          <w:b/>
          <w:bCs/>
          <w:kern w:val="44"/>
          <w:sz w:val="32"/>
          <w:szCs w:val="20"/>
          <w:highlight w:val="none"/>
        </w:rPr>
      </w:pPr>
      <w:bookmarkStart w:id="1022" w:name="_Toc27294"/>
      <w:r>
        <w:rPr>
          <w:rFonts w:hint="eastAsia" w:ascii="微软雅黑" w:hAnsi="微软雅黑" w:eastAsia="微软雅黑" w:cs="微软雅黑"/>
          <w:b/>
          <w:bCs/>
          <w:kern w:val="44"/>
          <w:sz w:val="32"/>
          <w:szCs w:val="20"/>
          <w:highlight w:val="none"/>
        </w:rPr>
        <w:br w:type="page"/>
      </w:r>
    </w:p>
    <w:p w14:paraId="6FDA3EA0">
      <w:pPr>
        <w:autoSpaceDE w:val="0"/>
        <w:autoSpaceDN w:val="0"/>
        <w:spacing w:line="440" w:lineRule="exact"/>
        <w:ind w:firstLine="640" w:firstLineChars="200"/>
        <w:jc w:val="center"/>
        <w:outlineLvl w:val="0"/>
        <w:rPr>
          <w:rFonts w:ascii="微软雅黑" w:hAnsi="微软雅黑" w:eastAsia="微软雅黑" w:cs="微软雅黑"/>
          <w:b/>
          <w:bCs/>
          <w:kern w:val="44"/>
          <w:sz w:val="32"/>
          <w:szCs w:val="20"/>
          <w:highlight w:val="none"/>
        </w:rPr>
      </w:pPr>
      <w:bookmarkStart w:id="1023" w:name="_Toc19395"/>
      <w:bookmarkStart w:id="1024" w:name="_Toc6746"/>
      <w:r>
        <w:rPr>
          <w:rFonts w:hint="eastAsia" w:ascii="微软雅黑" w:hAnsi="微软雅黑" w:eastAsia="微软雅黑" w:cs="微软雅黑"/>
          <w:b/>
          <w:bCs/>
          <w:kern w:val="44"/>
          <w:sz w:val="32"/>
          <w:szCs w:val="20"/>
          <w:highlight w:val="none"/>
        </w:rPr>
        <w:t xml:space="preserve">第7章 </w:t>
      </w:r>
      <w:bookmarkStart w:id="1025" w:name="_Toc2627_WPSOffice_Level1"/>
      <w:r>
        <w:rPr>
          <w:rFonts w:hint="eastAsia" w:ascii="微软雅黑" w:hAnsi="微软雅黑" w:eastAsia="微软雅黑" w:cs="微软雅黑"/>
          <w:b/>
          <w:bCs/>
          <w:kern w:val="44"/>
          <w:sz w:val="32"/>
          <w:szCs w:val="20"/>
          <w:highlight w:val="none"/>
        </w:rPr>
        <w:t>合同格式</w:t>
      </w:r>
      <w:bookmarkEnd w:id="1025"/>
      <w:r>
        <w:rPr>
          <w:rFonts w:hint="eastAsia" w:ascii="微软雅黑" w:hAnsi="微软雅黑" w:eastAsia="微软雅黑" w:cs="微软雅黑"/>
          <w:b/>
          <w:bCs/>
          <w:kern w:val="44"/>
          <w:sz w:val="32"/>
          <w:szCs w:val="20"/>
          <w:highlight w:val="none"/>
        </w:rPr>
        <w:t xml:space="preserve"> （仅做参考，以实际情况为准）</w:t>
      </w:r>
      <w:bookmarkEnd w:id="1022"/>
      <w:bookmarkEnd w:id="1023"/>
      <w:bookmarkEnd w:id="1024"/>
    </w:p>
    <w:p w14:paraId="10ABAD62">
      <w:pPr>
        <w:pStyle w:val="2"/>
        <w:rPr>
          <w:rFonts w:ascii="微软雅黑" w:hAnsi="微软雅黑" w:eastAsia="微软雅黑" w:cs="微软雅黑"/>
          <w:highlight w:val="none"/>
        </w:rPr>
      </w:pPr>
    </w:p>
    <w:p w14:paraId="41D30A7A">
      <w:pPr>
        <w:pStyle w:val="13"/>
        <w:ind w:left="0"/>
        <w:rPr>
          <w:rFonts w:ascii="微软雅黑" w:hAnsi="微软雅黑" w:eastAsia="微软雅黑" w:cs="微软雅黑"/>
          <w:highlight w:val="none"/>
        </w:rPr>
      </w:pPr>
    </w:p>
    <w:p w14:paraId="5AA73F52">
      <w:pPr>
        <w:pStyle w:val="6"/>
        <w:spacing w:line="360" w:lineRule="exact"/>
        <w:ind w:firstLine="3001" w:firstLineChars="1000"/>
        <w:jc w:val="both"/>
        <w:rPr>
          <w:rFonts w:ascii="微软雅黑" w:hAnsi="微软雅黑" w:eastAsia="微软雅黑" w:cs="微软雅黑"/>
          <w:szCs w:val="30"/>
          <w:highlight w:val="none"/>
        </w:rPr>
      </w:pPr>
      <w:bookmarkStart w:id="1026" w:name="_Toc495501805"/>
      <w:bookmarkStart w:id="1027" w:name="_Toc15922"/>
      <w:bookmarkStart w:id="1028" w:name="_Toc29678"/>
      <w:bookmarkStart w:id="1029" w:name="_Toc5918"/>
      <w:bookmarkStart w:id="1030" w:name="_Toc31909"/>
      <w:bookmarkStart w:id="1031" w:name="_Toc418164810"/>
      <w:bookmarkStart w:id="1032" w:name="_Toc329"/>
      <w:bookmarkStart w:id="1033" w:name="_Toc28338"/>
      <w:r>
        <w:rPr>
          <w:rFonts w:hint="eastAsia" w:ascii="微软雅黑" w:hAnsi="微软雅黑" w:eastAsia="微软雅黑" w:cs="微软雅黑"/>
          <w:szCs w:val="30"/>
          <w:highlight w:val="none"/>
        </w:rPr>
        <w:t>第一节  合同条款</w:t>
      </w:r>
      <w:bookmarkEnd w:id="1026"/>
      <w:bookmarkEnd w:id="1027"/>
      <w:bookmarkEnd w:id="1028"/>
      <w:bookmarkEnd w:id="1029"/>
      <w:bookmarkEnd w:id="1030"/>
      <w:bookmarkEnd w:id="1031"/>
      <w:bookmarkEnd w:id="1032"/>
      <w:bookmarkEnd w:id="1033"/>
    </w:p>
    <w:p w14:paraId="739A6BA5">
      <w:pPr>
        <w:rPr>
          <w:rFonts w:ascii="微软雅黑" w:hAnsi="微软雅黑" w:eastAsia="微软雅黑" w:cs="微软雅黑"/>
          <w:sz w:val="24"/>
          <w:highlight w:val="none"/>
        </w:rPr>
      </w:pPr>
    </w:p>
    <w:p w14:paraId="2B1853E5">
      <w:pPr>
        <w:spacing w:line="460" w:lineRule="exact"/>
        <w:ind w:firstLine="480" w:firstLineChars="200"/>
        <w:rPr>
          <w:rFonts w:ascii="微软雅黑" w:hAnsi="微软雅黑" w:eastAsia="微软雅黑" w:cs="微软雅黑"/>
          <w:sz w:val="24"/>
          <w:highlight w:val="none"/>
        </w:rPr>
      </w:pPr>
      <w:bookmarkStart w:id="1034" w:name="_Toc152042546"/>
      <w:bookmarkStart w:id="1035" w:name="_Toc144974826"/>
      <w:bookmarkStart w:id="1036" w:name="_Toc179632785"/>
      <w:bookmarkStart w:id="1037" w:name="_Toc152045767"/>
      <w:r>
        <w:rPr>
          <w:rFonts w:hint="eastAsia" w:ascii="微软雅黑" w:hAnsi="微软雅黑" w:eastAsia="微软雅黑" w:cs="微软雅黑"/>
          <w:sz w:val="24"/>
          <w:highlight w:val="none"/>
        </w:rPr>
        <w:t>通用合同条款直接引用住房城乡建设部、国家工商行政管理总局修订的《建设工程施工合同（示范文本）》（GF-2017-0201）第二部分“通用合同条款”。</w:t>
      </w:r>
    </w:p>
    <w:p w14:paraId="66501CE7">
      <w:pPr>
        <w:pStyle w:val="49"/>
        <w:outlineLvl w:val="9"/>
        <w:rPr>
          <w:rFonts w:ascii="微软雅黑" w:hAnsi="微软雅黑" w:eastAsia="微软雅黑" w:cs="微软雅黑"/>
          <w:sz w:val="24"/>
          <w:szCs w:val="24"/>
          <w:highlight w:val="none"/>
        </w:rPr>
      </w:pPr>
    </w:p>
    <w:p w14:paraId="392BE876">
      <w:pPr>
        <w:pStyle w:val="49"/>
        <w:outlineLvl w:val="9"/>
        <w:rPr>
          <w:rFonts w:ascii="微软雅黑" w:hAnsi="微软雅黑" w:eastAsia="微软雅黑" w:cs="微软雅黑"/>
          <w:sz w:val="24"/>
          <w:szCs w:val="24"/>
          <w:highlight w:val="none"/>
        </w:rPr>
      </w:pPr>
    </w:p>
    <w:p w14:paraId="5CB76208">
      <w:pPr>
        <w:pStyle w:val="6"/>
        <w:spacing w:line="360" w:lineRule="exact"/>
        <w:ind w:firstLine="3001" w:firstLineChars="1000"/>
        <w:jc w:val="both"/>
        <w:rPr>
          <w:rFonts w:ascii="微软雅黑" w:hAnsi="微软雅黑" w:eastAsia="微软雅黑" w:cs="微软雅黑"/>
          <w:szCs w:val="30"/>
          <w:highlight w:val="none"/>
        </w:rPr>
      </w:pPr>
      <w:bookmarkStart w:id="1038" w:name="_Toc1890"/>
      <w:bookmarkStart w:id="1039" w:name="_Toc31502"/>
      <w:r>
        <w:rPr>
          <w:rFonts w:hint="eastAsia" w:ascii="微软雅黑" w:hAnsi="微软雅黑" w:eastAsia="微软雅黑" w:cs="微软雅黑"/>
          <w:szCs w:val="30"/>
          <w:highlight w:val="none"/>
        </w:rPr>
        <w:t>第二节  专用合同条款</w:t>
      </w:r>
      <w:bookmarkEnd w:id="1038"/>
      <w:bookmarkEnd w:id="1039"/>
    </w:p>
    <w:p w14:paraId="4B5D2963">
      <w:pPr>
        <w:jc w:val="center"/>
        <w:rPr>
          <w:rFonts w:ascii="微软雅黑" w:hAnsi="微软雅黑" w:eastAsia="微软雅黑" w:cs="微软雅黑"/>
          <w:sz w:val="24"/>
          <w:highlight w:val="none"/>
        </w:rPr>
      </w:pPr>
    </w:p>
    <w:p w14:paraId="4E8D221E">
      <w:pPr>
        <w:jc w:val="center"/>
        <w:rPr>
          <w:rFonts w:ascii="微软雅黑" w:hAnsi="微软雅黑" w:eastAsia="微软雅黑" w:cs="微软雅黑"/>
          <w:sz w:val="24"/>
          <w:highlight w:val="none"/>
        </w:rPr>
      </w:pPr>
    </w:p>
    <w:p w14:paraId="100007B9">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 一般约定</w:t>
      </w:r>
    </w:p>
    <w:p w14:paraId="65F636C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 词语定义</w:t>
      </w:r>
    </w:p>
    <w:p w14:paraId="5EA6EE10">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1.1.1合同</w:t>
      </w:r>
    </w:p>
    <w:p w14:paraId="3D88F810">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1.1.1.10其他合同文件包括：</w:t>
      </w:r>
      <w:r>
        <w:rPr>
          <w:rFonts w:hint="eastAsia" w:ascii="微软雅黑" w:hAnsi="微软雅黑" w:eastAsia="微软雅黑" w:cs="微软雅黑"/>
          <w:sz w:val="24"/>
          <w:highlight w:val="none"/>
          <w:u w:val="single"/>
        </w:rPr>
        <w:t>履行合同过程中双方总经理以上管理者（或双方工地代表人）书面确认的对合同内容有实质性影响的会议纪要、签证、设计变更等资料</w:t>
      </w:r>
      <w:r>
        <w:rPr>
          <w:rFonts w:hint="eastAsia" w:ascii="微软雅黑" w:hAnsi="微软雅黑" w:eastAsia="微软雅黑" w:cs="微软雅黑"/>
          <w:sz w:val="24"/>
          <w:highlight w:val="none"/>
        </w:rPr>
        <w:t>。</w:t>
      </w:r>
    </w:p>
    <w:p w14:paraId="7059DF94">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1.1.2 合同当事人及其他相关方</w:t>
      </w:r>
    </w:p>
    <w:p w14:paraId="079F314E">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1.1.2.4监理人：</w:t>
      </w:r>
    </w:p>
    <w:p w14:paraId="44E1AC7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名    称：</w:t>
      </w:r>
      <w:r>
        <w:rPr>
          <w:rFonts w:hint="eastAsia" w:ascii="微软雅黑" w:hAnsi="微软雅黑" w:eastAsia="微软雅黑" w:cs="微软雅黑"/>
          <w:sz w:val="24"/>
          <w:highlight w:val="none"/>
          <w:u w:val="single"/>
        </w:rPr>
        <w:t xml:space="preserve">                           </w:t>
      </w:r>
      <w:r>
        <w:rPr>
          <w:rFonts w:hint="eastAsia" w:ascii="微软雅黑" w:hAnsi="微软雅黑" w:eastAsia="微软雅黑" w:cs="微软雅黑"/>
          <w:sz w:val="24"/>
          <w:highlight w:val="none"/>
        </w:rPr>
        <w:t>；</w:t>
      </w:r>
    </w:p>
    <w:p w14:paraId="5C2BE468">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资质类别和等级：</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67D60B1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73FCF53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电子信箱：</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78FF85F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02499FB8">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1.1.2.5 设计人：</w:t>
      </w:r>
    </w:p>
    <w:p w14:paraId="7C43D775">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名    称：</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195A4C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资质类别和等级：</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01682D5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667158B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3DD1832A">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1.1.3 工程和设备</w:t>
      </w:r>
    </w:p>
    <w:p w14:paraId="74E60B94">
      <w:pPr>
        <w:spacing w:line="460" w:lineRule="exac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1.1.3.7 作为施工现场组成部分的其他场所包括：</w:t>
      </w:r>
      <w:r>
        <w:rPr>
          <w:rFonts w:hint="eastAsia" w:ascii="微软雅黑" w:hAnsi="微软雅黑" w:eastAsia="微软雅黑" w:cs="微软雅黑"/>
          <w:sz w:val="24"/>
          <w:highlight w:val="none"/>
          <w:u w:val="single"/>
        </w:rPr>
        <w:t xml:space="preserve"> 通用条款规定的发包方提供的施工场地 </w:t>
      </w:r>
      <w:r>
        <w:rPr>
          <w:rFonts w:hint="eastAsia" w:ascii="微软雅黑" w:hAnsi="微软雅黑" w:eastAsia="微软雅黑" w:cs="微软雅黑"/>
          <w:sz w:val="24"/>
          <w:highlight w:val="none"/>
        </w:rPr>
        <w:t>。</w:t>
      </w:r>
    </w:p>
    <w:p w14:paraId="64F049CF">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1.1.3.9 永久占地包括：</w:t>
      </w:r>
      <w:r>
        <w:rPr>
          <w:rFonts w:hint="eastAsia" w:ascii="微软雅黑" w:hAnsi="微软雅黑" w:eastAsia="微软雅黑" w:cs="微软雅黑"/>
          <w:sz w:val="24"/>
          <w:highlight w:val="none"/>
          <w:u w:val="single"/>
        </w:rPr>
        <w:t xml:space="preserve">           /         </w:t>
      </w:r>
      <w:r>
        <w:rPr>
          <w:rFonts w:hint="eastAsia" w:ascii="微软雅黑" w:hAnsi="微软雅黑" w:eastAsia="微软雅黑" w:cs="微软雅黑"/>
          <w:kern w:val="0"/>
          <w:sz w:val="24"/>
          <w:highlight w:val="none"/>
        </w:rPr>
        <w:t>。</w:t>
      </w:r>
    </w:p>
    <w:p w14:paraId="197DDE6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1.1.3.10 临时占地包括：</w:t>
      </w:r>
      <w:r>
        <w:rPr>
          <w:rFonts w:hint="eastAsia" w:ascii="微软雅黑" w:hAnsi="微软雅黑" w:eastAsia="微软雅黑" w:cs="微软雅黑"/>
          <w:sz w:val="24"/>
          <w:highlight w:val="none"/>
          <w:u w:val="single"/>
        </w:rPr>
        <w:t xml:space="preserve">        双方在合同履行过程中确定              </w:t>
      </w:r>
      <w:r>
        <w:rPr>
          <w:rFonts w:hint="eastAsia" w:ascii="微软雅黑" w:hAnsi="微软雅黑" w:eastAsia="微软雅黑" w:cs="微软雅黑"/>
          <w:kern w:val="0"/>
          <w:sz w:val="24"/>
          <w:highlight w:val="none"/>
        </w:rPr>
        <w:t>。</w:t>
      </w:r>
    </w:p>
    <w:p w14:paraId="240031EE">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1.3法律 </w:t>
      </w:r>
    </w:p>
    <w:p w14:paraId="6939B832">
      <w:pPr>
        <w:autoSpaceDE w:val="0"/>
        <w:autoSpaceDN w:val="0"/>
        <w:adjustRightInd w:val="0"/>
        <w:spacing w:line="460" w:lineRule="exact"/>
        <w:ind w:left="596" w:leftChars="284"/>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适用于合同的其他规范性文件：</w:t>
      </w:r>
      <w:r>
        <w:rPr>
          <w:rFonts w:hint="eastAsia" w:ascii="微软雅黑" w:hAnsi="微软雅黑" w:eastAsia="微软雅黑" w:cs="微软雅黑"/>
          <w:sz w:val="24"/>
          <w:highlight w:val="none"/>
          <w:u w:val="single"/>
        </w:rPr>
        <w:t xml:space="preserve">需要明示的法律、行政法规：《中华人民共和国民法典》、《中华人民共和国建筑法》、《中华人民共和国招标投标法》、《中华人民共和国安全生产法》、《建设工程质量管理条例》，以及其他有关法律、法规 </w:t>
      </w:r>
      <w:r>
        <w:rPr>
          <w:rFonts w:hint="eastAsia" w:ascii="微软雅黑" w:hAnsi="微软雅黑" w:eastAsia="微软雅黑" w:cs="微软雅黑"/>
          <w:sz w:val="24"/>
          <w:highlight w:val="none"/>
        </w:rPr>
        <w:t>。</w:t>
      </w:r>
    </w:p>
    <w:p w14:paraId="018058A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 标准和规范</w:t>
      </w:r>
    </w:p>
    <w:p w14:paraId="3C952839">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1.4.1适用于工程的标准规范包括：</w:t>
      </w:r>
      <w:r>
        <w:rPr>
          <w:rFonts w:hint="eastAsia" w:ascii="微软雅黑" w:hAnsi="微软雅黑" w:eastAsia="微软雅黑" w:cs="微软雅黑"/>
          <w:sz w:val="24"/>
          <w:highlight w:val="none"/>
          <w:u w:val="single"/>
        </w:rPr>
        <w:t>国家和地方现行的有关标准、规范、详细施工图</w:t>
      </w:r>
      <w:r>
        <w:rPr>
          <w:rFonts w:hint="eastAsia" w:ascii="微软雅黑" w:hAnsi="微软雅黑" w:eastAsia="微软雅黑" w:cs="微软雅黑"/>
          <w:sz w:val="24"/>
          <w:highlight w:val="none"/>
        </w:rPr>
        <w:t xml:space="preserve"> 。</w:t>
      </w:r>
    </w:p>
    <w:p w14:paraId="36DA4260">
      <w:pPr>
        <w:spacing w:line="460" w:lineRule="exact"/>
        <w:rPr>
          <w:rFonts w:ascii="微软雅黑" w:hAnsi="微软雅黑" w:eastAsia="微软雅黑" w:cs="微软雅黑"/>
          <w:kern w:val="0"/>
          <w:sz w:val="24"/>
          <w:highlight w:val="none"/>
          <w:u w:val="single"/>
        </w:rPr>
      </w:pPr>
      <w:r>
        <w:rPr>
          <w:rFonts w:hint="eastAsia" w:ascii="微软雅黑" w:hAnsi="微软雅黑" w:eastAsia="微软雅黑" w:cs="微软雅黑"/>
          <w:kern w:val="0"/>
          <w:sz w:val="24"/>
          <w:highlight w:val="none"/>
        </w:rPr>
        <w:t>1.4.2 发包人提供国外标准、规范的名称：</w:t>
      </w:r>
      <w:r>
        <w:rPr>
          <w:rFonts w:hint="eastAsia" w:ascii="微软雅黑" w:hAnsi="微软雅黑" w:eastAsia="微软雅黑" w:cs="微软雅黑"/>
          <w:kern w:val="0"/>
          <w:sz w:val="24"/>
          <w:highlight w:val="none"/>
          <w:u w:val="single"/>
        </w:rPr>
        <w:t xml:space="preserve">      不采用                </w:t>
      </w:r>
      <w:r>
        <w:rPr>
          <w:rFonts w:hint="eastAsia" w:ascii="微软雅黑" w:hAnsi="微软雅黑" w:eastAsia="微软雅黑" w:cs="微软雅黑"/>
          <w:kern w:val="0"/>
          <w:sz w:val="24"/>
          <w:highlight w:val="none"/>
        </w:rPr>
        <w:t>；</w:t>
      </w:r>
    </w:p>
    <w:p w14:paraId="4250033E">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发包人提供国外标准、规范的份数：</w:t>
      </w:r>
      <w:r>
        <w:rPr>
          <w:rFonts w:hint="eastAsia" w:ascii="微软雅黑" w:hAnsi="微软雅黑" w:eastAsia="微软雅黑" w:cs="微软雅黑"/>
          <w:kern w:val="0"/>
          <w:sz w:val="24"/>
          <w:highlight w:val="none"/>
          <w:u w:val="single"/>
        </w:rPr>
        <w:t xml:space="preserve">          不采用                </w:t>
      </w:r>
      <w:r>
        <w:rPr>
          <w:rFonts w:hint="eastAsia" w:ascii="微软雅黑" w:hAnsi="微软雅黑" w:eastAsia="微软雅黑" w:cs="微软雅黑"/>
          <w:kern w:val="0"/>
          <w:sz w:val="24"/>
          <w:highlight w:val="none"/>
        </w:rPr>
        <w:t>；</w:t>
      </w:r>
    </w:p>
    <w:p w14:paraId="0AB31AE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发包人提供国外标准、规范的名称：</w:t>
      </w:r>
      <w:r>
        <w:rPr>
          <w:rFonts w:hint="eastAsia" w:ascii="微软雅黑" w:hAnsi="微软雅黑" w:eastAsia="微软雅黑" w:cs="微软雅黑"/>
          <w:kern w:val="0"/>
          <w:sz w:val="24"/>
          <w:highlight w:val="none"/>
          <w:u w:val="single"/>
        </w:rPr>
        <w:t xml:space="preserve">         不采用               </w:t>
      </w:r>
      <w:r>
        <w:rPr>
          <w:rFonts w:hint="eastAsia" w:ascii="微软雅黑" w:hAnsi="微软雅黑" w:eastAsia="微软雅黑" w:cs="微软雅黑"/>
          <w:kern w:val="0"/>
          <w:sz w:val="24"/>
          <w:highlight w:val="none"/>
        </w:rPr>
        <w:t>。</w:t>
      </w:r>
    </w:p>
    <w:p w14:paraId="24766273">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1.4.3发包人对工程的技术标准和功能要求的特殊要求：</w:t>
      </w:r>
      <w:r>
        <w:rPr>
          <w:rFonts w:hint="eastAsia" w:ascii="微软雅黑" w:hAnsi="微软雅黑" w:eastAsia="微软雅黑" w:cs="微软雅黑"/>
          <w:sz w:val="24"/>
          <w:highlight w:val="none"/>
          <w:u w:val="single"/>
        </w:rPr>
        <w:t xml:space="preserve">  详见图纸</w:t>
      </w:r>
      <w:r>
        <w:rPr>
          <w:rFonts w:hint="eastAsia" w:ascii="微软雅黑" w:hAnsi="微软雅黑" w:eastAsia="微软雅黑" w:cs="微软雅黑"/>
          <w:sz w:val="24"/>
          <w:highlight w:val="none"/>
        </w:rPr>
        <w:t>。</w:t>
      </w:r>
    </w:p>
    <w:p w14:paraId="0DC045BA">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1.5 合同文件的优先顺序</w:t>
      </w:r>
    </w:p>
    <w:p w14:paraId="5F0C84E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合同文件组成及优先顺序为：</w:t>
      </w:r>
      <w:r>
        <w:rPr>
          <w:rFonts w:hint="eastAsia" w:ascii="微软雅黑" w:hAnsi="微软雅黑" w:eastAsia="微软雅黑" w:cs="微软雅黑"/>
          <w:sz w:val="24"/>
          <w:highlight w:val="none"/>
          <w:u w:val="single"/>
        </w:rPr>
        <w:t>执行通用条款             </w:t>
      </w:r>
      <w:r>
        <w:rPr>
          <w:rFonts w:hint="eastAsia" w:ascii="微软雅黑" w:hAnsi="微软雅黑" w:eastAsia="微软雅黑" w:cs="微软雅黑"/>
          <w:sz w:val="24"/>
          <w:highlight w:val="none"/>
        </w:rPr>
        <w:t>。</w:t>
      </w:r>
    </w:p>
    <w:p w14:paraId="78DD134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 图纸和承包人文件</w:t>
      </w:r>
      <w:r>
        <w:rPr>
          <w:rFonts w:hint="eastAsia" w:ascii="微软雅黑" w:hAnsi="微软雅黑" w:eastAsia="微软雅黑" w:cs="微软雅黑"/>
          <w:sz w:val="24"/>
          <w:highlight w:val="none"/>
        </w:rPr>
        <w:tab/>
      </w:r>
    </w:p>
    <w:p w14:paraId="38B829F4">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1.6.1 图纸的提供</w:t>
      </w:r>
    </w:p>
    <w:p w14:paraId="663D03F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发包人向承包人提供图纸的期限：</w:t>
      </w:r>
      <w:r>
        <w:rPr>
          <w:rFonts w:hint="eastAsia" w:ascii="微软雅黑" w:hAnsi="微软雅黑" w:eastAsia="微软雅黑" w:cs="微软雅黑"/>
          <w:sz w:val="24"/>
          <w:highlight w:val="none"/>
          <w:u w:val="single"/>
        </w:rPr>
        <w:t>/</w:t>
      </w:r>
      <w:r>
        <w:rPr>
          <w:rFonts w:hint="eastAsia" w:ascii="微软雅黑" w:hAnsi="微软雅黑" w:eastAsia="微软雅黑" w:cs="微软雅黑"/>
          <w:sz w:val="24"/>
          <w:highlight w:val="none"/>
        </w:rPr>
        <w:t>；</w:t>
      </w:r>
    </w:p>
    <w:p w14:paraId="56BC180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发包人向承包人提供图纸的数量：</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175BA06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发包人向承包人提供图纸的内容：</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1F575F69">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1.6.4 承包人文件</w:t>
      </w:r>
    </w:p>
    <w:p w14:paraId="7DEB8A0B">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需要由承包人提供的文件，包括：</w:t>
      </w:r>
      <w:r>
        <w:rPr>
          <w:rFonts w:hint="eastAsia" w:ascii="微软雅黑" w:hAnsi="微软雅黑" w:eastAsia="微软雅黑" w:cs="微软雅黑"/>
          <w:sz w:val="24"/>
          <w:highlight w:val="none"/>
          <w:u w:val="single"/>
        </w:rPr>
        <w:t>实施性施工组织设计及方案   </w:t>
      </w:r>
      <w:r>
        <w:rPr>
          <w:rFonts w:hint="eastAsia" w:ascii="微软雅黑" w:hAnsi="微软雅黑" w:eastAsia="微软雅黑" w:cs="微软雅黑"/>
          <w:sz w:val="24"/>
          <w:highlight w:val="none"/>
        </w:rPr>
        <w:t>；</w:t>
      </w:r>
    </w:p>
    <w:p w14:paraId="0C2E735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承包人提供的文件的期限为：</w:t>
      </w:r>
      <w:r>
        <w:rPr>
          <w:rFonts w:hint="eastAsia" w:ascii="微软雅黑" w:hAnsi="微软雅黑" w:eastAsia="微软雅黑" w:cs="微软雅黑"/>
          <w:sz w:val="24"/>
          <w:highlight w:val="none"/>
          <w:u w:val="single"/>
        </w:rPr>
        <w:t>   开工前     </w:t>
      </w:r>
      <w:r>
        <w:rPr>
          <w:rFonts w:hint="eastAsia" w:ascii="微软雅黑" w:hAnsi="微软雅黑" w:eastAsia="微软雅黑" w:cs="微软雅黑"/>
          <w:sz w:val="24"/>
          <w:highlight w:val="none"/>
        </w:rPr>
        <w:t>；</w:t>
      </w:r>
    </w:p>
    <w:p w14:paraId="5DA0B87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承包人提供的文件的数量为：</w:t>
      </w:r>
      <w:r>
        <w:rPr>
          <w:rFonts w:hint="eastAsia" w:ascii="微软雅黑" w:hAnsi="微软雅黑" w:eastAsia="微软雅黑" w:cs="微软雅黑"/>
          <w:sz w:val="24"/>
          <w:highlight w:val="none"/>
          <w:u w:val="single"/>
        </w:rPr>
        <w:t>肆份              </w:t>
      </w:r>
      <w:r>
        <w:rPr>
          <w:rFonts w:hint="eastAsia" w:ascii="微软雅黑" w:hAnsi="微软雅黑" w:eastAsia="微软雅黑" w:cs="微软雅黑"/>
          <w:sz w:val="24"/>
          <w:highlight w:val="none"/>
        </w:rPr>
        <w:t>；</w:t>
      </w:r>
    </w:p>
    <w:p w14:paraId="7877F396">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承包人提供的文件的形式为：</w:t>
      </w:r>
      <w:r>
        <w:rPr>
          <w:rFonts w:hint="eastAsia" w:ascii="微软雅黑" w:hAnsi="微软雅黑" w:eastAsia="微软雅黑" w:cs="微软雅黑"/>
          <w:sz w:val="24"/>
          <w:highlight w:val="none"/>
          <w:u w:val="single"/>
        </w:rPr>
        <w:t> 书面             </w:t>
      </w:r>
      <w:r>
        <w:rPr>
          <w:rFonts w:hint="eastAsia" w:ascii="微软雅黑" w:hAnsi="微软雅黑" w:eastAsia="微软雅黑" w:cs="微软雅黑"/>
          <w:sz w:val="24"/>
          <w:highlight w:val="none"/>
        </w:rPr>
        <w:t>；</w:t>
      </w:r>
    </w:p>
    <w:p w14:paraId="3812C7C9">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发包人审批承包人文件的期限：</w:t>
      </w:r>
      <w:r>
        <w:rPr>
          <w:rFonts w:hint="eastAsia" w:ascii="微软雅黑" w:hAnsi="微软雅黑" w:eastAsia="微软雅黑" w:cs="微软雅黑"/>
          <w:sz w:val="24"/>
          <w:highlight w:val="none"/>
          <w:u w:val="single"/>
        </w:rPr>
        <w:t>收到文件后7天内审查完毕    </w:t>
      </w:r>
      <w:r>
        <w:rPr>
          <w:rFonts w:hint="eastAsia" w:ascii="微软雅黑" w:hAnsi="微软雅黑" w:eastAsia="微软雅黑" w:cs="微软雅黑"/>
          <w:sz w:val="24"/>
          <w:highlight w:val="none"/>
        </w:rPr>
        <w:t>。</w:t>
      </w:r>
    </w:p>
    <w:p w14:paraId="064A0CD5">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1.6.5 现场图纸准备</w:t>
      </w:r>
    </w:p>
    <w:p w14:paraId="5FC8FDF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关于现场图纸准备的约定：</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2843B224">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 联络</w:t>
      </w:r>
    </w:p>
    <w:p w14:paraId="36EF465D">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1.7.1发包人和承包人应当在</w:t>
      </w:r>
      <w:r>
        <w:rPr>
          <w:rFonts w:hint="eastAsia" w:ascii="微软雅黑" w:hAnsi="微软雅黑" w:eastAsia="微软雅黑" w:cs="微软雅黑"/>
          <w:sz w:val="24"/>
          <w:highlight w:val="none"/>
          <w:u w:val="single"/>
        </w:rPr>
        <w:t xml:space="preserve"> 7   </w:t>
      </w:r>
      <w:r>
        <w:rPr>
          <w:rFonts w:hint="eastAsia" w:ascii="微软雅黑" w:hAnsi="微软雅黑" w:eastAsia="微软雅黑" w:cs="微软雅黑"/>
          <w:kern w:val="0"/>
          <w:sz w:val="24"/>
          <w:highlight w:val="none"/>
        </w:rPr>
        <w:t>天内将与合同有关的通知、批准、证明、证书、指示、指令、要求、请求、同意、意见、确定和决定等书面函件送达对方当事人。</w:t>
      </w:r>
    </w:p>
    <w:p w14:paraId="759F0321">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1.7.2 发包人接收文件的地点：</w:t>
      </w:r>
      <w:r>
        <w:rPr>
          <w:rFonts w:hint="eastAsia" w:ascii="微软雅黑" w:hAnsi="微软雅黑" w:eastAsia="微软雅黑" w:cs="微软雅黑"/>
          <w:sz w:val="24"/>
          <w:highlight w:val="none"/>
          <w:u w:val="single"/>
        </w:rPr>
        <w:t>项目所在地发包人办公室              </w:t>
      </w:r>
      <w:r>
        <w:rPr>
          <w:rFonts w:hint="eastAsia" w:ascii="微软雅黑" w:hAnsi="微软雅黑" w:eastAsia="微软雅黑" w:cs="微软雅黑"/>
          <w:kern w:val="0"/>
          <w:sz w:val="24"/>
          <w:highlight w:val="none"/>
        </w:rPr>
        <w:t>；</w:t>
      </w:r>
    </w:p>
    <w:p w14:paraId="09B193AF">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发包人指定的接收人为：</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kern w:val="0"/>
          <w:sz w:val="24"/>
          <w:highlight w:val="none"/>
        </w:rPr>
        <w:t>。</w:t>
      </w:r>
    </w:p>
    <w:p w14:paraId="52CB1814">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承包人接收文件的地点：</w:t>
      </w:r>
      <w:r>
        <w:rPr>
          <w:rFonts w:hint="eastAsia" w:ascii="微软雅黑" w:hAnsi="微软雅黑" w:eastAsia="微软雅黑" w:cs="微软雅黑"/>
          <w:sz w:val="24"/>
          <w:highlight w:val="none"/>
          <w:u w:val="single"/>
        </w:rPr>
        <w:t>项目所在地承包人项目部                   </w:t>
      </w:r>
      <w:r>
        <w:rPr>
          <w:rFonts w:hint="eastAsia" w:ascii="微软雅黑" w:hAnsi="微软雅黑" w:eastAsia="微软雅黑" w:cs="微软雅黑"/>
          <w:kern w:val="0"/>
          <w:sz w:val="24"/>
          <w:highlight w:val="none"/>
        </w:rPr>
        <w:t>；</w:t>
      </w:r>
    </w:p>
    <w:p w14:paraId="27C03B20">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承包人指定的接收人为：</w:t>
      </w:r>
      <w:r>
        <w:rPr>
          <w:rFonts w:hint="eastAsia" w:ascii="微软雅黑" w:hAnsi="微软雅黑" w:eastAsia="微软雅黑" w:cs="微软雅黑"/>
          <w:sz w:val="24"/>
          <w:highlight w:val="none"/>
          <w:u w:val="single"/>
        </w:rPr>
        <w:t>承包方项目经理                    </w:t>
      </w:r>
      <w:r>
        <w:rPr>
          <w:rFonts w:hint="eastAsia" w:ascii="微软雅黑" w:hAnsi="微软雅黑" w:eastAsia="微软雅黑" w:cs="微软雅黑"/>
          <w:kern w:val="0"/>
          <w:sz w:val="24"/>
          <w:highlight w:val="none"/>
        </w:rPr>
        <w:t>。</w:t>
      </w:r>
    </w:p>
    <w:p w14:paraId="7C95BE1D">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监理人接收文件的地点：</w:t>
      </w:r>
      <w:r>
        <w:rPr>
          <w:rFonts w:hint="eastAsia" w:ascii="微软雅黑" w:hAnsi="微软雅黑" w:eastAsia="微软雅黑" w:cs="微软雅黑"/>
          <w:sz w:val="24"/>
          <w:highlight w:val="none"/>
          <w:u w:val="single"/>
        </w:rPr>
        <w:t>\                   </w:t>
      </w:r>
      <w:r>
        <w:rPr>
          <w:rFonts w:hint="eastAsia" w:ascii="微软雅黑" w:hAnsi="微软雅黑" w:eastAsia="微软雅黑" w:cs="微软雅黑"/>
          <w:kern w:val="0"/>
          <w:sz w:val="24"/>
          <w:highlight w:val="none"/>
        </w:rPr>
        <w:t>；</w:t>
      </w:r>
    </w:p>
    <w:p w14:paraId="387293DC">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监理人指定的接收人为：</w:t>
      </w:r>
      <w:r>
        <w:rPr>
          <w:rFonts w:hint="eastAsia" w:ascii="微软雅黑" w:hAnsi="微软雅黑" w:eastAsia="微软雅黑" w:cs="微软雅黑"/>
          <w:sz w:val="24"/>
          <w:highlight w:val="none"/>
          <w:u w:val="single"/>
        </w:rPr>
        <w:t>\                </w:t>
      </w:r>
      <w:r>
        <w:rPr>
          <w:rFonts w:hint="eastAsia" w:ascii="微软雅黑" w:hAnsi="微软雅黑" w:eastAsia="微软雅黑" w:cs="微软雅黑"/>
          <w:kern w:val="0"/>
          <w:sz w:val="24"/>
          <w:highlight w:val="none"/>
        </w:rPr>
        <w:t>。</w:t>
      </w:r>
    </w:p>
    <w:p w14:paraId="58152A9E">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1.10 交通运输</w:t>
      </w:r>
    </w:p>
    <w:p w14:paraId="0E3C2027">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1.10.1 出入现场的权利</w:t>
      </w:r>
    </w:p>
    <w:p w14:paraId="025D254E">
      <w:pPr>
        <w:spacing w:line="460" w:lineRule="exact"/>
        <w:ind w:left="596" w:leftChars="284"/>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关于出入现场的权利的约定：</w:t>
      </w:r>
      <w:r>
        <w:rPr>
          <w:rFonts w:hint="eastAsia" w:ascii="微软雅黑" w:hAnsi="微软雅黑" w:eastAsia="微软雅黑" w:cs="微软雅黑"/>
          <w:sz w:val="24"/>
          <w:highlight w:val="none"/>
          <w:u w:val="single"/>
        </w:rPr>
        <w:t xml:space="preserve">由承包人按发包人要求取得出入现场所需的批准手续 </w:t>
      </w:r>
      <w:r>
        <w:rPr>
          <w:rFonts w:hint="eastAsia" w:ascii="微软雅黑" w:hAnsi="微软雅黑" w:eastAsia="微软雅黑" w:cs="微软雅黑"/>
          <w:sz w:val="24"/>
          <w:highlight w:val="none"/>
        </w:rPr>
        <w:t>。</w:t>
      </w:r>
    </w:p>
    <w:p w14:paraId="74F0B1E4">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1.10.3 场内交通</w:t>
      </w:r>
    </w:p>
    <w:p w14:paraId="51B9410C">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关于场外交通和场内交通的边界的约定：</w:t>
      </w:r>
      <w:r>
        <w:rPr>
          <w:rFonts w:hint="eastAsia" w:ascii="微软雅黑" w:hAnsi="微软雅黑" w:eastAsia="微软雅黑" w:cs="微软雅黑"/>
          <w:sz w:val="24"/>
          <w:highlight w:val="none"/>
          <w:u w:val="single"/>
        </w:rPr>
        <w:t xml:space="preserve">本项目施工现场          </w:t>
      </w:r>
      <w:r>
        <w:rPr>
          <w:rFonts w:hint="eastAsia" w:ascii="微软雅黑" w:hAnsi="微软雅黑" w:eastAsia="微软雅黑" w:cs="微软雅黑"/>
          <w:sz w:val="24"/>
          <w:highlight w:val="none"/>
        </w:rPr>
        <w:t>。</w:t>
      </w:r>
    </w:p>
    <w:p w14:paraId="0EDC53B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关于发包人向承包人免费提供满足工程施工需要的场内道路和交通设施的约定：</w:t>
      </w:r>
      <w:r>
        <w:rPr>
          <w:rFonts w:hint="eastAsia" w:ascii="微软雅黑" w:hAnsi="微软雅黑" w:eastAsia="微软雅黑" w:cs="微软雅黑"/>
          <w:sz w:val="24"/>
          <w:highlight w:val="none"/>
          <w:u w:val="single"/>
        </w:rPr>
        <w:t xml:space="preserve">以现场实际施工条件为准   </w:t>
      </w:r>
      <w:r>
        <w:rPr>
          <w:rFonts w:hint="eastAsia" w:ascii="微软雅黑" w:hAnsi="微软雅黑" w:eastAsia="微软雅黑" w:cs="微软雅黑"/>
          <w:sz w:val="24"/>
          <w:highlight w:val="none"/>
        </w:rPr>
        <w:t xml:space="preserve">。  </w:t>
      </w:r>
    </w:p>
    <w:p w14:paraId="481170F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1.10.4超大件和超重件的运输</w:t>
      </w:r>
    </w:p>
    <w:p w14:paraId="3E9573CC">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运输超大件或超重件所需的道路和桥梁临时加固改造费用和其他有关费用由</w:t>
      </w:r>
      <w:r>
        <w:rPr>
          <w:rFonts w:hint="eastAsia" w:ascii="微软雅黑" w:hAnsi="微软雅黑" w:eastAsia="微软雅黑" w:cs="微软雅黑"/>
          <w:sz w:val="24"/>
          <w:highlight w:val="none"/>
          <w:u w:val="single"/>
        </w:rPr>
        <w:t xml:space="preserve">承包人  </w:t>
      </w:r>
      <w:r>
        <w:rPr>
          <w:rFonts w:hint="eastAsia" w:ascii="微软雅黑" w:hAnsi="微软雅黑" w:eastAsia="微软雅黑" w:cs="微软雅黑"/>
          <w:sz w:val="24"/>
          <w:highlight w:val="none"/>
        </w:rPr>
        <w:t>承担。</w:t>
      </w:r>
    </w:p>
    <w:p w14:paraId="042EBBF0">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1.11 知识产权</w:t>
      </w:r>
    </w:p>
    <w:p w14:paraId="36FD3FB7">
      <w:pPr>
        <w:spacing w:line="460" w:lineRule="exac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微软雅黑" w:hAnsi="微软雅黑" w:eastAsia="微软雅黑" w:cs="微软雅黑"/>
          <w:sz w:val="24"/>
          <w:highlight w:val="none"/>
          <w:u w:val="single"/>
        </w:rPr>
        <w:t xml:space="preserve">执行通用条款         </w:t>
      </w:r>
      <w:r>
        <w:rPr>
          <w:rFonts w:hint="eastAsia" w:ascii="微软雅黑" w:hAnsi="微软雅黑" w:eastAsia="微软雅黑" w:cs="微软雅黑"/>
          <w:sz w:val="24"/>
          <w:highlight w:val="none"/>
        </w:rPr>
        <w:t>。</w:t>
      </w:r>
    </w:p>
    <w:p w14:paraId="60B8726D">
      <w:pPr>
        <w:spacing w:line="460" w:lineRule="exact"/>
        <w:ind w:left="596" w:leftChars="284"/>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关于发包人提供的上述文件的使用限制的要求：</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7AD34078">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1.11.2 关于承包人为实施工程所编制文件的著作权的归属：</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38439F1C">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关于承包人提供的上述文件的使用限制的要求：</w:t>
      </w:r>
      <w:r>
        <w:rPr>
          <w:rFonts w:hint="eastAsia" w:ascii="微软雅黑" w:hAnsi="微软雅黑" w:eastAsia="微软雅黑" w:cs="微软雅黑"/>
          <w:sz w:val="24"/>
          <w:highlight w:val="none"/>
          <w:u w:val="single"/>
        </w:rPr>
        <w:t xml:space="preserve">执行通用条款       </w:t>
      </w:r>
      <w:r>
        <w:rPr>
          <w:rFonts w:hint="eastAsia" w:ascii="微软雅黑" w:hAnsi="微软雅黑" w:eastAsia="微软雅黑" w:cs="微软雅黑"/>
          <w:sz w:val="24"/>
          <w:highlight w:val="none"/>
        </w:rPr>
        <w:t>。</w:t>
      </w:r>
    </w:p>
    <w:p w14:paraId="0C95AF9C">
      <w:pPr>
        <w:spacing w:line="460" w:lineRule="exac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1.11.4 承包人在施工过程中所采用的专利、专有技术、技术秘密的使用费的承担方式：</w:t>
      </w:r>
      <w:r>
        <w:rPr>
          <w:rFonts w:hint="eastAsia" w:ascii="微软雅黑" w:hAnsi="微软雅黑" w:eastAsia="微软雅黑" w:cs="微软雅黑"/>
          <w:sz w:val="24"/>
          <w:highlight w:val="none"/>
          <w:u w:val="single"/>
        </w:rPr>
        <w:t xml:space="preserve">执行通用条款    </w:t>
      </w:r>
      <w:r>
        <w:rPr>
          <w:rFonts w:hint="eastAsia" w:ascii="微软雅黑" w:hAnsi="微软雅黑" w:eastAsia="微软雅黑" w:cs="微软雅黑"/>
          <w:kern w:val="0"/>
          <w:sz w:val="24"/>
          <w:highlight w:val="none"/>
        </w:rPr>
        <w:t>。</w:t>
      </w:r>
    </w:p>
    <w:p w14:paraId="3BA1241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1.13工程量清单错误的修正</w:t>
      </w:r>
    </w:p>
    <w:p w14:paraId="4A4D2E0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出现工程量清单错误时，是否调整合同价格： 除专用合同条款另有约定外，发包人提供的工程量清单，应被认为是准确的和完整的。出现下列情形之一时，发包人应予以修正，并相应调整合同价格：</w:t>
      </w:r>
    </w:p>
    <w:p w14:paraId="5413EFF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（1）工程量清单存在缺项、漏项的；</w:t>
      </w:r>
    </w:p>
    <w:p w14:paraId="3E084C4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（2）工程量清单偏差超出专用合同条款约定的工程量偏差范围的；</w:t>
      </w:r>
    </w:p>
    <w:p w14:paraId="2A41AFBB">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（3）未按照国家现行计量规范强制性规定计量的。</w:t>
      </w:r>
    </w:p>
    <w:p w14:paraId="595802B7">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允许调整合同价格的工程量偏差范围：</w:t>
      </w:r>
      <w:r>
        <w:rPr>
          <w:rFonts w:hint="eastAsia" w:ascii="微软雅黑" w:hAnsi="微软雅黑" w:eastAsia="微软雅黑" w:cs="微软雅黑"/>
          <w:sz w:val="24"/>
          <w:highlight w:val="none"/>
          <w:u w:val="single"/>
        </w:rPr>
        <w:t xml:space="preserve">      超过±3%          </w:t>
      </w:r>
      <w:r>
        <w:rPr>
          <w:rFonts w:hint="eastAsia" w:ascii="微软雅黑" w:hAnsi="微软雅黑" w:eastAsia="微软雅黑" w:cs="微软雅黑"/>
          <w:kern w:val="0"/>
          <w:sz w:val="24"/>
          <w:highlight w:val="none"/>
        </w:rPr>
        <w:t>。</w:t>
      </w:r>
    </w:p>
    <w:p w14:paraId="343A42C0">
      <w:pPr>
        <w:pStyle w:val="11"/>
        <w:spacing w:before="120" w:after="120" w:line="460" w:lineRule="exact"/>
        <w:jc w:val="center"/>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 发包人</w:t>
      </w:r>
    </w:p>
    <w:p w14:paraId="49730F3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2.2 发包人代表</w:t>
      </w:r>
    </w:p>
    <w:p w14:paraId="3259D5F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发包人代表：</w:t>
      </w:r>
    </w:p>
    <w:p w14:paraId="58ED557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姓    名：</w:t>
      </w:r>
      <w:r>
        <w:rPr>
          <w:rFonts w:hint="eastAsia" w:ascii="微软雅黑" w:hAnsi="微软雅黑" w:eastAsia="微软雅黑" w:cs="微软雅黑"/>
          <w:sz w:val="24"/>
          <w:highlight w:val="none"/>
          <w:u w:val="single"/>
        </w:rPr>
        <w:t>            </w:t>
      </w:r>
      <w:r>
        <w:rPr>
          <w:rFonts w:hint="eastAsia" w:ascii="微软雅黑" w:hAnsi="微软雅黑" w:eastAsia="微软雅黑" w:cs="微软雅黑"/>
          <w:sz w:val="24"/>
          <w:highlight w:val="none"/>
        </w:rPr>
        <w:t>；</w:t>
      </w:r>
    </w:p>
    <w:p w14:paraId="70A618F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身份证号：</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6742524F">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职    务：</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394C62D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983B72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电子信箱：</w:t>
      </w:r>
      <w:r>
        <w:rPr>
          <w:rFonts w:hint="eastAsia" w:ascii="微软雅黑" w:hAnsi="微软雅黑" w:eastAsia="微软雅黑" w:cs="微软雅黑"/>
          <w:sz w:val="24"/>
          <w:highlight w:val="none"/>
          <w:u w:val="single"/>
        </w:rPr>
        <w:t>     </w:t>
      </w:r>
      <w:r>
        <w:rPr>
          <w:rFonts w:hint="eastAsia" w:ascii="微软雅黑" w:hAnsi="微软雅黑" w:eastAsia="微软雅黑" w:cs="微软雅黑"/>
          <w:sz w:val="24"/>
          <w:highlight w:val="none"/>
        </w:rPr>
        <w:t>；</w:t>
      </w:r>
    </w:p>
    <w:p w14:paraId="5F1F79CA">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20C488BD">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发包人对发包人代表的授权范围如下：</w:t>
      </w:r>
      <w:r>
        <w:rPr>
          <w:rFonts w:hint="eastAsia" w:ascii="微软雅黑" w:hAnsi="微软雅黑" w:eastAsia="微软雅黑" w:cs="微软雅黑"/>
          <w:sz w:val="24"/>
          <w:highlight w:val="none"/>
          <w:u w:val="single"/>
        </w:rPr>
        <w:t xml:space="preserve">督促指导监理工程师行使职权、协调施工现场各方面的关系、协调工程质量、进度和安全文明施工中存在的问题，解决有关设计和技术签证，办理现场经济技术签证。     </w:t>
      </w:r>
      <w:r>
        <w:rPr>
          <w:rFonts w:hint="eastAsia" w:ascii="微软雅黑" w:hAnsi="微软雅黑" w:eastAsia="微软雅黑" w:cs="微软雅黑"/>
          <w:sz w:val="24"/>
          <w:highlight w:val="none"/>
        </w:rPr>
        <w:t>。</w:t>
      </w:r>
    </w:p>
    <w:p w14:paraId="415E93B8">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2.4 施工现场、施工条件和基础资料的提供</w:t>
      </w:r>
    </w:p>
    <w:p w14:paraId="75966A62">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2.4.1 提供施工现场</w:t>
      </w:r>
    </w:p>
    <w:p w14:paraId="2BF797D4">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关于发包人移交施工现场的期限要求：</w:t>
      </w:r>
      <w:r>
        <w:rPr>
          <w:rFonts w:hint="eastAsia" w:ascii="微软雅黑" w:hAnsi="微软雅黑" w:eastAsia="微软雅黑" w:cs="微软雅黑"/>
          <w:sz w:val="24"/>
          <w:highlight w:val="none"/>
          <w:u w:val="single"/>
        </w:rPr>
        <w:t>开工前    </w:t>
      </w:r>
      <w:r>
        <w:rPr>
          <w:rFonts w:hint="eastAsia" w:ascii="微软雅黑" w:hAnsi="微软雅黑" w:eastAsia="微软雅黑" w:cs="微软雅黑"/>
          <w:sz w:val="24"/>
          <w:highlight w:val="none"/>
        </w:rPr>
        <w:t>。</w:t>
      </w:r>
    </w:p>
    <w:p w14:paraId="00136DCF">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2.4.2 提供施工条件</w:t>
      </w:r>
    </w:p>
    <w:p w14:paraId="13E8B64D">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关于发包人应负责提供施工所需要的条件，包括：</w:t>
      </w:r>
      <w:r>
        <w:rPr>
          <w:rFonts w:hint="eastAsia" w:ascii="微软雅黑" w:hAnsi="微软雅黑" w:eastAsia="微软雅黑" w:cs="微软雅黑"/>
          <w:sz w:val="24"/>
          <w:highlight w:val="none"/>
          <w:u w:val="single"/>
        </w:rPr>
        <w:t xml:space="preserve"> 执行通用条款          </w:t>
      </w:r>
      <w:r>
        <w:rPr>
          <w:rFonts w:hint="eastAsia" w:ascii="微软雅黑" w:hAnsi="微软雅黑" w:eastAsia="微软雅黑" w:cs="微软雅黑"/>
          <w:sz w:val="24"/>
          <w:highlight w:val="none"/>
        </w:rPr>
        <w:t>。</w:t>
      </w:r>
    </w:p>
    <w:p w14:paraId="0D8F585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2.5 资金来源证明及支付担保</w:t>
      </w:r>
    </w:p>
    <w:p w14:paraId="44762E96">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发包人提供资金来源证明的期限要求：</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01BF6B3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发包人是否提供支付担保：</w:t>
      </w:r>
      <w:r>
        <w:rPr>
          <w:rFonts w:hint="eastAsia" w:ascii="微软雅黑" w:hAnsi="微软雅黑" w:eastAsia="微软雅黑" w:cs="微软雅黑"/>
          <w:sz w:val="24"/>
          <w:highlight w:val="none"/>
          <w:u w:val="single"/>
        </w:rPr>
        <w:t xml:space="preserve">              /                 </w:t>
      </w:r>
      <w:r>
        <w:rPr>
          <w:rFonts w:hint="eastAsia" w:ascii="微软雅黑" w:hAnsi="微软雅黑" w:eastAsia="微软雅黑" w:cs="微软雅黑"/>
          <w:sz w:val="24"/>
          <w:highlight w:val="none"/>
        </w:rPr>
        <w:t>。</w:t>
      </w:r>
    </w:p>
    <w:p w14:paraId="43448543">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发包人提供支付担保的形式：</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63442733">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 承包人</w:t>
      </w:r>
    </w:p>
    <w:p w14:paraId="0C4FD949">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3.1 承包人的一般义务</w:t>
      </w:r>
    </w:p>
    <w:p w14:paraId="5533EA56">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kern w:val="0"/>
          <w:sz w:val="24"/>
          <w:highlight w:val="none"/>
        </w:rPr>
        <w:t>（5）</w:t>
      </w:r>
      <w:r>
        <w:rPr>
          <w:rFonts w:hint="eastAsia" w:ascii="微软雅黑" w:hAnsi="微软雅黑" w:eastAsia="微软雅黑" w:cs="微软雅黑"/>
          <w:sz w:val="24"/>
          <w:highlight w:val="none"/>
        </w:rPr>
        <w:t>承包人提交的竣工资料的内容：</w:t>
      </w:r>
      <w:r>
        <w:rPr>
          <w:rFonts w:hint="eastAsia" w:ascii="微软雅黑" w:hAnsi="微软雅黑" w:eastAsia="微软雅黑" w:cs="微软雅黑"/>
          <w:sz w:val="24"/>
          <w:highlight w:val="none"/>
          <w:u w:val="single"/>
        </w:rPr>
        <w:t xml:space="preserve">    竣工图及资料                 </w:t>
      </w:r>
      <w:r>
        <w:rPr>
          <w:rFonts w:hint="eastAsia" w:ascii="微软雅黑" w:hAnsi="微软雅黑" w:eastAsia="微软雅黑" w:cs="微软雅黑"/>
          <w:sz w:val="24"/>
          <w:highlight w:val="none"/>
        </w:rPr>
        <w:t xml:space="preserve"> 。</w:t>
      </w:r>
    </w:p>
    <w:p w14:paraId="20998F0B">
      <w:pPr>
        <w:spacing w:line="460" w:lineRule="exact"/>
        <w:ind w:firstLine="600" w:firstLineChars="25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承包人需要提交的竣工资料套数：</w:t>
      </w:r>
      <w:r>
        <w:rPr>
          <w:rFonts w:hint="eastAsia" w:ascii="微软雅黑" w:hAnsi="微软雅黑" w:eastAsia="微软雅黑" w:cs="微软雅黑"/>
          <w:sz w:val="24"/>
          <w:highlight w:val="none"/>
          <w:u w:val="single"/>
        </w:rPr>
        <w:t xml:space="preserve">        两套                       </w:t>
      </w:r>
      <w:r>
        <w:rPr>
          <w:rFonts w:hint="eastAsia" w:ascii="微软雅黑" w:hAnsi="微软雅黑" w:eastAsia="微软雅黑" w:cs="微软雅黑"/>
          <w:sz w:val="24"/>
          <w:highlight w:val="none"/>
        </w:rPr>
        <w:t>。</w:t>
      </w:r>
    </w:p>
    <w:p w14:paraId="10023102">
      <w:pPr>
        <w:spacing w:line="460" w:lineRule="exact"/>
        <w:ind w:left="638" w:leftChars="304"/>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承包人提交的竣工资料的费用承担：</w:t>
      </w:r>
      <w:r>
        <w:rPr>
          <w:rFonts w:hint="eastAsia" w:ascii="微软雅黑" w:hAnsi="微软雅黑" w:eastAsia="微软雅黑" w:cs="微软雅黑"/>
          <w:sz w:val="24"/>
          <w:highlight w:val="none"/>
          <w:u w:val="single"/>
        </w:rPr>
        <w:t xml:space="preserve">  由承包人承担                    </w:t>
      </w:r>
      <w:r>
        <w:rPr>
          <w:rFonts w:hint="eastAsia" w:ascii="微软雅黑" w:hAnsi="微软雅黑" w:eastAsia="微软雅黑" w:cs="微软雅黑"/>
          <w:sz w:val="24"/>
          <w:highlight w:val="none"/>
        </w:rPr>
        <w:t>。</w:t>
      </w:r>
    </w:p>
    <w:p w14:paraId="22F93CE0">
      <w:pPr>
        <w:spacing w:line="460" w:lineRule="exact"/>
        <w:ind w:left="638" w:leftChars="304"/>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承包人提交的竣工资料移交时间：</w:t>
      </w:r>
      <w:r>
        <w:rPr>
          <w:rFonts w:hint="eastAsia" w:ascii="微软雅黑" w:hAnsi="微软雅黑" w:eastAsia="微软雅黑" w:cs="微软雅黑"/>
          <w:sz w:val="24"/>
          <w:highlight w:val="none"/>
          <w:u w:val="single"/>
        </w:rPr>
        <w:t xml:space="preserve">   工程竣工后壹个月                </w:t>
      </w:r>
      <w:r>
        <w:rPr>
          <w:rFonts w:hint="eastAsia" w:ascii="微软雅黑" w:hAnsi="微软雅黑" w:eastAsia="微软雅黑" w:cs="微软雅黑"/>
          <w:sz w:val="24"/>
          <w:highlight w:val="none"/>
        </w:rPr>
        <w:t>。</w:t>
      </w:r>
    </w:p>
    <w:p w14:paraId="59EFAC59">
      <w:pPr>
        <w:spacing w:line="460" w:lineRule="exact"/>
        <w:ind w:firstLine="600" w:firstLineChars="25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承包人提交的竣工资料形式要求：</w:t>
      </w:r>
      <w:r>
        <w:rPr>
          <w:rFonts w:hint="eastAsia" w:ascii="微软雅黑" w:hAnsi="微软雅黑" w:eastAsia="微软雅黑" w:cs="微软雅黑"/>
          <w:sz w:val="24"/>
          <w:highlight w:val="none"/>
          <w:u w:val="single"/>
        </w:rPr>
        <w:t xml:space="preserve">    书面                            </w:t>
      </w:r>
      <w:r>
        <w:rPr>
          <w:rFonts w:hint="eastAsia" w:ascii="微软雅黑" w:hAnsi="微软雅黑" w:eastAsia="微软雅黑" w:cs="微软雅黑"/>
          <w:sz w:val="24"/>
          <w:highlight w:val="none"/>
        </w:rPr>
        <w:t>。</w:t>
      </w:r>
    </w:p>
    <w:p w14:paraId="77488C3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（6）承包人应履行的其他义务：</w:t>
      </w:r>
      <w:r>
        <w:rPr>
          <w:rFonts w:hint="eastAsia" w:ascii="微软雅黑" w:hAnsi="微软雅黑" w:eastAsia="微软雅黑" w:cs="微软雅黑"/>
          <w:sz w:val="24"/>
          <w:highlight w:val="none"/>
          <w:u w:val="single"/>
        </w:rPr>
        <w:t xml:space="preserve"> 双方协商确定                       </w:t>
      </w:r>
      <w:r>
        <w:rPr>
          <w:rFonts w:hint="eastAsia" w:ascii="微软雅黑" w:hAnsi="微软雅黑" w:eastAsia="微软雅黑" w:cs="微软雅黑"/>
          <w:sz w:val="24"/>
          <w:highlight w:val="none"/>
        </w:rPr>
        <w:t>。</w:t>
      </w:r>
    </w:p>
    <w:p w14:paraId="0F74244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3.2 项目负责人</w:t>
      </w:r>
    </w:p>
    <w:p w14:paraId="582881F1">
      <w:pPr>
        <w:spacing w:line="460" w:lineRule="exac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 xml:space="preserve">3.2.1 </w:t>
      </w:r>
      <w:r>
        <w:rPr>
          <w:rFonts w:hint="eastAsia" w:ascii="微软雅黑" w:hAnsi="微软雅黑" w:eastAsia="微软雅黑" w:cs="微软雅黑"/>
          <w:sz w:val="24"/>
          <w:highlight w:val="none"/>
        </w:rPr>
        <w:t>项目负责人：</w:t>
      </w:r>
    </w:p>
    <w:p w14:paraId="1AFB203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姓    名：</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603E19CC">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身份证号：</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018C50CB">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建造师执业资格等级：</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184D32E1">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建造师注册证书号：</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2BBEB9F2">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建造师执业印章号：</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0FAD26C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安全生产考核合格证书号：</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1E873D35">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6082CE34">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电子信箱：</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537B119E">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2E48BCE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承包人对项目负责人的授权范围如下：</w:t>
      </w:r>
      <w:r>
        <w:rPr>
          <w:rFonts w:hint="eastAsia" w:ascii="微软雅黑" w:hAnsi="微软雅黑" w:eastAsia="微软雅黑" w:cs="微软雅黑"/>
          <w:sz w:val="24"/>
          <w:highlight w:val="none"/>
          <w:u w:val="single"/>
        </w:rPr>
        <w:t>全面负责项目施工过程中质量、安全、进度管理工作</w:t>
      </w:r>
      <w:r>
        <w:rPr>
          <w:rFonts w:hint="eastAsia" w:ascii="微软雅黑" w:hAnsi="微软雅黑" w:eastAsia="微软雅黑" w:cs="微软雅黑"/>
          <w:sz w:val="24"/>
          <w:highlight w:val="none"/>
        </w:rPr>
        <w:t>。</w:t>
      </w:r>
    </w:p>
    <w:p w14:paraId="31D50EF5">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关于项目负责人每月在施工现场的时间要求：</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7E296CA4">
      <w:pPr>
        <w:spacing w:line="46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承包人未提交劳动合同，以及没有为项目负责人缴纳社会保险证明的违约责任：</w:t>
      </w:r>
      <w:r>
        <w:rPr>
          <w:rFonts w:hint="eastAsia" w:ascii="微软雅黑" w:hAnsi="微软雅黑" w:eastAsia="微软雅黑" w:cs="微软雅黑"/>
          <w:sz w:val="24"/>
          <w:highlight w:val="none"/>
          <w:u w:val="single"/>
        </w:rPr>
        <w:t>承包人承担上述违约责任给发包人造成的损失</w:t>
      </w:r>
      <w:r>
        <w:rPr>
          <w:rFonts w:hint="eastAsia" w:ascii="微软雅黑" w:hAnsi="微软雅黑" w:eastAsia="微软雅黑" w:cs="微软雅黑"/>
          <w:sz w:val="24"/>
          <w:highlight w:val="none"/>
        </w:rPr>
        <w:t>。</w:t>
      </w:r>
    </w:p>
    <w:p w14:paraId="1A803168">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项目负责人未经批准，擅自离开施工现场的违约责任：  项目经理无论任何原因 ， 离开施工现场半日及以上的，均需向发包人提交书面申请并得到批准，未经批准离开施工现场的，工程总承包项目经理不按施工开工时间进入施工现场和开工后无故不到现场，每人每延误（或不到现场）一天承包人须向发包人缴纳 3000 元违约金，合同履行期间工程总承包项目经理累计擅离5天以上，发包人有权解除合同并要求承包人按签约合同价的30%支付违约金。</w:t>
      </w:r>
    </w:p>
    <w:p w14:paraId="252AE3ED">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3.2.3 承包人擅自更换项目负责人的违约责任： 承包人若需要更换本工程的工程总承包项目经理时须经发包人书面同意。未经发包人书面同意，承包人擅自更换工程总承包项目经理，承包人应按签约合同价的1%承担违约责任，并于3日内为发包人更换经发包人书面认可的工程总承包项目经理，否则承包人需按照拒绝更换工程总承包项目经理承担违约责任。</w:t>
      </w:r>
    </w:p>
    <w:p w14:paraId="41E3EA17">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3.2.4 承包人无正当理由拒绝更换项目负责人的违约责任：  任何情况下承包人应自收到发包人通知或要求后3日内更换工程总承包项目经理，未更换或未及时更换，由此增加的费用和（或）延误的工期责任由承包人承担。并且每逾期一日，承包人需按照签约合同价的0.3‰向发包人支付违约金，逾期超过三日的，发包人有权解除合同，并要求承包人应按签约合同价的30%承担违约责任。</w:t>
      </w:r>
    </w:p>
    <w:p w14:paraId="47BD1007">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3.3 承包人人员</w:t>
      </w:r>
    </w:p>
    <w:p w14:paraId="3F2960E3">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3.3.1 承包人提交项目管理机构及施工现场管理人员安排报告的期限：</w:t>
      </w:r>
      <w:r>
        <w:rPr>
          <w:rFonts w:hint="eastAsia" w:ascii="微软雅黑" w:hAnsi="微软雅黑" w:eastAsia="微软雅黑" w:cs="微软雅黑"/>
          <w:sz w:val="24"/>
          <w:highlight w:val="none"/>
          <w:u w:val="single"/>
        </w:rPr>
        <w:t xml:space="preserve">工程开工前2天  </w:t>
      </w:r>
      <w:r>
        <w:rPr>
          <w:rFonts w:hint="eastAsia" w:ascii="微软雅黑" w:hAnsi="微软雅黑" w:eastAsia="微软雅黑" w:cs="微软雅黑"/>
          <w:sz w:val="24"/>
          <w:highlight w:val="none"/>
        </w:rPr>
        <w:t>。</w:t>
      </w:r>
    </w:p>
    <w:p w14:paraId="5D96B24A">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3.3.3 承包人无正当理由拒绝撤换主要施工管理人员的违约责任： 承包人应按签约合同价的1%承担违约责任，并立即予以撤换，由此造成的责任和损失由承包人自行承担。</w:t>
      </w:r>
    </w:p>
    <w:p w14:paraId="6B18F684">
      <w:pPr>
        <w:spacing w:line="460" w:lineRule="exac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 xml:space="preserve">3.3.4 承包人主要施工管理人员离开施工现场的批准要求： </w:t>
      </w:r>
      <w:r>
        <w:rPr>
          <w:rFonts w:hint="eastAsia" w:ascii="微软雅黑" w:hAnsi="微软雅黑" w:eastAsia="微软雅黑" w:cs="微软雅黑"/>
          <w:sz w:val="24"/>
          <w:highlight w:val="none"/>
          <w:u w:val="single"/>
        </w:rPr>
        <w:t xml:space="preserve">由发包人师批准后方可离开      </w:t>
      </w:r>
      <w:r>
        <w:rPr>
          <w:rFonts w:hint="eastAsia" w:ascii="微软雅黑" w:hAnsi="微软雅黑" w:eastAsia="微软雅黑" w:cs="微软雅黑"/>
          <w:sz w:val="24"/>
          <w:highlight w:val="none"/>
        </w:rPr>
        <w:t>。</w:t>
      </w:r>
    </w:p>
    <w:p w14:paraId="3AB12016">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3.3.5承包人擅自更换主要施工管理人员的违约责任：承包人不得更换经招标确定的主要施工管理人员，承包人擅自更换技术负责人、安全员、质检员等关键人员的，每发生一次，承包人应向发包人支付人民币贰万元/人的违约金；擅自更换其他管理人员的，每发生一次，承包人应向发包人支付人民币壹万元/人的违约金。累计发现两次的由行业主管部门对施工企业记一次不良行为，处罚期三个月，不良行为记录累计次数多次的， 处罚期顺延。</w:t>
      </w:r>
    </w:p>
    <w:p w14:paraId="02CD2B49">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承包人主要施工管理人员擅自离开施工现场的违约责任： 现场管理关键人员不按工程开工时间进入施工现场或开工后无故不到现场，每人每延误（或不到现场）一天承包人须向发包人缴纳 1000 元违约金，合同履行期间现场管理关键人员累计擅离15天以上，发包人有权解除合同并要求承包人按签约合同价的30%支付违约金。</w:t>
      </w:r>
    </w:p>
    <w:p w14:paraId="0F890F3C">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w:t>
      </w:r>
      <w:bookmarkStart w:id="1040" w:name="_Toc297048345"/>
      <w:bookmarkStart w:id="1041" w:name="_Toc297123492"/>
      <w:bookmarkStart w:id="1042" w:name="_Toc312677988"/>
      <w:bookmarkStart w:id="1043" w:name="_Toc297120459"/>
      <w:bookmarkStart w:id="1044" w:name="_Toc292559364"/>
      <w:bookmarkStart w:id="1045" w:name="_Toc296944498"/>
      <w:bookmarkStart w:id="1046" w:name="_Toc296503159"/>
      <w:bookmarkStart w:id="1047" w:name="_Toc300934945"/>
      <w:bookmarkStart w:id="1048" w:name="_Toc296890987"/>
      <w:bookmarkStart w:id="1049" w:name="_Toc292559869"/>
      <w:bookmarkStart w:id="1050" w:name="_Toc303539102"/>
      <w:bookmarkStart w:id="1051" w:name="_Toc304295523"/>
      <w:bookmarkStart w:id="1052" w:name="_Toc296347158"/>
      <w:bookmarkStart w:id="1053" w:name="_Toc296346660"/>
      <w:bookmarkStart w:id="1054" w:name="_Toc297216151"/>
      <w:bookmarkStart w:id="1055" w:name="_Toc296891199"/>
      <w:r>
        <w:rPr>
          <w:rFonts w:hint="eastAsia" w:ascii="微软雅黑" w:hAnsi="微软雅黑" w:eastAsia="微软雅黑" w:cs="微软雅黑"/>
          <w:sz w:val="24"/>
          <w:highlight w:val="none"/>
        </w:rPr>
        <w:t>.5 分包</w:t>
      </w:r>
    </w:p>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14:paraId="3887F864">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w:t>
      </w:r>
      <w:bookmarkStart w:id="1056" w:name="_Toc303539103"/>
      <w:bookmarkStart w:id="1057" w:name="_Toc297048346"/>
      <w:bookmarkStart w:id="1058" w:name="_Toc297216152"/>
      <w:bookmarkStart w:id="1059" w:name="_Toc296346661"/>
      <w:bookmarkStart w:id="1060" w:name="_Toc296503160"/>
      <w:bookmarkStart w:id="1061" w:name="_Toc297120460"/>
      <w:bookmarkStart w:id="1062" w:name="_Toc297123493"/>
      <w:bookmarkStart w:id="1063" w:name="_Toc292559365"/>
      <w:bookmarkStart w:id="1064" w:name="_Toc300934946"/>
      <w:bookmarkStart w:id="1065" w:name="_Toc292559870"/>
      <w:bookmarkStart w:id="1066" w:name="_Toc296890988"/>
      <w:bookmarkStart w:id="1067" w:name="_Toc296944499"/>
      <w:bookmarkStart w:id="1068" w:name="_Toc296347159"/>
      <w:bookmarkStart w:id="1069" w:name="_Toc304295524"/>
      <w:bookmarkStart w:id="1070" w:name="_Toc296891200"/>
      <w:bookmarkStart w:id="1071" w:name="_Toc312677989"/>
      <w:bookmarkStart w:id="1072" w:name="_Toc318581158"/>
      <w:r>
        <w:rPr>
          <w:rFonts w:hint="eastAsia" w:ascii="微软雅黑" w:hAnsi="微软雅黑" w:eastAsia="微软雅黑" w:cs="微软雅黑"/>
          <w:sz w:val="24"/>
          <w:highlight w:val="none"/>
        </w:rPr>
        <w:t>.5.1 分包的一般约定</w:t>
      </w:r>
    </w:p>
    <w:p w14:paraId="50146E8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禁止分包的工程包括：</w:t>
      </w:r>
      <w:r>
        <w:rPr>
          <w:rFonts w:hint="eastAsia" w:ascii="微软雅黑" w:hAnsi="微软雅黑" w:eastAsia="微软雅黑" w:cs="微软雅黑"/>
          <w:sz w:val="24"/>
          <w:highlight w:val="none"/>
          <w:u w:val="single"/>
        </w:rPr>
        <w:t xml:space="preserve">执行通用条款  </w:t>
      </w:r>
      <w:r>
        <w:rPr>
          <w:rFonts w:hint="eastAsia" w:ascii="微软雅黑" w:hAnsi="微软雅黑" w:eastAsia="微软雅黑" w:cs="微软雅黑"/>
          <w:sz w:val="24"/>
          <w:highlight w:val="none"/>
        </w:rPr>
        <w:t>。</w:t>
      </w:r>
    </w:p>
    <w:p w14:paraId="6FAC87B1">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主体结构、关键性工作的范围：</w:t>
      </w:r>
      <w:r>
        <w:rPr>
          <w:rFonts w:hint="eastAsia" w:ascii="微软雅黑" w:hAnsi="微软雅黑" w:eastAsia="微软雅黑" w:cs="微软雅黑"/>
          <w:sz w:val="24"/>
          <w:highlight w:val="none"/>
          <w:u w:val="single"/>
        </w:rPr>
        <w:t xml:space="preserve">执行通用条款          </w:t>
      </w:r>
      <w:r>
        <w:rPr>
          <w:rFonts w:hint="eastAsia" w:ascii="微软雅黑" w:hAnsi="微软雅黑" w:eastAsia="微软雅黑" w:cs="微软雅黑"/>
          <w:sz w:val="24"/>
          <w:highlight w:val="none"/>
        </w:rPr>
        <w:t>。</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Start w:id="1073" w:name="_Toc296347160"/>
      <w:bookmarkStart w:id="1074" w:name="_Toc297048347"/>
      <w:bookmarkStart w:id="1075" w:name="_Toc296890989"/>
      <w:bookmarkStart w:id="1076" w:name="_Toc296891201"/>
      <w:bookmarkStart w:id="1077" w:name="_Toc297123494"/>
      <w:bookmarkStart w:id="1078" w:name="_Toc300934947"/>
      <w:bookmarkStart w:id="1079" w:name="_Toc303539104"/>
      <w:bookmarkStart w:id="1080" w:name="_Toc297216153"/>
      <w:bookmarkStart w:id="1081" w:name="_Toc296503161"/>
      <w:bookmarkStart w:id="1082" w:name="_Toc296346662"/>
      <w:bookmarkStart w:id="1083" w:name="_Toc304295525"/>
      <w:bookmarkStart w:id="1084" w:name="_Toc297120461"/>
      <w:bookmarkStart w:id="1085" w:name="_Toc296944500"/>
    </w:p>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14:paraId="08CB6081">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w:t>
      </w:r>
      <w:bookmarkStart w:id="1086" w:name="_Toc312677990"/>
      <w:bookmarkStart w:id="1087" w:name="_Toc318581159"/>
      <w:r>
        <w:rPr>
          <w:rFonts w:hint="eastAsia" w:ascii="微软雅黑" w:hAnsi="微软雅黑" w:eastAsia="微软雅黑" w:cs="微软雅黑"/>
          <w:sz w:val="24"/>
          <w:highlight w:val="none"/>
        </w:rPr>
        <w:t>.5.2分包的确定</w:t>
      </w:r>
    </w:p>
    <w:p w14:paraId="23DB0D22">
      <w:pPr>
        <w:spacing w:line="460" w:lineRule="exact"/>
        <w:ind w:firstLine="480" w:firstLineChars="200"/>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允许分包的专业工程包括：</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7564D912">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其他关于分包的约定：</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3F6C674B">
      <w:pPr>
        <w:spacing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3.5.4 分包合同价款</w:t>
      </w:r>
    </w:p>
    <w:p w14:paraId="68A5CD5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关于分包合同价款支付的约定：</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bookmarkEnd w:id="1086"/>
    <w:bookmarkEnd w:id="1087"/>
    <w:p w14:paraId="51F5D093">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3.6 工程照管与成品、半成品保护</w:t>
      </w:r>
    </w:p>
    <w:p w14:paraId="2A4DE33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承包人负责照管工程及工程相关的材料、工程设备的起始时间： 自工程开工之日起。</w:t>
      </w:r>
    </w:p>
    <w:p w14:paraId="5EC49D9A">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3.7 履约担保</w:t>
      </w:r>
    </w:p>
    <w:p w14:paraId="6C6D3DD0">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承包人是否提供履约担保：</w:t>
      </w:r>
      <w:r>
        <w:rPr>
          <w:rFonts w:hint="eastAsia" w:ascii="微软雅黑" w:hAnsi="微软雅黑" w:eastAsia="微软雅黑" w:cs="微软雅黑"/>
          <w:sz w:val="24"/>
          <w:highlight w:val="none"/>
          <w:u w:val="single"/>
        </w:rPr>
        <w:t xml:space="preserve">   发包人与承包人协商确定  </w:t>
      </w:r>
      <w:r>
        <w:rPr>
          <w:rFonts w:hint="eastAsia" w:ascii="微软雅黑" w:hAnsi="微软雅黑" w:eastAsia="微软雅黑" w:cs="微软雅黑"/>
          <w:sz w:val="24"/>
          <w:highlight w:val="none"/>
        </w:rPr>
        <w:t>。</w:t>
      </w:r>
    </w:p>
    <w:p w14:paraId="50E3831C">
      <w:pPr>
        <w:spacing w:after="120"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承包人提供履约担保的形式、金额及期限的： 如提供履约保证的， 形式为提供基本户开具的银行见索即付的保函，金额为签约合同价的   % ，保函期限本合同签订后至工程竣工验收合同后一年，如预留质保金的，则约定为质保期限届满后无息退还。</w:t>
      </w:r>
    </w:p>
    <w:p w14:paraId="6621C512">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 监理人</w:t>
      </w:r>
    </w:p>
    <w:p w14:paraId="70B6EBE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4.1监理人的一般规定</w:t>
      </w:r>
    </w:p>
    <w:p w14:paraId="271B21A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关于监理人的监理内容：</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5AA7C69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关于监理人的监理权限：</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w:t>
      </w:r>
    </w:p>
    <w:p w14:paraId="09FE37C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关于监理人在施工现场的办公场所、生活场所的提供和费用承担的约定：</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1C6C03FC">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4.2 监理人员</w:t>
      </w:r>
    </w:p>
    <w:p w14:paraId="257ABC97">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总监理工程师：</w:t>
      </w:r>
    </w:p>
    <w:p w14:paraId="62C451C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姓    名：</w:t>
      </w:r>
      <w:r>
        <w:rPr>
          <w:rFonts w:hint="eastAsia" w:ascii="微软雅黑" w:hAnsi="微软雅黑" w:eastAsia="微软雅黑" w:cs="微软雅黑"/>
          <w:sz w:val="24"/>
          <w:highlight w:val="none"/>
          <w:u w:val="single"/>
        </w:rPr>
        <w:t>    /    </w:t>
      </w:r>
      <w:r>
        <w:rPr>
          <w:rFonts w:hint="eastAsia" w:ascii="微软雅黑" w:hAnsi="微软雅黑" w:eastAsia="微软雅黑" w:cs="微软雅黑"/>
          <w:sz w:val="24"/>
          <w:highlight w:val="none"/>
        </w:rPr>
        <w:t>；</w:t>
      </w:r>
    </w:p>
    <w:p w14:paraId="0F9D4F6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职    务：</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4AC6BD3D">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监理工程师执业资格证书号：</w:t>
      </w:r>
      <w:r>
        <w:rPr>
          <w:rFonts w:hint="eastAsia" w:ascii="微软雅黑" w:hAnsi="微软雅黑" w:eastAsia="微软雅黑" w:cs="微软雅黑"/>
          <w:sz w:val="24"/>
          <w:highlight w:val="none"/>
          <w:u w:val="single"/>
        </w:rPr>
        <w:t> </w:t>
      </w:r>
      <w:r>
        <w:rPr>
          <w:rFonts w:hint="eastAsia" w:ascii="微软雅黑" w:hAnsi="微软雅黑" w:eastAsia="微软雅黑" w:cs="微软雅黑"/>
          <w:sz w:val="24"/>
          <w:highlight w:val="none"/>
        </w:rPr>
        <w:t>；</w:t>
      </w:r>
    </w:p>
    <w:p w14:paraId="03CD2A53">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联系电话：</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1F6B34B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电子信箱：</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14F1563B">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通信地址：</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4ECF61D2">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关于监理人的其他约定：</w:t>
      </w:r>
      <w:r>
        <w:rPr>
          <w:rFonts w:hint="eastAsia" w:ascii="微软雅黑" w:hAnsi="微软雅黑" w:eastAsia="微软雅黑" w:cs="微软雅黑"/>
          <w:sz w:val="24"/>
          <w:highlight w:val="none"/>
          <w:u w:val="single"/>
        </w:rPr>
        <w:t>   </w:t>
      </w:r>
      <w:r>
        <w:rPr>
          <w:rFonts w:hint="eastAsia" w:ascii="微软雅黑" w:hAnsi="微软雅黑" w:eastAsia="微软雅黑" w:cs="微软雅黑"/>
          <w:sz w:val="24"/>
          <w:highlight w:val="none"/>
        </w:rPr>
        <w:t>。</w:t>
      </w:r>
    </w:p>
    <w:p w14:paraId="1ADF204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4.4 商定或确定</w:t>
      </w:r>
    </w:p>
    <w:p w14:paraId="1D257D40">
      <w:pPr>
        <w:spacing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在发包人和承包人不能通过协商达成一致意见时，发包人授权监理人对以下事项进行确定：</w:t>
      </w:r>
    </w:p>
    <w:p w14:paraId="7C4E477D">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8E99B01">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 工程质量</w:t>
      </w:r>
    </w:p>
    <w:p w14:paraId="4CD18D1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5.1 质量要求</w:t>
      </w:r>
    </w:p>
    <w:p w14:paraId="7EFCD7C3">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5.1.1 特殊质量标准和要求：</w:t>
      </w:r>
      <w:r>
        <w:rPr>
          <w:rFonts w:hint="eastAsia" w:ascii="微软雅黑" w:hAnsi="微软雅黑" w:eastAsia="微软雅黑" w:cs="微软雅黑"/>
          <w:sz w:val="24"/>
          <w:highlight w:val="none"/>
          <w:u w:val="single"/>
        </w:rPr>
        <w:t xml:space="preserve">     合格     </w:t>
      </w:r>
      <w:r>
        <w:rPr>
          <w:rFonts w:hint="eastAsia" w:ascii="微软雅黑" w:hAnsi="微软雅黑" w:eastAsia="微软雅黑" w:cs="微软雅黑"/>
          <w:sz w:val="24"/>
          <w:highlight w:val="none"/>
        </w:rPr>
        <w:t>。</w:t>
      </w:r>
    </w:p>
    <w:p w14:paraId="3DD2A56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关于工程奖项的约定：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582F91A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5.3 隐蔽工程检查</w:t>
      </w:r>
    </w:p>
    <w:p w14:paraId="1C50BA1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5.3.2承包人提前通知监理人隐蔽工程检查的期限的约定：</w:t>
      </w:r>
      <w:r>
        <w:rPr>
          <w:rFonts w:hint="eastAsia" w:ascii="微软雅黑" w:hAnsi="微软雅黑" w:eastAsia="微软雅黑" w:cs="微软雅黑"/>
          <w:sz w:val="24"/>
          <w:highlight w:val="none"/>
          <w:u w:val="single"/>
        </w:rPr>
        <w:t>共同检查前48小时书面通知监理人</w:t>
      </w:r>
      <w:r>
        <w:rPr>
          <w:rFonts w:hint="eastAsia" w:ascii="微软雅黑" w:hAnsi="微软雅黑" w:eastAsia="微软雅黑" w:cs="微软雅黑"/>
          <w:sz w:val="24"/>
          <w:highlight w:val="none"/>
        </w:rPr>
        <w:t>。</w:t>
      </w:r>
    </w:p>
    <w:p w14:paraId="5B5A829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监理人不能按时进行检查时，应提前</w:t>
      </w:r>
      <w:r>
        <w:rPr>
          <w:rFonts w:hint="eastAsia" w:ascii="微软雅黑" w:hAnsi="微软雅黑" w:eastAsia="微软雅黑" w:cs="微软雅黑"/>
          <w:sz w:val="24"/>
          <w:highlight w:val="none"/>
          <w:u w:val="single"/>
        </w:rPr>
        <w:t xml:space="preserve">    24   </w:t>
      </w:r>
      <w:r>
        <w:rPr>
          <w:rFonts w:hint="eastAsia" w:ascii="微软雅黑" w:hAnsi="微软雅黑" w:eastAsia="微软雅黑" w:cs="微软雅黑"/>
          <w:sz w:val="24"/>
          <w:highlight w:val="none"/>
        </w:rPr>
        <w:t>小时提交书面延期要求。</w:t>
      </w:r>
    </w:p>
    <w:p w14:paraId="2317494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关于延期最长不得超过：</w:t>
      </w:r>
      <w:r>
        <w:rPr>
          <w:rFonts w:hint="eastAsia" w:ascii="微软雅黑" w:hAnsi="微软雅黑" w:eastAsia="微软雅黑" w:cs="微软雅黑"/>
          <w:sz w:val="24"/>
          <w:highlight w:val="none"/>
          <w:u w:val="single"/>
        </w:rPr>
        <w:t xml:space="preserve">    48     </w:t>
      </w:r>
      <w:r>
        <w:rPr>
          <w:rFonts w:hint="eastAsia" w:ascii="微软雅黑" w:hAnsi="微软雅黑" w:eastAsia="微软雅黑" w:cs="微软雅黑"/>
          <w:sz w:val="24"/>
          <w:highlight w:val="none"/>
        </w:rPr>
        <w:t>小时。</w:t>
      </w:r>
    </w:p>
    <w:p w14:paraId="7E625E3F">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 安全文明施工与环境保护</w:t>
      </w:r>
    </w:p>
    <w:p w14:paraId="48B12B1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6.1安全文明施工</w:t>
      </w:r>
    </w:p>
    <w:p w14:paraId="3D0AD825">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6.1.1 项目安全生产的达标目标及相应事项的约定：</w:t>
      </w:r>
      <w:r>
        <w:rPr>
          <w:rFonts w:hint="eastAsia" w:ascii="微软雅黑" w:hAnsi="微软雅黑" w:eastAsia="微软雅黑" w:cs="微软雅黑"/>
          <w:sz w:val="24"/>
          <w:highlight w:val="none"/>
          <w:u w:val="single"/>
        </w:rPr>
        <w:t>达到《建筑工程安全检查标准》（JGJ59-2011）标准</w:t>
      </w:r>
      <w:r>
        <w:rPr>
          <w:rFonts w:hint="eastAsia" w:ascii="微软雅黑" w:hAnsi="微软雅黑" w:eastAsia="微软雅黑" w:cs="微软雅黑"/>
          <w:sz w:val="24"/>
          <w:highlight w:val="none"/>
        </w:rPr>
        <w:t>。</w:t>
      </w:r>
    </w:p>
    <w:p w14:paraId="2B394A64">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6.1.4 关于治安保卫的特别约定：由承包人做好施工区及生活区治安保卫工作。</w:t>
      </w:r>
    </w:p>
    <w:p w14:paraId="0B91C77C">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关于编制施工场地治安管理计划的约定：由施工单位负责编制施工现场治安管理计划，制定应对突发治安事件紧急预案 ，因此发生的费用由施工单位承担。</w:t>
      </w:r>
    </w:p>
    <w:p w14:paraId="72B5D1CB">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6.1.5 文明施工</w:t>
      </w:r>
    </w:p>
    <w:p w14:paraId="2AA97D5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合同当事人对文明施工的要求：</w:t>
      </w:r>
      <w:r>
        <w:rPr>
          <w:rFonts w:hint="eastAsia" w:ascii="微软雅黑" w:hAnsi="微软雅黑" w:eastAsia="微软雅黑" w:cs="微软雅黑"/>
          <w:sz w:val="24"/>
          <w:highlight w:val="none"/>
          <w:u w:val="single"/>
        </w:rPr>
        <w:t>达到《建筑施工现场环境与卫生标准》（JGJ146-2004）标准</w:t>
      </w:r>
      <w:r>
        <w:rPr>
          <w:rFonts w:hint="eastAsia" w:ascii="微软雅黑" w:hAnsi="微软雅黑" w:eastAsia="微软雅黑" w:cs="微软雅黑"/>
          <w:sz w:val="24"/>
          <w:highlight w:val="none"/>
        </w:rPr>
        <w:t>。</w:t>
      </w:r>
    </w:p>
    <w:p w14:paraId="567CA61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6.1.6 关于安全文明施工费支付比例和支付期限的约定：</w:t>
      </w:r>
      <w:r>
        <w:rPr>
          <w:rFonts w:hint="eastAsia" w:ascii="微软雅黑" w:hAnsi="微软雅黑" w:eastAsia="微软雅黑" w:cs="微软雅黑"/>
          <w:sz w:val="24"/>
          <w:highlight w:val="none"/>
          <w:u w:val="single"/>
        </w:rPr>
        <w:t xml:space="preserve">     纳入合同价格支付     </w:t>
      </w:r>
      <w:r>
        <w:rPr>
          <w:rFonts w:hint="eastAsia" w:ascii="微软雅黑" w:hAnsi="微软雅黑" w:eastAsia="微软雅黑" w:cs="微软雅黑"/>
          <w:sz w:val="24"/>
          <w:highlight w:val="none"/>
        </w:rPr>
        <w:t>。</w:t>
      </w:r>
    </w:p>
    <w:p w14:paraId="235C79C4">
      <w:pPr>
        <w:pStyle w:val="11"/>
        <w:spacing w:before="120" w:after="120" w:line="460" w:lineRule="exact"/>
        <w:rPr>
          <w:rFonts w:ascii="微软雅黑" w:hAnsi="微软雅黑" w:eastAsia="微软雅黑" w:cs="微软雅黑"/>
          <w:sz w:val="24"/>
          <w:szCs w:val="24"/>
          <w:highlight w:val="none"/>
        </w:rPr>
      </w:pPr>
      <w:bookmarkStart w:id="1088" w:name="_Toc351203639"/>
      <w:r>
        <w:rPr>
          <w:rFonts w:hint="eastAsia" w:ascii="微软雅黑" w:hAnsi="微软雅黑" w:eastAsia="微软雅黑" w:cs="微软雅黑"/>
          <w:sz w:val="24"/>
          <w:szCs w:val="24"/>
          <w:highlight w:val="none"/>
        </w:rPr>
        <w:t>7. 工期和进度</w:t>
      </w:r>
      <w:bookmarkEnd w:id="1088"/>
    </w:p>
    <w:p w14:paraId="613AD22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7.1 施工组织设计</w:t>
      </w:r>
    </w:p>
    <w:p w14:paraId="1B9297BF">
      <w:pPr>
        <w:autoSpaceDE w:val="0"/>
        <w:autoSpaceDN w:val="0"/>
        <w:adjustRightInd w:val="0"/>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7.1.1 合</w:t>
      </w:r>
      <w:r>
        <w:rPr>
          <w:rFonts w:hint="eastAsia" w:ascii="微软雅黑" w:hAnsi="微软雅黑" w:eastAsia="微软雅黑" w:cs="微软雅黑"/>
          <w:kern w:val="0"/>
          <w:sz w:val="24"/>
          <w:highlight w:val="none"/>
        </w:rPr>
        <w:t>同当事人约定的施工组织设计应包括的其他内容：</w:t>
      </w:r>
      <w:r>
        <w:rPr>
          <w:rFonts w:hint="eastAsia" w:ascii="微软雅黑" w:hAnsi="微软雅黑" w:eastAsia="微软雅黑" w:cs="微软雅黑"/>
          <w:sz w:val="24"/>
          <w:highlight w:val="none"/>
          <w:u w:val="single"/>
        </w:rPr>
        <w:t xml:space="preserve">按通用条款执行   </w:t>
      </w:r>
      <w:r>
        <w:rPr>
          <w:rFonts w:hint="eastAsia" w:ascii="微软雅黑" w:hAnsi="微软雅黑" w:eastAsia="微软雅黑" w:cs="微软雅黑"/>
          <w:sz w:val="24"/>
          <w:highlight w:val="none"/>
        </w:rPr>
        <w:t>。</w:t>
      </w:r>
    </w:p>
    <w:p w14:paraId="158D4A85">
      <w:pPr>
        <w:autoSpaceDE w:val="0"/>
        <w:autoSpaceDN w:val="0"/>
        <w:adjustRightInd w:val="0"/>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 xml:space="preserve">7.1.2 </w:t>
      </w:r>
      <w:r>
        <w:rPr>
          <w:rFonts w:hint="eastAsia" w:ascii="微软雅黑" w:hAnsi="微软雅黑" w:eastAsia="微软雅黑" w:cs="微软雅黑"/>
          <w:kern w:val="0"/>
          <w:sz w:val="24"/>
          <w:highlight w:val="none"/>
        </w:rPr>
        <w:t>施工组织设计的提交和修改</w:t>
      </w:r>
    </w:p>
    <w:p w14:paraId="42FE10D4">
      <w:pPr>
        <w:autoSpaceDE w:val="0"/>
        <w:autoSpaceDN w:val="0"/>
        <w:adjustRightInd w:val="0"/>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承包人提交详细施工组织设计的期限的约定：</w:t>
      </w:r>
      <w:r>
        <w:rPr>
          <w:rFonts w:hint="eastAsia" w:ascii="微软雅黑" w:hAnsi="微软雅黑" w:eastAsia="微软雅黑" w:cs="微软雅黑"/>
          <w:sz w:val="24"/>
          <w:highlight w:val="none"/>
          <w:u w:val="single"/>
        </w:rPr>
        <w:t xml:space="preserve">        开工前          </w:t>
      </w:r>
      <w:r>
        <w:rPr>
          <w:rFonts w:hint="eastAsia" w:ascii="微软雅黑" w:hAnsi="微软雅黑" w:eastAsia="微软雅黑" w:cs="微软雅黑"/>
          <w:sz w:val="24"/>
          <w:highlight w:val="none"/>
        </w:rPr>
        <w:t>。</w:t>
      </w:r>
    </w:p>
    <w:p w14:paraId="2C43F394">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发包人和监理人在收到详细的施工组织设计后确认或提出修改意见的期限：</w:t>
      </w:r>
      <w:r>
        <w:rPr>
          <w:rFonts w:hint="eastAsia" w:ascii="微软雅黑" w:hAnsi="微软雅黑" w:eastAsia="微软雅黑" w:cs="微软雅黑"/>
          <w:sz w:val="24"/>
          <w:highlight w:val="none"/>
          <w:u w:val="single"/>
        </w:rPr>
        <w:t>收到后7天内</w:t>
      </w:r>
      <w:r>
        <w:rPr>
          <w:rFonts w:hint="eastAsia" w:ascii="微软雅黑" w:hAnsi="微软雅黑" w:eastAsia="微软雅黑" w:cs="微软雅黑"/>
          <w:sz w:val="24"/>
          <w:highlight w:val="none"/>
        </w:rPr>
        <w:t>。</w:t>
      </w:r>
    </w:p>
    <w:p w14:paraId="2616AE4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089" w:name="_Toc312678005"/>
      <w:bookmarkStart w:id="1090" w:name="_Toc300934966"/>
      <w:bookmarkStart w:id="1091" w:name="_Toc297123514"/>
      <w:bookmarkStart w:id="1092" w:name="_Toc303539123"/>
      <w:bookmarkStart w:id="1093" w:name="_Toc297216173"/>
      <w:bookmarkStart w:id="1094" w:name="_Toc312677479"/>
      <w:bookmarkStart w:id="1095" w:name="_Toc304295541"/>
      <w:r>
        <w:rPr>
          <w:rFonts w:hint="eastAsia" w:ascii="微软雅黑" w:hAnsi="微软雅黑" w:eastAsia="微软雅黑" w:cs="微软雅黑"/>
          <w:sz w:val="24"/>
          <w:highlight w:val="none"/>
        </w:rPr>
        <w:t>.2 施工进度计划</w:t>
      </w:r>
    </w:p>
    <w:p w14:paraId="5846445A">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7.2.2 施工进度计划的修订</w:t>
      </w:r>
    </w:p>
    <w:p w14:paraId="5C6C3996">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发包人和监理人在收到修订的施工进度计划后确认或提出修改意见的期限：</w:t>
      </w:r>
      <w:r>
        <w:rPr>
          <w:rFonts w:hint="eastAsia" w:ascii="微软雅黑" w:hAnsi="微软雅黑" w:eastAsia="微软雅黑" w:cs="微软雅黑"/>
          <w:sz w:val="24"/>
          <w:highlight w:val="none"/>
          <w:u w:val="single"/>
        </w:rPr>
        <w:t xml:space="preserve"> 收到后5日内    </w:t>
      </w:r>
      <w:r>
        <w:rPr>
          <w:rFonts w:hint="eastAsia" w:ascii="微软雅黑" w:hAnsi="微软雅黑" w:eastAsia="微软雅黑" w:cs="微软雅黑"/>
          <w:sz w:val="24"/>
          <w:highlight w:val="none"/>
        </w:rPr>
        <w:t>。</w:t>
      </w:r>
    </w:p>
    <w:p w14:paraId="2A25E65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7.3 开工</w:t>
      </w:r>
    </w:p>
    <w:p w14:paraId="58B7AA81">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7.3.1 开工准备</w:t>
      </w:r>
    </w:p>
    <w:p w14:paraId="69B88AD4">
      <w:pPr>
        <w:spacing w:line="460" w:lineRule="exact"/>
        <w:ind w:firstLine="645"/>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关于承包人提交</w:t>
      </w:r>
      <w:r>
        <w:rPr>
          <w:rFonts w:hint="eastAsia" w:ascii="微软雅黑" w:hAnsi="微软雅黑" w:eastAsia="微软雅黑" w:cs="微软雅黑"/>
          <w:kern w:val="0"/>
          <w:sz w:val="24"/>
          <w:highlight w:val="none"/>
        </w:rPr>
        <w:t>工程开工报审表的期限：</w:t>
      </w:r>
      <w:r>
        <w:rPr>
          <w:rFonts w:hint="eastAsia" w:ascii="微软雅黑" w:hAnsi="微软雅黑" w:eastAsia="微软雅黑" w:cs="微软雅黑"/>
          <w:sz w:val="24"/>
          <w:highlight w:val="none"/>
          <w:u w:val="single"/>
        </w:rPr>
        <w:t xml:space="preserve">  合同签订后、开工前    </w:t>
      </w:r>
      <w:r>
        <w:rPr>
          <w:rFonts w:hint="eastAsia" w:ascii="微软雅黑" w:hAnsi="微软雅黑" w:eastAsia="微软雅黑" w:cs="微软雅黑"/>
          <w:sz w:val="24"/>
          <w:highlight w:val="none"/>
        </w:rPr>
        <w:t>。</w:t>
      </w:r>
    </w:p>
    <w:p w14:paraId="12D02291">
      <w:pPr>
        <w:spacing w:line="460" w:lineRule="exact"/>
        <w:ind w:firstLine="64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关于发包人应完成的其他开工准备工作及期限：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2E4C9D24">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关于承包人应完成的其他开工准备工作及期限：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2EE90B2A">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7.3.2开工通知</w:t>
      </w:r>
    </w:p>
    <w:p w14:paraId="2804F9F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因发包人原因造成监理人未能在计划开工日期之日起</w:t>
      </w:r>
      <w:r>
        <w:rPr>
          <w:rFonts w:hint="eastAsia" w:ascii="微软雅黑" w:hAnsi="微软雅黑" w:eastAsia="微软雅黑" w:cs="微软雅黑"/>
          <w:sz w:val="24"/>
          <w:highlight w:val="none"/>
          <w:u w:val="single"/>
        </w:rPr>
        <w:t xml:space="preserve"> 180 </w:t>
      </w:r>
      <w:r>
        <w:rPr>
          <w:rFonts w:hint="eastAsia" w:ascii="微软雅黑" w:hAnsi="微软雅黑" w:eastAsia="微软雅黑" w:cs="微软雅黑"/>
          <w:sz w:val="24"/>
          <w:highlight w:val="none"/>
        </w:rPr>
        <w:t>天内发出开工通知的，承包人有权提出价格调整要求，或者解除合同。</w:t>
      </w:r>
    </w:p>
    <w:bookmarkEnd w:id="1089"/>
    <w:bookmarkEnd w:id="1090"/>
    <w:bookmarkEnd w:id="1091"/>
    <w:bookmarkEnd w:id="1092"/>
    <w:bookmarkEnd w:id="1093"/>
    <w:bookmarkEnd w:id="1094"/>
    <w:bookmarkEnd w:id="1095"/>
    <w:p w14:paraId="00951CAE">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7.4 测量放线</w:t>
      </w:r>
    </w:p>
    <w:p w14:paraId="0D9945AA">
      <w:pPr>
        <w:spacing w:line="460" w:lineRule="exact"/>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7.4.1发包人通过监理人向承包人提供测量基准点、基准线和水准点及其书面资料的期限：合同签订后、开工前7天。</w:t>
      </w:r>
    </w:p>
    <w:p w14:paraId="1841BF07">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096" w:name="_Toc312677484"/>
      <w:bookmarkStart w:id="1097" w:name="_Toc297216175"/>
      <w:bookmarkStart w:id="1098" w:name="_Toc300934968"/>
      <w:bookmarkStart w:id="1099" w:name="_Toc297123516"/>
      <w:bookmarkStart w:id="1100" w:name="_Toc304295546"/>
      <w:bookmarkStart w:id="1101" w:name="_Toc303539125"/>
      <w:bookmarkStart w:id="1102" w:name="_Toc312678010"/>
      <w:r>
        <w:rPr>
          <w:rFonts w:hint="eastAsia" w:ascii="微软雅黑" w:hAnsi="微软雅黑" w:eastAsia="微软雅黑" w:cs="微软雅黑"/>
          <w:sz w:val="24"/>
          <w:highlight w:val="none"/>
        </w:rPr>
        <w:t>.5 工期延误</w:t>
      </w:r>
    </w:p>
    <w:bookmarkEnd w:id="1096"/>
    <w:bookmarkEnd w:id="1097"/>
    <w:bookmarkEnd w:id="1098"/>
    <w:bookmarkEnd w:id="1099"/>
    <w:bookmarkEnd w:id="1100"/>
    <w:bookmarkEnd w:id="1101"/>
    <w:bookmarkEnd w:id="1102"/>
    <w:p w14:paraId="498C51D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7.5.1 因发包人原因导致工期延误</w:t>
      </w:r>
    </w:p>
    <w:p w14:paraId="1EA7D03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（7）因发包人原因导致工期延误的其他情形：</w:t>
      </w:r>
      <w:r>
        <w:rPr>
          <w:rFonts w:hint="eastAsia" w:ascii="微软雅黑" w:hAnsi="微软雅黑" w:eastAsia="微软雅黑" w:cs="微软雅黑"/>
          <w:sz w:val="24"/>
          <w:highlight w:val="none"/>
          <w:u w:val="single"/>
        </w:rPr>
        <w:t xml:space="preserve">  ①发包人未按合同规定支付工程款并确实影响工程进度； ②重大设计变更而影响工程进度；③政策处理问题影响施工进度；④ 不不可抗力，此延误工期须在发现后七天内办理签证，逾期不予认可   </w:t>
      </w:r>
      <w:r>
        <w:rPr>
          <w:rFonts w:hint="eastAsia" w:ascii="微软雅黑" w:hAnsi="微软雅黑" w:eastAsia="微软雅黑" w:cs="微软雅黑"/>
          <w:sz w:val="24"/>
          <w:highlight w:val="none"/>
        </w:rPr>
        <w:t>。</w:t>
      </w:r>
    </w:p>
    <w:p w14:paraId="65AE519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103" w:name="_Toc304295548"/>
      <w:bookmarkStart w:id="1104" w:name="_Toc312677486"/>
      <w:bookmarkStart w:id="1105" w:name="_Toc318581169"/>
      <w:bookmarkStart w:id="1106" w:name="_Toc297216177"/>
      <w:bookmarkStart w:id="1107" w:name="_Toc312678012"/>
      <w:bookmarkStart w:id="1108" w:name="_Toc297123518"/>
      <w:bookmarkStart w:id="1109" w:name="_Toc300934970"/>
      <w:bookmarkStart w:id="1110" w:name="_Toc303539127"/>
      <w:r>
        <w:rPr>
          <w:rFonts w:hint="eastAsia" w:ascii="微软雅黑" w:hAnsi="微软雅黑" w:eastAsia="微软雅黑" w:cs="微软雅黑"/>
          <w:sz w:val="24"/>
          <w:highlight w:val="none"/>
        </w:rPr>
        <w:t>.5.2 因承包人原因导致工期延误</w:t>
      </w:r>
    </w:p>
    <w:bookmarkEnd w:id="1103"/>
    <w:bookmarkEnd w:id="1104"/>
    <w:bookmarkEnd w:id="1105"/>
    <w:bookmarkEnd w:id="1106"/>
    <w:bookmarkEnd w:id="1107"/>
    <w:bookmarkEnd w:id="1108"/>
    <w:bookmarkEnd w:id="1109"/>
    <w:bookmarkEnd w:id="1110"/>
    <w:p w14:paraId="13E9E06D">
      <w:pPr>
        <w:spacing w:line="460" w:lineRule="exact"/>
        <w:ind w:firstLine="480" w:firstLineChars="200"/>
        <w:jc w:val="left"/>
        <w:rPr>
          <w:rFonts w:ascii="微软雅黑" w:hAnsi="微软雅黑" w:eastAsia="微软雅黑" w:cs="微软雅黑"/>
          <w:sz w:val="24"/>
          <w:highlight w:val="none"/>
        </w:rPr>
      </w:pPr>
      <w:bookmarkStart w:id="1111" w:name="_Toc318581171"/>
      <w:bookmarkStart w:id="1112" w:name="_Toc312678014"/>
      <w:r>
        <w:rPr>
          <w:rFonts w:hint="eastAsia" w:ascii="微软雅黑" w:hAnsi="微软雅黑" w:eastAsia="微软雅黑" w:cs="微软雅黑"/>
          <w:sz w:val="24"/>
          <w:highlight w:val="none"/>
        </w:rPr>
        <w:t>因承包人原因造成工期延误，逾期竣工违约金的上限：合同价款的30％ ，逾期超过30天的，发包人有权解除本合同，同时因延期产生的监理费用由承包人承担，发包人有权从最终支付价款中扣除。</w:t>
      </w:r>
    </w:p>
    <w:bookmarkEnd w:id="1111"/>
    <w:bookmarkEnd w:id="1112"/>
    <w:p w14:paraId="3772FE69">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113" w:name="_Toc312678015"/>
      <w:bookmarkStart w:id="1114" w:name="_Toc300934971"/>
      <w:bookmarkStart w:id="1115" w:name="_Toc297123519"/>
      <w:bookmarkStart w:id="1116" w:name="_Toc297216178"/>
      <w:bookmarkStart w:id="1117" w:name="_Toc303539128"/>
      <w:bookmarkStart w:id="1118" w:name="_Toc304295549"/>
      <w:r>
        <w:rPr>
          <w:rFonts w:hint="eastAsia" w:ascii="微软雅黑" w:hAnsi="微软雅黑" w:eastAsia="微软雅黑" w:cs="微软雅黑"/>
          <w:sz w:val="24"/>
          <w:highlight w:val="none"/>
        </w:rPr>
        <w:t>.6 不</w:t>
      </w:r>
      <w:bookmarkEnd w:id="1113"/>
      <w:bookmarkEnd w:id="1114"/>
      <w:bookmarkEnd w:id="1115"/>
      <w:bookmarkEnd w:id="1116"/>
      <w:bookmarkEnd w:id="1117"/>
      <w:bookmarkEnd w:id="1118"/>
      <w:r>
        <w:rPr>
          <w:rFonts w:hint="eastAsia" w:ascii="微软雅黑" w:hAnsi="微软雅黑" w:eastAsia="微软雅黑" w:cs="微软雅黑"/>
          <w:sz w:val="24"/>
          <w:highlight w:val="none"/>
        </w:rPr>
        <w:t>利物质条件</w:t>
      </w:r>
    </w:p>
    <w:p w14:paraId="27D82309">
      <w:pPr>
        <w:spacing w:line="460" w:lineRule="exact"/>
        <w:ind w:firstLine="480" w:firstLineChars="200"/>
        <w:jc w:val="left"/>
        <w:rPr>
          <w:rFonts w:ascii="微软雅黑" w:hAnsi="微软雅黑" w:eastAsia="微软雅黑" w:cs="微软雅黑"/>
          <w:sz w:val="24"/>
          <w:highlight w:val="none"/>
        </w:rPr>
      </w:pPr>
      <w:bookmarkStart w:id="1119" w:name="_Toc297123520"/>
      <w:bookmarkStart w:id="1120" w:name="_Toc318581172"/>
      <w:bookmarkStart w:id="1121" w:name="_Toc312678016"/>
      <w:bookmarkStart w:id="1122" w:name="_Toc304295550"/>
      <w:bookmarkStart w:id="1123" w:name="_Toc303539129"/>
      <w:bookmarkStart w:id="1124" w:name="_Toc300934972"/>
      <w:bookmarkStart w:id="1125" w:name="_Toc297216179"/>
      <w:r>
        <w:rPr>
          <w:rFonts w:hint="eastAsia" w:ascii="微软雅黑" w:hAnsi="微软雅黑" w:eastAsia="微软雅黑" w:cs="微软雅黑"/>
          <w:sz w:val="24"/>
          <w:highlight w:val="none"/>
        </w:rPr>
        <w:t>不利物质条件的其他情形和有关约定：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bookmarkEnd w:id="1119"/>
    <w:bookmarkEnd w:id="1120"/>
    <w:bookmarkEnd w:id="1121"/>
    <w:bookmarkEnd w:id="1122"/>
    <w:bookmarkEnd w:id="1123"/>
    <w:bookmarkEnd w:id="1124"/>
    <w:bookmarkEnd w:id="1125"/>
    <w:p w14:paraId="430B9CE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w:t>
      </w:r>
      <w:bookmarkStart w:id="1126" w:name="_Toc300934973"/>
      <w:bookmarkStart w:id="1127" w:name="_Toc312678017"/>
      <w:bookmarkStart w:id="1128" w:name="_Toc297216180"/>
      <w:bookmarkStart w:id="1129" w:name="_Toc297123521"/>
      <w:bookmarkStart w:id="1130" w:name="_Toc303539130"/>
      <w:bookmarkStart w:id="1131" w:name="_Toc304295551"/>
      <w:r>
        <w:rPr>
          <w:rFonts w:hint="eastAsia" w:ascii="微软雅黑" w:hAnsi="微软雅黑" w:eastAsia="微软雅黑" w:cs="微软雅黑"/>
          <w:sz w:val="24"/>
          <w:highlight w:val="none"/>
        </w:rPr>
        <w:t>.7异常恶劣的气候条件</w:t>
      </w:r>
    </w:p>
    <w:bookmarkEnd w:id="1126"/>
    <w:bookmarkEnd w:id="1127"/>
    <w:bookmarkEnd w:id="1128"/>
    <w:bookmarkEnd w:id="1129"/>
    <w:bookmarkEnd w:id="1130"/>
    <w:bookmarkEnd w:id="1131"/>
    <w:p w14:paraId="755E473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发包人和承包人同意以下情形视为异常恶劣的气候条件：</w:t>
      </w:r>
    </w:p>
    <w:p w14:paraId="1CE36390">
      <w:pPr>
        <w:spacing w:after="120"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地震、暴风雪、24小时内降雨量大于50mm的暴雨、风速达到 8 级的台风灾害、造成工程损坏的冰雹和大雪灾害，日降雪量 20cm 以上；</w:t>
      </w:r>
    </w:p>
    <w:p w14:paraId="03910113">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7.9 提前竣工的奖励</w:t>
      </w:r>
    </w:p>
    <w:p w14:paraId="0D393AE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7.9.2提前竣工的奖励：</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157333AB">
      <w:pPr>
        <w:pStyle w:val="11"/>
        <w:spacing w:before="120" w:after="120" w:line="460" w:lineRule="exact"/>
        <w:rPr>
          <w:rFonts w:ascii="微软雅黑" w:hAnsi="微软雅黑" w:eastAsia="微软雅黑" w:cs="微软雅黑"/>
          <w:sz w:val="24"/>
          <w:szCs w:val="24"/>
          <w:highlight w:val="none"/>
        </w:rPr>
      </w:pPr>
      <w:bookmarkStart w:id="1132" w:name="_Toc351203640"/>
      <w:r>
        <w:rPr>
          <w:rFonts w:hint="eastAsia" w:ascii="微软雅黑" w:hAnsi="微软雅黑" w:eastAsia="微软雅黑" w:cs="微软雅黑"/>
          <w:sz w:val="24"/>
          <w:szCs w:val="24"/>
          <w:highlight w:val="none"/>
        </w:rPr>
        <w:t>8. 材料与设备</w:t>
      </w:r>
      <w:bookmarkEnd w:id="1132"/>
    </w:p>
    <w:p w14:paraId="50EADA3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8</w:t>
      </w:r>
      <w:bookmarkStart w:id="1133" w:name="_Toc297120467"/>
      <w:bookmarkStart w:id="1134" w:name="_Toc296890995"/>
      <w:bookmarkStart w:id="1135" w:name="_Toc300934979"/>
      <w:bookmarkStart w:id="1136" w:name="_Toc296347166"/>
      <w:bookmarkStart w:id="1137" w:name="_Toc292559372"/>
      <w:bookmarkStart w:id="1138" w:name="_Toc297123527"/>
      <w:bookmarkStart w:id="1139" w:name="_Toc312678019"/>
      <w:bookmarkStart w:id="1140" w:name="_Toc312677493"/>
      <w:bookmarkStart w:id="1141" w:name="_Toc297048353"/>
      <w:bookmarkStart w:id="1142" w:name="_Toc280868654"/>
      <w:bookmarkStart w:id="1143" w:name="_Toc304295556"/>
      <w:bookmarkStart w:id="1144" w:name="_Toc303539136"/>
      <w:bookmarkStart w:id="1145" w:name="_Toc296346668"/>
      <w:bookmarkStart w:id="1146" w:name="_Toc297216186"/>
      <w:bookmarkStart w:id="1147" w:name="_Toc292559877"/>
      <w:bookmarkStart w:id="1148" w:name="_Toc296891207"/>
      <w:bookmarkStart w:id="1149" w:name="_Toc296944506"/>
      <w:bookmarkStart w:id="1150" w:name="_Toc296503167"/>
      <w:bookmarkStart w:id="1151" w:name="_Toc267251424"/>
      <w:bookmarkStart w:id="1152" w:name="_Toc280868655"/>
      <w:bookmarkStart w:id="1153" w:name="_Toc280868656"/>
      <w:r>
        <w:rPr>
          <w:rFonts w:hint="eastAsia" w:ascii="微软雅黑" w:hAnsi="微软雅黑" w:eastAsia="微软雅黑" w:cs="微软雅黑"/>
          <w:sz w:val="24"/>
          <w:highlight w:val="none"/>
        </w:rPr>
        <w:t>.4材料与工程设备的保管与使用</w:t>
      </w:r>
    </w:p>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14:paraId="15AF0B8C">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8</w:t>
      </w:r>
      <w:bookmarkStart w:id="1154" w:name="_Toc292559878"/>
      <w:bookmarkStart w:id="1155" w:name="_Toc292559373"/>
      <w:bookmarkStart w:id="1156" w:name="_Toc297216187"/>
      <w:bookmarkStart w:id="1157" w:name="_Toc296890996"/>
      <w:bookmarkStart w:id="1158" w:name="_Toc304295557"/>
      <w:bookmarkStart w:id="1159" w:name="_Toc297048354"/>
      <w:bookmarkStart w:id="1160" w:name="_Toc296346669"/>
      <w:bookmarkStart w:id="1161" w:name="_Toc300934980"/>
      <w:bookmarkStart w:id="1162" w:name="_Toc312677494"/>
      <w:bookmarkStart w:id="1163" w:name="_Toc296503168"/>
      <w:bookmarkStart w:id="1164" w:name="_Toc296891208"/>
      <w:bookmarkStart w:id="1165" w:name="_Toc296944507"/>
      <w:bookmarkStart w:id="1166" w:name="_Toc303539137"/>
      <w:bookmarkStart w:id="1167" w:name="_Toc312678020"/>
      <w:bookmarkStart w:id="1168" w:name="_Toc296347167"/>
      <w:bookmarkStart w:id="1169" w:name="_Toc318581173"/>
      <w:bookmarkStart w:id="1170" w:name="_Toc297123528"/>
      <w:bookmarkStart w:id="1171" w:name="_Toc297120468"/>
      <w:r>
        <w:rPr>
          <w:rFonts w:hint="eastAsia" w:ascii="微软雅黑" w:hAnsi="微软雅黑" w:eastAsia="微软雅黑" w:cs="微软雅黑"/>
          <w:sz w:val="24"/>
          <w:highlight w:val="none"/>
        </w:rPr>
        <w:t>.4.1发包人供应的材料设备的保管费用的承担：</w:t>
      </w:r>
      <w:r>
        <w:rPr>
          <w:rFonts w:hint="eastAsia" w:ascii="微软雅黑" w:hAnsi="微软雅黑" w:eastAsia="微软雅黑" w:cs="微软雅黑"/>
          <w:sz w:val="24"/>
          <w:highlight w:val="none"/>
          <w:u w:val="single"/>
        </w:rPr>
        <w:t xml:space="preserve">   由承包人承担    </w:t>
      </w:r>
      <w:r>
        <w:rPr>
          <w:rFonts w:hint="eastAsia" w:ascii="微软雅黑" w:hAnsi="微软雅黑" w:eastAsia="微软雅黑" w:cs="微软雅黑"/>
          <w:sz w:val="24"/>
          <w:highlight w:val="none"/>
        </w:rPr>
        <w:t>。</w:t>
      </w:r>
      <w:bookmarkEnd w:id="1154"/>
      <w:bookmarkEnd w:id="1155"/>
    </w:p>
    <w:p w14:paraId="2E4C58F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8.6 样品</w:t>
      </w:r>
    </w:p>
    <w:p w14:paraId="08AE94B4">
      <w:pPr>
        <w:autoSpaceDE w:val="0"/>
        <w:autoSpaceDN w:val="0"/>
        <w:adjustRightInd w:val="0"/>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8.6.1</w:t>
      </w:r>
      <w:r>
        <w:rPr>
          <w:rFonts w:hint="eastAsia" w:ascii="微软雅黑" w:hAnsi="微软雅黑" w:eastAsia="微软雅黑" w:cs="微软雅黑"/>
          <w:kern w:val="0"/>
          <w:sz w:val="24"/>
          <w:highlight w:val="none"/>
        </w:rPr>
        <w:tab/>
      </w:r>
      <w:r>
        <w:rPr>
          <w:rFonts w:hint="eastAsia" w:ascii="微软雅黑" w:hAnsi="微软雅黑" w:eastAsia="微软雅黑" w:cs="微软雅黑"/>
          <w:kern w:val="0"/>
          <w:sz w:val="24"/>
          <w:highlight w:val="none"/>
        </w:rPr>
        <w:t>样品的报送与封存</w:t>
      </w:r>
    </w:p>
    <w:p w14:paraId="588DF91A">
      <w:pPr>
        <w:autoSpaceDE w:val="0"/>
        <w:autoSpaceDN w:val="0"/>
        <w:adjustRightInd w:val="0"/>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需要承包人报送样品的材料或工程设备，样品的种类、名称、规格、数量要求：</w:t>
      </w:r>
      <w:r>
        <w:rPr>
          <w:rFonts w:hint="eastAsia" w:ascii="微软雅黑" w:hAnsi="微软雅黑" w:eastAsia="微软雅黑" w:cs="微软雅黑"/>
          <w:sz w:val="24"/>
          <w:highlight w:val="none"/>
          <w:u w:val="single"/>
        </w:rPr>
        <w:t xml:space="preserve"> 执行通用条款，按发包人需求确定     </w:t>
      </w:r>
      <w:r>
        <w:rPr>
          <w:rFonts w:hint="eastAsia" w:ascii="微软雅黑" w:hAnsi="微软雅黑" w:eastAsia="微软雅黑" w:cs="微软雅黑"/>
          <w:sz w:val="24"/>
          <w:highlight w:val="none"/>
        </w:rPr>
        <w:t>。</w:t>
      </w:r>
    </w:p>
    <w:p w14:paraId="0184C5A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8.8 施工设备和临时设施</w:t>
      </w:r>
    </w:p>
    <w:p w14:paraId="432FF171">
      <w:pPr>
        <w:autoSpaceDE w:val="0"/>
        <w:autoSpaceDN w:val="0"/>
        <w:adjustRightInd w:val="0"/>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8.8.1 承包人提供的施工设备和临时设施</w:t>
      </w:r>
    </w:p>
    <w:p w14:paraId="3A328F5C">
      <w:pPr>
        <w:autoSpaceDE w:val="0"/>
        <w:autoSpaceDN w:val="0"/>
        <w:adjustRightInd w:val="0"/>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关于修建临时设施费用承担的约定：</w:t>
      </w:r>
      <w:r>
        <w:rPr>
          <w:rFonts w:hint="eastAsia" w:ascii="微软雅黑" w:hAnsi="微软雅黑" w:eastAsia="微软雅黑" w:cs="微软雅黑"/>
          <w:sz w:val="24"/>
          <w:highlight w:val="none"/>
          <w:u w:val="single"/>
        </w:rPr>
        <w:t xml:space="preserve">   由承包人承担             </w:t>
      </w:r>
      <w:r>
        <w:rPr>
          <w:rFonts w:hint="eastAsia" w:ascii="微软雅黑" w:hAnsi="微软雅黑" w:eastAsia="微软雅黑" w:cs="微软雅黑"/>
          <w:sz w:val="24"/>
          <w:highlight w:val="none"/>
        </w:rPr>
        <w:t>。</w:t>
      </w:r>
    </w:p>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14:paraId="008C1052">
      <w:pPr>
        <w:pStyle w:val="11"/>
        <w:spacing w:before="120" w:after="120" w:line="460" w:lineRule="exact"/>
        <w:rPr>
          <w:rFonts w:ascii="微软雅黑" w:hAnsi="微软雅黑" w:eastAsia="微软雅黑" w:cs="微软雅黑"/>
          <w:sz w:val="24"/>
          <w:szCs w:val="24"/>
          <w:highlight w:val="none"/>
        </w:rPr>
      </w:pPr>
      <w:bookmarkStart w:id="1172" w:name="_Toc351203641"/>
      <w:r>
        <w:rPr>
          <w:rFonts w:hint="eastAsia" w:ascii="微软雅黑" w:hAnsi="微软雅黑" w:eastAsia="微软雅黑" w:cs="微软雅黑"/>
          <w:sz w:val="24"/>
          <w:szCs w:val="24"/>
          <w:highlight w:val="none"/>
        </w:rPr>
        <w:t>9</w:t>
      </w:r>
      <w:bookmarkEnd w:id="1151"/>
      <w:bookmarkEnd w:id="1152"/>
      <w:bookmarkEnd w:id="1153"/>
      <w:bookmarkStart w:id="1173" w:name="_Toc300934982"/>
      <w:bookmarkStart w:id="1174" w:name="_Toc303539139"/>
      <w:bookmarkStart w:id="1175" w:name="_Toc312678021"/>
      <w:bookmarkStart w:id="1176" w:name="_Toc312677495"/>
      <w:bookmarkStart w:id="1177" w:name="_Toc297123533"/>
      <w:bookmarkStart w:id="1178" w:name="_Toc304295559"/>
      <w:bookmarkStart w:id="1179" w:name="_Toc297216192"/>
      <w:bookmarkStart w:id="1180" w:name="_Toc296347172"/>
      <w:bookmarkStart w:id="1181" w:name="_Toc292559378"/>
      <w:bookmarkStart w:id="1182" w:name="_Toc297120473"/>
      <w:bookmarkStart w:id="1183" w:name="_Toc296944512"/>
      <w:bookmarkStart w:id="1184" w:name="_Toc296891213"/>
      <w:bookmarkStart w:id="1185" w:name="_Toc296891001"/>
      <w:bookmarkStart w:id="1186" w:name="_Toc296503173"/>
      <w:bookmarkStart w:id="1187" w:name="_Toc292559883"/>
      <w:bookmarkStart w:id="1188" w:name="_Toc267251428"/>
      <w:bookmarkStart w:id="1189" w:name="_Toc267251427"/>
      <w:bookmarkStart w:id="1190" w:name="_Toc296346674"/>
      <w:bookmarkStart w:id="1191" w:name="_Toc297048359"/>
      <w:r>
        <w:rPr>
          <w:rFonts w:hint="eastAsia" w:ascii="微软雅黑" w:hAnsi="微软雅黑" w:eastAsia="微软雅黑" w:cs="微软雅黑"/>
          <w:sz w:val="24"/>
          <w:szCs w:val="24"/>
          <w:highlight w:val="none"/>
        </w:rPr>
        <w:t>. 试验与检验</w:t>
      </w:r>
      <w:bookmarkEnd w:id="1172"/>
    </w:p>
    <w:bookmarkEnd w:id="1173"/>
    <w:bookmarkEnd w:id="1174"/>
    <w:bookmarkEnd w:id="1175"/>
    <w:bookmarkEnd w:id="1176"/>
    <w:bookmarkEnd w:id="1177"/>
    <w:bookmarkEnd w:id="1178"/>
    <w:bookmarkEnd w:id="1179"/>
    <w:p w14:paraId="722A7A73">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9</w:t>
      </w:r>
      <w:bookmarkStart w:id="1192" w:name="_Toc312677496"/>
      <w:bookmarkStart w:id="1193" w:name="_Toc300934983"/>
      <w:bookmarkStart w:id="1194" w:name="_Toc297123534"/>
      <w:bookmarkStart w:id="1195" w:name="_Toc303539140"/>
      <w:bookmarkStart w:id="1196" w:name="_Toc312678022"/>
      <w:bookmarkStart w:id="1197" w:name="_Toc297216193"/>
      <w:bookmarkStart w:id="1198" w:name="_Toc304295560"/>
      <w:r>
        <w:rPr>
          <w:rFonts w:hint="eastAsia" w:ascii="微软雅黑" w:hAnsi="微软雅黑" w:eastAsia="微软雅黑" w:cs="微软雅黑"/>
          <w:sz w:val="24"/>
          <w:highlight w:val="none"/>
        </w:rPr>
        <w:t>.1试验设备与试验人员</w:t>
      </w:r>
    </w:p>
    <w:bookmarkEnd w:id="1192"/>
    <w:bookmarkEnd w:id="1193"/>
    <w:bookmarkEnd w:id="1194"/>
    <w:bookmarkEnd w:id="1195"/>
    <w:bookmarkEnd w:id="1196"/>
    <w:bookmarkEnd w:id="1197"/>
    <w:bookmarkEnd w:id="1198"/>
    <w:p w14:paraId="347122ED">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9</w:t>
      </w:r>
      <w:bookmarkStart w:id="1199" w:name="_Toc303539141"/>
      <w:bookmarkStart w:id="1200" w:name="_Toc300934984"/>
      <w:bookmarkStart w:id="1201" w:name="_Toc312677497"/>
      <w:bookmarkStart w:id="1202" w:name="_Toc297216194"/>
      <w:bookmarkStart w:id="1203" w:name="_Toc297123535"/>
      <w:bookmarkStart w:id="1204" w:name="_Toc312678023"/>
      <w:bookmarkStart w:id="1205" w:name="_Toc304295561"/>
      <w:bookmarkStart w:id="1206" w:name="_Toc318581174"/>
      <w:r>
        <w:rPr>
          <w:rFonts w:hint="eastAsia" w:ascii="微软雅黑" w:hAnsi="微软雅黑" w:eastAsia="微软雅黑" w:cs="微软雅黑"/>
          <w:sz w:val="24"/>
          <w:highlight w:val="none"/>
        </w:rPr>
        <w:t>.1.2 试验设备</w:t>
      </w:r>
    </w:p>
    <w:p w14:paraId="419F57A9">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施工现场需要配置的试验场所：</w:t>
      </w:r>
      <w:bookmarkEnd w:id="1199"/>
      <w:bookmarkEnd w:id="1200"/>
      <w:bookmarkEnd w:id="1201"/>
      <w:bookmarkEnd w:id="1202"/>
      <w:bookmarkEnd w:id="1203"/>
      <w:bookmarkEnd w:id="1204"/>
      <w:bookmarkEnd w:id="1205"/>
      <w:bookmarkStart w:id="1207" w:name="_Toc312677498"/>
      <w:bookmarkStart w:id="1208" w:name="_Toc312678024"/>
      <w:bookmarkStart w:id="1209" w:name="_Toc297123536"/>
      <w:bookmarkStart w:id="1210" w:name="_Toc304295562"/>
      <w:bookmarkStart w:id="1211" w:name="_Toc300934985"/>
      <w:bookmarkStart w:id="1212" w:name="_Toc303539142"/>
      <w:bookmarkStart w:id="1213" w:name="_Toc297216195"/>
      <w:r>
        <w:rPr>
          <w:rFonts w:hint="eastAsia" w:ascii="微软雅黑" w:hAnsi="微软雅黑" w:eastAsia="微软雅黑" w:cs="微软雅黑"/>
          <w:sz w:val="24"/>
          <w:highlight w:val="none"/>
          <w:u w:val="single"/>
        </w:rPr>
        <w:t xml:space="preserve">    按有关规定执行      </w:t>
      </w:r>
      <w:r>
        <w:rPr>
          <w:rFonts w:hint="eastAsia" w:ascii="微软雅黑" w:hAnsi="微软雅黑" w:eastAsia="微软雅黑" w:cs="微软雅黑"/>
          <w:sz w:val="24"/>
          <w:highlight w:val="none"/>
        </w:rPr>
        <w:t xml:space="preserve">。 </w:t>
      </w:r>
    </w:p>
    <w:p w14:paraId="632D372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施工现场需要配备的试验设备：   承包人配置的实验设备要求符合相应实验规程并通过具有资质的检测单位检查，并通过承包人校定。</w:t>
      </w:r>
    </w:p>
    <w:p w14:paraId="63E4702A">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施工现场需要具备的其他试验条件：</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333FF3A4">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9.4 现场工艺试验 </w:t>
      </w:r>
    </w:p>
    <w:p w14:paraId="74A1ABE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现场工艺试验的有关约定：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bookmarkEnd w:id="1206"/>
    <w:bookmarkEnd w:id="1207"/>
    <w:bookmarkEnd w:id="1208"/>
    <w:bookmarkEnd w:id="1209"/>
    <w:bookmarkEnd w:id="1210"/>
    <w:bookmarkEnd w:id="1211"/>
    <w:bookmarkEnd w:id="1212"/>
    <w:bookmarkEnd w:id="1213"/>
    <w:p w14:paraId="5C358033">
      <w:pPr>
        <w:pStyle w:val="11"/>
        <w:spacing w:before="120" w:after="120" w:line="460" w:lineRule="exact"/>
        <w:rPr>
          <w:rFonts w:ascii="微软雅黑" w:hAnsi="微软雅黑" w:eastAsia="微软雅黑" w:cs="微软雅黑"/>
          <w:sz w:val="24"/>
          <w:szCs w:val="24"/>
          <w:highlight w:val="none"/>
        </w:rPr>
      </w:pPr>
      <w:bookmarkStart w:id="1214" w:name="_Toc351203642"/>
      <w:r>
        <w:rPr>
          <w:rFonts w:hint="eastAsia" w:ascii="微软雅黑" w:hAnsi="微软雅黑" w:eastAsia="微软雅黑" w:cs="微软雅黑"/>
          <w:sz w:val="24"/>
          <w:szCs w:val="24"/>
          <w:highlight w:val="none"/>
        </w:rPr>
        <w:t>1</w:t>
      </w:r>
      <w:bookmarkEnd w:id="1180"/>
      <w:bookmarkEnd w:id="1181"/>
      <w:bookmarkEnd w:id="1182"/>
      <w:bookmarkEnd w:id="1183"/>
      <w:bookmarkEnd w:id="1184"/>
      <w:bookmarkEnd w:id="1185"/>
      <w:bookmarkEnd w:id="1186"/>
      <w:bookmarkEnd w:id="1187"/>
      <w:bookmarkEnd w:id="1188"/>
      <w:bookmarkEnd w:id="1189"/>
      <w:bookmarkEnd w:id="1190"/>
      <w:bookmarkEnd w:id="1191"/>
      <w:bookmarkStart w:id="1215" w:name="_Toc297123540"/>
      <w:bookmarkStart w:id="1216" w:name="_Toc292559903"/>
      <w:bookmarkStart w:id="1217" w:name="_Toc297120493"/>
      <w:bookmarkStart w:id="1218" w:name="_Toc303539146"/>
      <w:bookmarkStart w:id="1219" w:name="_Toc296891233"/>
      <w:bookmarkStart w:id="1220" w:name="_Toc304295566"/>
      <w:bookmarkStart w:id="1221" w:name="_Toc292559398"/>
      <w:bookmarkStart w:id="1222" w:name="_Toc296347192"/>
      <w:bookmarkStart w:id="1223" w:name="_Toc300934989"/>
      <w:bookmarkStart w:id="1224" w:name="_Toc296503193"/>
      <w:bookmarkStart w:id="1225" w:name="_Toc296346694"/>
      <w:bookmarkStart w:id="1226" w:name="_Toc297048379"/>
      <w:bookmarkStart w:id="1227" w:name="_Toc296944532"/>
      <w:bookmarkStart w:id="1228" w:name="_Toc296891021"/>
      <w:bookmarkStart w:id="1229" w:name="_Toc297216199"/>
      <w:bookmarkStart w:id="1230" w:name="_Toc312678025"/>
      <w:bookmarkStart w:id="1231" w:name="_Toc312677499"/>
      <w:bookmarkStart w:id="1232" w:name="_Toc267251441"/>
      <w:bookmarkStart w:id="1233" w:name="_Toc267251437"/>
      <w:bookmarkStart w:id="1234" w:name="_Toc267251440"/>
      <w:bookmarkStart w:id="1235" w:name="_Toc267251433"/>
      <w:bookmarkStart w:id="1236" w:name="_Toc267251439"/>
      <w:bookmarkStart w:id="1237" w:name="_Toc267251435"/>
      <w:bookmarkStart w:id="1238" w:name="_Toc267251442"/>
      <w:r>
        <w:rPr>
          <w:rFonts w:hint="eastAsia" w:ascii="微软雅黑" w:hAnsi="微软雅黑" w:eastAsia="微软雅黑" w:cs="微软雅黑"/>
          <w:sz w:val="24"/>
          <w:szCs w:val="24"/>
          <w:highlight w:val="none"/>
        </w:rPr>
        <w:t>0. 变更</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bookmarkEnd w:id="1230"/>
    <w:bookmarkEnd w:id="1231"/>
    <w:p w14:paraId="6C7C2FC8">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Start w:id="1239" w:name="_Toc312677500"/>
      <w:bookmarkStart w:id="1240" w:name="_Toc297120494"/>
      <w:bookmarkStart w:id="1241" w:name="_Toc304295567"/>
      <w:bookmarkStart w:id="1242" w:name="_Toc296891234"/>
      <w:bookmarkStart w:id="1243" w:name="_Toc297123541"/>
      <w:bookmarkStart w:id="1244" w:name="_Toc296891022"/>
      <w:bookmarkStart w:id="1245" w:name="_Toc296346695"/>
      <w:bookmarkStart w:id="1246" w:name="_Toc296503194"/>
      <w:bookmarkStart w:id="1247" w:name="_Toc292559904"/>
      <w:bookmarkStart w:id="1248" w:name="_Toc297048380"/>
      <w:bookmarkStart w:id="1249" w:name="_Toc297216200"/>
      <w:bookmarkStart w:id="1250" w:name="_Toc300934990"/>
      <w:bookmarkStart w:id="1251" w:name="_Toc292559399"/>
      <w:bookmarkStart w:id="1252" w:name="_Toc296347193"/>
      <w:bookmarkStart w:id="1253" w:name="_Toc303539147"/>
      <w:bookmarkStart w:id="1254" w:name="_Toc296944533"/>
      <w:bookmarkStart w:id="1255" w:name="_Toc312678026"/>
      <w:r>
        <w:rPr>
          <w:rFonts w:hint="eastAsia" w:ascii="微软雅黑" w:hAnsi="微软雅黑" w:eastAsia="微软雅黑" w:cs="微软雅黑"/>
          <w:sz w:val="24"/>
          <w:highlight w:val="none"/>
        </w:rPr>
        <w:t>0.1变更的范围</w:t>
      </w:r>
    </w:p>
    <w:p w14:paraId="7029FDE5">
      <w:pPr>
        <w:spacing w:line="460" w:lineRule="exact"/>
        <w:ind w:firstLine="6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关于变更的范围的约定：</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518579BF">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10.4 变更估价</w:t>
      </w:r>
    </w:p>
    <w:p w14:paraId="5D0CBC4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10.4.1 变更估价原则</w:t>
      </w:r>
    </w:p>
    <w:p w14:paraId="3DCD1B68">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 xml:space="preserve">关于变更估价的约定: </w:t>
      </w:r>
      <w:r>
        <w:rPr>
          <w:rFonts w:hint="eastAsia" w:ascii="微软雅黑" w:hAnsi="微软雅黑" w:eastAsia="微软雅黑" w:cs="微软雅黑"/>
          <w:sz w:val="24"/>
          <w:highlight w:val="none"/>
          <w:u w:val="single"/>
        </w:rPr>
        <w:t xml:space="preserve">       执行通用条款         </w:t>
      </w:r>
      <w:r>
        <w:rPr>
          <w:rFonts w:hint="eastAsia" w:ascii="微软雅黑" w:hAnsi="微软雅黑" w:eastAsia="微软雅黑" w:cs="微软雅黑"/>
          <w:sz w:val="24"/>
          <w:highlight w:val="none"/>
        </w:rPr>
        <w:t>。</w:t>
      </w:r>
    </w:p>
    <w:p w14:paraId="587DAE64">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Start w:id="1256" w:name="_Toc292559907"/>
      <w:bookmarkStart w:id="1257" w:name="_Toc297048383"/>
      <w:bookmarkStart w:id="1258" w:name="_Toc292559402"/>
      <w:bookmarkStart w:id="1259" w:name="_Toc296891025"/>
      <w:bookmarkStart w:id="1260" w:name="_Toc300934993"/>
      <w:bookmarkStart w:id="1261" w:name="_Toc296503197"/>
      <w:bookmarkStart w:id="1262" w:name="_Toc296346698"/>
      <w:bookmarkStart w:id="1263" w:name="_Toc296891237"/>
      <w:bookmarkStart w:id="1264" w:name="_Toc297120497"/>
      <w:bookmarkStart w:id="1265" w:name="_Toc297216203"/>
      <w:bookmarkStart w:id="1266" w:name="_Toc303539150"/>
      <w:bookmarkStart w:id="1267" w:name="_Toc297123544"/>
      <w:bookmarkStart w:id="1268" w:name="_Toc296347196"/>
      <w:bookmarkStart w:id="1269" w:name="_Toc296944536"/>
      <w:bookmarkStart w:id="1270" w:name="_Toc304295570"/>
      <w:bookmarkStart w:id="1271" w:name="_Toc312678029"/>
      <w:bookmarkStart w:id="1272" w:name="_Toc312677503"/>
      <w:r>
        <w:rPr>
          <w:rFonts w:hint="eastAsia" w:ascii="微软雅黑" w:hAnsi="微软雅黑" w:eastAsia="微软雅黑" w:cs="微软雅黑"/>
          <w:sz w:val="24"/>
          <w:highlight w:val="none"/>
        </w:rPr>
        <w:t>0.5承</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Start w:id="1273" w:name="_Toc297048389"/>
      <w:bookmarkStart w:id="1274" w:name="_Toc296346704"/>
      <w:bookmarkStart w:id="1275" w:name="_Toc296891031"/>
      <w:bookmarkStart w:id="1276" w:name="_Toc297120503"/>
      <w:bookmarkStart w:id="1277" w:name="_Toc296347202"/>
      <w:bookmarkStart w:id="1278" w:name="_Toc296891243"/>
      <w:bookmarkStart w:id="1279" w:name="_Toc297216204"/>
      <w:bookmarkStart w:id="1280" w:name="_Toc292559913"/>
      <w:bookmarkStart w:id="1281" w:name="_Toc296503203"/>
      <w:bookmarkStart w:id="1282" w:name="_Toc292559408"/>
      <w:bookmarkStart w:id="1283" w:name="_Toc300934994"/>
      <w:bookmarkStart w:id="1284" w:name="_Toc296944542"/>
      <w:bookmarkStart w:id="1285" w:name="_Toc303539151"/>
      <w:bookmarkStart w:id="1286" w:name="_Toc297123545"/>
      <w:r>
        <w:rPr>
          <w:rFonts w:hint="eastAsia" w:ascii="微软雅黑" w:hAnsi="微软雅黑" w:eastAsia="微软雅黑" w:cs="微软雅黑"/>
          <w:sz w:val="24"/>
          <w:highlight w:val="none"/>
        </w:rPr>
        <w:t>包人的合理化建议</w:t>
      </w:r>
    </w:p>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14:paraId="6739612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监理人审查承包人合理化建议的期限：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22BA925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发包人审批承包人合理化建议的期限：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0CC5C8D7">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承</w:t>
      </w:r>
      <w:bookmarkStart w:id="1287" w:name="_Toc304295571"/>
      <w:bookmarkStart w:id="1288" w:name="_Toc303539152"/>
      <w:bookmarkStart w:id="1289" w:name="_Toc296944543"/>
      <w:bookmarkStart w:id="1290" w:name="_Toc296891244"/>
      <w:bookmarkStart w:id="1291" w:name="_Toc296891032"/>
      <w:bookmarkStart w:id="1292" w:name="_Toc297216205"/>
      <w:bookmarkStart w:id="1293" w:name="_Toc297123546"/>
      <w:bookmarkStart w:id="1294" w:name="_Toc296346705"/>
      <w:bookmarkStart w:id="1295" w:name="_Toc296503204"/>
      <w:bookmarkStart w:id="1296" w:name="_Toc292559914"/>
      <w:bookmarkStart w:id="1297" w:name="_Toc312677504"/>
      <w:bookmarkStart w:id="1298" w:name="_Toc297048390"/>
      <w:bookmarkStart w:id="1299" w:name="_Toc292559409"/>
      <w:bookmarkStart w:id="1300" w:name="_Toc312678030"/>
      <w:bookmarkStart w:id="1301" w:name="_Toc300934995"/>
      <w:bookmarkStart w:id="1302" w:name="_Toc296347203"/>
      <w:bookmarkStart w:id="1303" w:name="_Toc297120504"/>
      <w:bookmarkStart w:id="1304" w:name="_Toc318581175"/>
      <w:r>
        <w:rPr>
          <w:rFonts w:hint="eastAsia" w:ascii="微软雅黑" w:hAnsi="微软雅黑" w:eastAsia="微软雅黑" w:cs="微软雅黑"/>
          <w:sz w:val="24"/>
          <w:highlight w:val="none"/>
        </w:rPr>
        <w:t>包人提出的合理化建议降低了合同价格或者提高了工程经济效益的奖励的方法和金额为：</w:t>
      </w:r>
      <w:r>
        <w:rPr>
          <w:rFonts w:hint="eastAsia" w:ascii="微软雅黑" w:hAnsi="微软雅黑" w:eastAsia="微软雅黑" w:cs="微软雅黑"/>
          <w:sz w:val="24"/>
          <w:highlight w:val="none"/>
          <w:u w:val="single"/>
        </w:rPr>
        <w:t>/</w:t>
      </w:r>
      <w:r>
        <w:rPr>
          <w:rFonts w:hint="eastAsia" w:ascii="微软雅黑" w:hAnsi="微软雅黑" w:eastAsia="微软雅黑" w:cs="微软雅黑"/>
          <w:sz w:val="24"/>
          <w:highlight w:val="none"/>
        </w:rPr>
        <w:t>。</w:t>
      </w:r>
    </w:p>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14:paraId="2EAFE3D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Start w:id="1305" w:name="_Toc296891239"/>
      <w:bookmarkStart w:id="1306" w:name="_Toc297216207"/>
      <w:bookmarkStart w:id="1307" w:name="_Toc304295574"/>
      <w:bookmarkStart w:id="1308" w:name="_Toc297120499"/>
      <w:bookmarkStart w:id="1309" w:name="_Toc297123548"/>
      <w:bookmarkStart w:id="1310" w:name="_Toc312678033"/>
      <w:bookmarkStart w:id="1311" w:name="_Toc292559404"/>
      <w:bookmarkStart w:id="1312" w:name="_Toc292559909"/>
      <w:bookmarkStart w:id="1313" w:name="_Toc303539154"/>
      <w:bookmarkStart w:id="1314" w:name="_Toc296891027"/>
      <w:bookmarkStart w:id="1315" w:name="_Toc296944538"/>
      <w:bookmarkStart w:id="1316" w:name="_Toc297048385"/>
      <w:bookmarkStart w:id="1317" w:name="_Toc312677507"/>
      <w:bookmarkStart w:id="1318" w:name="_Toc296346700"/>
      <w:bookmarkStart w:id="1319" w:name="_Toc296347198"/>
      <w:bookmarkStart w:id="1320" w:name="_Toc296503199"/>
      <w:bookmarkStart w:id="1321" w:name="_Toc300934997"/>
      <w:r>
        <w:rPr>
          <w:rFonts w:hint="eastAsia" w:ascii="微软雅黑" w:hAnsi="微软雅黑" w:eastAsia="微软雅黑" w:cs="微软雅黑"/>
          <w:sz w:val="24"/>
          <w:highlight w:val="none"/>
        </w:rPr>
        <w:t>0.7 暂估价</w:t>
      </w:r>
    </w:p>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14:paraId="4E429A2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暂</w:t>
      </w:r>
      <w:bookmarkStart w:id="1322" w:name="_Toc312677508"/>
      <w:bookmarkStart w:id="1323" w:name="_Toc312678034"/>
      <w:bookmarkStart w:id="1324" w:name="_Toc318581176"/>
      <w:r>
        <w:rPr>
          <w:rFonts w:hint="eastAsia" w:ascii="微软雅黑" w:hAnsi="微软雅黑" w:eastAsia="微软雅黑" w:cs="微软雅黑"/>
          <w:kern w:val="0"/>
          <w:sz w:val="24"/>
          <w:highlight w:val="none"/>
        </w:rPr>
        <w:t>估价材料和工程设备的明细详见附件11：《</w:t>
      </w:r>
      <w:r>
        <w:rPr>
          <w:rFonts w:hint="eastAsia" w:ascii="微软雅黑" w:hAnsi="微软雅黑" w:eastAsia="微软雅黑" w:cs="微软雅黑"/>
          <w:sz w:val="24"/>
          <w:highlight w:val="none"/>
        </w:rPr>
        <w:t>暂估价一览表》</w:t>
      </w:r>
      <w:r>
        <w:rPr>
          <w:rFonts w:hint="eastAsia" w:ascii="微软雅黑" w:hAnsi="微软雅黑" w:eastAsia="微软雅黑" w:cs="微软雅黑"/>
          <w:kern w:val="0"/>
          <w:sz w:val="24"/>
          <w:highlight w:val="none"/>
        </w:rPr>
        <w:t>。</w:t>
      </w:r>
    </w:p>
    <w:bookmarkEnd w:id="1322"/>
    <w:bookmarkEnd w:id="1323"/>
    <w:bookmarkEnd w:id="1324"/>
    <w:p w14:paraId="7D3AF3E4">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Start w:id="1325" w:name="_Toc312677509"/>
      <w:bookmarkStart w:id="1326" w:name="_Toc318581177"/>
      <w:bookmarkStart w:id="1327" w:name="_Toc312678035"/>
      <w:r>
        <w:rPr>
          <w:rFonts w:hint="eastAsia" w:ascii="微软雅黑" w:hAnsi="微软雅黑" w:eastAsia="微软雅黑" w:cs="微软雅黑"/>
          <w:sz w:val="24"/>
          <w:highlight w:val="none"/>
        </w:rPr>
        <w:t>0.7.1 依法必须招标的暂估价项目</w:t>
      </w:r>
    </w:p>
    <w:bookmarkEnd w:id="1325"/>
    <w:bookmarkEnd w:id="1326"/>
    <w:bookmarkEnd w:id="1327"/>
    <w:p w14:paraId="4938889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对于依法必须招标的暂估价项目的确认和批准采取第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种方式确定。</w:t>
      </w:r>
    </w:p>
    <w:p w14:paraId="6B88938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10.7.2 不属于依法必须招标的暂估价项目</w:t>
      </w:r>
    </w:p>
    <w:p w14:paraId="6CADED7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对于不属于依法必须招标的暂估价项目的确认和批准采取第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种方式确定。</w:t>
      </w:r>
    </w:p>
    <w:p w14:paraId="7FAE43E6">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第3种方式：</w:t>
      </w:r>
      <w:r>
        <w:rPr>
          <w:rFonts w:hint="eastAsia" w:ascii="微软雅黑" w:hAnsi="微软雅黑" w:eastAsia="微软雅黑" w:cs="微软雅黑"/>
          <w:kern w:val="0"/>
          <w:sz w:val="24"/>
          <w:highlight w:val="none"/>
        </w:rPr>
        <w:t>承包人直接实施的暂估价项目</w:t>
      </w:r>
    </w:p>
    <w:p w14:paraId="0B8136B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承包人直接实施的暂估价项目的约定：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59BE6FF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10.8 暂列金额</w:t>
      </w:r>
    </w:p>
    <w:p w14:paraId="5A4EDABB">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合同当事人关于暂列金额使用的约定：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rPr>
        <w:t>。</w:t>
      </w:r>
    </w:p>
    <w:p w14:paraId="4A7CF8FE">
      <w:pPr>
        <w:pStyle w:val="11"/>
        <w:spacing w:before="120" w:after="120" w:line="460" w:lineRule="exact"/>
        <w:rPr>
          <w:rFonts w:ascii="微软雅黑" w:hAnsi="微软雅黑" w:eastAsia="微软雅黑" w:cs="微软雅黑"/>
          <w:sz w:val="24"/>
          <w:szCs w:val="24"/>
          <w:highlight w:val="none"/>
        </w:rPr>
      </w:pPr>
      <w:bookmarkStart w:id="1328" w:name="_Toc351203643"/>
      <w:r>
        <w:rPr>
          <w:rFonts w:hint="eastAsia" w:ascii="微软雅黑" w:hAnsi="微软雅黑" w:eastAsia="微软雅黑" w:cs="微软雅黑"/>
          <w:sz w:val="24"/>
          <w:szCs w:val="24"/>
          <w:highlight w:val="none"/>
        </w:rPr>
        <w:t>11. 价格调整</w:t>
      </w:r>
      <w:bookmarkEnd w:id="1328"/>
    </w:p>
    <w:p w14:paraId="6A889285">
      <w:pPr>
        <w:spacing w:after="120" w:line="460" w:lineRule="exact"/>
        <w:rPr>
          <w:rFonts w:ascii="微软雅黑" w:hAnsi="微软雅黑" w:eastAsia="微软雅黑" w:cs="微软雅黑"/>
          <w:sz w:val="24"/>
          <w:highlight w:val="none"/>
        </w:rPr>
      </w:pPr>
      <w:bookmarkStart w:id="1329" w:name="_Toc297216209"/>
      <w:bookmarkStart w:id="1330" w:name="_Toc296346702"/>
      <w:bookmarkStart w:id="1331" w:name="_Toc297048387"/>
      <w:bookmarkStart w:id="1332" w:name="_Toc303539157"/>
      <w:bookmarkStart w:id="1333" w:name="_Toc297123550"/>
      <w:bookmarkStart w:id="1334" w:name="_Toc304295577"/>
      <w:bookmarkStart w:id="1335" w:name="_Toc312678039"/>
      <w:bookmarkStart w:id="1336" w:name="_Toc297120501"/>
      <w:bookmarkStart w:id="1337" w:name="_Toc292559406"/>
      <w:bookmarkStart w:id="1338" w:name="_Toc296347200"/>
      <w:bookmarkStart w:id="1339" w:name="_Toc296891029"/>
      <w:bookmarkStart w:id="1340" w:name="_Toc296891241"/>
      <w:bookmarkStart w:id="1341" w:name="_Toc296944540"/>
      <w:bookmarkStart w:id="1342" w:name="_Toc300935000"/>
      <w:bookmarkStart w:id="1343" w:name="_Toc296503201"/>
      <w:bookmarkStart w:id="1344" w:name="_Toc292559911"/>
      <w:r>
        <w:rPr>
          <w:rFonts w:hint="eastAsia" w:ascii="微软雅黑" w:hAnsi="微软雅黑" w:eastAsia="微软雅黑" w:cs="微软雅黑"/>
          <w:sz w:val="24"/>
          <w:highlight w:val="none"/>
        </w:rPr>
        <w:t>11.1 市场价格波动引起的调整</w:t>
      </w:r>
    </w:p>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14:paraId="5A086E2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市场价格波动是否调整合同价格的约定：</w:t>
      </w:r>
      <w:r>
        <w:rPr>
          <w:rFonts w:hint="eastAsia" w:ascii="微软雅黑" w:hAnsi="微软雅黑" w:eastAsia="微软雅黑" w:cs="微软雅黑"/>
          <w:sz w:val="24"/>
          <w:highlight w:val="none"/>
          <w:u w:val="single"/>
        </w:rPr>
        <w:t xml:space="preserve">   否  </w:t>
      </w:r>
      <w:r>
        <w:rPr>
          <w:rFonts w:hint="eastAsia" w:ascii="微软雅黑" w:hAnsi="微软雅黑" w:eastAsia="微软雅黑" w:cs="微软雅黑"/>
          <w:sz w:val="24"/>
          <w:highlight w:val="none"/>
        </w:rPr>
        <w:t>。</w:t>
      </w:r>
    </w:p>
    <w:p w14:paraId="12451C1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因市场价格波动调整合同价格，采用以下第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2</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种方式对合同价格进行调整：</w:t>
      </w:r>
    </w:p>
    <w:p w14:paraId="396EA946">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第1种方式：采用价格指数进行价格调整。</w:t>
      </w:r>
    </w:p>
    <w:p w14:paraId="308FEF02">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关于各可调因子、定值和变值权重，以及基本价格指数及其来源的约定：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w:t>
      </w:r>
    </w:p>
    <w:p w14:paraId="040838D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第2种方式：采用造价信息进行价格调整。</w:t>
      </w:r>
    </w:p>
    <w:p w14:paraId="408A12DA">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（2）关于基准价格的约定：</w:t>
      </w:r>
      <w:r>
        <w:rPr>
          <w:rFonts w:hint="eastAsia" w:ascii="微软雅黑" w:hAnsi="微软雅黑" w:eastAsia="微软雅黑" w:cs="微软雅黑"/>
          <w:sz w:val="24"/>
          <w:highlight w:val="none"/>
          <w:u w:val="single"/>
        </w:rPr>
        <w:t xml:space="preserve"> 根据编制说明中约定的价格信息文件 </w:t>
      </w:r>
      <w:r>
        <w:rPr>
          <w:rFonts w:hint="eastAsia" w:ascii="微软雅黑" w:hAnsi="微软雅黑" w:eastAsia="微软雅黑" w:cs="微软雅黑"/>
          <w:sz w:val="24"/>
          <w:highlight w:val="none"/>
        </w:rPr>
        <w:t>。</w:t>
      </w:r>
    </w:p>
    <w:p w14:paraId="3D5F5D9A">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%时，或材料单价跌幅以已标价工程量清单或预算书中载明材料单价为基础超过</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rPr>
        <w:t>%时，其超过部分据实调整。</w:t>
      </w:r>
    </w:p>
    <w:p w14:paraId="7AF52F1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②承包人在已标价工程量清单或预算书中载明的材料单价高于基准价格的：专用合同条款合同履行期间材料单价跌幅以基准价格为基础超过</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%时，材料单价涨幅以已标价工程量清单或预算书中载明材料单价为基础超过</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%时，其超过部分据实调整。</w:t>
      </w:r>
    </w:p>
    <w:p w14:paraId="317570E5">
      <w:pPr>
        <w:spacing w:line="460" w:lineRule="exact"/>
        <w:ind w:firstLine="64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③承包人在已标价工程量清单或预算书中载明的材料单价等于基准单价的：专用合同条款合同履行期间材料单价涨跌幅以基准单价为基础超过±</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5</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%时，其超过部分据实调整。</w:t>
      </w:r>
    </w:p>
    <w:p w14:paraId="48A5D65E">
      <w:pPr>
        <w:spacing w:line="460" w:lineRule="exact"/>
        <w:ind w:firstLine="645"/>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第3种方式：其他价格调整方式：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bookmarkEnd w:id="1232"/>
    <w:bookmarkEnd w:id="1233"/>
    <w:bookmarkEnd w:id="1234"/>
    <w:bookmarkEnd w:id="1235"/>
    <w:bookmarkEnd w:id="1236"/>
    <w:bookmarkEnd w:id="1237"/>
    <w:p w14:paraId="01D181AA">
      <w:pPr>
        <w:pStyle w:val="11"/>
        <w:spacing w:before="120" w:after="120" w:line="460" w:lineRule="exact"/>
        <w:rPr>
          <w:rFonts w:ascii="微软雅黑" w:hAnsi="微软雅黑" w:eastAsia="微软雅黑" w:cs="微软雅黑"/>
          <w:sz w:val="24"/>
          <w:szCs w:val="24"/>
          <w:highlight w:val="none"/>
        </w:rPr>
      </w:pPr>
      <w:bookmarkStart w:id="1345" w:name="_Toc296891245"/>
      <w:bookmarkStart w:id="1346" w:name="_Toc297120505"/>
      <w:bookmarkStart w:id="1347" w:name="_Toc296346706"/>
      <w:bookmarkStart w:id="1348" w:name="_Toc296944544"/>
      <w:bookmarkStart w:id="1349" w:name="_Toc296503205"/>
      <w:bookmarkStart w:id="1350" w:name="_Toc292559915"/>
      <w:bookmarkStart w:id="1351" w:name="_Toc296891033"/>
      <w:bookmarkStart w:id="1352" w:name="_Toc296347204"/>
      <w:bookmarkStart w:id="1353" w:name="_Toc297048391"/>
      <w:bookmarkStart w:id="1354" w:name="_Toc292559410"/>
      <w:bookmarkStart w:id="1355" w:name="_Toc351203644"/>
      <w:bookmarkStart w:id="1356" w:name="_Toc303539159"/>
      <w:bookmarkStart w:id="1357" w:name="_Toc312678040"/>
      <w:bookmarkStart w:id="1358" w:name="_Toc297123552"/>
      <w:bookmarkStart w:id="1359" w:name="_Toc300935002"/>
      <w:bookmarkStart w:id="1360" w:name="_Toc304295579"/>
      <w:bookmarkStart w:id="1361" w:name="_Toc297216211"/>
      <w:r>
        <w:rPr>
          <w:rFonts w:hint="eastAsia" w:ascii="微软雅黑" w:hAnsi="微软雅黑" w:eastAsia="微软雅黑" w:cs="微软雅黑"/>
          <w:sz w:val="24"/>
          <w:szCs w:val="24"/>
          <w:highlight w:val="none"/>
        </w:rPr>
        <w:t xml:space="preserve">12. </w:t>
      </w:r>
      <w:bookmarkEnd w:id="1345"/>
      <w:bookmarkEnd w:id="1346"/>
      <w:bookmarkEnd w:id="1347"/>
      <w:bookmarkEnd w:id="1348"/>
      <w:bookmarkEnd w:id="1349"/>
      <w:bookmarkEnd w:id="1350"/>
      <w:bookmarkEnd w:id="1351"/>
      <w:bookmarkEnd w:id="1352"/>
      <w:bookmarkEnd w:id="1353"/>
      <w:bookmarkEnd w:id="1354"/>
      <w:r>
        <w:rPr>
          <w:rFonts w:hint="eastAsia" w:ascii="微软雅黑" w:hAnsi="微软雅黑" w:eastAsia="微软雅黑" w:cs="微软雅黑"/>
          <w:sz w:val="24"/>
          <w:szCs w:val="24"/>
          <w:highlight w:val="none"/>
        </w:rPr>
        <w:t>合同价格、计量与支付</w:t>
      </w:r>
      <w:bookmarkEnd w:id="1355"/>
    </w:p>
    <w:bookmarkEnd w:id="1356"/>
    <w:bookmarkEnd w:id="1357"/>
    <w:bookmarkEnd w:id="1358"/>
    <w:bookmarkEnd w:id="1359"/>
    <w:bookmarkEnd w:id="1360"/>
    <w:bookmarkEnd w:id="1361"/>
    <w:p w14:paraId="4587D377">
      <w:pPr>
        <w:spacing w:after="120" w:line="460" w:lineRule="exact"/>
        <w:rPr>
          <w:rFonts w:ascii="微软雅黑" w:hAnsi="微软雅黑" w:eastAsia="微软雅黑" w:cs="微软雅黑"/>
          <w:sz w:val="24"/>
          <w:highlight w:val="none"/>
        </w:rPr>
      </w:pPr>
      <w:bookmarkStart w:id="1362" w:name="_Toc292559916"/>
      <w:bookmarkStart w:id="1363" w:name="_Toc292559411"/>
      <w:bookmarkStart w:id="1364" w:name="_Toc267251461"/>
      <w:bookmarkStart w:id="1365" w:name="_Toc297048392"/>
      <w:bookmarkStart w:id="1366" w:name="_Toc296944545"/>
      <w:bookmarkStart w:id="1367" w:name="_Toc296891034"/>
      <w:bookmarkStart w:id="1368" w:name="_Toc296347205"/>
      <w:bookmarkStart w:id="1369" w:name="_Toc297120506"/>
      <w:bookmarkStart w:id="1370" w:name="_Toc296346707"/>
      <w:bookmarkStart w:id="1371" w:name="_Toc296891246"/>
      <w:bookmarkStart w:id="1372" w:name="_Toc296503206"/>
      <w:bookmarkStart w:id="1373" w:name="_Toc303539160"/>
      <w:bookmarkStart w:id="1374" w:name="_Toc297216212"/>
      <w:bookmarkStart w:id="1375" w:name="_Toc312678041"/>
      <w:bookmarkStart w:id="1376" w:name="_Toc304295580"/>
      <w:bookmarkStart w:id="1377" w:name="_Toc297123553"/>
      <w:bookmarkStart w:id="1378" w:name="_Toc300935003"/>
      <w:r>
        <w:rPr>
          <w:rFonts w:hint="eastAsia" w:ascii="微软雅黑" w:hAnsi="微软雅黑" w:eastAsia="微软雅黑" w:cs="微软雅黑"/>
          <w:sz w:val="24"/>
          <w:highlight w:val="none"/>
        </w:rPr>
        <w:t>12.1 合</w:t>
      </w:r>
      <w:bookmarkEnd w:id="1362"/>
      <w:bookmarkEnd w:id="1363"/>
      <w:bookmarkEnd w:id="1364"/>
      <w:r>
        <w:rPr>
          <w:rFonts w:hint="eastAsia" w:ascii="微软雅黑" w:hAnsi="微软雅黑" w:eastAsia="微软雅黑" w:cs="微软雅黑"/>
          <w:sz w:val="24"/>
          <w:highlight w:val="none"/>
        </w:rPr>
        <w:t>同价</w:t>
      </w:r>
      <w:bookmarkEnd w:id="1365"/>
      <w:bookmarkEnd w:id="1366"/>
      <w:bookmarkEnd w:id="1367"/>
      <w:bookmarkEnd w:id="1368"/>
      <w:bookmarkEnd w:id="1369"/>
      <w:bookmarkEnd w:id="1370"/>
      <w:bookmarkEnd w:id="1371"/>
      <w:bookmarkEnd w:id="1372"/>
      <w:r>
        <w:rPr>
          <w:rFonts w:hint="eastAsia" w:ascii="微软雅黑" w:hAnsi="微软雅黑" w:eastAsia="微软雅黑" w:cs="微软雅黑"/>
          <w:sz w:val="24"/>
          <w:highlight w:val="none"/>
        </w:rPr>
        <w:t>格形式</w:t>
      </w:r>
    </w:p>
    <w:bookmarkEnd w:id="1373"/>
    <w:bookmarkEnd w:id="1374"/>
    <w:bookmarkEnd w:id="1375"/>
    <w:bookmarkEnd w:id="1376"/>
    <w:bookmarkEnd w:id="1377"/>
    <w:bookmarkEnd w:id="1378"/>
    <w:p w14:paraId="6E0ADD3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1、单价合同。</w:t>
      </w:r>
    </w:p>
    <w:p w14:paraId="6B49C7E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综合单价包含的风险范围：</w:t>
      </w:r>
      <w:r>
        <w:rPr>
          <w:rFonts w:hint="eastAsia" w:ascii="微软雅黑" w:hAnsi="微软雅黑" w:eastAsia="微软雅黑" w:cs="微软雅黑"/>
          <w:sz w:val="24"/>
          <w:highlight w:val="none"/>
          <w:u w:val="single"/>
        </w:rPr>
        <w:t>除经济签证、设计变更、市场因素以外的所有风险</w:t>
      </w:r>
      <w:r>
        <w:rPr>
          <w:rFonts w:hint="eastAsia" w:ascii="微软雅黑" w:hAnsi="微软雅黑" w:eastAsia="微软雅黑" w:cs="微软雅黑"/>
          <w:sz w:val="24"/>
          <w:highlight w:val="none"/>
        </w:rPr>
        <w:t>。</w:t>
      </w:r>
    </w:p>
    <w:p w14:paraId="1A0A7A6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风险费用的计算方法：</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4F812FA5">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2、总价合同。</w:t>
      </w:r>
    </w:p>
    <w:p w14:paraId="7360B16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总价包含的风险范围：</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50A658B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风险费用的计算方法：</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7BC3ABB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风险范围以外合同价格的调整方法：</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0A8A613A">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3、其他价格方式：</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55061EAF">
      <w:pPr>
        <w:spacing w:after="120" w:line="460" w:lineRule="exact"/>
        <w:rPr>
          <w:rFonts w:ascii="微软雅黑" w:hAnsi="微软雅黑" w:eastAsia="微软雅黑" w:cs="微软雅黑"/>
          <w:sz w:val="24"/>
          <w:highlight w:val="none"/>
        </w:rPr>
      </w:pPr>
      <w:bookmarkStart w:id="1379" w:name="_Toc297216213"/>
      <w:bookmarkStart w:id="1380" w:name="_Toc312678042"/>
      <w:bookmarkStart w:id="1381" w:name="_Toc300935004"/>
      <w:bookmarkStart w:id="1382" w:name="_Toc304295581"/>
      <w:bookmarkStart w:id="1383" w:name="_Toc297123554"/>
      <w:bookmarkStart w:id="1384" w:name="_Toc303539161"/>
      <w:bookmarkStart w:id="1385" w:name="_Toc296944546"/>
      <w:bookmarkStart w:id="1386" w:name="_Toc292559412"/>
      <w:bookmarkStart w:id="1387" w:name="_Toc296891035"/>
      <w:bookmarkStart w:id="1388" w:name="_Toc296891247"/>
      <w:bookmarkStart w:id="1389" w:name="_Toc292559917"/>
      <w:bookmarkStart w:id="1390" w:name="_Toc297120507"/>
      <w:bookmarkStart w:id="1391" w:name="_Toc296503207"/>
      <w:bookmarkStart w:id="1392" w:name="_Toc296347206"/>
      <w:bookmarkStart w:id="1393" w:name="_Toc297048393"/>
      <w:bookmarkStart w:id="1394" w:name="_Toc296346708"/>
      <w:r>
        <w:rPr>
          <w:rFonts w:hint="eastAsia" w:ascii="微软雅黑" w:hAnsi="微软雅黑" w:eastAsia="微软雅黑" w:cs="微软雅黑"/>
          <w:sz w:val="24"/>
          <w:highlight w:val="none"/>
        </w:rPr>
        <w:t>12.2 付款</w:t>
      </w:r>
    </w:p>
    <w:bookmarkEnd w:id="1379"/>
    <w:bookmarkEnd w:id="1380"/>
    <w:bookmarkEnd w:id="1381"/>
    <w:bookmarkEnd w:id="1382"/>
    <w:bookmarkEnd w:id="1383"/>
    <w:bookmarkEnd w:id="1384"/>
    <w:p w14:paraId="1F0484B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12.2.1 付款的支付</w:t>
      </w:r>
    </w:p>
    <w:p w14:paraId="39D518D6">
      <w:pPr>
        <w:spacing w:line="460" w:lineRule="exact"/>
        <w:ind w:firstLine="480" w:firstLineChars="200"/>
        <w:jc w:val="left"/>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付款：施工前付30%，完成工程总量80%付40%，审计</w:t>
      </w:r>
      <w:r>
        <w:rPr>
          <w:rFonts w:hint="eastAsia" w:ascii="微软雅黑" w:hAnsi="微软雅黑" w:eastAsia="微软雅黑" w:cs="微软雅黑"/>
          <w:sz w:val="24"/>
          <w:highlight w:val="none"/>
          <w:lang w:val="en-US" w:eastAsia="zh-CN"/>
        </w:rPr>
        <w:t>合格</w:t>
      </w:r>
      <w:r>
        <w:rPr>
          <w:rFonts w:hint="eastAsia" w:ascii="微软雅黑" w:hAnsi="微软雅黑" w:eastAsia="微软雅黑" w:cs="微软雅黑"/>
          <w:sz w:val="24"/>
          <w:highlight w:val="none"/>
        </w:rPr>
        <w:t>后付2</w:t>
      </w:r>
      <w:r>
        <w:rPr>
          <w:rFonts w:hint="eastAsia" w:ascii="微软雅黑" w:hAnsi="微软雅黑" w:eastAsia="微软雅黑" w:cs="微软雅黑"/>
          <w:sz w:val="24"/>
          <w:highlight w:val="none"/>
          <w:lang w:val="en-US" w:eastAsia="zh-CN"/>
        </w:rPr>
        <w:t>5</w:t>
      </w:r>
      <w:r>
        <w:rPr>
          <w:rFonts w:hint="eastAsia" w:ascii="微软雅黑" w:hAnsi="微软雅黑" w:eastAsia="微软雅黑" w:cs="微软雅黑"/>
          <w:sz w:val="24"/>
          <w:highlight w:val="none"/>
        </w:rPr>
        <w:t>%，</w:t>
      </w:r>
      <w:r>
        <w:rPr>
          <w:rFonts w:hint="eastAsia" w:ascii="微软雅黑" w:hAnsi="微软雅黑" w:eastAsia="微软雅黑" w:cs="微软雅黑"/>
          <w:sz w:val="24"/>
          <w:highlight w:val="none"/>
          <w:lang w:val="en-US" w:eastAsia="zh-CN"/>
        </w:rPr>
        <w:t>5</w:t>
      </w:r>
      <w:r>
        <w:rPr>
          <w:rFonts w:hint="eastAsia" w:ascii="微软雅黑" w:hAnsi="微软雅黑" w:eastAsia="微软雅黑" w:cs="微软雅黑"/>
          <w:sz w:val="24"/>
          <w:highlight w:val="none"/>
        </w:rPr>
        <w:t>%作为质保金。</w:t>
      </w:r>
    </w:p>
    <w:p w14:paraId="72E7EC62">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12.2.2 预付款担保</w:t>
      </w:r>
    </w:p>
    <w:p w14:paraId="6212D3D4">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承包人提交预付款担保的期限：</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6C54368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预付款担保的形式为：</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bookmarkEnd w:id="1385"/>
    <w:bookmarkEnd w:id="1386"/>
    <w:bookmarkEnd w:id="1387"/>
    <w:bookmarkEnd w:id="1388"/>
    <w:bookmarkEnd w:id="1389"/>
    <w:bookmarkEnd w:id="1390"/>
    <w:bookmarkEnd w:id="1391"/>
    <w:bookmarkEnd w:id="1392"/>
    <w:bookmarkEnd w:id="1393"/>
    <w:bookmarkEnd w:id="1394"/>
    <w:p w14:paraId="1EC5AE5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12.3 计量</w:t>
      </w:r>
    </w:p>
    <w:p w14:paraId="41C4298F">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12.3.1 计量原则</w:t>
      </w:r>
    </w:p>
    <w:p w14:paraId="502542D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工程量计算规则：</w:t>
      </w:r>
      <w:r>
        <w:rPr>
          <w:rFonts w:hint="eastAsia" w:ascii="微软雅黑" w:hAnsi="微软雅黑" w:eastAsia="微软雅黑" w:cs="微软雅黑"/>
          <w:sz w:val="24"/>
          <w:highlight w:val="none"/>
          <w:u w:val="single"/>
        </w:rPr>
        <w:t xml:space="preserve">  按GB50500-2013建设工程工程量清单计价规范工程量计算规则          </w:t>
      </w:r>
      <w:r>
        <w:rPr>
          <w:rFonts w:hint="eastAsia" w:ascii="微软雅黑" w:hAnsi="微软雅黑" w:eastAsia="微软雅黑" w:cs="微软雅黑"/>
          <w:sz w:val="24"/>
          <w:highlight w:val="none"/>
        </w:rPr>
        <w:t>。</w:t>
      </w:r>
    </w:p>
    <w:p w14:paraId="0B642F07">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12.3.2 计量周期</w:t>
      </w:r>
    </w:p>
    <w:p w14:paraId="13344C86">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关于计量周期的约定：</w:t>
      </w:r>
      <w:r>
        <w:rPr>
          <w:rFonts w:hint="eastAsia" w:ascii="微软雅黑" w:hAnsi="微软雅黑" w:eastAsia="微软雅黑" w:cs="微软雅黑"/>
          <w:sz w:val="24"/>
          <w:highlight w:val="none"/>
          <w:u w:val="single"/>
        </w:rPr>
        <w:t xml:space="preserve">   按月计量        </w:t>
      </w:r>
      <w:r>
        <w:rPr>
          <w:rFonts w:hint="eastAsia" w:ascii="微软雅黑" w:hAnsi="微软雅黑" w:eastAsia="微软雅黑" w:cs="微软雅黑"/>
          <w:sz w:val="24"/>
          <w:highlight w:val="none"/>
        </w:rPr>
        <w:t>。</w:t>
      </w:r>
    </w:p>
    <w:p w14:paraId="66D29C99">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12.3.3 单价合同的计量</w:t>
      </w:r>
    </w:p>
    <w:p w14:paraId="45ABA83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关于单价合同计量的约定：</w:t>
      </w:r>
      <w:r>
        <w:rPr>
          <w:rFonts w:hint="eastAsia" w:ascii="微软雅黑" w:hAnsi="微软雅黑" w:eastAsia="微软雅黑" w:cs="微软雅黑"/>
          <w:sz w:val="24"/>
          <w:highlight w:val="none"/>
          <w:u w:val="single"/>
        </w:rPr>
        <w:t xml:space="preserve">   按月计量     </w:t>
      </w:r>
      <w:r>
        <w:rPr>
          <w:rFonts w:hint="eastAsia" w:ascii="微软雅黑" w:hAnsi="微软雅黑" w:eastAsia="微软雅黑" w:cs="微软雅黑"/>
          <w:sz w:val="24"/>
          <w:highlight w:val="none"/>
        </w:rPr>
        <w:t>。</w:t>
      </w:r>
    </w:p>
    <w:p w14:paraId="0D24D91F">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12.3.4 总价合同的计量</w:t>
      </w:r>
    </w:p>
    <w:p w14:paraId="08994F3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关于总价合同计量的约定：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6B20FD5B">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12.3.5总价合同采用支付分解表计量支付的，是否适用第</w:t>
      </w:r>
      <w:r>
        <w:rPr>
          <w:rFonts w:hint="eastAsia" w:ascii="微软雅黑" w:hAnsi="微软雅黑" w:eastAsia="微软雅黑" w:cs="微软雅黑"/>
          <w:kern w:val="0"/>
          <w:sz w:val="24"/>
          <w:highlight w:val="none"/>
        </w:rPr>
        <w:t xml:space="preserve">12.3.4 </w:t>
      </w:r>
      <w:r>
        <w:rPr>
          <w:rFonts w:hint="eastAsia" w:ascii="微软雅黑" w:hAnsi="微软雅黑" w:eastAsia="微软雅黑" w:cs="微软雅黑"/>
          <w:sz w:val="24"/>
          <w:highlight w:val="none"/>
        </w:rPr>
        <w:t>项</w:t>
      </w:r>
      <w:r>
        <w:rPr>
          <w:rFonts w:hint="eastAsia" w:ascii="微软雅黑" w:hAnsi="微软雅黑" w:eastAsia="微软雅黑" w:cs="微软雅黑"/>
          <w:kern w:val="0"/>
          <w:sz w:val="24"/>
          <w:highlight w:val="none"/>
        </w:rPr>
        <w:t>〔总价合同的计量〕</w:t>
      </w:r>
      <w:r>
        <w:rPr>
          <w:rFonts w:hint="eastAsia" w:ascii="微软雅黑" w:hAnsi="微软雅黑" w:eastAsia="微软雅黑" w:cs="微软雅黑"/>
          <w:sz w:val="24"/>
          <w:highlight w:val="none"/>
        </w:rPr>
        <w:t>约定进行计量：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19F7B26">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12.3.6 其他价格形式合同的计量</w:t>
      </w:r>
    </w:p>
    <w:p w14:paraId="5A818979">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其他价格形式的计量方式和程序：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704BC5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12.4 工程进度款支付</w:t>
      </w:r>
    </w:p>
    <w:p w14:paraId="02A84700">
      <w:pPr>
        <w:spacing w:line="460" w:lineRule="exact"/>
        <w:jc w:val="left"/>
        <w:rPr>
          <w:rFonts w:ascii="微软雅黑" w:hAnsi="微软雅黑" w:eastAsia="微软雅黑" w:cs="微软雅黑"/>
          <w:sz w:val="24"/>
          <w:highlight w:val="none"/>
        </w:rPr>
      </w:pPr>
      <w:bookmarkStart w:id="1395" w:name="_Toc297123556"/>
      <w:bookmarkStart w:id="1396" w:name="_Toc296891039"/>
      <w:bookmarkStart w:id="1397" w:name="_Toc297216215"/>
      <w:bookmarkStart w:id="1398" w:name="_Toc297120511"/>
      <w:bookmarkStart w:id="1399" w:name="_Toc303539163"/>
      <w:bookmarkStart w:id="1400" w:name="_Toc300935006"/>
      <w:bookmarkStart w:id="1401" w:name="_Toc296347210"/>
      <w:bookmarkStart w:id="1402" w:name="_Toc292559416"/>
      <w:bookmarkStart w:id="1403" w:name="_Toc292559921"/>
      <w:bookmarkStart w:id="1404" w:name="_Toc296503211"/>
      <w:bookmarkStart w:id="1405" w:name="_Toc296944550"/>
      <w:bookmarkStart w:id="1406" w:name="_Toc297048397"/>
      <w:bookmarkStart w:id="1407" w:name="_Toc296891251"/>
      <w:bookmarkStart w:id="1408" w:name="_Toc296346712"/>
      <w:r>
        <w:rPr>
          <w:rFonts w:hint="eastAsia" w:ascii="微软雅黑" w:hAnsi="微软雅黑" w:eastAsia="微软雅黑" w:cs="微软雅黑"/>
          <w:sz w:val="24"/>
          <w:highlight w:val="none"/>
        </w:rPr>
        <w:t>12.4.1 付款周期</w:t>
      </w:r>
    </w:p>
    <w:p w14:paraId="4AC5517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关于付款周期的约定：</w:t>
      </w:r>
      <w:r>
        <w:rPr>
          <w:rFonts w:hint="eastAsia" w:ascii="微软雅黑" w:hAnsi="微软雅黑" w:eastAsia="微软雅黑" w:cs="微软雅黑"/>
          <w:sz w:val="24"/>
          <w:highlight w:val="none"/>
          <w:u w:val="single"/>
        </w:rPr>
        <w:t xml:space="preserve"> （1）完成工程量的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%支付工程总造价的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w:t>
      </w:r>
      <w:r>
        <w:rPr>
          <w:rFonts w:hint="eastAsia" w:ascii="微软雅黑" w:hAnsi="微软雅黑" w:eastAsia="微软雅黑" w:cs="微软雅黑"/>
          <w:kern w:val="0"/>
          <w:sz w:val="24"/>
          <w:highlight w:val="none"/>
          <w:u w:val="single"/>
        </w:rPr>
        <w:t>（2）完成工程量的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%并验收合格后支付到工程总造价的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%；（3）待审计部门完成工程结算审计、且施工单位无民工工资纠纷上访现象，并完成工程资料备案及移交后，支付至决算价款的</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%；（4）余款为保修金，待保修期满后支付  </w:t>
      </w:r>
      <w:r>
        <w:rPr>
          <w:rFonts w:hint="eastAsia" w:ascii="微软雅黑" w:hAnsi="微软雅黑" w:eastAsia="微软雅黑" w:cs="微软雅黑"/>
          <w:sz w:val="24"/>
          <w:highlight w:val="none"/>
        </w:rPr>
        <w:t>。</w:t>
      </w:r>
    </w:p>
    <w:p w14:paraId="34999FD6">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12.4.2 进度付款申请单的编制</w:t>
      </w:r>
    </w:p>
    <w:p w14:paraId="7F4758A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关于进度付款申请单编制的约定：</w:t>
      </w:r>
      <w:r>
        <w:rPr>
          <w:rFonts w:hint="eastAsia" w:ascii="微软雅黑" w:hAnsi="微软雅黑" w:eastAsia="微软雅黑" w:cs="微软雅黑"/>
          <w:sz w:val="24"/>
          <w:highlight w:val="none"/>
          <w:u w:val="single"/>
        </w:rPr>
        <w:t xml:space="preserve">按发包方工程款支付管理规定执行  </w:t>
      </w:r>
      <w:r>
        <w:rPr>
          <w:rFonts w:hint="eastAsia" w:ascii="微软雅黑" w:hAnsi="微软雅黑" w:eastAsia="微软雅黑" w:cs="微软雅黑"/>
          <w:sz w:val="24"/>
          <w:highlight w:val="none"/>
        </w:rPr>
        <w:t>。</w:t>
      </w:r>
    </w:p>
    <w:p w14:paraId="71F8D75B">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Pr>
          <w:rFonts w:hint="eastAsia" w:ascii="微软雅黑" w:hAnsi="微软雅黑" w:eastAsia="微软雅黑" w:cs="微软雅黑"/>
          <w:sz w:val="24"/>
          <w:highlight w:val="none"/>
        </w:rPr>
        <w:t>2.4.3 进度付款申请单的提交</w:t>
      </w:r>
    </w:p>
    <w:p w14:paraId="62D0F71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（1）单价合同进度付款申请单提交的约定：</w:t>
      </w:r>
      <w:r>
        <w:rPr>
          <w:rFonts w:hint="eastAsia" w:ascii="微软雅黑" w:hAnsi="微软雅黑" w:eastAsia="微软雅黑" w:cs="微软雅黑"/>
          <w:sz w:val="24"/>
          <w:highlight w:val="none"/>
          <w:u w:val="single"/>
        </w:rPr>
        <w:t xml:space="preserve">    按发包方工程款支付管理规定执行   </w:t>
      </w:r>
      <w:r>
        <w:rPr>
          <w:rFonts w:hint="eastAsia" w:ascii="微软雅黑" w:hAnsi="微软雅黑" w:eastAsia="微软雅黑" w:cs="微软雅黑"/>
          <w:sz w:val="24"/>
          <w:highlight w:val="none"/>
        </w:rPr>
        <w:t>。</w:t>
      </w:r>
    </w:p>
    <w:p w14:paraId="6719385B">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（2）总价合同进度付款申请单提交的约定：</w:t>
      </w:r>
      <w:r>
        <w:rPr>
          <w:rFonts w:hint="eastAsia" w:ascii="微软雅黑" w:hAnsi="微软雅黑" w:eastAsia="微软雅黑" w:cs="微软雅黑"/>
          <w:sz w:val="24"/>
          <w:highlight w:val="none"/>
          <w:u w:val="single"/>
        </w:rPr>
        <w:t xml:space="preserve">  按发包方工程款支付管理规定执行  </w:t>
      </w:r>
      <w:r>
        <w:rPr>
          <w:rFonts w:hint="eastAsia" w:ascii="微软雅黑" w:hAnsi="微软雅黑" w:eastAsia="微软雅黑" w:cs="微软雅黑"/>
          <w:sz w:val="24"/>
          <w:highlight w:val="none"/>
        </w:rPr>
        <w:t>。</w:t>
      </w:r>
    </w:p>
    <w:p w14:paraId="5FD4A88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（3）其他价格形式合同进度付款申请单提交的约定：</w:t>
      </w:r>
      <w:r>
        <w:rPr>
          <w:rFonts w:hint="eastAsia" w:ascii="微软雅黑" w:hAnsi="微软雅黑" w:eastAsia="微软雅黑" w:cs="微软雅黑"/>
          <w:sz w:val="24"/>
          <w:highlight w:val="none"/>
          <w:u w:val="single"/>
        </w:rPr>
        <w:t xml:space="preserve">  /   </w:t>
      </w:r>
      <w:r>
        <w:rPr>
          <w:rFonts w:hint="eastAsia" w:ascii="微软雅黑" w:hAnsi="微软雅黑" w:eastAsia="微软雅黑" w:cs="微软雅黑"/>
          <w:sz w:val="24"/>
          <w:highlight w:val="none"/>
        </w:rPr>
        <w:t>。</w:t>
      </w:r>
    </w:p>
    <w:p w14:paraId="4306234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12.4.4 进度款审核和支付</w:t>
      </w:r>
    </w:p>
    <w:p w14:paraId="25A97A40">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（1）监理人审查并报送发包人的期限：</w:t>
      </w:r>
      <w:r>
        <w:rPr>
          <w:rFonts w:hint="eastAsia" w:ascii="微软雅黑" w:hAnsi="微软雅黑" w:eastAsia="微软雅黑" w:cs="微软雅黑"/>
          <w:sz w:val="24"/>
          <w:highlight w:val="none"/>
          <w:u w:val="single"/>
        </w:rPr>
        <w:t xml:space="preserve">  收到申请7日内审查并报送     </w:t>
      </w:r>
      <w:r>
        <w:rPr>
          <w:rFonts w:hint="eastAsia" w:ascii="微软雅黑" w:hAnsi="微软雅黑" w:eastAsia="微软雅黑" w:cs="微软雅黑"/>
          <w:sz w:val="24"/>
          <w:highlight w:val="none"/>
        </w:rPr>
        <w:t>。</w:t>
      </w:r>
    </w:p>
    <w:p w14:paraId="54A9707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发包人完成审批并签发进度款支付证书的期限：</w:t>
      </w:r>
      <w:r>
        <w:rPr>
          <w:rFonts w:hint="eastAsia" w:ascii="微软雅黑" w:hAnsi="微软雅黑" w:eastAsia="微软雅黑" w:cs="微软雅黑"/>
          <w:sz w:val="24"/>
          <w:highlight w:val="none"/>
          <w:u w:val="single"/>
        </w:rPr>
        <w:t xml:space="preserve"> 收到7日内完成       </w:t>
      </w:r>
      <w:r>
        <w:rPr>
          <w:rFonts w:hint="eastAsia" w:ascii="微软雅黑" w:hAnsi="微软雅黑" w:eastAsia="微软雅黑" w:cs="微软雅黑"/>
          <w:sz w:val="24"/>
          <w:highlight w:val="none"/>
        </w:rPr>
        <w:t>。</w:t>
      </w:r>
    </w:p>
    <w:p w14:paraId="359BB69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（2）发包人支付进度款的期限：</w:t>
      </w:r>
      <w:r>
        <w:rPr>
          <w:rFonts w:hint="eastAsia" w:ascii="微软雅黑" w:hAnsi="微软雅黑" w:eastAsia="微软雅黑" w:cs="微软雅黑"/>
          <w:sz w:val="24"/>
          <w:highlight w:val="none"/>
          <w:u w:val="single"/>
        </w:rPr>
        <w:t xml:space="preserve">  14日内                         </w:t>
      </w:r>
      <w:r>
        <w:rPr>
          <w:rFonts w:hint="eastAsia" w:ascii="微软雅黑" w:hAnsi="微软雅黑" w:eastAsia="微软雅黑" w:cs="微软雅黑"/>
          <w:sz w:val="24"/>
          <w:highlight w:val="none"/>
        </w:rPr>
        <w:t>。</w:t>
      </w:r>
    </w:p>
    <w:p w14:paraId="330E5C58">
      <w:pPr>
        <w:spacing w:line="460" w:lineRule="exact"/>
        <w:ind w:firstLine="600" w:firstLineChars="25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发包人逾期支付进度款的违约金的计算方式：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E1C5E4E">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12.4.6 支付分解表的编制</w:t>
      </w:r>
    </w:p>
    <w:p w14:paraId="6C8DA286">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2、总价合同支付分解表的编制与审批：</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A81C69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3、单价合同的总价项目支付分解表的编制与审批：</w:t>
      </w:r>
      <w:r>
        <w:rPr>
          <w:rFonts w:hint="eastAsia" w:ascii="微软雅黑" w:hAnsi="微软雅黑" w:eastAsia="微软雅黑" w:cs="微软雅黑"/>
          <w:sz w:val="24"/>
          <w:highlight w:val="none"/>
          <w:u w:val="single"/>
        </w:rPr>
        <w:t xml:space="preserve">  按合同通用条款     </w:t>
      </w:r>
      <w:r>
        <w:rPr>
          <w:rFonts w:hint="eastAsia" w:ascii="微软雅黑" w:hAnsi="微软雅黑" w:eastAsia="微软雅黑" w:cs="微软雅黑"/>
          <w:sz w:val="24"/>
          <w:highlight w:val="none"/>
        </w:rPr>
        <w:t>。</w:t>
      </w:r>
    </w:p>
    <w:bookmarkEnd w:id="1238"/>
    <w:p w14:paraId="607217A4">
      <w:pPr>
        <w:pStyle w:val="11"/>
        <w:spacing w:before="120" w:after="120" w:line="460" w:lineRule="exact"/>
        <w:rPr>
          <w:rFonts w:ascii="微软雅黑" w:hAnsi="微软雅黑" w:eastAsia="微软雅黑" w:cs="微软雅黑"/>
          <w:sz w:val="24"/>
          <w:szCs w:val="24"/>
          <w:highlight w:val="none"/>
        </w:rPr>
      </w:pPr>
      <w:bookmarkStart w:id="1409" w:name="_Toc351203645"/>
      <w:bookmarkStart w:id="1410" w:name="_Toc297120519"/>
      <w:bookmarkStart w:id="1411" w:name="_Toc296347218"/>
      <w:bookmarkStart w:id="1412" w:name="_Toc297216223"/>
      <w:bookmarkStart w:id="1413" w:name="_Toc292559424"/>
      <w:bookmarkStart w:id="1414" w:name="_Toc300935015"/>
      <w:bookmarkStart w:id="1415" w:name="_Toc296891047"/>
      <w:bookmarkStart w:id="1416" w:name="_Toc297123564"/>
      <w:bookmarkStart w:id="1417" w:name="_Toc296346720"/>
      <w:bookmarkStart w:id="1418" w:name="_Toc297048405"/>
      <w:bookmarkStart w:id="1419" w:name="_Toc304295593"/>
      <w:bookmarkStart w:id="1420" w:name="_Toc296503219"/>
      <w:bookmarkStart w:id="1421" w:name="_Toc296944558"/>
      <w:bookmarkStart w:id="1422" w:name="_Toc296891259"/>
      <w:bookmarkStart w:id="1423" w:name="_Toc312678053"/>
      <w:bookmarkStart w:id="1424" w:name="_Toc292559929"/>
      <w:bookmarkStart w:id="1425" w:name="_Toc303539172"/>
      <w:r>
        <w:rPr>
          <w:rFonts w:hint="eastAsia" w:ascii="微软雅黑" w:hAnsi="微软雅黑" w:eastAsia="微软雅黑" w:cs="微软雅黑"/>
          <w:sz w:val="24"/>
          <w:szCs w:val="24"/>
          <w:highlight w:val="none"/>
        </w:rPr>
        <w:t>13. 验收和工程试车</w:t>
      </w:r>
      <w:bookmarkEnd w:id="1409"/>
    </w:p>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14:paraId="5421DCFE">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13.1 分部分项工程验收</w:t>
      </w:r>
    </w:p>
    <w:p w14:paraId="3FE6DB7B">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13.1.2监理人不能按时进行验收时，应提前</w:t>
      </w:r>
      <w:r>
        <w:rPr>
          <w:rFonts w:hint="eastAsia" w:ascii="微软雅黑" w:hAnsi="微软雅黑" w:eastAsia="微软雅黑" w:cs="微软雅黑"/>
          <w:sz w:val="24"/>
          <w:highlight w:val="none"/>
          <w:u w:val="single"/>
        </w:rPr>
        <w:t xml:space="preserve">   24   </w:t>
      </w:r>
      <w:r>
        <w:rPr>
          <w:rFonts w:hint="eastAsia" w:ascii="微软雅黑" w:hAnsi="微软雅黑" w:eastAsia="微软雅黑" w:cs="微软雅黑"/>
          <w:sz w:val="24"/>
          <w:highlight w:val="none"/>
        </w:rPr>
        <w:t>小时提交书面延期要求。</w:t>
      </w:r>
    </w:p>
    <w:p w14:paraId="7B43D871">
      <w:pPr>
        <w:spacing w:line="460" w:lineRule="exact"/>
        <w:ind w:firstLine="480" w:firstLineChars="200"/>
        <w:jc w:val="left"/>
        <w:rPr>
          <w:rFonts w:ascii="微软雅黑" w:hAnsi="微软雅黑" w:eastAsia="微软雅黑" w:cs="微软雅黑"/>
          <w:b/>
          <w:sz w:val="24"/>
          <w:highlight w:val="none"/>
        </w:rPr>
      </w:pPr>
      <w:r>
        <w:rPr>
          <w:rFonts w:hint="eastAsia" w:ascii="微软雅黑" w:hAnsi="微软雅黑" w:eastAsia="微软雅黑" w:cs="微软雅黑"/>
          <w:sz w:val="24"/>
          <w:highlight w:val="none"/>
        </w:rPr>
        <w:t>关于延期最长不得超过：</w:t>
      </w:r>
      <w:r>
        <w:rPr>
          <w:rFonts w:hint="eastAsia" w:ascii="微软雅黑" w:hAnsi="微软雅黑" w:eastAsia="微软雅黑" w:cs="微软雅黑"/>
          <w:sz w:val="24"/>
          <w:highlight w:val="none"/>
          <w:u w:val="single"/>
        </w:rPr>
        <w:t xml:space="preserve">   48   </w:t>
      </w:r>
      <w:r>
        <w:rPr>
          <w:rFonts w:hint="eastAsia" w:ascii="微软雅黑" w:hAnsi="微软雅黑" w:eastAsia="微软雅黑" w:cs="微软雅黑"/>
          <w:sz w:val="24"/>
          <w:highlight w:val="none"/>
        </w:rPr>
        <w:t>小时。</w:t>
      </w:r>
    </w:p>
    <w:p w14:paraId="6177B4DB">
      <w:pPr>
        <w:spacing w:after="120" w:line="460" w:lineRule="exact"/>
        <w:rPr>
          <w:rFonts w:ascii="微软雅黑" w:hAnsi="微软雅黑" w:eastAsia="微软雅黑" w:cs="微软雅黑"/>
          <w:sz w:val="24"/>
          <w:highlight w:val="none"/>
        </w:rPr>
      </w:pPr>
      <w:bookmarkStart w:id="1426" w:name="_Toc296503223"/>
      <w:bookmarkStart w:id="1427" w:name="_Toc297216224"/>
      <w:bookmarkStart w:id="1428" w:name="_Toc296891051"/>
      <w:bookmarkStart w:id="1429" w:name="_Toc297123565"/>
      <w:bookmarkStart w:id="1430" w:name="_Toc296346724"/>
      <w:bookmarkStart w:id="1431" w:name="_Toc296891263"/>
      <w:bookmarkStart w:id="1432" w:name="_Toc297120523"/>
      <w:bookmarkStart w:id="1433" w:name="_Toc292559428"/>
      <w:bookmarkStart w:id="1434" w:name="_Toc304295596"/>
      <w:bookmarkStart w:id="1435" w:name="_Toc297048409"/>
      <w:bookmarkStart w:id="1436" w:name="_Toc300935016"/>
      <w:bookmarkStart w:id="1437" w:name="_Toc303539173"/>
      <w:bookmarkStart w:id="1438" w:name="_Toc292559933"/>
      <w:bookmarkStart w:id="1439" w:name="_Toc312678056"/>
      <w:bookmarkStart w:id="1440" w:name="_Toc296944562"/>
      <w:bookmarkStart w:id="1441" w:name="_Toc296347222"/>
      <w:bookmarkStart w:id="1442" w:name="_Toc267251472"/>
      <w:bookmarkStart w:id="1443" w:name="_Toc267251475"/>
      <w:bookmarkStart w:id="1444" w:name="_Toc267251470"/>
      <w:bookmarkStart w:id="1445" w:name="_Toc267251474"/>
      <w:bookmarkStart w:id="1446" w:name="_Toc267251473"/>
      <w:bookmarkStart w:id="1447" w:name="_Toc267251471"/>
      <w:bookmarkStart w:id="1448" w:name="_Toc267251476"/>
      <w:r>
        <w:rPr>
          <w:rFonts w:hint="eastAsia" w:ascii="微软雅黑" w:hAnsi="微软雅黑" w:eastAsia="微软雅黑" w:cs="微软雅黑"/>
          <w:sz w:val="24"/>
          <w:highlight w:val="none"/>
        </w:rPr>
        <w:t>13.2 竣工验收</w:t>
      </w:r>
    </w:p>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14:paraId="49CD09C0">
      <w:pPr>
        <w:spacing w:line="460" w:lineRule="exact"/>
        <w:jc w:val="left"/>
        <w:rPr>
          <w:rFonts w:ascii="微软雅黑" w:hAnsi="微软雅黑" w:eastAsia="微软雅黑" w:cs="微软雅黑"/>
          <w:sz w:val="24"/>
          <w:highlight w:val="none"/>
        </w:rPr>
      </w:pPr>
      <w:bookmarkStart w:id="1449" w:name="_Toc280868704"/>
      <w:bookmarkStart w:id="1450" w:name="_Toc280868705"/>
      <w:bookmarkStart w:id="1451" w:name="_Toc280868706"/>
      <w:bookmarkStart w:id="1452" w:name="_Toc280868707"/>
      <w:bookmarkStart w:id="1453" w:name="_Toc280868708"/>
      <w:bookmarkStart w:id="1454" w:name="_Toc280868709"/>
      <w:r>
        <w:rPr>
          <w:rFonts w:hint="eastAsia" w:ascii="微软雅黑" w:hAnsi="微软雅黑" w:eastAsia="微软雅黑" w:cs="微软雅黑"/>
          <w:sz w:val="24"/>
          <w:highlight w:val="none"/>
        </w:rPr>
        <w:t>13.2.2竣工验收程序</w:t>
      </w:r>
    </w:p>
    <w:bookmarkEnd w:id="1449"/>
    <w:p w14:paraId="2D4AD68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关于竣工验收程序的约定：</w:t>
      </w:r>
      <w:r>
        <w:rPr>
          <w:rFonts w:hint="eastAsia" w:ascii="微软雅黑" w:hAnsi="微软雅黑" w:eastAsia="微软雅黑" w:cs="微软雅黑"/>
          <w:sz w:val="24"/>
          <w:highlight w:val="none"/>
          <w:u w:val="single"/>
        </w:rPr>
        <w:t xml:space="preserve">     按合同通用条款        </w:t>
      </w:r>
      <w:r>
        <w:rPr>
          <w:rFonts w:hint="eastAsia" w:ascii="微软雅黑" w:hAnsi="微软雅黑" w:eastAsia="微软雅黑" w:cs="微软雅黑"/>
          <w:sz w:val="24"/>
          <w:highlight w:val="none"/>
        </w:rPr>
        <w:t>。</w:t>
      </w:r>
    </w:p>
    <w:p w14:paraId="1C70054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发包人不按照本项约定组织竣工验收、颁发工程接收证书的违约金的计算方法：</w:t>
      </w:r>
      <w:r>
        <w:rPr>
          <w:rFonts w:hint="eastAsia" w:ascii="微软雅黑" w:hAnsi="微软雅黑" w:eastAsia="微软雅黑" w:cs="微软雅黑"/>
          <w:sz w:val="24"/>
          <w:highlight w:val="none"/>
          <w:u w:val="single"/>
        </w:rPr>
        <w:t xml:space="preserve"> 按合同通用条款        </w:t>
      </w:r>
      <w:r>
        <w:rPr>
          <w:rFonts w:hint="eastAsia" w:ascii="微软雅黑" w:hAnsi="微软雅黑" w:eastAsia="微软雅黑" w:cs="微软雅黑"/>
          <w:sz w:val="24"/>
          <w:highlight w:val="none"/>
        </w:rPr>
        <w:t>。</w:t>
      </w:r>
    </w:p>
    <w:bookmarkEnd w:id="1450"/>
    <w:p w14:paraId="423CA6BC">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13.2.5移交、接收全部与部分工程</w:t>
      </w:r>
    </w:p>
    <w:bookmarkEnd w:id="1451"/>
    <w:p w14:paraId="64C807F9">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承包人向发包人移交工程的期限：</w:t>
      </w:r>
      <w:r>
        <w:rPr>
          <w:rFonts w:hint="eastAsia" w:ascii="微软雅黑" w:hAnsi="微软雅黑" w:eastAsia="微软雅黑" w:cs="微软雅黑"/>
          <w:sz w:val="24"/>
          <w:highlight w:val="none"/>
          <w:u w:val="single"/>
        </w:rPr>
        <w:t xml:space="preserve">   颁发工程接收证书后7日内      </w:t>
      </w:r>
      <w:r>
        <w:rPr>
          <w:rFonts w:hint="eastAsia" w:ascii="微软雅黑" w:hAnsi="微软雅黑" w:eastAsia="微软雅黑" w:cs="微软雅黑"/>
          <w:sz w:val="24"/>
          <w:highlight w:val="none"/>
        </w:rPr>
        <w:t>。</w:t>
      </w:r>
    </w:p>
    <w:p w14:paraId="0959DE2A">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kern w:val="0"/>
          <w:sz w:val="24"/>
          <w:highlight w:val="none"/>
        </w:rPr>
        <w:t>发包人未按本合同约定接收全部或部分工程的，违约金的计算方法为：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bookmarkEnd w:id="1452"/>
    <w:p w14:paraId="0FA2D94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承包人未按时移交工程的，违约金的计算方法为：</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404365C">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13.3 工程试车</w:t>
      </w:r>
    </w:p>
    <w:bookmarkEnd w:id="1453"/>
    <w:p w14:paraId="78E99740">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13.3.1 试车程序</w:t>
      </w:r>
    </w:p>
    <w:p w14:paraId="0DF676A8">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工程试车内容：</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27111CBE">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（1）单机无负荷试车费用由</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rPr>
        <w:t>承担；</w:t>
      </w:r>
    </w:p>
    <w:p w14:paraId="0E1D47CE">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（2）无负荷联动试车费用由</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rPr>
        <w:t>承担。</w:t>
      </w:r>
    </w:p>
    <w:p w14:paraId="6C5A7012">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13.3.3 投料试车</w:t>
      </w:r>
    </w:p>
    <w:p w14:paraId="4149D7F6">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关于投料试车相关事项的约定：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619CCE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13.6 竣工退场</w:t>
      </w:r>
    </w:p>
    <w:p w14:paraId="654BCC1B">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13.6.1 竣工退场</w:t>
      </w:r>
    </w:p>
    <w:p w14:paraId="5B13B572">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承包人完成竣工退场的期限：</w:t>
      </w:r>
      <w:r>
        <w:rPr>
          <w:rFonts w:hint="eastAsia" w:ascii="微软雅黑" w:hAnsi="微软雅黑" w:eastAsia="微软雅黑" w:cs="微软雅黑"/>
          <w:sz w:val="24"/>
          <w:highlight w:val="none"/>
          <w:u w:val="single"/>
        </w:rPr>
        <w:t xml:space="preserve">   颁发工程接收证书后3日内      </w:t>
      </w:r>
      <w:r>
        <w:rPr>
          <w:rFonts w:hint="eastAsia" w:ascii="微软雅黑" w:hAnsi="微软雅黑" w:eastAsia="微软雅黑" w:cs="微软雅黑"/>
          <w:kern w:val="0"/>
          <w:sz w:val="24"/>
          <w:highlight w:val="none"/>
        </w:rPr>
        <w:t>。</w:t>
      </w:r>
    </w:p>
    <w:p w14:paraId="573DA066">
      <w:pPr>
        <w:pStyle w:val="11"/>
        <w:spacing w:before="120" w:after="120" w:line="460" w:lineRule="exact"/>
        <w:rPr>
          <w:rFonts w:ascii="微软雅黑" w:hAnsi="微软雅黑" w:eastAsia="微软雅黑" w:cs="微软雅黑"/>
          <w:sz w:val="24"/>
          <w:szCs w:val="24"/>
          <w:highlight w:val="none"/>
        </w:rPr>
      </w:pPr>
      <w:bookmarkStart w:id="1455" w:name="_Toc351203646"/>
      <w:r>
        <w:rPr>
          <w:rFonts w:hint="eastAsia" w:ascii="微软雅黑" w:hAnsi="微软雅黑" w:eastAsia="微软雅黑" w:cs="微软雅黑"/>
          <w:sz w:val="24"/>
          <w:szCs w:val="24"/>
          <w:highlight w:val="none"/>
        </w:rPr>
        <w:t>14. 竣工结算</w:t>
      </w:r>
      <w:bookmarkEnd w:id="1455"/>
    </w:p>
    <w:p w14:paraId="5BC4A82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14.1 竣工付款申请</w:t>
      </w:r>
    </w:p>
    <w:p w14:paraId="4AC2B01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承包人提交竣工付款申请单的期限：</w:t>
      </w:r>
      <w:r>
        <w:rPr>
          <w:rFonts w:hint="eastAsia" w:ascii="微软雅黑" w:hAnsi="微软雅黑" w:eastAsia="微软雅黑" w:cs="微软雅黑"/>
          <w:sz w:val="24"/>
          <w:highlight w:val="none"/>
          <w:u w:val="single"/>
        </w:rPr>
        <w:t xml:space="preserve">按合同付款约定执行    </w:t>
      </w:r>
      <w:r>
        <w:rPr>
          <w:rFonts w:hint="eastAsia" w:ascii="微软雅黑" w:hAnsi="微软雅黑" w:eastAsia="微软雅黑" w:cs="微软雅黑"/>
          <w:sz w:val="24"/>
          <w:highlight w:val="none"/>
        </w:rPr>
        <w:t>。</w:t>
      </w:r>
    </w:p>
    <w:p w14:paraId="7C82F1F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竣工付款申请单应包括的内容：</w:t>
      </w:r>
      <w:r>
        <w:rPr>
          <w:rFonts w:hint="eastAsia" w:ascii="微软雅黑" w:hAnsi="微软雅黑" w:eastAsia="微软雅黑" w:cs="微软雅黑"/>
          <w:sz w:val="24"/>
          <w:highlight w:val="none"/>
          <w:u w:val="single"/>
        </w:rPr>
        <w:t xml:space="preserve">   按合同付款约定执行         </w:t>
      </w:r>
      <w:r>
        <w:rPr>
          <w:rFonts w:hint="eastAsia" w:ascii="微软雅黑" w:hAnsi="微软雅黑" w:eastAsia="微软雅黑" w:cs="微软雅黑"/>
          <w:sz w:val="24"/>
          <w:highlight w:val="none"/>
        </w:rPr>
        <w:t>。</w:t>
      </w:r>
    </w:p>
    <w:p w14:paraId="4940C12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14.2 竣工结算审核</w:t>
      </w:r>
    </w:p>
    <w:p w14:paraId="34613FA7">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发包人审批竣工付款申请单的期限：</w:t>
      </w:r>
      <w:r>
        <w:rPr>
          <w:rFonts w:hint="eastAsia" w:ascii="微软雅黑" w:hAnsi="微软雅黑" w:eastAsia="微软雅黑" w:cs="微软雅黑"/>
          <w:sz w:val="24"/>
          <w:highlight w:val="none"/>
          <w:u w:val="single"/>
        </w:rPr>
        <w:t xml:space="preserve">  按合同付款约定执行   </w:t>
      </w:r>
      <w:r>
        <w:rPr>
          <w:rFonts w:hint="eastAsia" w:ascii="微软雅黑" w:hAnsi="微软雅黑" w:eastAsia="微软雅黑" w:cs="微软雅黑"/>
          <w:sz w:val="24"/>
          <w:highlight w:val="none"/>
        </w:rPr>
        <w:t>。</w:t>
      </w:r>
    </w:p>
    <w:p w14:paraId="326D40D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发包人完成竣工付款的期限：</w:t>
      </w:r>
      <w:r>
        <w:rPr>
          <w:rFonts w:hint="eastAsia" w:ascii="微软雅黑" w:hAnsi="微软雅黑" w:eastAsia="微软雅黑" w:cs="微软雅黑"/>
          <w:sz w:val="24"/>
          <w:highlight w:val="none"/>
          <w:u w:val="single"/>
        </w:rPr>
        <w:t xml:space="preserve">按合同付款约定执行    </w:t>
      </w:r>
      <w:r>
        <w:rPr>
          <w:rFonts w:hint="eastAsia" w:ascii="微软雅黑" w:hAnsi="微软雅黑" w:eastAsia="微软雅黑" w:cs="微软雅黑"/>
          <w:sz w:val="24"/>
          <w:highlight w:val="none"/>
        </w:rPr>
        <w:t>。</w:t>
      </w:r>
    </w:p>
    <w:p w14:paraId="3BA727E0">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关于竣工付款证书异议部分复核的方式和程序：</w:t>
      </w:r>
      <w:r>
        <w:rPr>
          <w:rFonts w:hint="eastAsia" w:ascii="微软雅黑" w:hAnsi="微软雅黑" w:eastAsia="微软雅黑" w:cs="微软雅黑"/>
          <w:sz w:val="24"/>
          <w:highlight w:val="none"/>
          <w:u w:val="single"/>
        </w:rPr>
        <w:t xml:space="preserve"> 发包方支付工程款必须进入本合同约定账户     </w:t>
      </w:r>
      <w:r>
        <w:rPr>
          <w:rFonts w:hint="eastAsia" w:ascii="微软雅黑" w:hAnsi="微软雅黑" w:eastAsia="微软雅黑" w:cs="微软雅黑"/>
          <w:sz w:val="24"/>
          <w:highlight w:val="none"/>
        </w:rPr>
        <w:t>。</w:t>
      </w:r>
    </w:p>
    <w:p w14:paraId="60355E5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14.4 最终结清</w:t>
      </w:r>
    </w:p>
    <w:p w14:paraId="55BE5866">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14.4.1 最终结清申请单</w:t>
      </w:r>
    </w:p>
    <w:p w14:paraId="4DF532E2">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承包人提交最终结清申请单的份数：</w:t>
      </w:r>
      <w:r>
        <w:rPr>
          <w:rFonts w:hint="eastAsia" w:ascii="微软雅黑" w:hAnsi="微软雅黑" w:eastAsia="微软雅黑" w:cs="微软雅黑"/>
          <w:sz w:val="24"/>
          <w:highlight w:val="none"/>
          <w:u w:val="single"/>
        </w:rPr>
        <w:t xml:space="preserve">     肆份        </w:t>
      </w:r>
      <w:r>
        <w:rPr>
          <w:rFonts w:hint="eastAsia" w:ascii="微软雅黑" w:hAnsi="微软雅黑" w:eastAsia="微软雅黑" w:cs="微软雅黑"/>
          <w:sz w:val="24"/>
          <w:highlight w:val="none"/>
        </w:rPr>
        <w:t>。</w:t>
      </w:r>
    </w:p>
    <w:p w14:paraId="48E11F5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承包人提交最终结算申请单的期限：</w:t>
      </w:r>
      <w:r>
        <w:rPr>
          <w:rFonts w:hint="eastAsia" w:ascii="微软雅黑" w:hAnsi="微软雅黑" w:eastAsia="微软雅黑" w:cs="微软雅黑"/>
          <w:sz w:val="24"/>
          <w:highlight w:val="none"/>
          <w:u w:val="single"/>
        </w:rPr>
        <w:t xml:space="preserve">  缺陷责任期终止证书颁发后7天内    </w:t>
      </w:r>
      <w:r>
        <w:rPr>
          <w:rFonts w:hint="eastAsia" w:ascii="微软雅黑" w:hAnsi="微软雅黑" w:eastAsia="微软雅黑" w:cs="微软雅黑"/>
          <w:sz w:val="24"/>
          <w:highlight w:val="none"/>
        </w:rPr>
        <w:t xml:space="preserve">。 </w:t>
      </w:r>
    </w:p>
    <w:p w14:paraId="0AB2C078">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14.4.2 最终结清证书和支付</w:t>
      </w:r>
    </w:p>
    <w:p w14:paraId="367B7755">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（1）发包人完成最终结清申请单的审批并颁发最终结清证书的期限：</w:t>
      </w:r>
      <w:r>
        <w:rPr>
          <w:rFonts w:hint="eastAsia" w:ascii="微软雅黑" w:hAnsi="微软雅黑" w:eastAsia="微软雅黑" w:cs="微软雅黑"/>
          <w:sz w:val="24"/>
          <w:highlight w:val="none"/>
          <w:u w:val="single"/>
        </w:rPr>
        <w:t xml:space="preserve">   收到最终结算申请单后14天内        </w:t>
      </w:r>
      <w:r>
        <w:rPr>
          <w:rFonts w:hint="eastAsia" w:ascii="微软雅黑" w:hAnsi="微软雅黑" w:eastAsia="微软雅黑" w:cs="微软雅黑"/>
          <w:sz w:val="24"/>
          <w:highlight w:val="none"/>
        </w:rPr>
        <w:t>。</w:t>
      </w:r>
    </w:p>
    <w:p w14:paraId="74B53D99">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（2）发包人完成支付的期限：</w:t>
      </w:r>
      <w:r>
        <w:rPr>
          <w:rFonts w:hint="eastAsia" w:ascii="微软雅黑" w:hAnsi="微软雅黑" w:eastAsia="微软雅黑" w:cs="微软雅黑"/>
          <w:sz w:val="24"/>
          <w:highlight w:val="none"/>
          <w:u w:val="single"/>
        </w:rPr>
        <w:t xml:space="preserve"> 执行合同通用条款        </w:t>
      </w:r>
      <w:r>
        <w:rPr>
          <w:rFonts w:hint="eastAsia" w:ascii="微软雅黑" w:hAnsi="微软雅黑" w:eastAsia="微软雅黑" w:cs="微软雅黑"/>
          <w:sz w:val="24"/>
          <w:highlight w:val="none"/>
        </w:rPr>
        <w:t>。</w:t>
      </w:r>
    </w:p>
    <w:bookmarkEnd w:id="1442"/>
    <w:bookmarkEnd w:id="1443"/>
    <w:bookmarkEnd w:id="1444"/>
    <w:bookmarkEnd w:id="1445"/>
    <w:bookmarkEnd w:id="1446"/>
    <w:bookmarkEnd w:id="1447"/>
    <w:bookmarkEnd w:id="1448"/>
    <w:bookmarkEnd w:id="1454"/>
    <w:p w14:paraId="0647180B">
      <w:pPr>
        <w:pStyle w:val="11"/>
        <w:spacing w:before="120" w:after="120" w:line="460" w:lineRule="exact"/>
        <w:rPr>
          <w:rFonts w:ascii="微软雅黑" w:hAnsi="微软雅黑" w:eastAsia="微软雅黑" w:cs="微软雅黑"/>
          <w:sz w:val="24"/>
          <w:szCs w:val="24"/>
          <w:highlight w:val="none"/>
        </w:rPr>
      </w:pPr>
      <w:bookmarkStart w:id="1456" w:name="_Toc351203647"/>
      <w:bookmarkStart w:id="1457" w:name="_Toc267251483"/>
      <w:bookmarkStart w:id="1458" w:name="_Toc267251482"/>
      <w:bookmarkStart w:id="1459" w:name="_Toc267251484"/>
      <w:bookmarkStart w:id="1460" w:name="_Toc267251485"/>
      <w:bookmarkStart w:id="1461" w:name="_Toc267251489"/>
      <w:bookmarkStart w:id="1462" w:name="_Toc267251490"/>
      <w:bookmarkStart w:id="1463" w:name="_Toc267251486"/>
      <w:bookmarkStart w:id="1464" w:name="_Toc267251488"/>
      <w:bookmarkStart w:id="1465" w:name="_Toc267251501"/>
      <w:bookmarkStart w:id="1466" w:name="_Toc267251492"/>
      <w:bookmarkStart w:id="1467" w:name="_Toc267251494"/>
      <w:bookmarkStart w:id="1468" w:name="_Toc267251496"/>
      <w:bookmarkStart w:id="1469" w:name="_Toc267251499"/>
      <w:bookmarkStart w:id="1470" w:name="_Toc267251495"/>
      <w:bookmarkStart w:id="1471" w:name="_Toc267251502"/>
      <w:bookmarkStart w:id="1472" w:name="_Toc267251493"/>
      <w:bookmarkStart w:id="1473" w:name="_Toc267251498"/>
      <w:bookmarkStart w:id="1474" w:name="_Toc267251503"/>
      <w:bookmarkStart w:id="1475" w:name="_Toc267251491"/>
      <w:bookmarkStart w:id="1476" w:name="_Toc267251497"/>
      <w:bookmarkStart w:id="1477" w:name="_Toc267251506"/>
      <w:bookmarkStart w:id="1478" w:name="_Toc267251504"/>
      <w:bookmarkStart w:id="1479" w:name="_Toc267251507"/>
      <w:bookmarkStart w:id="1480" w:name="_Toc267251508"/>
      <w:bookmarkStart w:id="1481" w:name="_Toc267251510"/>
      <w:bookmarkStart w:id="1482" w:name="_Toc267251514"/>
      <w:bookmarkStart w:id="1483" w:name="_Toc267251509"/>
      <w:bookmarkStart w:id="1484" w:name="_Toc267251511"/>
      <w:bookmarkStart w:id="1485" w:name="_Toc267251515"/>
      <w:bookmarkStart w:id="1486" w:name="_Toc267251513"/>
      <w:r>
        <w:rPr>
          <w:rFonts w:hint="eastAsia" w:ascii="微软雅黑" w:hAnsi="微软雅黑" w:eastAsia="微软雅黑" w:cs="微软雅黑"/>
          <w:sz w:val="24"/>
          <w:szCs w:val="24"/>
          <w:highlight w:val="none"/>
        </w:rPr>
        <w:t>15. 缺陷责任期与保修</w:t>
      </w:r>
      <w:bookmarkEnd w:id="1456"/>
    </w:p>
    <w:p w14:paraId="201C4ED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15.2缺陷责任期</w:t>
      </w:r>
      <w:bookmarkEnd w:id="1457"/>
    </w:p>
    <w:p w14:paraId="04EC41FC">
      <w:pPr>
        <w:spacing w:line="460" w:lineRule="exact"/>
        <w:ind w:firstLine="480" w:firstLineChars="200"/>
        <w:jc w:val="left"/>
        <w:rPr>
          <w:rFonts w:ascii="微软雅黑" w:hAnsi="微软雅黑" w:eastAsia="微软雅黑" w:cs="微软雅黑"/>
          <w:color w:val="FF0000"/>
          <w:sz w:val="24"/>
          <w:highlight w:val="none"/>
        </w:rPr>
      </w:pPr>
      <w:r>
        <w:rPr>
          <w:rFonts w:hint="eastAsia" w:ascii="微软雅黑" w:hAnsi="微软雅黑" w:eastAsia="微软雅黑" w:cs="微软雅黑"/>
          <w:sz w:val="24"/>
          <w:highlight w:val="none"/>
        </w:rPr>
        <w:t>缺陷责任期的具体期限：</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color w:val="FF0000"/>
          <w:sz w:val="24"/>
          <w:highlight w:val="none"/>
          <w:u w:val="single"/>
        </w:rPr>
        <w:t>自</w:t>
      </w:r>
      <w:r>
        <w:rPr>
          <w:rFonts w:hint="eastAsia" w:ascii="微软雅黑" w:hAnsi="微软雅黑" w:eastAsia="微软雅黑" w:cs="微软雅黑"/>
          <w:color w:val="FF0000"/>
          <w:sz w:val="24"/>
          <w:highlight w:val="none"/>
          <w:u w:val="single"/>
          <w:lang w:val="en-US" w:eastAsia="zh-CN"/>
        </w:rPr>
        <w:t>工程竣工验收合格之日</w:t>
      </w:r>
      <w:r>
        <w:rPr>
          <w:rFonts w:hint="eastAsia" w:ascii="微软雅黑" w:hAnsi="微软雅黑" w:eastAsia="微软雅黑" w:cs="微软雅黑"/>
          <w:color w:val="FF0000"/>
          <w:sz w:val="24"/>
          <w:highlight w:val="none"/>
          <w:u w:val="single"/>
        </w:rPr>
        <w:t>起计算</w:t>
      </w:r>
      <w:r>
        <w:rPr>
          <w:rFonts w:hint="eastAsia" w:ascii="微软雅黑" w:hAnsi="微软雅黑" w:eastAsia="微软雅黑" w:cs="微软雅黑"/>
          <w:color w:val="FF0000"/>
          <w:sz w:val="24"/>
          <w:highlight w:val="none"/>
          <w:u w:val="single"/>
          <w:lang w:eastAsia="zh-CN"/>
        </w:rPr>
        <w:t>，</w:t>
      </w:r>
      <w:r>
        <w:rPr>
          <w:rFonts w:hint="eastAsia" w:ascii="微软雅黑" w:hAnsi="微软雅黑" w:eastAsia="微软雅黑" w:cs="微软雅黑"/>
          <w:color w:val="FF0000"/>
          <w:sz w:val="24"/>
          <w:highlight w:val="none"/>
          <w:u w:val="single"/>
          <w:lang w:val="en-US" w:eastAsia="zh-CN"/>
        </w:rPr>
        <w:t>期限</w:t>
      </w:r>
      <w:r>
        <w:rPr>
          <w:rFonts w:hint="eastAsia" w:ascii="微软雅黑" w:hAnsi="微软雅黑" w:eastAsia="微软雅黑" w:cs="微软雅黑"/>
          <w:color w:val="FF0000"/>
          <w:sz w:val="24"/>
          <w:highlight w:val="none"/>
          <w:u w:val="single"/>
        </w:rPr>
        <w:t>为</w:t>
      </w:r>
      <w:r>
        <w:rPr>
          <w:rFonts w:hint="eastAsia" w:ascii="微软雅黑" w:hAnsi="微软雅黑" w:eastAsia="微软雅黑" w:cs="微软雅黑"/>
          <w:color w:val="FF0000"/>
          <w:sz w:val="24"/>
          <w:highlight w:val="none"/>
          <w:u w:val="single"/>
          <w:lang w:val="en-US" w:eastAsia="zh-CN"/>
        </w:rPr>
        <w:t>24</w:t>
      </w:r>
      <w:r>
        <w:rPr>
          <w:rFonts w:hint="eastAsia" w:ascii="微软雅黑" w:hAnsi="微软雅黑" w:eastAsia="微软雅黑" w:cs="微软雅黑"/>
          <w:color w:val="FF0000"/>
          <w:sz w:val="24"/>
          <w:highlight w:val="none"/>
          <w:u w:val="single"/>
        </w:rPr>
        <w:t xml:space="preserve">个月    </w:t>
      </w:r>
      <w:r>
        <w:rPr>
          <w:rFonts w:hint="eastAsia" w:ascii="微软雅黑" w:hAnsi="微软雅黑" w:eastAsia="微软雅黑" w:cs="微软雅黑"/>
          <w:color w:val="FF0000"/>
          <w:sz w:val="24"/>
          <w:highlight w:val="none"/>
        </w:rPr>
        <w:t>。</w:t>
      </w:r>
    </w:p>
    <w:p w14:paraId="37DF104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15.3 质量保证金</w:t>
      </w:r>
    </w:p>
    <w:p w14:paraId="56BD6C9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关于是否扣留质量保证金的约定：</w:t>
      </w:r>
      <w:r>
        <w:rPr>
          <w:rFonts w:hint="eastAsia" w:ascii="微软雅黑" w:hAnsi="微软雅黑" w:eastAsia="微软雅黑" w:cs="微软雅黑"/>
          <w:sz w:val="24"/>
          <w:highlight w:val="none"/>
          <w:u w:val="single"/>
        </w:rPr>
        <w:t xml:space="preserve">         扣留          </w:t>
      </w:r>
      <w:r>
        <w:rPr>
          <w:rFonts w:hint="eastAsia" w:ascii="微软雅黑" w:hAnsi="微软雅黑" w:eastAsia="微软雅黑" w:cs="微软雅黑"/>
          <w:sz w:val="24"/>
          <w:highlight w:val="none"/>
        </w:rPr>
        <w:t>。</w:t>
      </w:r>
    </w:p>
    <w:p w14:paraId="6379DCB6">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15.3.1 承包人提供质量保证金的方式</w:t>
      </w:r>
    </w:p>
    <w:p w14:paraId="46A6E070">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质量保证金采用以下第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2</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种方式：</w:t>
      </w:r>
    </w:p>
    <w:p w14:paraId="31C099D9">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（1）质量保证金保函，保证金额为：</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 xml:space="preserve">； </w:t>
      </w:r>
    </w:p>
    <w:p w14:paraId="7EC6A7FD">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w:t>
      </w:r>
      <w:r>
        <w:rPr>
          <w:rFonts w:hint="eastAsia" w:ascii="微软雅黑" w:hAnsi="微软雅黑" w:eastAsia="微软雅黑" w:cs="微软雅黑"/>
          <w:kern w:val="0"/>
          <w:sz w:val="24"/>
          <w:highlight w:val="none"/>
          <w:u w:val="single"/>
        </w:rPr>
        <w:t xml:space="preserve">  3  </w:t>
      </w:r>
      <w:r>
        <w:rPr>
          <w:rFonts w:hint="eastAsia" w:ascii="微软雅黑" w:hAnsi="微软雅黑" w:eastAsia="微软雅黑" w:cs="微软雅黑"/>
          <w:kern w:val="0"/>
          <w:sz w:val="24"/>
          <w:highlight w:val="none"/>
        </w:rPr>
        <w:t>%的工程款；</w:t>
      </w:r>
    </w:p>
    <w:p w14:paraId="5C9A63DE">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（3）其他方式:</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2B70A77D">
      <w:pPr>
        <w:spacing w:line="460" w:lineRule="exact"/>
        <w:jc w:val="left"/>
        <w:rPr>
          <w:rFonts w:hint="eastAsia" w:ascii="微软雅黑" w:hAnsi="微软雅黑" w:eastAsia="微软雅黑" w:cs="微软雅黑"/>
          <w:sz w:val="24"/>
          <w:highlight w:val="none"/>
        </w:rPr>
      </w:pPr>
    </w:p>
    <w:p w14:paraId="6D250585">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 xml:space="preserve">15.3.2 质量保证金的扣留 </w:t>
      </w:r>
    </w:p>
    <w:p w14:paraId="032E6D98">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质量保证金的扣留采取以下第</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u w:val="single"/>
          <w:lang w:val="en-US" w:eastAsia="zh-CN"/>
        </w:rPr>
        <w:t>3</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种方式：</w:t>
      </w:r>
    </w:p>
    <w:p w14:paraId="476E7045">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（1）在支付工程进度款时逐次扣留，在此情形下，质量保证金的计算基数不包括预付款的支付、扣回以及价格调整的金额；</w:t>
      </w:r>
    </w:p>
    <w:p w14:paraId="7B41AA5D">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（2）工程竣工结算时一次性扣留质量保证金；</w:t>
      </w:r>
    </w:p>
    <w:p w14:paraId="736809FD">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（3）其他扣留方式:</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5B3986ED">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关于质量保证金的补充约定：</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sz w:val="24"/>
          <w:highlight w:val="none"/>
          <w:u w:val="single"/>
        </w:rPr>
        <w:t xml:space="preserve">按照国家、自治区现行规定执行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bookmarkEnd w:id="1458"/>
    <w:bookmarkEnd w:id="1459"/>
    <w:p w14:paraId="36F84BFB">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15.4保修</w:t>
      </w:r>
    </w:p>
    <w:bookmarkEnd w:id="1460"/>
    <w:p w14:paraId="16814CF0">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15.4.1 保修责任</w:t>
      </w:r>
    </w:p>
    <w:p w14:paraId="066B06E0">
      <w:pPr>
        <w:spacing w:line="460" w:lineRule="exact"/>
        <w:ind w:firstLine="468" w:firstLineChars="195"/>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工程保修期为：</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color w:val="FF0000"/>
          <w:kern w:val="0"/>
          <w:sz w:val="24"/>
          <w:highlight w:val="none"/>
          <w:u w:val="single"/>
        </w:rPr>
        <w:t xml:space="preserve"> </w:t>
      </w:r>
      <w:r>
        <w:rPr>
          <w:rFonts w:hint="eastAsia" w:ascii="微软雅黑" w:hAnsi="微软雅黑" w:eastAsia="微软雅黑" w:cs="微软雅黑"/>
          <w:color w:val="FF0000"/>
          <w:kern w:val="0"/>
          <w:sz w:val="24"/>
          <w:highlight w:val="none"/>
          <w:u w:val="single"/>
          <w:lang w:val="en-US" w:eastAsia="zh-CN"/>
        </w:rPr>
        <w:t>按《建设工程质量管理条例》执行，其中防水工程保修期为5年，其他工程为2年</w:t>
      </w:r>
      <w:r>
        <w:rPr>
          <w:rFonts w:hint="eastAsia" w:ascii="微软雅黑" w:hAnsi="微软雅黑" w:eastAsia="微软雅黑" w:cs="微软雅黑"/>
          <w:color w:val="FF0000"/>
          <w:kern w:val="0"/>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0A1AE07F">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15.4.3 修复通知</w:t>
      </w:r>
    </w:p>
    <w:p w14:paraId="31E77C08">
      <w:pPr>
        <w:spacing w:line="460" w:lineRule="exact"/>
        <w:ind w:firstLine="468" w:firstLineChars="195"/>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承包人收到保修通知并到达工程现场的合理时间：</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sz w:val="24"/>
          <w:highlight w:val="none"/>
          <w:u w:val="single"/>
        </w:rPr>
        <w:t xml:space="preserve">24小时内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bookmarkEnd w:id="1461"/>
    <w:bookmarkEnd w:id="1462"/>
    <w:bookmarkEnd w:id="1463"/>
    <w:bookmarkEnd w:id="1464"/>
    <w:p w14:paraId="79746506">
      <w:pPr>
        <w:pStyle w:val="11"/>
        <w:spacing w:before="120" w:after="120" w:line="460" w:lineRule="exact"/>
        <w:rPr>
          <w:rFonts w:ascii="微软雅黑" w:hAnsi="微软雅黑" w:eastAsia="微软雅黑" w:cs="微软雅黑"/>
          <w:sz w:val="24"/>
          <w:szCs w:val="24"/>
          <w:highlight w:val="none"/>
        </w:rPr>
      </w:pPr>
      <w:bookmarkStart w:id="1487" w:name="_Toc351203648"/>
      <w:bookmarkStart w:id="1488" w:name="_Toc280868717"/>
      <w:bookmarkStart w:id="1489" w:name="_Toc280868718"/>
      <w:r>
        <w:rPr>
          <w:rFonts w:hint="eastAsia" w:ascii="微软雅黑" w:hAnsi="微软雅黑" w:eastAsia="微软雅黑" w:cs="微软雅黑"/>
          <w:sz w:val="24"/>
          <w:szCs w:val="24"/>
          <w:highlight w:val="none"/>
        </w:rPr>
        <w:t>16. 违约</w:t>
      </w:r>
      <w:bookmarkEnd w:id="1487"/>
    </w:p>
    <w:p w14:paraId="225B9CE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16.1 发包人违约</w:t>
      </w:r>
    </w:p>
    <w:p w14:paraId="046A3482">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16.1.1发包人违约的情形</w:t>
      </w:r>
    </w:p>
    <w:p w14:paraId="3D8C32D0">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发包人违约的其他情形：</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38194381">
      <w:pPr>
        <w:spacing w:line="460" w:lineRule="exact"/>
        <w:ind w:left="1200" w:hanging="1200" w:hangingChars="5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16.1.2 发包人违约的责任</w:t>
      </w:r>
    </w:p>
    <w:p w14:paraId="15D0FD72">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发包人违约责任的承担方式和计算方法：</w:t>
      </w:r>
    </w:p>
    <w:p w14:paraId="3551EBBD">
      <w:pPr>
        <w:spacing w:line="460" w:lineRule="exact"/>
        <w:ind w:firstLine="480" w:firstLineChars="200"/>
        <w:jc w:val="left"/>
        <w:rPr>
          <w:rFonts w:ascii="微软雅黑" w:hAnsi="微软雅黑" w:eastAsia="微软雅黑" w:cs="微软雅黑"/>
          <w:kern w:val="0"/>
          <w:sz w:val="24"/>
          <w:highlight w:val="none"/>
          <w:u w:val="single"/>
        </w:rPr>
      </w:pPr>
      <w:r>
        <w:rPr>
          <w:rFonts w:hint="eastAsia" w:ascii="微软雅黑" w:hAnsi="微软雅黑" w:eastAsia="微软雅黑" w:cs="微软雅黑"/>
          <w:kern w:val="0"/>
          <w:sz w:val="24"/>
          <w:highlight w:val="none"/>
        </w:rPr>
        <w:t>（1）因发包人原因未能在计划开工日期前7天内下达开工通知的违约责任：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3AFF65C0">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（2）因发包人原因未能按合同约定支付合同价款的违约责任：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4A80CAC9">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（3）发包人违反第10.1款〔变更的范围〕第（2）项约定，自行实施被取消的工作或转由他人实施的违约责任：</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0E4E22FF">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（4）发包人提供的材料、工程设备的规格、数量或质量不符合合同约定，或因发包人原因导致交货日期延误或交货地点变更等情况的违约责任：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27B1A3D9">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（5）因发包人违反合同约定造成暂停施工的违约责任：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49C30676">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（6）发包人无正当理由没有在约定期限内发出复工指示，导致承包人无法复工的违约责任：</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21DC5732">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（7）其他：</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0BDF285C">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16.1.3 因发包人违约解除合同</w:t>
      </w:r>
    </w:p>
    <w:p w14:paraId="30B45FD7">
      <w:pPr>
        <w:autoSpaceDE w:val="0"/>
        <w:autoSpaceDN w:val="0"/>
        <w:adjustRightInd w:val="0"/>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承包人按16.1.1项〔发包人违约的情形〕约定暂停施工满</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天后发包人仍不纠正其违约行为并致使合同目的不能实现的，承包人有权解除合同。</w:t>
      </w:r>
    </w:p>
    <w:p w14:paraId="38C3DAC8">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16.2 承包人违约</w:t>
      </w:r>
    </w:p>
    <w:p w14:paraId="7446EE5E">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16.2.1 承包人违约的情形</w:t>
      </w:r>
    </w:p>
    <w:p w14:paraId="38436DAB">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承包人违约的其他情形：  1.发包人发现承包人施工过程中可能严重影响质量的情况、承包人欠付工人工资等问题，需及时向承包方发出书面整改通知，承包人收到发包人的整改通知后限期内不予整改的，视为承包人违约；2.承包人欠付除工人工资外的机械费、材料费等费用，如果引起相关人员到发包人单位或者信访局等相关部门上访、在相关网站留言发帖，发包人向承包人告知限期解决而承包人不能限期解决的，视为承包人违约，此种情况下承包人须按照所欠费用向发包人承担违约责任，同时承包人需向发包人承担等同于履约保证金数额的违约金，并承担发包人为此遭受的一切损失（包括但不限于案件受理费、律师费、保全费、保全保险费、交通费、食宿费等全部费用） 。</w:t>
      </w:r>
    </w:p>
    <w:p w14:paraId="114B5BF6">
      <w:pPr>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16.2.2承包人违约的责任</w:t>
      </w:r>
    </w:p>
    <w:p w14:paraId="0BC55DD5">
      <w:pPr>
        <w:spacing w:line="460" w:lineRule="exact"/>
        <w:ind w:firstLine="480" w:firstLineChars="200"/>
        <w:jc w:val="left"/>
        <w:rPr>
          <w:rFonts w:ascii="微软雅黑" w:hAnsi="微软雅黑" w:eastAsia="微软雅黑" w:cs="微软雅黑"/>
          <w:kern w:val="0"/>
          <w:sz w:val="24"/>
          <w:highlight w:val="none"/>
          <w:u w:val="single"/>
        </w:rPr>
      </w:pPr>
      <w:r>
        <w:rPr>
          <w:rFonts w:hint="eastAsia" w:ascii="微软雅黑" w:hAnsi="微软雅黑" w:eastAsia="微软雅黑" w:cs="微软雅黑"/>
          <w:sz w:val="24"/>
          <w:highlight w:val="none"/>
        </w:rPr>
        <w:t xml:space="preserve">承包人违约责任的承担方式和计算方法：以合同价30%为限向发包人承担违约责任，同时发包人可扣除承包人缴纳的履约保证金，承包人未足额缴纳履约保证金的，承包人需以履约保证金相等金额向发包人赔偿。如违约金不足以弥补发包人损失的，不足部分承包人仍应向发包人承担。    </w:t>
      </w:r>
    </w:p>
    <w:p w14:paraId="7D7687AC">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16.2.3 因承包人违约解除合同</w:t>
      </w:r>
    </w:p>
    <w:p w14:paraId="33D6F407">
      <w:pPr>
        <w:pStyle w:val="11"/>
        <w:spacing w:before="120" w:after="120" w:line="460" w:lineRule="exact"/>
        <w:ind w:left="0" w:firstLine="480" w:firstLineChars="200"/>
        <w:rPr>
          <w:rFonts w:ascii="微软雅黑" w:hAnsi="微软雅黑" w:eastAsia="微软雅黑" w:cs="微软雅黑"/>
          <w:bCs w:val="0"/>
          <w:kern w:val="2"/>
          <w:sz w:val="24"/>
          <w:szCs w:val="24"/>
          <w:highlight w:val="none"/>
        </w:rPr>
      </w:pPr>
      <w:bookmarkStart w:id="1490" w:name="_Toc351203649"/>
      <w:r>
        <w:rPr>
          <w:rFonts w:hint="eastAsia" w:ascii="微软雅黑" w:hAnsi="微软雅黑" w:eastAsia="微软雅黑" w:cs="微软雅黑"/>
          <w:bCs w:val="0"/>
          <w:kern w:val="2"/>
          <w:sz w:val="24"/>
          <w:szCs w:val="24"/>
          <w:highlight w:val="none"/>
        </w:rPr>
        <w:t xml:space="preserve">关于承包人违约解除合同的特别约定：   1.除发包人同意之外，不论什么原因，工期延误达到1个月以上的，或承包人在合同约定的工期未完工，在发包人催告的合理期限内仍未完成的，发包人有权通知解除合同。承包人已经完成的工程量，承包人同意由发包方委托有资质的第三方评估造价鉴定机构进行工程造价鉴定，发包人按照最终的鉴定价格的60%向承包人支付工程款，同时需扣除履约保证金或相等金额违约金、扣除工期违约金。2.因承包人原因的导致已经完成的建设工程质量不合格，在发包人提出合理期限承包人拒绝修复的，发包人有权解除合同，并有权要求承包人支付合同总价30%的违约金。3.工程主体结构验收或工程竣工验收不合格，且承包人拒绝修复或无法修复的，发包人有权解除合，并有权要求承包人支付合同总价款30%的违约金。 </w:t>
      </w:r>
    </w:p>
    <w:p w14:paraId="6FEABE39">
      <w:pPr>
        <w:pStyle w:val="11"/>
        <w:spacing w:before="120" w:after="120" w:line="460" w:lineRule="exact"/>
        <w:ind w:left="0" w:firstLine="480" w:firstLineChars="200"/>
        <w:rPr>
          <w:rFonts w:ascii="微软雅黑" w:hAnsi="微软雅黑" w:eastAsia="微软雅黑" w:cs="微软雅黑"/>
          <w:bCs w:val="0"/>
          <w:kern w:val="2"/>
          <w:sz w:val="24"/>
          <w:szCs w:val="24"/>
          <w:highlight w:val="none"/>
        </w:rPr>
      </w:pPr>
      <w:r>
        <w:rPr>
          <w:rFonts w:hint="eastAsia" w:ascii="微软雅黑" w:hAnsi="微软雅黑" w:eastAsia="微软雅黑" w:cs="微软雅黑"/>
          <w:bCs w:val="0"/>
          <w:kern w:val="2"/>
          <w:sz w:val="24"/>
          <w:szCs w:val="24"/>
          <w:highlight w:val="none"/>
        </w:rPr>
        <w:t>发包人继续使用承包人在施工现场的材料、设备、临时工程、承包人文件和由承包人或以其名义编制的其他文件的费用承担方式： 由承包人免费提供。</w:t>
      </w:r>
    </w:p>
    <w:p w14:paraId="2966DAF8">
      <w:pPr>
        <w:pStyle w:val="11"/>
        <w:spacing w:before="120" w:after="120" w:line="460" w:lineRule="exact"/>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17. 不可抗力</w:t>
      </w:r>
      <w:bookmarkEnd w:id="1490"/>
      <w:r>
        <w:rPr>
          <w:rFonts w:hint="eastAsia" w:ascii="微软雅黑" w:hAnsi="微软雅黑" w:eastAsia="微软雅黑" w:cs="微软雅黑"/>
          <w:sz w:val="24"/>
          <w:szCs w:val="24"/>
          <w:highlight w:val="none"/>
        </w:rPr>
        <w:t xml:space="preserve"> </w:t>
      </w:r>
      <w:bookmarkEnd w:id="1488"/>
    </w:p>
    <w:p w14:paraId="36C7667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17.1 不可抗力的确认</w:t>
      </w:r>
    </w:p>
    <w:p w14:paraId="72F1A27F">
      <w:pPr>
        <w:spacing w:line="460" w:lineRule="exact"/>
        <w:ind w:firstLine="480" w:firstLineChars="200"/>
        <w:jc w:val="left"/>
        <w:rPr>
          <w:rFonts w:ascii="微软雅黑" w:hAnsi="微软雅黑" w:eastAsia="微软雅黑" w:cs="微软雅黑"/>
          <w:kern w:val="0"/>
          <w:sz w:val="24"/>
          <w:highlight w:val="none"/>
          <w:u w:val="single"/>
        </w:rPr>
      </w:pPr>
      <w:r>
        <w:rPr>
          <w:rFonts w:hint="eastAsia" w:ascii="微软雅黑" w:hAnsi="微软雅黑" w:eastAsia="微软雅黑" w:cs="微软雅黑"/>
          <w:sz w:val="24"/>
          <w:highlight w:val="none"/>
        </w:rPr>
        <w:t xml:space="preserve">除通用合同条款约定的不可抗力事件之外，视为不可抗力的其他情形：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2EDEDFDD">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17.4 因不可抗力解除合同</w:t>
      </w:r>
    </w:p>
    <w:p w14:paraId="461DBA92">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合同解除后，发包人应在商定或确定发包人应支付款项后</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天内完成款项的支付。</w:t>
      </w:r>
    </w:p>
    <w:p w14:paraId="2F5F94AA">
      <w:pPr>
        <w:pStyle w:val="11"/>
        <w:spacing w:before="120" w:after="120" w:line="460" w:lineRule="exact"/>
        <w:rPr>
          <w:rFonts w:ascii="微软雅黑" w:hAnsi="微软雅黑" w:eastAsia="微软雅黑" w:cs="微软雅黑"/>
          <w:sz w:val="24"/>
          <w:szCs w:val="24"/>
          <w:highlight w:val="none"/>
        </w:rPr>
      </w:pPr>
      <w:bookmarkStart w:id="1491" w:name="_Toc351203650"/>
      <w:r>
        <w:rPr>
          <w:rFonts w:hint="eastAsia" w:ascii="微软雅黑" w:hAnsi="微软雅黑" w:eastAsia="微软雅黑" w:cs="微软雅黑"/>
          <w:sz w:val="24"/>
          <w:szCs w:val="24"/>
          <w:highlight w:val="none"/>
        </w:rPr>
        <w:t>18. 保险</w:t>
      </w:r>
      <w:bookmarkEnd w:id="1491"/>
    </w:p>
    <w:bookmarkEnd w:id="1489"/>
    <w:p w14:paraId="6500367A">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18.1 工程保险</w:t>
      </w:r>
    </w:p>
    <w:p w14:paraId="3BB95593">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关于工程保险的特别约定：</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sz w:val="24"/>
          <w:highlight w:val="none"/>
          <w:u w:val="single"/>
        </w:rPr>
        <w:t>执行合同通用条款</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184DB6E5">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18.3 其他保险</w:t>
      </w:r>
    </w:p>
    <w:p w14:paraId="075A173E">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关于其他保险的约定：</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kern w:val="0"/>
          <w:sz w:val="24"/>
          <w:highlight w:val="none"/>
        </w:rPr>
        <w:t>。</w:t>
      </w:r>
    </w:p>
    <w:p w14:paraId="44674B10">
      <w:pPr>
        <w:spacing w:line="460" w:lineRule="exact"/>
        <w:ind w:firstLine="480" w:firstLineChars="200"/>
        <w:jc w:val="left"/>
        <w:rPr>
          <w:rFonts w:ascii="微软雅黑" w:hAnsi="微软雅黑" w:eastAsia="微软雅黑" w:cs="微软雅黑"/>
          <w:kern w:val="0"/>
          <w:sz w:val="24"/>
          <w:highlight w:val="none"/>
        </w:rPr>
      </w:pPr>
      <w:r>
        <w:rPr>
          <w:rFonts w:hint="eastAsia" w:ascii="微软雅黑" w:hAnsi="微软雅黑" w:eastAsia="微软雅黑" w:cs="微软雅黑"/>
          <w:sz w:val="24"/>
          <w:highlight w:val="none"/>
        </w:rPr>
        <w:t>承包人是否应为其施工设备等办理财产保险：</w:t>
      </w:r>
      <w:r>
        <w:rPr>
          <w:rFonts w:hint="eastAsia" w:ascii="微软雅黑" w:hAnsi="微软雅黑" w:eastAsia="微软雅黑" w:cs="微软雅黑"/>
          <w:sz w:val="24"/>
          <w:highlight w:val="none"/>
          <w:u w:val="single"/>
        </w:rPr>
        <w:t xml:space="preserve">    执行合同通用条款        </w:t>
      </w:r>
      <w:r>
        <w:rPr>
          <w:rFonts w:hint="eastAsia" w:ascii="微软雅黑" w:hAnsi="微软雅黑" w:eastAsia="微软雅黑" w:cs="微软雅黑"/>
          <w:sz w:val="24"/>
          <w:highlight w:val="none"/>
        </w:rPr>
        <w:t>。</w:t>
      </w:r>
    </w:p>
    <w:p w14:paraId="743D0C81">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18.7 通知义务</w:t>
      </w:r>
    </w:p>
    <w:p w14:paraId="6C377AC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kern w:val="0"/>
          <w:sz w:val="24"/>
          <w:highlight w:val="none"/>
        </w:rPr>
        <w:t>关于变更保险合同时的通知义务的约定：</w:t>
      </w:r>
      <w:r>
        <w:rPr>
          <w:rFonts w:hint="eastAsia" w:ascii="微软雅黑" w:hAnsi="微软雅黑" w:eastAsia="微软雅黑" w:cs="微软雅黑"/>
          <w:sz w:val="24"/>
          <w:highlight w:val="none"/>
          <w:u w:val="single"/>
        </w:rPr>
        <w:t xml:space="preserve">    执行合同通用条款           </w:t>
      </w:r>
      <w:r>
        <w:rPr>
          <w:rFonts w:hint="eastAsia" w:ascii="微软雅黑" w:hAnsi="微软雅黑" w:eastAsia="微软雅黑" w:cs="微软雅黑"/>
          <w:sz w:val="24"/>
          <w:highlight w:val="none"/>
        </w:rPr>
        <w:t>。</w:t>
      </w:r>
    </w:p>
    <w:p w14:paraId="60B44B4F">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18.8 缺陷责任期</w:t>
      </w:r>
    </w:p>
    <w:p w14:paraId="38E5998A">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一、工程缺陷责任期为 24 个月，缺陷责任期自工程通过竣工验收之日起计算。单位工程先于全部工程进行验收，单位工程缺陷责任期自单位工程验收合格之日起算。</w:t>
      </w:r>
    </w:p>
    <w:p w14:paraId="0A0D0B2F">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缺陷责任期终止后，发包人应退还剩余的质量保证金。</w:t>
      </w:r>
    </w:p>
    <w:p w14:paraId="137903B5">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 xml:space="preserve"> 二、质量保修责任</w:t>
      </w:r>
    </w:p>
    <w:p w14:paraId="1D733466">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1．属于保修范围、内容的项目，承包人应当在接到保修通知之日起7天内派人保修。承包人不在约定期限内派人保修的，发包人可以委托他人修理。</w:t>
      </w:r>
    </w:p>
    <w:p w14:paraId="7929F666">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2．发生紧急事故需抢修的，承包人在接到事故通知后，应当立即到达事故现场抢修。</w:t>
      </w:r>
    </w:p>
    <w:p w14:paraId="6F5CBA0F">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2B4FB5F">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4．质量保修完成后，由发包人组织验收。</w:t>
      </w:r>
    </w:p>
    <w:p w14:paraId="4ADEA799">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三、保修费用</w:t>
      </w:r>
    </w:p>
    <w:p w14:paraId="31E4394A">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　　保修费用由造成质量缺陷的责任方承担。</w:t>
      </w:r>
    </w:p>
    <w:p w14:paraId="5A408D09">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四、双方约定的其他工程质量保修事项：工程质量出现问题时，承包人在接到发包方通知24小时内派人组织维修，并承担由此引起的损失。在保修期内，所属保修范围的事项工程交工贰年内保修完时付清全部保修款，法律法规规定的保修期仍然有效。若乙方在接到甲方保修通知后，未能在双方约定的合理时间内履行保修责任，或者明确表示不履行保修义务的，甲方有权委托第三方进行维修。甲方委托第三方进行维修所产生的全部费用，包括但不限于维修费、材料费、人工费、交通费等，均由乙方承担。甲方有权从应付给乙方的款项或质保金中直接扣除该等费用，并有权就此按金额的30%向乙方追究其违约责任。</w:t>
      </w:r>
    </w:p>
    <w:p w14:paraId="235921F4">
      <w:pPr>
        <w:spacing w:line="460" w:lineRule="exact"/>
        <w:ind w:firstLine="480" w:firstLineChars="200"/>
        <w:jc w:val="left"/>
        <w:rPr>
          <w:rFonts w:ascii="微软雅黑" w:hAnsi="微软雅黑" w:eastAsia="微软雅黑" w:cs="微软雅黑"/>
          <w:sz w:val="24"/>
          <w:highlight w:val="none"/>
        </w:rPr>
      </w:pPr>
      <w:r>
        <w:rPr>
          <w:rFonts w:ascii="微软雅黑" w:hAnsi="微软雅黑" w:eastAsia="微软雅黑" w:cs="微软雅黑"/>
          <w:sz w:val="24"/>
          <w:highlight w:val="none"/>
        </w:rPr>
        <w:t>工程质量保修书由发包人、承包人在工程竣工验收前共同签署，作为施工合同附件，其有效期限至保修期满。</w:t>
      </w:r>
    </w:p>
    <w:bookmarkEnd w:id="1465"/>
    <w:bookmarkEnd w:id="1466"/>
    <w:bookmarkEnd w:id="1467"/>
    <w:bookmarkEnd w:id="1468"/>
    <w:bookmarkEnd w:id="1469"/>
    <w:bookmarkEnd w:id="1470"/>
    <w:bookmarkEnd w:id="1471"/>
    <w:bookmarkEnd w:id="1472"/>
    <w:bookmarkEnd w:id="1473"/>
    <w:bookmarkEnd w:id="1474"/>
    <w:bookmarkEnd w:id="1475"/>
    <w:bookmarkEnd w:id="1476"/>
    <w:p w14:paraId="411B1BD9">
      <w:pPr>
        <w:pStyle w:val="11"/>
        <w:spacing w:before="120" w:after="120" w:line="460" w:lineRule="exact"/>
        <w:rPr>
          <w:rFonts w:ascii="微软雅黑" w:hAnsi="微软雅黑" w:eastAsia="微软雅黑" w:cs="微软雅黑"/>
          <w:sz w:val="24"/>
          <w:szCs w:val="24"/>
          <w:highlight w:val="none"/>
        </w:rPr>
      </w:pPr>
      <w:bookmarkStart w:id="1492" w:name="_Toc351203651"/>
      <w:r>
        <w:rPr>
          <w:rFonts w:hint="eastAsia" w:ascii="微软雅黑" w:hAnsi="微软雅黑" w:eastAsia="微软雅黑" w:cs="微软雅黑"/>
          <w:sz w:val="24"/>
          <w:szCs w:val="24"/>
          <w:highlight w:val="none"/>
        </w:rPr>
        <w:t>20. 争议解决</w:t>
      </w:r>
      <w:bookmarkEnd w:id="1492"/>
    </w:p>
    <w:bookmarkEnd w:id="1477"/>
    <w:bookmarkEnd w:id="1478"/>
    <w:p w14:paraId="334FDC16">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20.3 争</w:t>
      </w:r>
      <w:bookmarkEnd w:id="1479"/>
      <w:r>
        <w:rPr>
          <w:rFonts w:hint="eastAsia" w:ascii="微软雅黑" w:hAnsi="微软雅黑" w:eastAsia="微软雅黑" w:cs="微软雅黑"/>
          <w:sz w:val="24"/>
          <w:highlight w:val="none"/>
        </w:rPr>
        <w:t>议评审</w:t>
      </w:r>
    </w:p>
    <w:p w14:paraId="6FA473A2">
      <w:pPr>
        <w:spacing w:line="460" w:lineRule="exact"/>
        <w:ind w:left="149" w:leftChars="71" w:firstLine="360" w:firstLineChars="15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合同当事人是否同意将工程争议提交争议评审小组决定：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 xml:space="preserve">。  </w:t>
      </w:r>
    </w:p>
    <w:p w14:paraId="79BE70A6">
      <w:pPr>
        <w:spacing w:line="460" w:lineRule="exact"/>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20.3.1 争议评审小组的确定</w:t>
      </w:r>
    </w:p>
    <w:p w14:paraId="35BD6644">
      <w:pPr>
        <w:spacing w:line="460" w:lineRule="exact"/>
        <w:ind w:firstLine="480" w:firstLineChars="200"/>
        <w:jc w:val="left"/>
        <w:rPr>
          <w:rFonts w:ascii="微软雅黑" w:hAnsi="微软雅黑" w:eastAsia="微软雅黑" w:cs="微软雅黑"/>
          <w:sz w:val="24"/>
          <w:highlight w:val="none"/>
          <w:u w:val="single"/>
        </w:rPr>
      </w:pPr>
      <w:r>
        <w:rPr>
          <w:rFonts w:hint="eastAsia" w:ascii="微软雅黑" w:hAnsi="微软雅黑" w:eastAsia="微软雅黑" w:cs="微软雅黑"/>
          <w:sz w:val="24"/>
          <w:highlight w:val="none"/>
        </w:rPr>
        <w:t>争议评审小组成员的确定：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524C39A">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选定争议评审员的期限：</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B573F9C">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争议评审小组成员的报酬承担方式：</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kern w:val="0"/>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420544A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其他事项的约定：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DE90773">
      <w:pPr>
        <w:autoSpaceDE w:val="0"/>
        <w:autoSpaceDN w:val="0"/>
        <w:adjustRightInd w:val="0"/>
        <w:spacing w:line="460" w:lineRule="exact"/>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20.3.2 争议评审小组的决定</w:t>
      </w:r>
    </w:p>
    <w:p w14:paraId="6EE61401">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合同当事人关于本项的约定：</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w:t>
      </w:r>
    </w:p>
    <w:p w14:paraId="7FB5B4D2">
      <w:pPr>
        <w:spacing w:after="120" w:line="460" w:lineRule="exact"/>
        <w:rPr>
          <w:rFonts w:ascii="微软雅黑" w:hAnsi="微软雅黑" w:eastAsia="微软雅黑" w:cs="微软雅黑"/>
          <w:sz w:val="24"/>
          <w:highlight w:val="none"/>
        </w:rPr>
      </w:pPr>
      <w:r>
        <w:rPr>
          <w:rFonts w:hint="eastAsia" w:ascii="微软雅黑" w:hAnsi="微软雅黑" w:eastAsia="微软雅黑" w:cs="微软雅黑"/>
          <w:sz w:val="24"/>
          <w:highlight w:val="none"/>
        </w:rPr>
        <w:t>20.4仲裁或诉讼</w:t>
      </w:r>
      <w:bookmarkEnd w:id="1480"/>
    </w:p>
    <w:p w14:paraId="3200581D">
      <w:pPr>
        <w:spacing w:after="120" w:line="460" w:lineRule="exact"/>
        <w:ind w:firstLine="480" w:firstLineChars="200"/>
        <w:rPr>
          <w:rFonts w:ascii="微软雅黑" w:hAnsi="微软雅黑" w:eastAsia="微软雅黑" w:cs="微软雅黑"/>
          <w:sz w:val="24"/>
          <w:highlight w:val="none"/>
        </w:rPr>
      </w:pPr>
      <w:r>
        <w:rPr>
          <w:rFonts w:hint="eastAsia" w:ascii="微软雅黑" w:hAnsi="微软雅黑" w:eastAsia="微软雅黑" w:cs="微软雅黑"/>
          <w:sz w:val="24"/>
          <w:highlight w:val="none"/>
        </w:rPr>
        <w:t>因合同及合同有关事项发生的争议，按下列第</w:t>
      </w:r>
      <w:r>
        <w:rPr>
          <w:rFonts w:hint="eastAsia" w:ascii="微软雅黑" w:hAnsi="微软雅黑" w:eastAsia="微软雅黑" w:cs="微软雅黑"/>
          <w:sz w:val="24"/>
          <w:highlight w:val="none"/>
          <w:u w:val="single"/>
        </w:rPr>
        <w:t xml:space="preserve">  2   </w:t>
      </w:r>
      <w:r>
        <w:rPr>
          <w:rFonts w:hint="eastAsia" w:ascii="微软雅黑" w:hAnsi="微软雅黑" w:eastAsia="微软雅黑" w:cs="微软雅黑"/>
          <w:sz w:val="24"/>
          <w:highlight w:val="none"/>
        </w:rPr>
        <w:t>种方式解决：</w:t>
      </w:r>
    </w:p>
    <w:p w14:paraId="6041218E">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（1）向</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b/>
          <w:sz w:val="24"/>
          <w:highlight w:val="none"/>
          <w:u w:val="single"/>
        </w:rPr>
        <w:t xml:space="preserve">/ </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仲裁委员会申请仲裁；</w:t>
      </w:r>
    </w:p>
    <w:p w14:paraId="309418F0">
      <w:pPr>
        <w:spacing w:line="460" w:lineRule="exact"/>
        <w:ind w:firstLine="480" w:firstLineChars="200"/>
        <w:jc w:val="left"/>
        <w:rPr>
          <w:rFonts w:ascii="微软雅黑" w:hAnsi="微软雅黑" w:eastAsia="微软雅黑" w:cs="微软雅黑"/>
          <w:sz w:val="24"/>
          <w:highlight w:val="none"/>
        </w:rPr>
      </w:pPr>
      <w:r>
        <w:rPr>
          <w:rFonts w:hint="eastAsia" w:ascii="微软雅黑" w:hAnsi="微软雅黑" w:eastAsia="微软雅黑" w:cs="微软雅黑"/>
          <w:sz w:val="24"/>
          <w:highlight w:val="none"/>
        </w:rPr>
        <w:t>（2）向</w:t>
      </w:r>
      <w:r>
        <w:rPr>
          <w:rFonts w:hint="eastAsia" w:ascii="微软雅黑" w:hAnsi="微软雅黑" w:eastAsia="微软雅黑" w:cs="微软雅黑"/>
          <w:sz w:val="24"/>
          <w:highlight w:val="none"/>
          <w:u w:val="single"/>
        </w:rPr>
        <w:t xml:space="preserve">       工程所在地      </w:t>
      </w:r>
      <w:r>
        <w:rPr>
          <w:rFonts w:hint="eastAsia" w:ascii="微软雅黑" w:hAnsi="微软雅黑" w:eastAsia="微软雅黑" w:cs="微软雅黑"/>
          <w:sz w:val="24"/>
          <w:highlight w:val="none"/>
        </w:rPr>
        <w:t>人民法院起诉。</w:t>
      </w:r>
      <w:bookmarkEnd w:id="1481"/>
      <w:bookmarkEnd w:id="1482"/>
      <w:bookmarkEnd w:id="1483"/>
      <w:bookmarkEnd w:id="1484"/>
      <w:bookmarkEnd w:id="1485"/>
      <w:bookmarkEnd w:id="1486"/>
    </w:p>
    <w:p w14:paraId="668B97CD">
      <w:pPr>
        <w:rPr>
          <w:rFonts w:ascii="微软雅黑" w:hAnsi="微软雅黑" w:eastAsia="微软雅黑" w:cs="微软雅黑"/>
          <w:sz w:val="24"/>
          <w:highlight w:val="none"/>
        </w:rPr>
      </w:pPr>
    </w:p>
    <w:p w14:paraId="533A686C">
      <w:pPr>
        <w:rPr>
          <w:rFonts w:ascii="微软雅黑" w:hAnsi="微软雅黑" w:eastAsia="微软雅黑" w:cs="微软雅黑"/>
          <w:sz w:val="24"/>
          <w:highlight w:val="none"/>
        </w:rPr>
      </w:pPr>
    </w:p>
    <w:p w14:paraId="55340894">
      <w:pPr>
        <w:rPr>
          <w:rFonts w:ascii="微软雅黑" w:hAnsi="微软雅黑" w:eastAsia="微软雅黑" w:cs="微软雅黑"/>
          <w:sz w:val="24"/>
          <w:highlight w:val="none"/>
        </w:rPr>
      </w:pPr>
    </w:p>
    <w:p w14:paraId="485024E4">
      <w:pPr>
        <w:pStyle w:val="6"/>
        <w:spacing w:line="360" w:lineRule="exact"/>
        <w:ind w:firstLine="3001" w:firstLineChars="1000"/>
        <w:jc w:val="both"/>
        <w:rPr>
          <w:rFonts w:ascii="微软雅黑" w:hAnsi="微软雅黑" w:eastAsia="微软雅黑" w:cs="微软雅黑"/>
          <w:szCs w:val="30"/>
          <w:highlight w:val="none"/>
        </w:rPr>
      </w:pPr>
      <w:bookmarkStart w:id="1493" w:name="_Toc11809"/>
      <w:bookmarkStart w:id="1494" w:name="_Toc15357"/>
      <w:bookmarkStart w:id="1495" w:name="_Toc7645"/>
      <w:bookmarkStart w:id="1496" w:name="_Toc1993"/>
      <w:bookmarkStart w:id="1497" w:name="_Toc16623"/>
      <w:bookmarkStart w:id="1498" w:name="_Toc495501807"/>
      <w:bookmarkStart w:id="1499" w:name="_Toc4838"/>
      <w:bookmarkStart w:id="1500" w:name="_Toc418164812"/>
      <w:r>
        <w:rPr>
          <w:rFonts w:hint="eastAsia" w:ascii="微软雅黑" w:hAnsi="微软雅黑" w:eastAsia="微软雅黑" w:cs="微软雅黑"/>
          <w:szCs w:val="30"/>
          <w:highlight w:val="none"/>
        </w:rPr>
        <w:t>第三节 合同文件格式</w:t>
      </w:r>
      <w:bookmarkEnd w:id="1493"/>
      <w:bookmarkEnd w:id="1494"/>
      <w:bookmarkEnd w:id="1495"/>
      <w:bookmarkEnd w:id="1496"/>
      <w:bookmarkEnd w:id="1497"/>
      <w:bookmarkEnd w:id="1498"/>
      <w:bookmarkEnd w:id="1499"/>
      <w:bookmarkEnd w:id="1500"/>
    </w:p>
    <w:p w14:paraId="0B2F8DA5">
      <w:pPr>
        <w:spacing w:line="500" w:lineRule="exact"/>
        <w:rPr>
          <w:rFonts w:ascii="微软雅黑" w:hAnsi="微软雅黑" w:eastAsia="微软雅黑" w:cs="微软雅黑"/>
          <w:kern w:val="0"/>
          <w:sz w:val="24"/>
          <w:highlight w:val="none"/>
        </w:rPr>
      </w:pPr>
      <w:r>
        <w:rPr>
          <w:rFonts w:hint="eastAsia" w:ascii="微软雅黑" w:hAnsi="微软雅黑" w:eastAsia="微软雅黑" w:cs="微软雅黑"/>
          <w:b/>
          <w:kern w:val="0"/>
          <w:sz w:val="24"/>
          <w:highlight w:val="none"/>
        </w:rPr>
        <w:t>1.合同文件格式</w:t>
      </w:r>
    </w:p>
    <w:p w14:paraId="789FA209">
      <w:pPr>
        <w:spacing w:line="500" w:lineRule="exact"/>
        <w:ind w:firstLine="480" w:firstLineChars="200"/>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1.1 依据设计文件</w:t>
      </w:r>
      <w:r>
        <w:rPr>
          <w:rFonts w:hint="eastAsia" w:ascii="微软雅黑" w:hAnsi="微软雅黑" w:eastAsia="微软雅黑" w:cs="微软雅黑"/>
          <w:color w:val="FF0000"/>
          <w:kern w:val="0"/>
          <w:sz w:val="24"/>
          <w:highlight w:val="none"/>
          <w:lang w:val="en-US" w:eastAsia="zh-CN"/>
        </w:rPr>
        <w:t>及工程量清单</w:t>
      </w:r>
      <w:r>
        <w:rPr>
          <w:rFonts w:hint="eastAsia" w:ascii="微软雅黑" w:hAnsi="微软雅黑" w:eastAsia="微软雅黑" w:cs="微软雅黑"/>
          <w:kern w:val="0"/>
          <w:sz w:val="24"/>
          <w:highlight w:val="none"/>
        </w:rPr>
        <w:t>的要求，本工程采购项目的材料、设备、施工必须达到现行中华人民共和国以及自治区和行业的工程建设标准、规范的要求。</w:t>
      </w:r>
    </w:p>
    <w:p w14:paraId="477836F6">
      <w:pPr>
        <w:autoSpaceDE w:val="0"/>
        <w:autoSpaceDN w:val="0"/>
        <w:adjustRightInd w:val="0"/>
        <w:spacing w:line="500" w:lineRule="exact"/>
        <w:ind w:left="2" w:firstLine="482" w:firstLineChars="201"/>
        <w:jc w:val="left"/>
        <w:rPr>
          <w:rFonts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1.2 建设工程施工合同的“合同条件”采用国家工商行政管理局和建设部颁发的《建设工程施工合同》（</w:t>
      </w:r>
      <w:r>
        <w:rPr>
          <w:rFonts w:hint="eastAsia" w:ascii="微软雅黑" w:hAnsi="微软雅黑" w:eastAsia="微软雅黑" w:cs="微软雅黑"/>
          <w:b/>
          <w:kern w:val="0"/>
          <w:sz w:val="24"/>
          <w:highlight w:val="none"/>
        </w:rPr>
        <w:t xml:space="preserve"> </w:t>
      </w:r>
      <w:r>
        <w:rPr>
          <w:rFonts w:hint="eastAsia" w:ascii="微软雅黑" w:hAnsi="微软雅黑" w:eastAsia="微软雅黑" w:cs="微软雅黑"/>
          <w:b/>
          <w:kern w:val="0"/>
          <w:sz w:val="24"/>
          <w:highlight w:val="none"/>
          <w:u w:val="single"/>
        </w:rPr>
        <w:t>GF-2017-0201</w:t>
      </w:r>
      <w:r>
        <w:rPr>
          <w:rFonts w:hint="eastAsia" w:ascii="微软雅黑" w:hAnsi="微软雅黑" w:eastAsia="微软雅黑" w:cs="微软雅黑"/>
          <w:kern w:val="0"/>
          <w:sz w:val="24"/>
          <w:highlight w:val="none"/>
        </w:rPr>
        <w:t xml:space="preserve"> ）的合同条件。</w:t>
      </w:r>
    </w:p>
    <w:p w14:paraId="271976EE">
      <w:pPr>
        <w:spacing w:line="500" w:lineRule="exact"/>
        <w:ind w:firstLine="480" w:firstLineChars="200"/>
        <w:rPr>
          <w:rFonts w:ascii="微软雅黑" w:hAnsi="微软雅黑" w:eastAsia="微软雅黑" w:cs="微软雅黑"/>
          <w:highlight w:val="none"/>
        </w:rPr>
      </w:pPr>
      <w:r>
        <w:rPr>
          <w:rFonts w:hint="eastAsia" w:ascii="微软雅黑" w:hAnsi="微软雅黑" w:eastAsia="微软雅黑" w:cs="微软雅黑"/>
          <w:kern w:val="0"/>
          <w:sz w:val="24"/>
          <w:highlight w:val="none"/>
        </w:rPr>
        <w:t>1.3 合同协议条款将</w:t>
      </w:r>
      <w:r>
        <w:rPr>
          <w:rFonts w:hint="eastAsia" w:ascii="微软雅黑" w:hAnsi="微软雅黑" w:eastAsia="微软雅黑" w:cs="微软雅黑"/>
          <w:color w:val="FF0000"/>
          <w:kern w:val="0"/>
          <w:sz w:val="24"/>
          <w:highlight w:val="none"/>
        </w:rPr>
        <w:t>由</w:t>
      </w:r>
      <w:r>
        <w:rPr>
          <w:rFonts w:hint="eastAsia" w:ascii="微软雅黑" w:hAnsi="微软雅黑" w:eastAsia="微软雅黑" w:cs="微软雅黑"/>
          <w:color w:val="FF0000"/>
          <w:kern w:val="0"/>
          <w:sz w:val="24"/>
          <w:highlight w:val="none"/>
          <w:lang w:val="en-US" w:eastAsia="zh-CN"/>
        </w:rPr>
        <w:t>采购人</w:t>
      </w:r>
      <w:r>
        <w:rPr>
          <w:rFonts w:hint="eastAsia" w:ascii="微软雅黑" w:hAnsi="微软雅黑" w:eastAsia="微软雅黑" w:cs="微软雅黑"/>
          <w:kern w:val="0"/>
          <w:sz w:val="24"/>
          <w:highlight w:val="none"/>
        </w:rPr>
        <w:t>（发包人）与</w:t>
      </w:r>
      <w:r>
        <w:rPr>
          <w:rFonts w:hint="eastAsia" w:ascii="微软雅黑" w:hAnsi="微软雅黑" w:eastAsia="微软雅黑" w:cs="微软雅黑"/>
          <w:color w:val="FF0000"/>
          <w:kern w:val="0"/>
          <w:sz w:val="24"/>
          <w:highlight w:val="none"/>
          <w:lang w:val="en-US" w:eastAsia="zh-CN"/>
        </w:rPr>
        <w:t>成交供应商</w:t>
      </w:r>
      <w:r>
        <w:rPr>
          <w:rFonts w:hint="eastAsia" w:ascii="微软雅黑" w:hAnsi="微软雅黑" w:eastAsia="微软雅黑" w:cs="微软雅黑"/>
          <w:kern w:val="0"/>
          <w:sz w:val="24"/>
          <w:highlight w:val="none"/>
        </w:rPr>
        <w:t>（承包人）结合本工程具体情况协商后签订。</w:t>
      </w:r>
      <w:bookmarkEnd w:id="1034"/>
      <w:bookmarkEnd w:id="1035"/>
      <w:bookmarkEnd w:id="1036"/>
      <w:bookmarkEnd w:id="1037"/>
    </w:p>
    <w:p w14:paraId="57262F2B">
      <w:pPr>
        <w:rPr>
          <w:highlight w:val="none"/>
        </w:rPr>
      </w:pPr>
    </w:p>
    <w:sectPr>
      <w:headerReference r:id="rId7" w:type="default"/>
      <w:footerReference r:id="rId8"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3248">
    <w:pPr>
      <w:pStyle w:val="18"/>
      <w:jc w:val="center"/>
    </w:pPr>
    <w:r>
      <w:rPr>
        <w:rFonts w:hint="eastAsia"/>
        <w:color w:val="FF0000"/>
      </w:rPr>
      <w:tab/>
    </w:r>
    <w:r>
      <w:rPr>
        <w:rFonts w:hint="eastAsia"/>
        <w:color w:val="FF0000"/>
      </w:rPr>
      <w:tab/>
    </w:r>
  </w:p>
  <w:p w14:paraId="2C11F4CA">
    <w:pPr>
      <w:pStyle w:val="18"/>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F66A">
    <w:pPr>
      <w:pStyle w:val="18"/>
      <w:jc w:val="center"/>
    </w:pPr>
    <w:r>
      <w:rPr>
        <w:rFonts w:hint="eastAsia"/>
        <w:color w:val="FF0000"/>
      </w:rPr>
      <w:tab/>
    </w:r>
  </w:p>
  <w:p w14:paraId="1569B15E">
    <w:pPr>
      <w:pStyle w:val="18"/>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3E4F4">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9FB79">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FD9FB79">
                    <w:pPr>
                      <w:pStyle w:val="18"/>
                    </w:pPr>
                    <w:r>
                      <w:fldChar w:fldCharType="begin"/>
                    </w:r>
                    <w:r>
                      <w:instrText xml:space="preserve"> PAGE  \* MERGEFORMAT </w:instrText>
                    </w:r>
                    <w:r>
                      <w:fldChar w:fldCharType="separate"/>
                    </w:r>
                    <w:r>
                      <w:t>45</w:t>
                    </w:r>
                    <w:r>
                      <w:fldChar w:fldCharType="end"/>
                    </w:r>
                  </w:p>
                </w:txbxContent>
              </v:textbox>
            </v:shape>
          </w:pict>
        </mc:Fallback>
      </mc:AlternateContent>
    </w:r>
  </w:p>
  <w:p w14:paraId="14F60AA7">
    <w:pPr>
      <w:pStyle w:val="18"/>
      <w:tabs>
        <w:tab w:val="center" w:pos="4036"/>
        <w:tab w:val="center" w:pos="4355"/>
        <w:tab w:val="right" w:pos="8312"/>
        <w:tab w:val="right" w:pos="8950"/>
        <w:tab w:val="clear" w:pos="8306"/>
      </w:tabs>
      <w:ind w:right="360"/>
    </w:pPr>
    <w:r>
      <w:rPr>
        <w:rFonts w:hint="eastAsia"/>
        <w:color w:val="FF0000"/>
      </w:rPr>
      <w:tab/>
    </w:r>
    <w:r>
      <w:rPr>
        <w:rFonts w:hint="eastAsia"/>
        <w:color w:val="FF0000"/>
      </w:rPr>
      <w:tab/>
    </w:r>
    <w:r>
      <w:rPr>
        <w:rFonts w:hint="eastAsia"/>
        <w:color w:val="FF000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D427">
    <w:pPr>
      <w:pStyle w:val="18"/>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EA96F">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4FEA96F">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4738">
    <w:pPr>
      <w:pStyle w:val="19"/>
      <w:pBdr>
        <w:bottom w:val="double" w:color="auto" w:sz="8" w:space="0"/>
      </w:pBdr>
      <w:jc w:val="left"/>
    </w:pPr>
    <w:r>
      <w:rPr>
        <w:position w:val="-12"/>
      </w:rPr>
      <w:drawing>
        <wp:inline distT="0" distB="0" distL="0" distR="0">
          <wp:extent cx="1644015" cy="386715"/>
          <wp:effectExtent l="0" t="0" r="6985" b="698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1644395" cy="3870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6C1F2">
    <w:pPr>
      <w:pStyle w:val="19"/>
      <w:pBdr>
        <w:bottom w:val="double" w:color="auto" w:sz="8" w:space="0"/>
      </w:pBdr>
      <w:jc w:val="left"/>
    </w:pPr>
    <w:r>
      <w:rPr>
        <w:position w:val="-12"/>
      </w:rPr>
      <w:drawing>
        <wp:inline distT="0" distB="0" distL="0" distR="0">
          <wp:extent cx="1644015" cy="386715"/>
          <wp:effectExtent l="0" t="0" r="6985" b="6985"/>
          <wp:docPr id="5" name="IM 2"/>
          <wp:cNvGraphicFramePr/>
          <a:graphic xmlns:a="http://schemas.openxmlformats.org/drawingml/2006/main">
            <a:graphicData uri="http://schemas.openxmlformats.org/drawingml/2006/picture">
              <pic:pic xmlns:pic="http://schemas.openxmlformats.org/drawingml/2006/picture">
                <pic:nvPicPr>
                  <pic:cNvPr id="5" name="IM 2"/>
                  <pic:cNvPicPr/>
                </pic:nvPicPr>
                <pic:blipFill>
                  <a:blip r:embed="rId1"/>
                  <a:stretch>
                    <a:fillRect/>
                  </a:stretch>
                </pic:blipFill>
                <pic:spPr>
                  <a:xfrm>
                    <a:off x="0" y="0"/>
                    <a:ext cx="1644395" cy="387095"/>
                  </a:xfrm>
                  <a:prstGeom prst="rect">
                    <a:avLst/>
                  </a:prstGeom>
                </pic:spPr>
              </pic:pic>
            </a:graphicData>
          </a:graphic>
        </wp:inline>
      </w:drawing>
    </w:r>
  </w:p>
  <w:p w14:paraId="6C096446">
    <w:pPr>
      <w:pStyle w:val="1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A7EDA"/>
    <w:multiLevelType w:val="singleLevel"/>
    <w:tmpl w:val="A3DA7EDA"/>
    <w:lvl w:ilvl="0" w:tentative="0">
      <w:start w:val="2"/>
      <w:numFmt w:val="decimal"/>
      <w:lvlText w:val="%1."/>
      <w:lvlJc w:val="left"/>
      <w:pPr>
        <w:tabs>
          <w:tab w:val="left" w:pos="312"/>
        </w:tabs>
      </w:pPr>
    </w:lvl>
  </w:abstractNum>
  <w:abstractNum w:abstractNumId="1">
    <w:nsid w:val="CFAF0D4B"/>
    <w:multiLevelType w:val="singleLevel"/>
    <w:tmpl w:val="CFAF0D4B"/>
    <w:lvl w:ilvl="0" w:tentative="0">
      <w:start w:val="1"/>
      <w:numFmt w:val="decimal"/>
      <w:pStyle w:val="21"/>
      <w:lvlText w:val="%1."/>
      <w:lvlJc w:val="left"/>
      <w:pPr>
        <w:tabs>
          <w:tab w:val="left" w:pos="2040"/>
        </w:tabs>
        <w:ind w:left="2040" w:hanging="360"/>
      </w:pPr>
    </w:lvl>
  </w:abstractNum>
  <w:abstractNum w:abstractNumId="2">
    <w:nsid w:val="F49050C9"/>
    <w:multiLevelType w:val="singleLevel"/>
    <w:tmpl w:val="F49050C9"/>
    <w:lvl w:ilvl="0" w:tentative="0">
      <w:start w:val="4"/>
      <w:numFmt w:val="chineseCounting"/>
      <w:suff w:val="nothing"/>
      <w:lvlText w:val="%1、"/>
      <w:lvlJc w:val="left"/>
      <w:rPr>
        <w:rFonts w:hint="eastAsia"/>
      </w:rPr>
    </w:lvl>
  </w:abstractNum>
  <w:abstractNum w:abstractNumId="3">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103750C4"/>
    <w:multiLevelType w:val="singleLevel"/>
    <w:tmpl w:val="103750C4"/>
    <w:lvl w:ilvl="0" w:tentative="0">
      <w:start w:val="1"/>
      <w:numFmt w:val="decimal"/>
      <w:lvlText w:val="%1."/>
      <w:lvlJc w:val="left"/>
      <w:pPr>
        <w:tabs>
          <w:tab w:val="left" w:pos="312"/>
        </w:tabs>
      </w:pPr>
    </w:lvl>
  </w:abstractNum>
  <w:abstractNum w:abstractNumId="5">
    <w:nsid w:val="59ADCABA"/>
    <w:multiLevelType w:val="singleLevel"/>
    <w:tmpl w:val="59ADCABA"/>
    <w:lvl w:ilvl="0" w:tentative="0">
      <w:start w:val="4"/>
      <w:numFmt w:val="decimal"/>
      <w:lvlText w:val="%1."/>
      <w:lvlJc w:val="left"/>
      <w:pPr>
        <w:tabs>
          <w:tab w:val="left" w:pos="312"/>
        </w:tabs>
      </w:pPr>
    </w:lvl>
  </w:abstractNum>
  <w:abstractNum w:abstractNumId="6">
    <w:nsid w:val="5F6155EC"/>
    <w:multiLevelType w:val="singleLevel"/>
    <w:tmpl w:val="5F6155EC"/>
    <w:lvl w:ilvl="0" w:tentative="0">
      <w:start w:val="5"/>
      <w:numFmt w:val="decimal"/>
      <w:suff w:val="space"/>
      <w:lvlText w:val="第%1章"/>
      <w:lvlJc w:val="left"/>
    </w:lvl>
  </w:abstractNum>
  <w:abstractNum w:abstractNumId="7">
    <w:nsid w:val="6005F10E"/>
    <w:multiLevelType w:val="multilevel"/>
    <w:tmpl w:val="6005F10E"/>
    <w:lvl w:ilvl="0" w:tentative="0">
      <w:start w:val="15"/>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6233D63C"/>
    <w:multiLevelType w:val="singleLevel"/>
    <w:tmpl w:val="6233D63C"/>
    <w:lvl w:ilvl="0" w:tentative="0">
      <w:start w:val="11"/>
      <w:numFmt w:val="decimal"/>
      <w:lvlText w:val="%1."/>
      <w:lvlJc w:val="left"/>
      <w:pPr>
        <w:tabs>
          <w:tab w:val="left" w:pos="312"/>
        </w:tabs>
      </w:pPr>
    </w:lvl>
  </w:abstractNum>
  <w:num w:numId="1">
    <w:abstractNumId w:val="1"/>
  </w:num>
  <w:num w:numId="2">
    <w:abstractNumId w:val="7"/>
  </w:num>
  <w:num w:numId="3">
    <w:abstractNumId w:val="3"/>
  </w:num>
  <w:num w:numId="4">
    <w:abstractNumId w:val="0"/>
  </w:num>
  <w:num w:numId="5">
    <w:abstractNumId w:val="8"/>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1A33"/>
    <w:rsid w:val="00EA12AA"/>
    <w:rsid w:val="01201F10"/>
    <w:rsid w:val="018239F6"/>
    <w:rsid w:val="039F155D"/>
    <w:rsid w:val="040C6A6B"/>
    <w:rsid w:val="0433224A"/>
    <w:rsid w:val="046643CE"/>
    <w:rsid w:val="04BF4664"/>
    <w:rsid w:val="061A5470"/>
    <w:rsid w:val="062F6A41"/>
    <w:rsid w:val="068A241E"/>
    <w:rsid w:val="06E97A0E"/>
    <w:rsid w:val="07126147"/>
    <w:rsid w:val="08947A2D"/>
    <w:rsid w:val="08BC1C83"/>
    <w:rsid w:val="08BD6586"/>
    <w:rsid w:val="08DB36C0"/>
    <w:rsid w:val="091D4B74"/>
    <w:rsid w:val="09420839"/>
    <w:rsid w:val="098470A4"/>
    <w:rsid w:val="09CC303E"/>
    <w:rsid w:val="0A26126C"/>
    <w:rsid w:val="0AF02C43"/>
    <w:rsid w:val="0B7A075E"/>
    <w:rsid w:val="0BA63302"/>
    <w:rsid w:val="0CC223BD"/>
    <w:rsid w:val="0E0E518E"/>
    <w:rsid w:val="0E5A21A9"/>
    <w:rsid w:val="0E5E4367"/>
    <w:rsid w:val="1041184B"/>
    <w:rsid w:val="106A2B50"/>
    <w:rsid w:val="108300B5"/>
    <w:rsid w:val="10B262A5"/>
    <w:rsid w:val="11107042"/>
    <w:rsid w:val="1189484A"/>
    <w:rsid w:val="119836EC"/>
    <w:rsid w:val="12723F3D"/>
    <w:rsid w:val="13561AB1"/>
    <w:rsid w:val="13C44EC5"/>
    <w:rsid w:val="13D635C8"/>
    <w:rsid w:val="148B3038"/>
    <w:rsid w:val="15187A6C"/>
    <w:rsid w:val="15763D45"/>
    <w:rsid w:val="15CE2E31"/>
    <w:rsid w:val="164F7A9C"/>
    <w:rsid w:val="16907088"/>
    <w:rsid w:val="16E3540A"/>
    <w:rsid w:val="16EB0EEA"/>
    <w:rsid w:val="16EB42BE"/>
    <w:rsid w:val="17AF1881"/>
    <w:rsid w:val="17E07B9B"/>
    <w:rsid w:val="17E92EF4"/>
    <w:rsid w:val="18C82B09"/>
    <w:rsid w:val="18FF1CF1"/>
    <w:rsid w:val="196327C9"/>
    <w:rsid w:val="197E141A"/>
    <w:rsid w:val="199944A6"/>
    <w:rsid w:val="19DD12BB"/>
    <w:rsid w:val="1A355A25"/>
    <w:rsid w:val="1B124510"/>
    <w:rsid w:val="1BF47607"/>
    <w:rsid w:val="1C9378D2"/>
    <w:rsid w:val="1CA4563B"/>
    <w:rsid w:val="1CDB1794"/>
    <w:rsid w:val="1D6E79F7"/>
    <w:rsid w:val="1D98142E"/>
    <w:rsid w:val="20462CBF"/>
    <w:rsid w:val="21947BAF"/>
    <w:rsid w:val="22650A8C"/>
    <w:rsid w:val="22725D39"/>
    <w:rsid w:val="22947F00"/>
    <w:rsid w:val="230166D9"/>
    <w:rsid w:val="241237D2"/>
    <w:rsid w:val="24720AA2"/>
    <w:rsid w:val="256B13EC"/>
    <w:rsid w:val="259D531E"/>
    <w:rsid w:val="25DC4098"/>
    <w:rsid w:val="2601765A"/>
    <w:rsid w:val="264A1001"/>
    <w:rsid w:val="26704220"/>
    <w:rsid w:val="26E054C2"/>
    <w:rsid w:val="26F1147D"/>
    <w:rsid w:val="27767BD4"/>
    <w:rsid w:val="28245882"/>
    <w:rsid w:val="28D32BF7"/>
    <w:rsid w:val="295E3016"/>
    <w:rsid w:val="29B42C36"/>
    <w:rsid w:val="2A6428AE"/>
    <w:rsid w:val="2B163BA8"/>
    <w:rsid w:val="2B2A446F"/>
    <w:rsid w:val="2BC901E5"/>
    <w:rsid w:val="2E3507E9"/>
    <w:rsid w:val="2FE83639"/>
    <w:rsid w:val="30B96D0F"/>
    <w:rsid w:val="30E1618E"/>
    <w:rsid w:val="3280660D"/>
    <w:rsid w:val="332B4C46"/>
    <w:rsid w:val="334B6455"/>
    <w:rsid w:val="33C63C91"/>
    <w:rsid w:val="349819ED"/>
    <w:rsid w:val="356B2D42"/>
    <w:rsid w:val="35E825E5"/>
    <w:rsid w:val="36462E68"/>
    <w:rsid w:val="369D1B60"/>
    <w:rsid w:val="36E62DD3"/>
    <w:rsid w:val="37B753FC"/>
    <w:rsid w:val="3958538C"/>
    <w:rsid w:val="39697599"/>
    <w:rsid w:val="3AF64E5C"/>
    <w:rsid w:val="3B0A0908"/>
    <w:rsid w:val="3C357C06"/>
    <w:rsid w:val="3E8B6203"/>
    <w:rsid w:val="3F9966FE"/>
    <w:rsid w:val="3FCA68B7"/>
    <w:rsid w:val="3FE77469"/>
    <w:rsid w:val="40C77D7C"/>
    <w:rsid w:val="419C7ECA"/>
    <w:rsid w:val="422A188F"/>
    <w:rsid w:val="42C5318D"/>
    <w:rsid w:val="42E63A08"/>
    <w:rsid w:val="4302227B"/>
    <w:rsid w:val="432E715D"/>
    <w:rsid w:val="435B2648"/>
    <w:rsid w:val="4374370A"/>
    <w:rsid w:val="44F87A23"/>
    <w:rsid w:val="450E7246"/>
    <w:rsid w:val="45BF6C7C"/>
    <w:rsid w:val="474927B8"/>
    <w:rsid w:val="47633879"/>
    <w:rsid w:val="47C54534"/>
    <w:rsid w:val="48735221"/>
    <w:rsid w:val="48834EB1"/>
    <w:rsid w:val="48EB621C"/>
    <w:rsid w:val="497F0713"/>
    <w:rsid w:val="4B1F78CE"/>
    <w:rsid w:val="4CC306FE"/>
    <w:rsid w:val="4CCE79E7"/>
    <w:rsid w:val="4CF21575"/>
    <w:rsid w:val="4D994499"/>
    <w:rsid w:val="4DF979C3"/>
    <w:rsid w:val="4F0A1253"/>
    <w:rsid w:val="4FBC446F"/>
    <w:rsid w:val="4FC81BF6"/>
    <w:rsid w:val="4FF80594"/>
    <w:rsid w:val="50CF1F80"/>
    <w:rsid w:val="516C5A20"/>
    <w:rsid w:val="51A27694"/>
    <w:rsid w:val="51FC0012"/>
    <w:rsid w:val="543727CB"/>
    <w:rsid w:val="54C4504C"/>
    <w:rsid w:val="550B7314"/>
    <w:rsid w:val="554051FA"/>
    <w:rsid w:val="55603AEE"/>
    <w:rsid w:val="55717434"/>
    <w:rsid w:val="55955286"/>
    <w:rsid w:val="56C8194B"/>
    <w:rsid w:val="57201787"/>
    <w:rsid w:val="573A1B6B"/>
    <w:rsid w:val="57560D05"/>
    <w:rsid w:val="57FE314A"/>
    <w:rsid w:val="580A0135"/>
    <w:rsid w:val="581A4428"/>
    <w:rsid w:val="59CA3287"/>
    <w:rsid w:val="5A404A54"/>
    <w:rsid w:val="5B2F1E88"/>
    <w:rsid w:val="5C5B6DBD"/>
    <w:rsid w:val="5D7919D1"/>
    <w:rsid w:val="5E115985"/>
    <w:rsid w:val="60397415"/>
    <w:rsid w:val="605E50CE"/>
    <w:rsid w:val="60BF3DBF"/>
    <w:rsid w:val="61384E28"/>
    <w:rsid w:val="621524DE"/>
    <w:rsid w:val="6252656D"/>
    <w:rsid w:val="62AA476A"/>
    <w:rsid w:val="62F93AED"/>
    <w:rsid w:val="62F95DB4"/>
    <w:rsid w:val="638D125E"/>
    <w:rsid w:val="64103880"/>
    <w:rsid w:val="662446C4"/>
    <w:rsid w:val="671A62EE"/>
    <w:rsid w:val="677E4A78"/>
    <w:rsid w:val="690B56C7"/>
    <w:rsid w:val="692C7B17"/>
    <w:rsid w:val="69583F61"/>
    <w:rsid w:val="69694880"/>
    <w:rsid w:val="69FA19C4"/>
    <w:rsid w:val="6B621F16"/>
    <w:rsid w:val="6B80239C"/>
    <w:rsid w:val="6B9023FF"/>
    <w:rsid w:val="6C250955"/>
    <w:rsid w:val="6EB85889"/>
    <w:rsid w:val="6EC83724"/>
    <w:rsid w:val="6F3D018E"/>
    <w:rsid w:val="703F03E2"/>
    <w:rsid w:val="72D66D46"/>
    <w:rsid w:val="73223D39"/>
    <w:rsid w:val="73713B50"/>
    <w:rsid w:val="753C5586"/>
    <w:rsid w:val="75510906"/>
    <w:rsid w:val="757A60AE"/>
    <w:rsid w:val="75C96EEA"/>
    <w:rsid w:val="782407F3"/>
    <w:rsid w:val="7831514A"/>
    <w:rsid w:val="78AC47D1"/>
    <w:rsid w:val="79202AC9"/>
    <w:rsid w:val="79CD2C51"/>
    <w:rsid w:val="7AF379C5"/>
    <w:rsid w:val="7AF4420D"/>
    <w:rsid w:val="7D6B5060"/>
    <w:rsid w:val="7E3913D0"/>
    <w:rsid w:val="7F073CE0"/>
    <w:rsid w:val="7F1B445E"/>
    <w:rsid w:val="7F645E05"/>
    <w:rsid w:val="7F7B0CE6"/>
    <w:rsid w:val="7F7B6CAB"/>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37"/>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6">
    <w:name w:val="heading 2"/>
    <w:basedOn w:val="1"/>
    <w:next w:val="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10">
    <w:name w:val="heading 3"/>
    <w:basedOn w:val="1"/>
    <w:next w:val="8"/>
    <w:qFormat/>
    <w:uiPriority w:val="0"/>
    <w:pPr>
      <w:spacing w:before="360" w:after="120"/>
      <w:jc w:val="left"/>
      <w:outlineLvl w:val="2"/>
    </w:pPr>
    <w:rPr>
      <w:rFonts w:ascii="宋体" w:hAnsi="Times New Roman"/>
      <w:sz w:val="24"/>
      <w:u w:val="single"/>
    </w:rPr>
  </w:style>
  <w:style w:type="paragraph" w:styleId="11">
    <w:name w:val="heading 4"/>
    <w:basedOn w:val="1"/>
    <w:next w:val="1"/>
    <w:qFormat/>
    <w:uiPriority w:val="0"/>
    <w:pPr>
      <w:keepNext/>
      <w:keepLines/>
      <w:spacing w:before="280" w:after="290" w:line="374" w:lineRule="auto"/>
      <w:ind w:left="1296" w:hanging="1296"/>
      <w:jc w:val="left"/>
      <w:outlineLvl w:val="3"/>
    </w:pPr>
    <w:rPr>
      <w:rFonts w:ascii="Cambria" w:hAnsi="Cambria" w:eastAsia="黑体"/>
      <w:bCs/>
      <w:kern w:val="0"/>
      <w:sz w:val="28"/>
      <w:szCs w:val="28"/>
    </w:rPr>
  </w:style>
  <w:style w:type="paragraph" w:styleId="12">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Times New Roman" w:hAnsi="Times New Roman"/>
      <w:sz w:val="18"/>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ind w:firstLine="420" w:firstLineChars="100"/>
    </w:pPr>
  </w:style>
  <w:style w:type="paragraph" w:customStyle="1" w:styleId="7">
    <w:name w:val="文档正文"/>
    <w:basedOn w:val="8"/>
    <w:qFormat/>
    <w:uiPriority w:val="0"/>
    <w:pPr>
      <w:spacing w:line="480" w:lineRule="atLeast"/>
      <w:textAlignment w:val="baseline"/>
    </w:pPr>
  </w:style>
  <w:style w:type="paragraph" w:styleId="8">
    <w:name w:val="Normal Indent"/>
    <w:basedOn w:val="1"/>
    <w:next w:val="9"/>
    <w:qFormat/>
    <w:uiPriority w:val="0"/>
    <w:pPr>
      <w:autoSpaceDE w:val="0"/>
      <w:autoSpaceDN w:val="0"/>
      <w:adjustRightInd w:val="0"/>
      <w:ind w:firstLine="420"/>
      <w:jc w:val="left"/>
    </w:pPr>
    <w:rPr>
      <w:rFonts w:ascii="宋体" w:hAnsi="Times New Roman"/>
      <w:kern w:val="0"/>
      <w:sz w:val="24"/>
      <w:szCs w:val="20"/>
    </w:rPr>
  </w:style>
  <w:style w:type="paragraph" w:styleId="9">
    <w:name w:val="toa heading"/>
    <w:basedOn w:val="1"/>
    <w:next w:val="1"/>
    <w:qFormat/>
    <w:uiPriority w:val="0"/>
    <w:pPr>
      <w:widowControl/>
      <w:spacing w:before="120"/>
      <w:ind w:firstLine="3584"/>
    </w:pPr>
  </w:style>
  <w:style w:type="paragraph" w:styleId="13">
    <w:name w:val="index 6"/>
    <w:basedOn w:val="1"/>
    <w:next w:val="1"/>
    <w:qFormat/>
    <w:uiPriority w:val="99"/>
    <w:pPr>
      <w:ind w:left="2100"/>
    </w:pPr>
  </w:style>
  <w:style w:type="paragraph" w:styleId="14">
    <w:name w:val="Body Text Indent"/>
    <w:basedOn w:val="1"/>
    <w:next w:val="1"/>
    <w:qFormat/>
    <w:uiPriority w:val="0"/>
    <w:pPr>
      <w:spacing w:line="360" w:lineRule="auto"/>
      <w:ind w:firstLine="570"/>
    </w:pPr>
    <w:rPr>
      <w:rFonts w:ascii="Times New Roman" w:hAnsi="Times New Roman"/>
      <w:sz w:val="24"/>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Cs w:val="20"/>
    </w:rPr>
  </w:style>
  <w:style w:type="paragraph" w:styleId="17">
    <w:name w:val="Body Text Indent 2"/>
    <w:basedOn w:val="1"/>
    <w:qFormat/>
    <w:uiPriority w:val="0"/>
    <w:pPr>
      <w:spacing w:line="420" w:lineRule="atLeast"/>
      <w:ind w:firstLine="361" w:firstLineChars="150"/>
    </w:pPr>
    <w:rPr>
      <w:rFonts w:ascii="宋体" w:hAnsi="宋体"/>
      <w:b/>
      <w:sz w:val="24"/>
    </w:rPr>
  </w:style>
  <w:style w:type="paragraph" w:styleId="18">
    <w:name w:val="footer"/>
    <w:basedOn w:val="1"/>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1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0">
    <w:name w:val="toc 1"/>
    <w:basedOn w:val="1"/>
    <w:next w:val="1"/>
    <w:qFormat/>
    <w:uiPriority w:val="0"/>
    <w:rPr>
      <w:rFonts w:ascii="Times New Roman" w:hAnsi="Times New Roman"/>
    </w:rPr>
  </w:style>
  <w:style w:type="paragraph" w:styleId="21">
    <w:name w:val="List Number 5"/>
    <w:basedOn w:val="1"/>
    <w:qFormat/>
    <w:uiPriority w:val="0"/>
    <w:pPr>
      <w:numPr>
        <w:ilvl w:val="0"/>
        <w:numId w:val="1"/>
      </w:numPr>
    </w:pPr>
  </w:style>
  <w:style w:type="paragraph" w:styleId="22">
    <w:name w:val="index 7"/>
    <w:basedOn w:val="1"/>
    <w:next w:val="1"/>
    <w:qFormat/>
    <w:uiPriority w:val="0"/>
    <w:pPr>
      <w:ind w:left="2520"/>
    </w:pPr>
  </w:style>
  <w:style w:type="paragraph" w:styleId="23">
    <w:name w:val="toc 2"/>
    <w:basedOn w:val="1"/>
    <w:next w:val="1"/>
    <w:qFormat/>
    <w:uiPriority w:val="0"/>
    <w:pPr>
      <w:ind w:left="420" w:leftChars="200"/>
    </w:pPr>
    <w:rPr>
      <w:rFonts w:ascii="Times New Roman" w:hAnsi="Times New Roman"/>
    </w:rPr>
  </w:style>
  <w:style w:type="paragraph" w:styleId="24">
    <w:name w:val="Body Text 2"/>
    <w:basedOn w:val="1"/>
    <w:qFormat/>
    <w:uiPriority w:val="99"/>
    <w:pPr>
      <w:spacing w:line="480" w:lineRule="auto"/>
    </w:pPr>
  </w:style>
  <w:style w:type="paragraph" w:styleId="25">
    <w:name w:val="Normal (Web)"/>
    <w:basedOn w:val="1"/>
    <w:qFormat/>
    <w:uiPriority w:val="0"/>
    <w:pPr>
      <w:spacing w:beforeAutospacing="1" w:afterAutospacing="1"/>
      <w:jc w:val="left"/>
    </w:pPr>
    <w:rPr>
      <w:kern w:val="0"/>
      <w:sz w:val="24"/>
    </w:rPr>
  </w:style>
  <w:style w:type="paragraph" w:styleId="26">
    <w:name w:val="Body Text First Indent 2"/>
    <w:basedOn w:val="14"/>
    <w:qFormat/>
    <w:uiPriority w:val="0"/>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Hyperlink"/>
    <w:basedOn w:val="29"/>
    <w:unhideWhenUsed/>
    <w:qFormat/>
    <w:uiPriority w:val="99"/>
    <w:rPr>
      <w:color w:val="0026E5" w:themeColor="hyperlink"/>
      <w:u w:val="single"/>
      <w14:textFill>
        <w14:solidFill>
          <w14:schemeClr w14:val="hlink"/>
        </w14:solidFill>
      </w14:textFill>
    </w:rPr>
  </w:style>
  <w:style w:type="character" w:styleId="32">
    <w:name w:val="HTML Sample"/>
    <w:basedOn w:val="29"/>
    <w:qFormat/>
    <w:uiPriority w:val="0"/>
    <w:rPr>
      <w:rFonts w:ascii="Courier New" w:hAnsi="Courier New"/>
    </w:rPr>
  </w:style>
  <w:style w:type="paragraph" w:customStyle="1" w:styleId="33">
    <w:name w:val="Default"/>
    <w:next w:val="22"/>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34">
    <w:name w:val="Heading 1 Char"/>
    <w:qFormat/>
    <w:uiPriority w:val="0"/>
    <w:rPr>
      <w:rFonts w:ascii="宋体"/>
      <w:kern w:val="44"/>
      <w:sz w:val="32"/>
      <w:szCs w:val="20"/>
    </w:rPr>
  </w:style>
  <w:style w:type="paragraph" w:customStyle="1" w:styleId="35">
    <w:name w:val="列出段落1"/>
    <w:basedOn w:val="1"/>
    <w:qFormat/>
    <w:uiPriority w:val="0"/>
    <w:pPr>
      <w:ind w:firstLine="420" w:firstLineChars="200"/>
    </w:pPr>
  </w:style>
  <w:style w:type="character" w:customStyle="1" w:styleId="36">
    <w:name w:val="标题 1 Char"/>
    <w:qFormat/>
    <w:uiPriority w:val="0"/>
    <w:rPr>
      <w:rFonts w:ascii="宋体"/>
      <w:kern w:val="44"/>
      <w:sz w:val="32"/>
      <w:szCs w:val="20"/>
    </w:rPr>
  </w:style>
  <w:style w:type="character" w:customStyle="1" w:styleId="37">
    <w:name w:val="标题 1 字符"/>
    <w:link w:val="5"/>
    <w:qFormat/>
    <w:uiPriority w:val="0"/>
    <w:rPr>
      <w:rFonts w:ascii="宋体"/>
      <w:b/>
      <w:kern w:val="44"/>
      <w:sz w:val="32"/>
      <w:szCs w:val="20"/>
    </w:rPr>
  </w:style>
  <w:style w:type="paragraph" w:customStyle="1" w:styleId="38">
    <w:name w:val="图例"/>
    <w:basedOn w:val="1"/>
    <w:qFormat/>
    <w:uiPriority w:val="0"/>
    <w:pPr>
      <w:spacing w:before="120" w:after="120" w:line="360" w:lineRule="auto"/>
      <w:jc w:val="center"/>
    </w:pPr>
    <w:rPr>
      <w:rFonts w:eastAsia="仿宋_GB2312"/>
      <w:b/>
      <w:sz w:val="24"/>
    </w:rPr>
  </w:style>
  <w:style w:type="paragraph" w:customStyle="1" w:styleId="39">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0">
    <w:name w:val="索引 11"/>
    <w:basedOn w:val="1"/>
    <w:next w:val="1"/>
    <w:qFormat/>
    <w:uiPriority w:val="0"/>
    <w:pPr>
      <w:spacing w:line="360" w:lineRule="auto"/>
    </w:pPr>
    <w:rPr>
      <w:rFonts w:ascii="仿宋_GB2312" w:eastAsia="仿宋_GB2312"/>
      <w:sz w:val="24"/>
      <w:szCs w:val="20"/>
    </w:rPr>
  </w:style>
  <w:style w:type="paragraph" w:customStyle="1" w:styleId="41">
    <w:name w:val="纯文本1"/>
    <w:basedOn w:val="1"/>
    <w:qFormat/>
    <w:uiPriority w:val="0"/>
    <w:rPr>
      <w:rFonts w:ascii="宋体" w:hAnsi="Courier New"/>
      <w:kern w:val="0"/>
      <w:sz w:val="20"/>
      <w:szCs w:val="20"/>
    </w:rPr>
  </w:style>
  <w:style w:type="paragraph" w:customStyle="1" w:styleId="42">
    <w:name w:val="No Spacing_3b93350b-94da-44fa-8143-641484b951a0"/>
    <w:qFormat/>
    <w:uiPriority w:val="1"/>
    <w:pPr>
      <w:widowControl w:val="0"/>
      <w:jc w:val="both"/>
    </w:pPr>
    <w:rPr>
      <w:rFonts w:ascii="Calibri" w:hAnsi="Calibri" w:eastAsia="宋体" w:cs="Times New Roman"/>
      <w:kern w:val="2"/>
      <w:sz w:val="21"/>
      <w:szCs w:val="24"/>
      <w:lang w:val="en-US" w:eastAsia="zh-CN" w:bidi="ar-SA"/>
    </w:rPr>
  </w:style>
  <w:style w:type="character" w:customStyle="1" w:styleId="43">
    <w:name w:val="font91"/>
    <w:basedOn w:val="29"/>
    <w:qFormat/>
    <w:uiPriority w:val="0"/>
    <w:rPr>
      <w:rFonts w:hint="eastAsia" w:ascii="宋体" w:hAnsi="宋体" w:eastAsia="宋体" w:cs="宋体"/>
      <w:color w:val="000000"/>
      <w:sz w:val="20"/>
      <w:szCs w:val="20"/>
      <w:u w:val="none"/>
    </w:rPr>
  </w:style>
  <w:style w:type="character" w:customStyle="1" w:styleId="44">
    <w:name w:val="font81"/>
    <w:basedOn w:val="29"/>
    <w:qFormat/>
    <w:uiPriority w:val="0"/>
    <w:rPr>
      <w:rFonts w:hint="eastAsia" w:ascii="宋体" w:hAnsi="宋体" w:eastAsia="宋体" w:cs="宋体"/>
      <w:color w:val="000000"/>
      <w:sz w:val="20"/>
      <w:szCs w:val="20"/>
      <w:u w:val="none"/>
    </w:rPr>
  </w:style>
  <w:style w:type="paragraph" w:customStyle="1" w:styleId="45">
    <w:name w:val="BodyTextIndent2"/>
    <w:basedOn w:val="1"/>
    <w:qFormat/>
    <w:uiPriority w:val="0"/>
    <w:pPr>
      <w:widowControl/>
      <w:snapToGrid w:val="0"/>
      <w:spacing w:line="400" w:lineRule="exact"/>
      <w:ind w:firstLine="480"/>
      <w:textAlignment w:val="baseline"/>
    </w:pPr>
    <w:rPr>
      <w:rFonts w:eastAsia="仿宋_GB2312" w:cstheme="minorBidi"/>
      <w:sz w:val="24"/>
      <w:szCs w:val="22"/>
    </w:rPr>
  </w:style>
  <w:style w:type="character" w:customStyle="1" w:styleId="46">
    <w:name w:val="NormalCharacter"/>
    <w:link w:val="47"/>
    <w:qFormat/>
    <w:uiPriority w:val="0"/>
  </w:style>
  <w:style w:type="paragraph" w:customStyle="1" w:styleId="47">
    <w:name w:val="UserStyle_17"/>
    <w:basedOn w:val="1"/>
    <w:link w:val="46"/>
    <w:qFormat/>
    <w:uiPriority w:val="0"/>
    <w:pPr>
      <w:snapToGrid w:val="0"/>
    </w:pPr>
  </w:style>
  <w:style w:type="character" w:customStyle="1" w:styleId="48">
    <w:name w:val="apple-style-span"/>
    <w:basedOn w:val="29"/>
    <w:qFormat/>
    <w:uiPriority w:val="0"/>
  </w:style>
  <w:style w:type="paragraph" w:customStyle="1" w:styleId="49">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sz w:val="28"/>
    </w:rPr>
  </w:style>
  <w:style w:type="paragraph" w:customStyle="1" w:styleId="50">
    <w:name w:val="Table Paragraph"/>
    <w:basedOn w:val="1"/>
    <w:qFormat/>
    <w:uiPriority w:val="1"/>
    <w:rPr>
      <w:rFonts w:ascii="仿宋" w:hAnsi="仿宋" w:eastAsia="仿宋" w:cs="仿宋"/>
      <w:lang w:val="zh-CN" w:bidi="zh-CN"/>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53">
    <w:name w:val="正文_0"/>
    <w:next w:val="9"/>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font41"/>
    <w:basedOn w:val="29"/>
    <w:qFormat/>
    <w:uiPriority w:val="0"/>
    <w:rPr>
      <w:rFonts w:hint="eastAsia" w:ascii="仿宋" w:hAnsi="仿宋" w:eastAsia="仿宋" w:cs="仿宋"/>
      <w:color w:val="000000"/>
      <w:sz w:val="20"/>
      <w:szCs w:val="20"/>
      <w:u w:val="none"/>
    </w:rPr>
  </w:style>
  <w:style w:type="character" w:customStyle="1" w:styleId="55">
    <w:name w:val="font51"/>
    <w:basedOn w:val="2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15460</Words>
  <Characters>16613</Characters>
  <Lines>371</Lines>
  <Paragraphs>104</Paragraphs>
  <TotalTime>55</TotalTime>
  <ScaleCrop>false</ScaleCrop>
  <LinksUpToDate>false</LinksUpToDate>
  <CharactersWithSpaces>18643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2023-09-08T18:47:00Z</dcterms:created>
  <dc:creator>Administrator</dc:creator>
  <cp:lastModifiedBy>刘培文</cp:lastModifiedBy>
  <dcterms:modified xsi:type="dcterms:W3CDTF">2025-07-01T12:31:43Z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E1D8507F0948472EBC1E29F4290CEC0C_13</vt:lpwstr>
  </property>
  <property fmtid="{D5CDD505-2E9C-101B-9397-08002B2CF9AE}" pid="4" name="KSOTemplateDocerSaveRecord">
    <vt:lpwstr>eyJoZGlkIjoiZjFmYjE3YzJjNzk3YmI5ZDJiNWZmOTFiYjY4ZmMyZmEiLCJ1c2VySWQiOiIxNjg2MjAzNjY5In0=</vt:lpwstr>
  </property>
</Properties>
</file>