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EF0C5">
      <w:pPr>
        <w:spacing w:line="240" w:lineRule="atLeast"/>
        <w:rPr>
          <w:rFonts w:hint="eastAsia" w:ascii="仿宋_GB2312" w:hAnsi="仿宋_GB2312" w:eastAsia="仿宋_GB2312" w:cs="仿宋_GB2312"/>
          <w:bCs/>
          <w:sz w:val="52"/>
          <w:szCs w:val="52"/>
        </w:rPr>
      </w:pPr>
      <w:r>
        <w:rPr>
          <w:rFonts w:hint="eastAsia" w:ascii="仿宋_GB2312" w:hAnsi="仿宋_GB2312" w:eastAsia="仿宋_GB2312" w:cs="仿宋_GB2312"/>
          <w:bCs/>
          <w:sz w:val="52"/>
          <w:szCs w:val="52"/>
        </w:rPr>
        <w:t xml:space="preserve"> </w:t>
      </w:r>
    </w:p>
    <w:p w14:paraId="739CBA58">
      <w:pPr>
        <w:pStyle w:val="24"/>
        <w:jc w:val="center"/>
        <w:rPr>
          <w:rFonts w:hint="eastAsia" w:ascii="仿宋_GB2312" w:hAnsi="仿宋_GB2312" w:eastAsia="仿宋_GB2312" w:cs="仿宋_GB2312"/>
          <w:b/>
          <w:sz w:val="52"/>
          <w:szCs w:val="52"/>
          <w:lang w:val="en-US" w:eastAsia="zh-CN"/>
        </w:rPr>
      </w:pPr>
      <w:r>
        <w:rPr>
          <w:rFonts w:hint="eastAsia" w:ascii="仿宋_GB2312" w:hAnsi="仿宋_GB2312" w:eastAsia="仿宋_GB2312" w:cs="仿宋_GB2312"/>
          <w:b/>
          <w:sz w:val="52"/>
          <w:szCs w:val="52"/>
          <w:lang w:val="en-US" w:eastAsia="zh-CN"/>
        </w:rPr>
        <w:t>喀什某单位2025年食堂劳务服务项目</w:t>
      </w:r>
    </w:p>
    <w:p w14:paraId="0D8B2318">
      <w:pPr>
        <w:pStyle w:val="24"/>
        <w:jc w:val="center"/>
        <w:rPr>
          <w:rFonts w:hint="eastAsia" w:ascii="仿宋_GB2312" w:hAnsi="仿宋_GB2312" w:eastAsia="仿宋_GB2312" w:cs="仿宋_GB2312"/>
          <w:b/>
          <w:sz w:val="52"/>
          <w:szCs w:val="52"/>
          <w:lang w:eastAsia="zh-CN"/>
        </w:rPr>
      </w:pPr>
      <w:r>
        <w:rPr>
          <w:rFonts w:hint="eastAsia" w:ascii="仿宋_GB2312" w:hAnsi="仿宋_GB2312" w:eastAsia="仿宋_GB2312" w:cs="仿宋_GB2312"/>
          <w:b/>
          <w:sz w:val="52"/>
          <w:szCs w:val="52"/>
          <w:lang w:eastAsia="zh-CN"/>
        </w:rPr>
        <w:t>公开招标文件</w:t>
      </w:r>
    </w:p>
    <w:p w14:paraId="3DB49279">
      <w:pPr>
        <w:pStyle w:val="24"/>
        <w:rPr>
          <w:rFonts w:hint="eastAsia" w:ascii="仿宋_GB2312" w:hAnsi="仿宋_GB2312" w:eastAsia="仿宋_GB2312" w:cs="仿宋_GB2312"/>
          <w:bCs/>
          <w:sz w:val="52"/>
          <w:szCs w:val="52"/>
        </w:rPr>
      </w:pPr>
      <w:r>
        <w:rPr>
          <w:rFonts w:hint="eastAsia" w:ascii="仿宋_GB2312" w:hAnsi="仿宋_GB2312" w:eastAsia="仿宋_GB2312" w:cs="仿宋_GB2312"/>
          <w:bCs/>
          <w:sz w:val="52"/>
          <w:szCs w:val="52"/>
        </w:rPr>
        <w:t xml:space="preserve">  </w:t>
      </w:r>
    </w:p>
    <w:p w14:paraId="506EB6BD">
      <w:pPr>
        <w:pStyle w:val="24"/>
        <w:rPr>
          <w:rFonts w:hint="eastAsia" w:eastAsia="仿宋_GB2312"/>
        </w:rPr>
      </w:pPr>
      <w:r>
        <w:rPr>
          <w:rFonts w:hint="eastAsia" w:ascii="仿宋_GB2312" w:hAnsi="仿宋_GB2312" w:eastAsia="仿宋_GB2312" w:cs="仿宋_GB2312"/>
          <w:bCs/>
          <w:sz w:val="52"/>
          <w:szCs w:val="52"/>
        </w:rPr>
        <w:t xml:space="preserve">        </w:t>
      </w:r>
    </w:p>
    <w:p w14:paraId="32057EEB">
      <w:pPr>
        <w:spacing w:line="360" w:lineRule="auto"/>
        <w:jc w:val="center"/>
        <w:rPr>
          <w:rFonts w:hint="default"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eastAsia="zh-CN"/>
        </w:rPr>
        <w:t>（</w:t>
      </w:r>
      <w:r>
        <w:rPr>
          <w:rFonts w:hint="eastAsia" w:ascii="仿宋_GB2312" w:hAnsi="仿宋_GB2312" w:eastAsia="仿宋_GB2312" w:cs="仿宋_GB2312"/>
          <w:b/>
          <w:bCs/>
          <w:sz w:val="36"/>
          <w:szCs w:val="36"/>
        </w:rPr>
        <w:t>项 目 编 号：</w:t>
      </w:r>
      <w:r>
        <w:rPr>
          <w:rFonts w:hint="eastAsia" w:ascii="仿宋_GB2312" w:hAnsi="仿宋_GB2312" w:eastAsia="仿宋_GB2312" w:cs="仿宋_GB2312"/>
          <w:b/>
          <w:bCs/>
          <w:sz w:val="36"/>
          <w:szCs w:val="36"/>
          <w:lang w:eastAsia="zh-CN"/>
        </w:rPr>
        <w:t>KSSFX(GK)202</w:t>
      </w:r>
      <w:r>
        <w:rPr>
          <w:rFonts w:hint="eastAsia" w:ascii="仿宋_GB2312" w:hAnsi="仿宋_GB2312" w:eastAsia="仿宋_GB2312" w:cs="仿宋_GB2312"/>
          <w:b/>
          <w:bCs/>
          <w:sz w:val="36"/>
          <w:szCs w:val="36"/>
          <w:lang w:val="en-US" w:eastAsia="zh-CN"/>
        </w:rPr>
        <w:t>5</w:t>
      </w:r>
      <w:r>
        <w:rPr>
          <w:rFonts w:hint="eastAsia" w:ascii="仿宋_GB2312" w:hAnsi="仿宋_GB2312" w:eastAsia="仿宋_GB2312" w:cs="仿宋_GB2312"/>
          <w:b/>
          <w:bCs/>
          <w:sz w:val="36"/>
          <w:szCs w:val="36"/>
          <w:lang w:eastAsia="zh-CN"/>
        </w:rPr>
        <w:t>-</w:t>
      </w:r>
      <w:r>
        <w:rPr>
          <w:rFonts w:hint="eastAsia" w:ascii="仿宋_GB2312" w:hAnsi="仿宋_GB2312" w:eastAsia="仿宋_GB2312" w:cs="仿宋_GB2312"/>
          <w:b/>
          <w:bCs/>
          <w:sz w:val="36"/>
          <w:szCs w:val="36"/>
          <w:lang w:val="en-US" w:eastAsia="zh-CN"/>
        </w:rPr>
        <w:t>19</w:t>
      </w:r>
      <w:r>
        <w:rPr>
          <w:rFonts w:hint="eastAsia" w:ascii="仿宋_GB2312" w:hAnsi="仿宋_GB2312" w:eastAsia="仿宋_GB2312" w:cs="仿宋_GB2312"/>
          <w:b/>
          <w:bCs/>
          <w:sz w:val="36"/>
          <w:szCs w:val="36"/>
          <w:lang w:eastAsia="zh-CN"/>
        </w:rPr>
        <w:t>号）</w:t>
      </w:r>
    </w:p>
    <w:p w14:paraId="5816610E">
      <w:pPr>
        <w:spacing w:line="240" w:lineRule="atLeast"/>
        <w:rPr>
          <w:rFonts w:hint="eastAsia" w:ascii="仿宋_GB2312" w:hAnsi="仿宋_GB2312" w:eastAsia="仿宋_GB2312" w:cs="仿宋_GB2312"/>
          <w:b/>
          <w:sz w:val="28"/>
        </w:rPr>
      </w:pPr>
    </w:p>
    <w:p w14:paraId="5C5FE908">
      <w:pPr>
        <w:spacing w:line="240" w:lineRule="atLeast"/>
        <w:ind w:left="2095" w:leftChars="998" w:firstLine="1778" w:firstLineChars="342"/>
        <w:rPr>
          <w:rFonts w:hint="eastAsia" w:ascii="仿宋_GB2312" w:hAnsi="仿宋_GB2312" w:eastAsia="仿宋_GB2312" w:cs="仿宋_GB2312"/>
          <w:b/>
          <w:sz w:val="52"/>
        </w:rPr>
      </w:pPr>
      <w:r>
        <w:rPr>
          <w:rFonts w:hint="eastAsia" w:ascii="仿宋_GB2312" w:hAnsi="仿宋_GB2312" w:eastAsia="仿宋_GB2312" w:cs="仿宋_GB2312"/>
          <w:b/>
          <w:sz w:val="52"/>
        </w:rPr>
        <w:t>(第一册)</w:t>
      </w:r>
    </w:p>
    <w:p w14:paraId="32E37B27">
      <w:pPr>
        <w:pStyle w:val="10"/>
        <w:rPr>
          <w:rFonts w:hint="eastAsia"/>
        </w:rPr>
      </w:pPr>
    </w:p>
    <w:p w14:paraId="1591BF8C">
      <w:pPr>
        <w:spacing w:line="360" w:lineRule="auto"/>
        <w:ind w:firstLine="1794" w:firstLineChars="598"/>
        <w:jc w:val="left"/>
        <w:rPr>
          <w:rFonts w:hint="eastAsia" w:ascii="仿宋_GB2312" w:hAnsi="仿宋_GB2312" w:eastAsia="仿宋_GB2312" w:cs="仿宋_GB2312"/>
          <w:b/>
          <w:bCs/>
          <w:sz w:val="30"/>
          <w:szCs w:val="30"/>
        </w:rPr>
      </w:pPr>
    </w:p>
    <w:p w14:paraId="70E1C191">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eastAsia" w:ascii="仿宋_GB2312" w:hAnsi="仿宋_GB2312" w:eastAsia="仿宋_GB2312" w:cs="仿宋_GB2312"/>
          <w:b/>
          <w:bCs/>
          <w:sz w:val="30"/>
          <w:szCs w:val="30"/>
          <w:highlight w:val="none"/>
          <w:lang w:val="en-US" w:eastAsia="zh-CN"/>
        </w:rPr>
      </w:pPr>
      <w:bookmarkStart w:id="0" w:name="_Toc2510"/>
      <w:bookmarkStart w:id="1" w:name="_Toc31178"/>
      <w:bookmarkStart w:id="2" w:name="_Toc8272"/>
      <w:bookmarkStart w:id="3" w:name="_Toc1687"/>
      <w:bookmarkStart w:id="4" w:name="_Toc18867"/>
      <w:bookmarkStart w:id="5" w:name="_Toc26793"/>
      <w:bookmarkStart w:id="6" w:name="_Toc15055"/>
      <w:bookmarkStart w:id="7" w:name="_Toc13334"/>
      <w:bookmarkStart w:id="8" w:name="_Toc5471"/>
      <w:r>
        <w:rPr>
          <w:rFonts w:hint="eastAsia" w:ascii="仿宋_GB2312" w:hAnsi="仿宋_GB2312" w:eastAsia="仿宋_GB2312" w:cs="仿宋_GB2312"/>
          <w:b/>
          <w:bCs/>
          <w:kern w:val="2"/>
          <w:sz w:val="30"/>
          <w:szCs w:val="30"/>
          <w:lang w:val="en-US" w:eastAsia="zh-CN" w:bidi="ar-SA"/>
        </w:rPr>
        <w:t>采购单位：</w:t>
      </w:r>
      <w:r>
        <w:rPr>
          <w:rFonts w:hint="eastAsia" w:ascii="仿宋_GB2312" w:hAnsi="仿宋_GB2312" w:eastAsia="仿宋_GB2312" w:cs="仿宋_GB2312"/>
          <w:b/>
          <w:bCs/>
          <w:sz w:val="30"/>
          <w:szCs w:val="30"/>
          <w:highlight w:val="none"/>
          <w:lang w:val="en-US" w:eastAsia="zh-CN"/>
        </w:rPr>
        <w:t>喀什某单位</w:t>
      </w:r>
    </w:p>
    <w:p w14:paraId="18854716">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eastAsia" w:ascii="仿宋_GB2312" w:hAnsi="仿宋_GB2312" w:eastAsia="仿宋_GB2312" w:cs="仿宋_GB2312"/>
          <w:b/>
          <w:bCs/>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联 系 人：王欢</w:t>
      </w:r>
    </w:p>
    <w:p w14:paraId="20910A44">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default" w:ascii="仿宋_GB2312" w:hAnsi="仿宋_GB2312" w:eastAsia="仿宋_GB2312" w:cs="仿宋_GB2312"/>
          <w:b/>
          <w:bCs/>
          <w:sz w:val="30"/>
          <w:szCs w:val="30"/>
          <w:highlight w:val="none"/>
          <w:lang w:val="en-US" w:eastAsia="zh-CN"/>
        </w:rPr>
      </w:pPr>
      <w:r>
        <w:rPr>
          <w:rFonts w:hint="default" w:ascii="仿宋_GB2312" w:hAnsi="仿宋_GB2312" w:eastAsia="仿宋_GB2312" w:cs="仿宋_GB2312"/>
          <w:b/>
          <w:bCs/>
          <w:sz w:val="30"/>
          <w:szCs w:val="30"/>
          <w:highlight w:val="none"/>
          <w:lang w:val="en-US" w:eastAsia="zh-CN"/>
        </w:rPr>
        <w:t>联系电话：</w:t>
      </w:r>
      <w:r>
        <w:rPr>
          <w:rFonts w:hint="eastAsia" w:ascii="仿宋_GB2312" w:hAnsi="仿宋_GB2312" w:eastAsia="仿宋_GB2312" w:cs="仿宋_GB2312"/>
          <w:b/>
          <w:bCs/>
          <w:sz w:val="30"/>
          <w:szCs w:val="30"/>
          <w:highlight w:val="none"/>
          <w:lang w:val="en-US" w:eastAsia="zh-CN"/>
        </w:rPr>
        <w:t>15229910149</w:t>
      </w:r>
    </w:p>
    <w:p w14:paraId="10530121">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default" w:ascii="仿宋_GB2312" w:hAnsi="仿宋_GB2312" w:eastAsia="仿宋_GB2312" w:cs="仿宋_GB2312"/>
          <w:b/>
          <w:bCs/>
          <w:sz w:val="30"/>
          <w:szCs w:val="30"/>
          <w:highlight w:val="none"/>
          <w:lang w:val="en-US" w:eastAsia="zh-CN"/>
        </w:rPr>
      </w:pPr>
    </w:p>
    <w:p w14:paraId="438AA3C8">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default" w:ascii="仿宋_GB2312" w:hAnsi="仿宋_GB2312" w:eastAsia="仿宋_GB2312" w:cs="仿宋_GB2312"/>
          <w:b/>
          <w:bCs/>
          <w:sz w:val="30"/>
          <w:szCs w:val="30"/>
          <w:highlight w:val="none"/>
          <w:lang w:val="en-US" w:eastAsia="zh-CN"/>
        </w:rPr>
      </w:pPr>
    </w:p>
    <w:p w14:paraId="5C852E1A">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default" w:ascii="仿宋_GB2312" w:hAnsi="仿宋_GB2312" w:eastAsia="仿宋_GB2312" w:cs="仿宋_GB2312"/>
          <w:b/>
          <w:bCs/>
          <w:sz w:val="30"/>
          <w:szCs w:val="30"/>
          <w:highlight w:val="none"/>
          <w:lang w:val="en-US" w:eastAsia="zh-CN"/>
        </w:rPr>
      </w:pPr>
      <w:r>
        <w:rPr>
          <w:rFonts w:hint="default" w:ascii="仿宋_GB2312" w:hAnsi="仿宋_GB2312" w:eastAsia="仿宋_GB2312" w:cs="仿宋_GB2312"/>
          <w:b/>
          <w:bCs/>
          <w:sz w:val="30"/>
          <w:szCs w:val="30"/>
          <w:highlight w:val="none"/>
          <w:lang w:val="en-US" w:eastAsia="zh-CN"/>
        </w:rPr>
        <w:t>采购机构：</w:t>
      </w:r>
      <w:r>
        <w:rPr>
          <w:rFonts w:hint="eastAsia" w:ascii="仿宋_GB2312" w:hAnsi="仿宋_GB2312" w:eastAsia="仿宋_GB2312" w:cs="仿宋_GB2312"/>
          <w:b/>
          <w:bCs/>
          <w:sz w:val="30"/>
          <w:szCs w:val="30"/>
          <w:highlight w:val="none"/>
          <w:lang w:val="en-US" w:eastAsia="zh-CN"/>
        </w:rPr>
        <w:t xml:space="preserve">疏附县政府采购中心 </w:t>
      </w:r>
      <w:r>
        <w:rPr>
          <w:rFonts w:hint="default" w:ascii="仿宋_GB2312" w:hAnsi="仿宋_GB2312" w:eastAsia="仿宋_GB2312" w:cs="仿宋_GB2312"/>
          <w:b/>
          <w:bCs/>
          <w:sz w:val="30"/>
          <w:szCs w:val="30"/>
          <w:highlight w:val="none"/>
          <w:lang w:val="en-US" w:eastAsia="zh-CN"/>
        </w:rPr>
        <w:t xml:space="preserve"> </w:t>
      </w:r>
    </w:p>
    <w:p w14:paraId="3900D592">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default" w:ascii="仿宋_GB2312" w:hAnsi="仿宋_GB2312" w:eastAsia="仿宋_GB2312" w:cs="仿宋_GB2312"/>
          <w:b/>
          <w:bCs/>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联 系 人：黄 妍</w:t>
      </w:r>
    </w:p>
    <w:p w14:paraId="3C4A914C">
      <w:pPr>
        <w:pStyle w:val="29"/>
        <w:pageBreakBefore w:val="0"/>
        <w:kinsoku/>
        <w:wordWrap/>
        <w:overflowPunct/>
        <w:topLinePunct w:val="0"/>
        <w:autoSpaceDE/>
        <w:autoSpaceDN/>
        <w:bidi w:val="0"/>
        <w:adjustRightInd/>
        <w:snapToGrid/>
        <w:spacing w:beforeAutospacing="0" w:afterAutospacing="0" w:line="360" w:lineRule="exact"/>
        <w:ind w:firstLine="1800" w:firstLineChars="600"/>
        <w:textAlignment w:val="auto"/>
        <w:rPr>
          <w:rFonts w:hint="eastAsia" w:ascii="仿宋_GB2312" w:hAnsi="仿宋_GB2312" w:eastAsia="仿宋_GB2312" w:cs="仿宋_GB2312"/>
          <w:b/>
          <w:bCs/>
          <w:sz w:val="30"/>
          <w:szCs w:val="30"/>
          <w:highlight w:val="none"/>
          <w:lang w:val="en-US" w:eastAsia="zh-CN"/>
        </w:rPr>
      </w:pPr>
      <w:r>
        <w:rPr>
          <w:rFonts w:hint="default" w:ascii="仿宋_GB2312" w:hAnsi="仿宋_GB2312" w:eastAsia="仿宋_GB2312" w:cs="仿宋_GB2312"/>
          <w:b/>
          <w:bCs/>
          <w:sz w:val="30"/>
          <w:szCs w:val="30"/>
          <w:highlight w:val="none"/>
          <w:lang w:val="en-US" w:eastAsia="zh-CN"/>
        </w:rPr>
        <w:t>联系电话：</w:t>
      </w:r>
      <w:r>
        <w:rPr>
          <w:rFonts w:hint="eastAsia" w:ascii="仿宋_GB2312" w:hAnsi="仿宋_GB2312" w:eastAsia="仿宋_GB2312" w:cs="仿宋_GB2312"/>
          <w:b/>
          <w:bCs/>
          <w:sz w:val="30"/>
          <w:szCs w:val="30"/>
          <w:highlight w:val="none"/>
          <w:lang w:val="en-US" w:eastAsia="zh-CN"/>
        </w:rPr>
        <w:t>0998-3256769</w:t>
      </w:r>
    </w:p>
    <w:p w14:paraId="16AED9C9">
      <w:pPr>
        <w:spacing w:line="360" w:lineRule="auto"/>
        <w:ind w:firstLine="1800" w:firstLineChars="600"/>
        <w:rPr>
          <w:rFonts w:hint="eastAsia" w:ascii="仿宋_GB2312" w:hAnsi="仿宋_GB2312" w:eastAsia="仿宋_GB2312" w:cs="仿宋_GB2312"/>
          <w:b w:val="0"/>
          <w:bCs w:val="0"/>
          <w:kern w:val="2"/>
          <w:sz w:val="30"/>
          <w:szCs w:val="30"/>
          <w:lang w:val="en-US" w:eastAsia="zh-CN" w:bidi="ar-SA"/>
        </w:rPr>
      </w:pPr>
    </w:p>
    <w:p w14:paraId="37578470">
      <w:pPr>
        <w:spacing w:line="360" w:lineRule="auto"/>
        <w:ind w:firstLine="5400" w:firstLineChars="1800"/>
        <w:rPr>
          <w:rFonts w:hint="eastAsia" w:ascii="仿宋_GB2312" w:hAnsi="仿宋_GB2312" w:eastAsia="仿宋_GB2312" w:cs="仿宋_GB2312"/>
          <w:b/>
          <w:bCs/>
          <w:kern w:val="2"/>
          <w:sz w:val="30"/>
          <w:szCs w:val="30"/>
          <w:lang w:val="en-US" w:eastAsia="zh-CN" w:bidi="ar-SA"/>
        </w:rPr>
      </w:pPr>
      <w:r>
        <w:rPr>
          <w:rFonts w:hint="eastAsia" w:ascii="仿宋_GB2312" w:hAnsi="仿宋_GB2312" w:eastAsia="仿宋_GB2312" w:cs="仿宋_GB2312"/>
          <w:b/>
          <w:bCs/>
          <w:kern w:val="2"/>
          <w:sz w:val="30"/>
          <w:szCs w:val="30"/>
          <w:lang w:val="en-US" w:eastAsia="zh-CN" w:bidi="ar-SA"/>
        </w:rPr>
        <w:t>发出日期：2025年6月</w:t>
      </w:r>
    </w:p>
    <w:p w14:paraId="7A1AE504">
      <w:pPr>
        <w:spacing w:line="240" w:lineRule="atLeast"/>
        <w:ind w:left="1079" w:leftChars="257" w:hanging="540"/>
        <w:jc w:val="center"/>
        <w:rPr>
          <w:rFonts w:hint="eastAsia" w:ascii="仿宋_GB2312" w:hAnsi="仿宋_GB2312" w:eastAsia="仿宋_GB2312" w:cs="仿宋_GB2312"/>
          <w:b/>
          <w:sz w:val="32"/>
        </w:rPr>
      </w:pPr>
    </w:p>
    <w:p w14:paraId="75E6C5A2">
      <w:pPr>
        <w:spacing w:line="240" w:lineRule="atLeast"/>
        <w:ind w:left="1079" w:leftChars="257" w:hanging="540"/>
        <w:jc w:val="center"/>
        <w:rPr>
          <w:rFonts w:hint="eastAsia" w:ascii="仿宋_GB2312" w:hAnsi="仿宋_GB2312" w:eastAsia="仿宋_GB2312" w:cs="仿宋_GB2312"/>
          <w:b/>
          <w:sz w:val="32"/>
        </w:rPr>
      </w:pPr>
    </w:p>
    <w:p w14:paraId="677439E3">
      <w:pPr>
        <w:spacing w:line="240" w:lineRule="atLeast"/>
        <w:ind w:left="1079" w:leftChars="257" w:hanging="540"/>
        <w:jc w:val="center"/>
        <w:rPr>
          <w:rFonts w:hint="eastAsia" w:ascii="仿宋_GB2312" w:hAnsi="仿宋_GB2312" w:eastAsia="仿宋_GB2312" w:cs="仿宋_GB2312"/>
          <w:b/>
          <w:sz w:val="32"/>
        </w:rPr>
      </w:pPr>
    </w:p>
    <w:p w14:paraId="5213E973">
      <w:pPr>
        <w:spacing w:line="240" w:lineRule="atLeast"/>
        <w:ind w:left="1079" w:leftChars="257" w:hanging="540"/>
        <w:jc w:val="center"/>
        <w:rPr>
          <w:rFonts w:hint="eastAsia" w:ascii="仿宋_GB2312" w:hAnsi="仿宋_GB2312" w:eastAsia="仿宋_GB2312" w:cs="仿宋_GB2312"/>
          <w:b/>
          <w:sz w:val="32"/>
        </w:rPr>
      </w:pPr>
    </w:p>
    <w:p w14:paraId="034AFB42">
      <w:pPr>
        <w:spacing w:line="240" w:lineRule="atLeast"/>
        <w:ind w:left="1079" w:leftChars="257" w:hanging="540"/>
        <w:jc w:val="center"/>
        <w:rPr>
          <w:rFonts w:hint="eastAsia" w:ascii="仿宋_GB2312" w:hAnsi="仿宋_GB2312" w:eastAsia="仿宋_GB2312" w:cs="仿宋_GB2312"/>
          <w:b/>
          <w:sz w:val="32"/>
        </w:rPr>
      </w:pPr>
    </w:p>
    <w:p w14:paraId="030B07F9">
      <w:pPr>
        <w:spacing w:line="240" w:lineRule="atLeast"/>
        <w:ind w:left="1079" w:leftChars="257" w:hanging="540"/>
        <w:jc w:val="center"/>
        <w:rPr>
          <w:rFonts w:hint="eastAsia" w:ascii="仿宋_GB2312" w:hAnsi="仿宋_GB2312" w:eastAsia="仿宋_GB2312" w:cs="仿宋_GB2312"/>
          <w:b/>
          <w:sz w:val="32"/>
        </w:rPr>
      </w:pPr>
      <w:bookmarkStart w:id="9" w:name="_Toc13803"/>
    </w:p>
    <w:p w14:paraId="5BF3BEBC">
      <w:pPr>
        <w:spacing w:line="240" w:lineRule="atLeast"/>
        <w:ind w:left="1079" w:leftChars="257" w:hanging="540"/>
        <w:jc w:val="center"/>
        <w:rPr>
          <w:rFonts w:hint="eastAsia" w:ascii="仿宋_GB2312" w:hAnsi="仿宋_GB2312" w:eastAsia="仿宋_GB2312" w:cs="仿宋_GB2312"/>
          <w:b/>
          <w:sz w:val="32"/>
        </w:rPr>
      </w:pPr>
      <w:r>
        <w:rPr>
          <w:rFonts w:hint="eastAsia" w:ascii="仿宋_GB2312" w:hAnsi="仿宋_GB2312" w:eastAsia="仿宋_GB2312" w:cs="仿宋_GB2312"/>
          <w:b/>
          <w:sz w:val="32"/>
        </w:rPr>
        <w:t>目  录</w:t>
      </w:r>
    </w:p>
    <w:p w14:paraId="08486DB6">
      <w:pPr>
        <w:pStyle w:val="22"/>
        <w:tabs>
          <w:tab w:val="right" w:leader="dot" w:pos="9786"/>
        </w:tabs>
      </w:pPr>
      <w:r>
        <w:fldChar w:fldCharType="begin"/>
      </w:r>
      <w:r>
        <w:instrText xml:space="preserve">TOC \o "1-3" \h \u </w:instrText>
      </w:r>
      <w:r>
        <w:fldChar w:fldCharType="separate"/>
      </w:r>
      <w:r>
        <w:fldChar w:fldCharType="begin"/>
      </w:r>
      <w:r>
        <w:instrText xml:space="preserve"> HYPERLINK \l _Toc20653 </w:instrText>
      </w:r>
      <w:r>
        <w:fldChar w:fldCharType="separate"/>
      </w:r>
      <w:r>
        <w:rPr>
          <w:rFonts w:hint="eastAsia" w:ascii="仿宋_GB2312" w:hAnsi="仿宋_GB2312" w:eastAsia="仿宋_GB2312" w:cs="仿宋_GB2312"/>
          <w:i w:val="0"/>
          <w:caps w:val="0"/>
          <w:spacing w:val="0"/>
          <w:w w:val="100"/>
          <w:kern w:val="0"/>
          <w:szCs w:val="44"/>
        </w:rPr>
        <w:t>第一章</w:t>
      </w:r>
      <w:r>
        <w:rPr>
          <w:rFonts w:hint="eastAsia" w:ascii="仿宋_GB2312" w:hAnsi="仿宋_GB2312" w:eastAsia="仿宋_GB2312" w:cs="仿宋_GB2312"/>
          <w:i w:val="0"/>
          <w:caps w:val="0"/>
          <w:spacing w:val="0"/>
          <w:w w:val="100"/>
          <w:szCs w:val="44"/>
        </w:rPr>
        <w:t xml:space="preserve">  投标人须知</w:t>
      </w:r>
      <w:r>
        <w:tab/>
      </w:r>
      <w:r>
        <w:fldChar w:fldCharType="begin"/>
      </w:r>
      <w:r>
        <w:instrText xml:space="preserve"> PAGEREF _Toc20653 \h </w:instrText>
      </w:r>
      <w:r>
        <w:fldChar w:fldCharType="separate"/>
      </w:r>
      <w:r>
        <w:t>1</w:t>
      </w:r>
      <w:r>
        <w:fldChar w:fldCharType="end"/>
      </w:r>
      <w:r>
        <w:fldChar w:fldCharType="end"/>
      </w:r>
    </w:p>
    <w:p w14:paraId="42CC5B7B">
      <w:pPr>
        <w:pStyle w:val="27"/>
        <w:tabs>
          <w:tab w:val="right" w:leader="dot" w:pos="9786"/>
        </w:tabs>
      </w:pPr>
      <w:r>
        <w:fldChar w:fldCharType="begin"/>
      </w:r>
      <w:r>
        <w:instrText xml:space="preserve"> HYPERLINK \l _Toc10705 </w:instrText>
      </w:r>
      <w:r>
        <w:fldChar w:fldCharType="separate"/>
      </w:r>
      <w:r>
        <w:rPr>
          <w:rFonts w:hint="eastAsia" w:ascii="仿宋_GB2312" w:hAnsi="仿宋_GB2312" w:eastAsia="仿宋_GB2312" w:cs="仿宋_GB2312"/>
          <w:i w:val="0"/>
          <w:caps w:val="0"/>
          <w:spacing w:val="0"/>
          <w:w w:val="100"/>
        </w:rPr>
        <w:t>一   总 则</w:t>
      </w:r>
      <w:r>
        <w:tab/>
      </w:r>
      <w:r>
        <w:fldChar w:fldCharType="begin"/>
      </w:r>
      <w:r>
        <w:instrText xml:space="preserve"> PAGEREF _Toc10705 \h </w:instrText>
      </w:r>
      <w:r>
        <w:fldChar w:fldCharType="separate"/>
      </w:r>
      <w:r>
        <w:t>1</w:t>
      </w:r>
      <w:r>
        <w:fldChar w:fldCharType="end"/>
      </w:r>
      <w:r>
        <w:fldChar w:fldCharType="end"/>
      </w:r>
    </w:p>
    <w:p w14:paraId="41C54B2B">
      <w:pPr>
        <w:pStyle w:val="14"/>
        <w:tabs>
          <w:tab w:val="right" w:leader="dot" w:pos="9786"/>
          <w:tab w:val="clear" w:pos="1260"/>
          <w:tab w:val="clear" w:pos="8630"/>
        </w:tabs>
      </w:pPr>
      <w:r>
        <w:fldChar w:fldCharType="begin"/>
      </w:r>
      <w:r>
        <w:instrText xml:space="preserve"> HYPERLINK \l _Toc16378 </w:instrText>
      </w:r>
      <w:r>
        <w:fldChar w:fldCharType="separate"/>
      </w:r>
      <w:r>
        <w:rPr>
          <w:rFonts w:hint="eastAsia" w:ascii="仿宋_GB2312" w:hAnsi="仿宋_GB2312" w:eastAsia="仿宋_GB2312" w:cs="仿宋_GB2312"/>
          <w:i w:val="0"/>
          <w:caps w:val="0"/>
          <w:spacing w:val="0"/>
          <w:w w:val="100"/>
        </w:rPr>
        <w:t>1.采购人、采购代理机构及投标人</w:t>
      </w:r>
      <w:r>
        <w:tab/>
      </w:r>
      <w:r>
        <w:fldChar w:fldCharType="begin"/>
      </w:r>
      <w:r>
        <w:instrText xml:space="preserve"> PAGEREF _Toc16378 \h </w:instrText>
      </w:r>
      <w:r>
        <w:fldChar w:fldCharType="separate"/>
      </w:r>
      <w:r>
        <w:t>1</w:t>
      </w:r>
      <w:r>
        <w:fldChar w:fldCharType="end"/>
      </w:r>
      <w:r>
        <w:fldChar w:fldCharType="end"/>
      </w:r>
    </w:p>
    <w:p w14:paraId="7E3EDC1B">
      <w:pPr>
        <w:pStyle w:val="14"/>
        <w:tabs>
          <w:tab w:val="right" w:leader="dot" w:pos="9786"/>
          <w:tab w:val="clear" w:pos="1260"/>
          <w:tab w:val="clear" w:pos="8630"/>
        </w:tabs>
      </w:pPr>
      <w:r>
        <w:fldChar w:fldCharType="begin"/>
      </w:r>
      <w:r>
        <w:instrText xml:space="preserve"> HYPERLINK \l _Toc31534 </w:instrText>
      </w:r>
      <w:r>
        <w:fldChar w:fldCharType="separate"/>
      </w:r>
      <w:r>
        <w:rPr>
          <w:rFonts w:hint="eastAsia" w:ascii="仿宋_GB2312" w:hAnsi="仿宋_GB2312" w:eastAsia="仿宋_GB2312" w:cs="仿宋_GB2312"/>
          <w:i w:val="0"/>
          <w:caps w:val="0"/>
          <w:spacing w:val="0"/>
          <w:w w:val="100"/>
        </w:rPr>
        <w:t>2.资金来源</w:t>
      </w:r>
      <w:r>
        <w:tab/>
      </w:r>
      <w:r>
        <w:fldChar w:fldCharType="begin"/>
      </w:r>
      <w:r>
        <w:instrText xml:space="preserve"> PAGEREF _Toc31534 \h </w:instrText>
      </w:r>
      <w:r>
        <w:fldChar w:fldCharType="separate"/>
      </w:r>
      <w:r>
        <w:t>2</w:t>
      </w:r>
      <w:r>
        <w:fldChar w:fldCharType="end"/>
      </w:r>
      <w:r>
        <w:fldChar w:fldCharType="end"/>
      </w:r>
    </w:p>
    <w:p w14:paraId="1BE8A180">
      <w:pPr>
        <w:pStyle w:val="14"/>
        <w:tabs>
          <w:tab w:val="right" w:leader="dot" w:pos="9786"/>
          <w:tab w:val="clear" w:pos="1260"/>
          <w:tab w:val="clear" w:pos="8630"/>
        </w:tabs>
      </w:pPr>
      <w:r>
        <w:fldChar w:fldCharType="begin"/>
      </w:r>
      <w:r>
        <w:instrText xml:space="preserve"> HYPERLINK \l _Toc26935 </w:instrText>
      </w:r>
      <w:r>
        <w:fldChar w:fldCharType="separate"/>
      </w:r>
      <w:r>
        <w:rPr>
          <w:rFonts w:hint="eastAsia" w:ascii="仿宋_GB2312" w:hAnsi="仿宋_GB2312" w:eastAsia="仿宋_GB2312" w:cs="仿宋_GB2312"/>
          <w:i w:val="0"/>
          <w:caps w:val="0"/>
          <w:spacing w:val="0"/>
          <w:w w:val="100"/>
        </w:rPr>
        <w:t>3.投标费用</w:t>
      </w:r>
      <w:r>
        <w:tab/>
      </w:r>
      <w:r>
        <w:fldChar w:fldCharType="begin"/>
      </w:r>
      <w:r>
        <w:instrText xml:space="preserve"> PAGEREF _Toc26935 \h </w:instrText>
      </w:r>
      <w:r>
        <w:fldChar w:fldCharType="separate"/>
      </w:r>
      <w:r>
        <w:t>2</w:t>
      </w:r>
      <w:r>
        <w:fldChar w:fldCharType="end"/>
      </w:r>
      <w:r>
        <w:fldChar w:fldCharType="end"/>
      </w:r>
    </w:p>
    <w:p w14:paraId="4751696A">
      <w:pPr>
        <w:pStyle w:val="14"/>
        <w:tabs>
          <w:tab w:val="right" w:leader="dot" w:pos="9786"/>
          <w:tab w:val="clear" w:pos="1260"/>
          <w:tab w:val="clear" w:pos="8630"/>
        </w:tabs>
      </w:pPr>
      <w:r>
        <w:fldChar w:fldCharType="begin"/>
      </w:r>
      <w:r>
        <w:instrText xml:space="preserve"> HYPERLINK \l _Toc13853 </w:instrText>
      </w:r>
      <w:r>
        <w:fldChar w:fldCharType="separate"/>
      </w:r>
      <w:r>
        <w:rPr>
          <w:rFonts w:hint="eastAsia" w:ascii="仿宋_GB2312" w:hAnsi="仿宋_GB2312" w:eastAsia="仿宋_GB2312" w:cs="仿宋_GB2312"/>
          <w:i w:val="0"/>
          <w:caps w:val="0"/>
          <w:spacing w:val="0"/>
          <w:w w:val="100"/>
        </w:rPr>
        <w:t>4.适用法律</w:t>
      </w:r>
      <w:r>
        <w:tab/>
      </w:r>
      <w:r>
        <w:fldChar w:fldCharType="begin"/>
      </w:r>
      <w:r>
        <w:instrText xml:space="preserve"> PAGEREF _Toc13853 \h </w:instrText>
      </w:r>
      <w:r>
        <w:fldChar w:fldCharType="separate"/>
      </w:r>
      <w:r>
        <w:t>2</w:t>
      </w:r>
      <w:r>
        <w:fldChar w:fldCharType="end"/>
      </w:r>
      <w:r>
        <w:fldChar w:fldCharType="end"/>
      </w:r>
    </w:p>
    <w:p w14:paraId="225A0E03">
      <w:pPr>
        <w:pStyle w:val="27"/>
        <w:tabs>
          <w:tab w:val="right" w:leader="dot" w:pos="9786"/>
        </w:tabs>
      </w:pPr>
      <w:r>
        <w:fldChar w:fldCharType="begin"/>
      </w:r>
      <w:r>
        <w:instrText xml:space="preserve"> HYPERLINK \l _Toc26775 </w:instrText>
      </w:r>
      <w:r>
        <w:fldChar w:fldCharType="separate"/>
      </w:r>
      <w:r>
        <w:rPr>
          <w:rFonts w:hint="eastAsia" w:ascii="仿宋_GB2312" w:hAnsi="仿宋_GB2312" w:eastAsia="仿宋_GB2312" w:cs="仿宋_GB2312"/>
          <w:i w:val="0"/>
          <w:caps w:val="0"/>
          <w:spacing w:val="0"/>
          <w:w w:val="100"/>
        </w:rPr>
        <w:t>二   招标文件</w:t>
      </w:r>
      <w:r>
        <w:tab/>
      </w:r>
      <w:r>
        <w:fldChar w:fldCharType="begin"/>
      </w:r>
      <w:r>
        <w:instrText xml:space="preserve"> PAGEREF _Toc26775 \h </w:instrText>
      </w:r>
      <w:r>
        <w:fldChar w:fldCharType="separate"/>
      </w:r>
      <w:r>
        <w:t>2</w:t>
      </w:r>
      <w:r>
        <w:fldChar w:fldCharType="end"/>
      </w:r>
      <w:r>
        <w:fldChar w:fldCharType="end"/>
      </w:r>
    </w:p>
    <w:p w14:paraId="00133983">
      <w:pPr>
        <w:pStyle w:val="14"/>
        <w:tabs>
          <w:tab w:val="right" w:leader="dot" w:pos="9786"/>
          <w:tab w:val="clear" w:pos="1260"/>
          <w:tab w:val="clear" w:pos="8630"/>
        </w:tabs>
      </w:pPr>
      <w:r>
        <w:fldChar w:fldCharType="begin"/>
      </w:r>
      <w:r>
        <w:instrText xml:space="preserve"> HYPERLINK \l _Toc11034 </w:instrText>
      </w:r>
      <w:r>
        <w:fldChar w:fldCharType="separate"/>
      </w:r>
      <w:r>
        <w:rPr>
          <w:rFonts w:hint="eastAsia" w:ascii="仿宋_GB2312" w:hAnsi="仿宋_GB2312" w:eastAsia="仿宋_GB2312" w:cs="仿宋_GB2312"/>
          <w:i w:val="0"/>
          <w:caps w:val="0"/>
          <w:spacing w:val="0"/>
          <w:w w:val="100"/>
        </w:rPr>
        <w:t>5.招标文件构成</w:t>
      </w:r>
      <w:r>
        <w:tab/>
      </w:r>
      <w:r>
        <w:fldChar w:fldCharType="begin"/>
      </w:r>
      <w:r>
        <w:instrText xml:space="preserve"> PAGEREF _Toc11034 \h </w:instrText>
      </w:r>
      <w:r>
        <w:fldChar w:fldCharType="separate"/>
      </w:r>
      <w:r>
        <w:t>2</w:t>
      </w:r>
      <w:r>
        <w:fldChar w:fldCharType="end"/>
      </w:r>
      <w:r>
        <w:fldChar w:fldCharType="end"/>
      </w:r>
    </w:p>
    <w:p w14:paraId="240D8456">
      <w:pPr>
        <w:pStyle w:val="14"/>
        <w:tabs>
          <w:tab w:val="right" w:leader="dot" w:pos="9786"/>
          <w:tab w:val="clear" w:pos="1260"/>
          <w:tab w:val="clear" w:pos="8630"/>
        </w:tabs>
      </w:pPr>
      <w:r>
        <w:fldChar w:fldCharType="begin"/>
      </w:r>
      <w:r>
        <w:instrText xml:space="preserve"> HYPERLINK \l _Toc9583 </w:instrText>
      </w:r>
      <w:r>
        <w:fldChar w:fldCharType="separate"/>
      </w:r>
      <w:r>
        <w:rPr>
          <w:rFonts w:hint="eastAsia" w:ascii="仿宋_GB2312" w:hAnsi="仿宋_GB2312" w:eastAsia="仿宋_GB2312" w:cs="仿宋_GB2312"/>
          <w:i w:val="0"/>
          <w:caps w:val="0"/>
          <w:spacing w:val="0"/>
          <w:w w:val="100"/>
        </w:rPr>
        <w:t>6.招标文件的澄清与修改</w:t>
      </w:r>
      <w:r>
        <w:tab/>
      </w:r>
      <w:r>
        <w:fldChar w:fldCharType="begin"/>
      </w:r>
      <w:r>
        <w:instrText xml:space="preserve"> PAGEREF _Toc9583 \h </w:instrText>
      </w:r>
      <w:r>
        <w:fldChar w:fldCharType="separate"/>
      </w:r>
      <w:r>
        <w:t>2</w:t>
      </w:r>
      <w:r>
        <w:fldChar w:fldCharType="end"/>
      </w:r>
      <w:r>
        <w:fldChar w:fldCharType="end"/>
      </w:r>
    </w:p>
    <w:p w14:paraId="03D153F5">
      <w:pPr>
        <w:pStyle w:val="14"/>
        <w:tabs>
          <w:tab w:val="right" w:leader="dot" w:pos="9786"/>
          <w:tab w:val="clear" w:pos="1260"/>
          <w:tab w:val="clear" w:pos="8630"/>
        </w:tabs>
      </w:pPr>
      <w:r>
        <w:fldChar w:fldCharType="begin"/>
      </w:r>
      <w:r>
        <w:instrText xml:space="preserve"> HYPERLINK \l _Toc16834 </w:instrText>
      </w:r>
      <w:r>
        <w:fldChar w:fldCharType="separate"/>
      </w:r>
      <w:r>
        <w:rPr>
          <w:rFonts w:hint="eastAsia" w:ascii="仿宋_GB2312" w:hAnsi="仿宋_GB2312" w:eastAsia="仿宋_GB2312" w:cs="仿宋_GB2312"/>
          <w:i w:val="0"/>
          <w:caps w:val="0"/>
          <w:spacing w:val="0"/>
          <w:w w:val="100"/>
        </w:rPr>
        <w:t>7.投标截止时间的顺延</w:t>
      </w:r>
      <w:r>
        <w:tab/>
      </w:r>
      <w:r>
        <w:fldChar w:fldCharType="begin"/>
      </w:r>
      <w:r>
        <w:instrText xml:space="preserve"> PAGEREF _Toc16834 \h </w:instrText>
      </w:r>
      <w:r>
        <w:fldChar w:fldCharType="separate"/>
      </w:r>
      <w:r>
        <w:t>3</w:t>
      </w:r>
      <w:r>
        <w:fldChar w:fldCharType="end"/>
      </w:r>
      <w:r>
        <w:fldChar w:fldCharType="end"/>
      </w:r>
    </w:p>
    <w:p w14:paraId="3A6E55DB">
      <w:pPr>
        <w:pStyle w:val="27"/>
        <w:tabs>
          <w:tab w:val="right" w:leader="dot" w:pos="9786"/>
        </w:tabs>
      </w:pPr>
      <w:r>
        <w:fldChar w:fldCharType="begin"/>
      </w:r>
      <w:r>
        <w:instrText xml:space="preserve"> HYPERLINK \l _Toc6147 </w:instrText>
      </w:r>
      <w:r>
        <w:fldChar w:fldCharType="separate"/>
      </w:r>
      <w:r>
        <w:rPr>
          <w:rFonts w:hint="eastAsia" w:ascii="仿宋_GB2312" w:hAnsi="仿宋_GB2312" w:eastAsia="仿宋_GB2312" w:cs="仿宋_GB2312"/>
          <w:i w:val="0"/>
          <w:caps w:val="0"/>
          <w:spacing w:val="0"/>
          <w:w w:val="100"/>
        </w:rPr>
        <w:t>三   投标文件的编制</w:t>
      </w:r>
      <w:r>
        <w:tab/>
      </w:r>
      <w:r>
        <w:fldChar w:fldCharType="begin"/>
      </w:r>
      <w:r>
        <w:instrText xml:space="preserve"> PAGEREF _Toc6147 \h </w:instrText>
      </w:r>
      <w:r>
        <w:fldChar w:fldCharType="separate"/>
      </w:r>
      <w:r>
        <w:t>3</w:t>
      </w:r>
      <w:r>
        <w:fldChar w:fldCharType="end"/>
      </w:r>
      <w:r>
        <w:fldChar w:fldCharType="end"/>
      </w:r>
    </w:p>
    <w:p w14:paraId="18A4BC56">
      <w:pPr>
        <w:pStyle w:val="14"/>
        <w:tabs>
          <w:tab w:val="right" w:pos="2800"/>
          <w:tab w:val="right" w:leader="dot" w:pos="9786"/>
          <w:tab w:val="clear" w:pos="1260"/>
          <w:tab w:val="clear" w:pos="8630"/>
        </w:tabs>
      </w:pPr>
      <w:r>
        <w:fldChar w:fldCharType="begin"/>
      </w:r>
      <w:r>
        <w:instrText xml:space="preserve"> HYPERLINK \l _Toc27647 </w:instrText>
      </w:r>
      <w:r>
        <w:fldChar w:fldCharType="separate"/>
      </w:r>
      <w:r>
        <w:rPr>
          <w:rFonts w:hint="eastAsia" w:ascii="仿宋_GB2312" w:hAnsi="仿宋_GB2312" w:eastAsia="仿宋_GB2312" w:cs="仿宋_GB2312"/>
          <w:i w:val="0"/>
          <w:caps w:val="0"/>
          <w:spacing w:val="0"/>
          <w:w w:val="100"/>
        </w:rPr>
        <w:t>8.</w:t>
      </w:r>
      <w:r>
        <w:rPr>
          <w:rFonts w:hint="eastAsia" w:ascii="仿宋_GB2312" w:hAnsi="仿宋_GB2312" w:eastAsia="仿宋_GB2312" w:cs="仿宋_GB2312"/>
          <w:i w:val="0"/>
          <w:caps w:val="0"/>
          <w:spacing w:val="0"/>
          <w:w w:val="100"/>
        </w:rPr>
        <w:tab/>
      </w:r>
      <w:r>
        <w:rPr>
          <w:rFonts w:hint="eastAsia" w:ascii="仿宋_GB2312" w:hAnsi="仿宋_GB2312" w:eastAsia="仿宋_GB2312" w:cs="仿宋_GB2312"/>
          <w:i w:val="0"/>
          <w:caps w:val="0"/>
          <w:spacing w:val="0"/>
          <w:w w:val="100"/>
        </w:rPr>
        <w:t>投标范围及投标文件中标准和计量单位的使用</w:t>
      </w:r>
      <w:r>
        <w:tab/>
      </w:r>
      <w:r>
        <w:fldChar w:fldCharType="begin"/>
      </w:r>
      <w:r>
        <w:instrText xml:space="preserve"> PAGEREF _Toc27647 \h </w:instrText>
      </w:r>
      <w:r>
        <w:fldChar w:fldCharType="separate"/>
      </w:r>
      <w:r>
        <w:t>3</w:t>
      </w:r>
      <w:r>
        <w:fldChar w:fldCharType="end"/>
      </w:r>
      <w:r>
        <w:fldChar w:fldCharType="end"/>
      </w:r>
    </w:p>
    <w:p w14:paraId="706B37A6">
      <w:pPr>
        <w:pStyle w:val="14"/>
        <w:tabs>
          <w:tab w:val="right" w:leader="dot" w:pos="9786"/>
          <w:tab w:val="clear" w:pos="1260"/>
          <w:tab w:val="clear" w:pos="8630"/>
        </w:tabs>
      </w:pPr>
      <w:r>
        <w:fldChar w:fldCharType="begin"/>
      </w:r>
      <w:r>
        <w:instrText xml:space="preserve"> HYPERLINK \l _Toc8835 </w:instrText>
      </w:r>
      <w:r>
        <w:fldChar w:fldCharType="separate"/>
      </w:r>
      <w:r>
        <w:rPr>
          <w:rFonts w:hint="eastAsia" w:ascii="仿宋_GB2312" w:hAnsi="仿宋_GB2312" w:eastAsia="仿宋_GB2312" w:cs="仿宋_GB2312"/>
          <w:i w:val="0"/>
          <w:caps w:val="0"/>
          <w:spacing w:val="0"/>
          <w:w w:val="100"/>
        </w:rPr>
        <w:t>9.投标文件构成</w:t>
      </w:r>
      <w:r>
        <w:tab/>
      </w:r>
      <w:r>
        <w:fldChar w:fldCharType="begin"/>
      </w:r>
      <w:r>
        <w:instrText xml:space="preserve"> PAGEREF _Toc8835 \h </w:instrText>
      </w:r>
      <w:r>
        <w:fldChar w:fldCharType="separate"/>
      </w:r>
      <w:r>
        <w:t>3</w:t>
      </w:r>
      <w:r>
        <w:fldChar w:fldCharType="end"/>
      </w:r>
      <w:r>
        <w:fldChar w:fldCharType="end"/>
      </w:r>
    </w:p>
    <w:p w14:paraId="090B6EE4">
      <w:pPr>
        <w:pStyle w:val="14"/>
        <w:tabs>
          <w:tab w:val="right" w:pos="2800"/>
          <w:tab w:val="right" w:leader="dot" w:pos="9786"/>
          <w:tab w:val="clear" w:pos="1260"/>
          <w:tab w:val="clear" w:pos="8630"/>
        </w:tabs>
      </w:pPr>
      <w:r>
        <w:fldChar w:fldCharType="begin"/>
      </w:r>
      <w:r>
        <w:instrText xml:space="preserve"> HYPERLINK \l _Toc899 </w:instrText>
      </w:r>
      <w:r>
        <w:fldChar w:fldCharType="separate"/>
      </w:r>
      <w:r>
        <w:rPr>
          <w:rFonts w:hint="eastAsia" w:ascii="仿宋_GB2312" w:hAnsi="仿宋_GB2312" w:eastAsia="仿宋_GB2312" w:cs="仿宋_GB2312"/>
          <w:i w:val="0"/>
          <w:caps w:val="0"/>
          <w:spacing w:val="0"/>
          <w:w w:val="100"/>
        </w:rPr>
        <w:t>10.</w:t>
      </w:r>
      <w:r>
        <w:rPr>
          <w:rFonts w:hint="eastAsia" w:ascii="仿宋_GB2312" w:hAnsi="仿宋_GB2312" w:eastAsia="仿宋_GB2312" w:cs="仿宋_GB2312"/>
          <w:i w:val="0"/>
          <w:caps w:val="0"/>
          <w:spacing w:val="0"/>
          <w:w w:val="100"/>
        </w:rPr>
        <w:tab/>
      </w:r>
      <w:r>
        <w:rPr>
          <w:rFonts w:hint="eastAsia" w:ascii="仿宋_GB2312" w:hAnsi="仿宋_GB2312" w:eastAsia="仿宋_GB2312" w:cs="仿宋_GB2312"/>
          <w:i w:val="0"/>
          <w:caps w:val="0"/>
          <w:spacing w:val="0"/>
          <w:w w:val="100"/>
        </w:rPr>
        <w:t>证明投标标的的合格性和符合招标文件规定的技术文件</w:t>
      </w:r>
      <w:r>
        <w:tab/>
      </w:r>
      <w:r>
        <w:fldChar w:fldCharType="begin"/>
      </w:r>
      <w:r>
        <w:instrText xml:space="preserve"> PAGEREF _Toc899 \h </w:instrText>
      </w:r>
      <w:r>
        <w:fldChar w:fldCharType="separate"/>
      </w:r>
      <w:r>
        <w:t>3</w:t>
      </w:r>
      <w:r>
        <w:fldChar w:fldCharType="end"/>
      </w:r>
      <w:r>
        <w:fldChar w:fldCharType="end"/>
      </w:r>
    </w:p>
    <w:p w14:paraId="2E556834">
      <w:pPr>
        <w:pStyle w:val="14"/>
        <w:tabs>
          <w:tab w:val="right" w:leader="dot" w:pos="9786"/>
          <w:tab w:val="clear" w:pos="1260"/>
          <w:tab w:val="clear" w:pos="8630"/>
        </w:tabs>
      </w:pPr>
      <w:r>
        <w:fldChar w:fldCharType="begin"/>
      </w:r>
      <w:r>
        <w:instrText xml:space="preserve"> HYPERLINK \l _Toc16138 </w:instrText>
      </w:r>
      <w:r>
        <w:fldChar w:fldCharType="separate"/>
      </w:r>
      <w:r>
        <w:rPr>
          <w:rFonts w:hint="eastAsia" w:ascii="仿宋_GB2312" w:hAnsi="仿宋_GB2312" w:eastAsia="仿宋_GB2312" w:cs="仿宋_GB2312"/>
          <w:i w:val="0"/>
          <w:caps w:val="0"/>
          <w:spacing w:val="0"/>
          <w:w w:val="100"/>
        </w:rPr>
        <w:t>11.投标报价</w:t>
      </w:r>
      <w:r>
        <w:tab/>
      </w:r>
      <w:r>
        <w:fldChar w:fldCharType="begin"/>
      </w:r>
      <w:r>
        <w:instrText xml:space="preserve"> PAGEREF _Toc16138 \h </w:instrText>
      </w:r>
      <w:r>
        <w:fldChar w:fldCharType="separate"/>
      </w:r>
      <w:r>
        <w:t>4</w:t>
      </w:r>
      <w:r>
        <w:fldChar w:fldCharType="end"/>
      </w:r>
      <w:r>
        <w:fldChar w:fldCharType="end"/>
      </w:r>
    </w:p>
    <w:p w14:paraId="7ED0D10D">
      <w:pPr>
        <w:pStyle w:val="14"/>
        <w:tabs>
          <w:tab w:val="right" w:leader="dot" w:pos="9786"/>
          <w:tab w:val="clear" w:pos="1260"/>
          <w:tab w:val="clear" w:pos="8630"/>
        </w:tabs>
      </w:pPr>
      <w:r>
        <w:fldChar w:fldCharType="begin"/>
      </w:r>
      <w:r>
        <w:instrText xml:space="preserve"> HYPERLINK \l _Toc27725 </w:instrText>
      </w:r>
      <w:r>
        <w:fldChar w:fldCharType="separate"/>
      </w:r>
      <w:r>
        <w:rPr>
          <w:rFonts w:hint="eastAsia" w:ascii="仿宋_GB2312" w:hAnsi="仿宋_GB2312" w:eastAsia="仿宋_GB2312" w:cs="仿宋_GB2312"/>
          <w:i w:val="0"/>
          <w:caps w:val="0"/>
          <w:spacing w:val="0"/>
          <w:w w:val="100"/>
        </w:rPr>
        <w:t>12.投标保证金</w:t>
      </w:r>
      <w:r>
        <w:tab/>
      </w:r>
      <w:r>
        <w:fldChar w:fldCharType="begin"/>
      </w:r>
      <w:r>
        <w:instrText xml:space="preserve"> PAGEREF _Toc27725 \h </w:instrText>
      </w:r>
      <w:r>
        <w:fldChar w:fldCharType="separate"/>
      </w:r>
      <w:r>
        <w:t>4</w:t>
      </w:r>
      <w:r>
        <w:fldChar w:fldCharType="end"/>
      </w:r>
      <w:r>
        <w:fldChar w:fldCharType="end"/>
      </w:r>
    </w:p>
    <w:p w14:paraId="3F0A6105">
      <w:pPr>
        <w:pStyle w:val="14"/>
        <w:tabs>
          <w:tab w:val="right" w:leader="dot" w:pos="9786"/>
          <w:tab w:val="clear" w:pos="1260"/>
          <w:tab w:val="clear" w:pos="8630"/>
        </w:tabs>
      </w:pPr>
      <w:r>
        <w:fldChar w:fldCharType="begin"/>
      </w:r>
      <w:r>
        <w:instrText xml:space="preserve"> HYPERLINK \l _Toc4781 </w:instrText>
      </w:r>
      <w:r>
        <w:fldChar w:fldCharType="separate"/>
      </w:r>
      <w:r>
        <w:rPr>
          <w:rFonts w:hint="eastAsia" w:ascii="仿宋_GB2312" w:hAnsi="仿宋_GB2312" w:eastAsia="仿宋_GB2312" w:cs="仿宋_GB2312"/>
          <w:i w:val="0"/>
          <w:caps w:val="0"/>
          <w:spacing w:val="0"/>
          <w:w w:val="100"/>
        </w:rPr>
        <w:t>13.投标有效期</w:t>
      </w:r>
      <w:r>
        <w:tab/>
      </w:r>
      <w:r>
        <w:fldChar w:fldCharType="begin"/>
      </w:r>
      <w:r>
        <w:instrText xml:space="preserve"> PAGEREF _Toc4781 \h </w:instrText>
      </w:r>
      <w:r>
        <w:fldChar w:fldCharType="separate"/>
      </w:r>
      <w:r>
        <w:t>5</w:t>
      </w:r>
      <w:r>
        <w:fldChar w:fldCharType="end"/>
      </w:r>
      <w:r>
        <w:fldChar w:fldCharType="end"/>
      </w:r>
    </w:p>
    <w:p w14:paraId="48DCDEED">
      <w:pPr>
        <w:pStyle w:val="27"/>
        <w:tabs>
          <w:tab w:val="right" w:leader="dot" w:pos="9786"/>
        </w:tabs>
      </w:pPr>
      <w:r>
        <w:fldChar w:fldCharType="begin"/>
      </w:r>
      <w:r>
        <w:instrText xml:space="preserve"> HYPERLINK \l _Toc27651 </w:instrText>
      </w:r>
      <w:r>
        <w:fldChar w:fldCharType="separate"/>
      </w:r>
      <w:r>
        <w:rPr>
          <w:rFonts w:hint="eastAsia" w:ascii="仿宋_GB2312" w:hAnsi="仿宋_GB2312" w:eastAsia="仿宋_GB2312" w:cs="仿宋_GB2312"/>
          <w:i w:val="0"/>
          <w:caps w:val="0"/>
          <w:spacing w:val="0"/>
          <w:w w:val="100"/>
        </w:rPr>
        <w:t>四   投标文件的递交</w:t>
      </w:r>
      <w:r>
        <w:tab/>
      </w:r>
      <w:r>
        <w:fldChar w:fldCharType="begin"/>
      </w:r>
      <w:r>
        <w:instrText xml:space="preserve"> PAGEREF _Toc27651 \h </w:instrText>
      </w:r>
      <w:r>
        <w:fldChar w:fldCharType="separate"/>
      </w:r>
      <w:r>
        <w:t>5</w:t>
      </w:r>
      <w:r>
        <w:fldChar w:fldCharType="end"/>
      </w:r>
      <w:r>
        <w:fldChar w:fldCharType="end"/>
      </w:r>
    </w:p>
    <w:p w14:paraId="7E0D24E0">
      <w:pPr>
        <w:pStyle w:val="14"/>
        <w:tabs>
          <w:tab w:val="right" w:leader="dot" w:pos="9786"/>
          <w:tab w:val="clear" w:pos="1260"/>
          <w:tab w:val="clear" w:pos="8630"/>
        </w:tabs>
      </w:pPr>
      <w:r>
        <w:fldChar w:fldCharType="begin"/>
      </w:r>
      <w:r>
        <w:instrText xml:space="preserve"> HYPERLINK \l _Toc13777 </w:instrText>
      </w:r>
      <w:r>
        <w:fldChar w:fldCharType="separate"/>
      </w:r>
      <w:r>
        <w:rPr>
          <w:rFonts w:hint="eastAsia" w:ascii="仿宋_GB2312" w:hAnsi="仿宋_GB2312" w:eastAsia="仿宋_GB2312" w:cs="仿宋_GB2312"/>
          <w:i w:val="0"/>
          <w:caps w:val="0"/>
          <w:spacing w:val="0"/>
          <w:w w:val="100"/>
        </w:rPr>
        <w:t>15.投标文件的密封和标记</w:t>
      </w:r>
      <w:r>
        <w:tab/>
      </w:r>
      <w:r>
        <w:fldChar w:fldCharType="begin"/>
      </w:r>
      <w:r>
        <w:instrText xml:space="preserve"> PAGEREF _Toc13777 \h </w:instrText>
      </w:r>
      <w:r>
        <w:fldChar w:fldCharType="separate"/>
      </w:r>
      <w:r>
        <w:t>5</w:t>
      </w:r>
      <w:r>
        <w:fldChar w:fldCharType="end"/>
      </w:r>
      <w:r>
        <w:fldChar w:fldCharType="end"/>
      </w:r>
    </w:p>
    <w:p w14:paraId="52366953">
      <w:pPr>
        <w:pStyle w:val="14"/>
        <w:tabs>
          <w:tab w:val="right" w:leader="dot" w:pos="9786"/>
          <w:tab w:val="clear" w:pos="1260"/>
          <w:tab w:val="clear" w:pos="8630"/>
        </w:tabs>
      </w:pPr>
      <w:r>
        <w:fldChar w:fldCharType="begin"/>
      </w:r>
      <w:r>
        <w:instrText xml:space="preserve"> HYPERLINK \l _Toc25956 </w:instrText>
      </w:r>
      <w:r>
        <w:fldChar w:fldCharType="separate"/>
      </w:r>
      <w:r>
        <w:rPr>
          <w:rFonts w:hint="eastAsia" w:ascii="仿宋_GB2312" w:hAnsi="仿宋_GB2312" w:eastAsia="仿宋_GB2312" w:cs="仿宋_GB2312"/>
          <w:i w:val="0"/>
          <w:caps w:val="0"/>
          <w:spacing w:val="0"/>
          <w:w w:val="100"/>
        </w:rPr>
        <w:t>16.投标截止</w:t>
      </w:r>
      <w:r>
        <w:tab/>
      </w:r>
      <w:r>
        <w:fldChar w:fldCharType="begin"/>
      </w:r>
      <w:r>
        <w:instrText xml:space="preserve"> PAGEREF _Toc25956 \h </w:instrText>
      </w:r>
      <w:r>
        <w:fldChar w:fldCharType="separate"/>
      </w:r>
      <w:r>
        <w:t>5</w:t>
      </w:r>
      <w:r>
        <w:fldChar w:fldCharType="end"/>
      </w:r>
      <w:r>
        <w:fldChar w:fldCharType="end"/>
      </w:r>
    </w:p>
    <w:p w14:paraId="10DA504D">
      <w:pPr>
        <w:pStyle w:val="14"/>
        <w:tabs>
          <w:tab w:val="right" w:leader="dot" w:pos="9786"/>
          <w:tab w:val="clear" w:pos="1260"/>
          <w:tab w:val="clear" w:pos="8630"/>
        </w:tabs>
      </w:pPr>
      <w:r>
        <w:fldChar w:fldCharType="begin"/>
      </w:r>
      <w:r>
        <w:instrText xml:space="preserve"> HYPERLINK \l _Toc17509 </w:instrText>
      </w:r>
      <w:r>
        <w:fldChar w:fldCharType="separate"/>
      </w:r>
      <w:r>
        <w:rPr>
          <w:rFonts w:hint="eastAsia" w:ascii="仿宋_GB2312" w:hAnsi="仿宋_GB2312" w:eastAsia="仿宋_GB2312" w:cs="仿宋_GB2312"/>
          <w:i w:val="0"/>
          <w:caps w:val="0"/>
          <w:spacing w:val="0"/>
          <w:w w:val="100"/>
        </w:rPr>
        <w:t>17.投标文件的接收、修改与撤回</w:t>
      </w:r>
      <w:r>
        <w:tab/>
      </w:r>
      <w:r>
        <w:fldChar w:fldCharType="begin"/>
      </w:r>
      <w:r>
        <w:instrText xml:space="preserve"> PAGEREF _Toc17509 \h </w:instrText>
      </w:r>
      <w:r>
        <w:fldChar w:fldCharType="separate"/>
      </w:r>
      <w:r>
        <w:t>5</w:t>
      </w:r>
      <w:r>
        <w:fldChar w:fldCharType="end"/>
      </w:r>
      <w:r>
        <w:fldChar w:fldCharType="end"/>
      </w:r>
    </w:p>
    <w:p w14:paraId="6D906475">
      <w:pPr>
        <w:pStyle w:val="27"/>
        <w:tabs>
          <w:tab w:val="right" w:leader="dot" w:pos="9786"/>
        </w:tabs>
      </w:pPr>
      <w:r>
        <w:fldChar w:fldCharType="begin"/>
      </w:r>
      <w:r>
        <w:instrText xml:space="preserve"> HYPERLINK \l _Toc24618 </w:instrText>
      </w:r>
      <w:r>
        <w:fldChar w:fldCharType="separate"/>
      </w:r>
      <w:r>
        <w:rPr>
          <w:rFonts w:hint="eastAsia" w:ascii="仿宋_GB2312" w:hAnsi="仿宋_GB2312" w:eastAsia="仿宋_GB2312" w:cs="仿宋_GB2312"/>
          <w:i w:val="0"/>
          <w:caps w:val="0"/>
          <w:spacing w:val="0"/>
          <w:w w:val="100"/>
        </w:rPr>
        <w:t>五   开标及评标</w:t>
      </w:r>
      <w:r>
        <w:tab/>
      </w:r>
      <w:r>
        <w:fldChar w:fldCharType="begin"/>
      </w:r>
      <w:r>
        <w:instrText xml:space="preserve"> PAGEREF _Toc24618 \h </w:instrText>
      </w:r>
      <w:r>
        <w:fldChar w:fldCharType="separate"/>
      </w:r>
      <w:r>
        <w:t>6</w:t>
      </w:r>
      <w:r>
        <w:fldChar w:fldCharType="end"/>
      </w:r>
      <w:r>
        <w:fldChar w:fldCharType="end"/>
      </w:r>
    </w:p>
    <w:p w14:paraId="41F77233">
      <w:pPr>
        <w:pStyle w:val="14"/>
        <w:tabs>
          <w:tab w:val="right" w:leader="dot" w:pos="9786"/>
          <w:tab w:val="clear" w:pos="1260"/>
          <w:tab w:val="clear" w:pos="8630"/>
        </w:tabs>
      </w:pPr>
      <w:r>
        <w:fldChar w:fldCharType="begin"/>
      </w:r>
      <w:r>
        <w:instrText xml:space="preserve"> HYPERLINK \l _Toc7344 </w:instrText>
      </w:r>
      <w:r>
        <w:fldChar w:fldCharType="separate"/>
      </w:r>
      <w:r>
        <w:rPr>
          <w:rFonts w:ascii="仿宋_GB2312" w:hAnsi="仿宋_GB2312" w:eastAsia="仿宋_GB2312" w:cs="仿宋_GB2312"/>
          <w:i w:val="0"/>
          <w:caps w:val="0"/>
          <w:spacing w:val="0"/>
          <w:w w:val="100"/>
        </w:rPr>
        <w:t xml:space="preserve">18. </w:t>
      </w:r>
      <w:r>
        <w:rPr>
          <w:rFonts w:hint="eastAsia" w:ascii="仿宋_GB2312" w:hAnsi="仿宋_GB2312" w:eastAsia="仿宋_GB2312" w:cs="仿宋_GB2312"/>
          <w:i w:val="0"/>
          <w:caps w:val="0"/>
          <w:spacing w:val="0"/>
          <w:w w:val="100"/>
        </w:rPr>
        <w:t>开标</w:t>
      </w:r>
      <w:r>
        <w:tab/>
      </w:r>
      <w:r>
        <w:fldChar w:fldCharType="begin"/>
      </w:r>
      <w:r>
        <w:instrText xml:space="preserve"> PAGEREF _Toc7344 \h </w:instrText>
      </w:r>
      <w:r>
        <w:fldChar w:fldCharType="separate"/>
      </w:r>
      <w:r>
        <w:t>6</w:t>
      </w:r>
      <w:r>
        <w:fldChar w:fldCharType="end"/>
      </w:r>
      <w:r>
        <w:fldChar w:fldCharType="end"/>
      </w:r>
    </w:p>
    <w:p w14:paraId="3B1A3A45">
      <w:pPr>
        <w:pStyle w:val="14"/>
        <w:tabs>
          <w:tab w:val="right" w:leader="dot" w:pos="9786"/>
          <w:tab w:val="clear" w:pos="1260"/>
          <w:tab w:val="clear" w:pos="8630"/>
        </w:tabs>
      </w:pPr>
      <w:r>
        <w:fldChar w:fldCharType="begin"/>
      </w:r>
      <w:r>
        <w:instrText xml:space="preserve"> HYPERLINK \l _Toc18702 </w:instrText>
      </w:r>
      <w:r>
        <w:fldChar w:fldCharType="separate"/>
      </w:r>
      <w:r>
        <w:rPr>
          <w:rFonts w:hint="eastAsia" w:ascii="仿宋_GB2312" w:hAnsi="仿宋_GB2312" w:eastAsia="仿宋_GB2312" w:cs="仿宋_GB2312"/>
          <w:i w:val="0"/>
          <w:caps w:val="0"/>
          <w:spacing w:val="0"/>
          <w:w w:val="100"/>
        </w:rPr>
        <w:t>19.资格审查及组建评标委员会</w:t>
      </w:r>
      <w:r>
        <w:tab/>
      </w:r>
      <w:r>
        <w:fldChar w:fldCharType="begin"/>
      </w:r>
      <w:r>
        <w:instrText xml:space="preserve"> PAGEREF _Toc18702 \h </w:instrText>
      </w:r>
      <w:r>
        <w:fldChar w:fldCharType="separate"/>
      </w:r>
      <w:r>
        <w:t>6</w:t>
      </w:r>
      <w:r>
        <w:fldChar w:fldCharType="end"/>
      </w:r>
      <w:r>
        <w:fldChar w:fldCharType="end"/>
      </w:r>
    </w:p>
    <w:p w14:paraId="46DD0916">
      <w:pPr>
        <w:pStyle w:val="14"/>
        <w:tabs>
          <w:tab w:val="right" w:leader="dot" w:pos="9786"/>
          <w:tab w:val="clear" w:pos="1260"/>
          <w:tab w:val="clear" w:pos="8630"/>
        </w:tabs>
      </w:pPr>
      <w:r>
        <w:fldChar w:fldCharType="begin"/>
      </w:r>
      <w:r>
        <w:instrText xml:space="preserve"> HYPERLINK \l _Toc10709 </w:instrText>
      </w:r>
      <w:r>
        <w:fldChar w:fldCharType="separate"/>
      </w:r>
      <w:r>
        <w:rPr>
          <w:rFonts w:hint="eastAsia" w:ascii="仿宋_GB2312" w:hAnsi="仿宋_GB2312" w:eastAsia="仿宋_GB2312" w:cs="仿宋_GB2312"/>
          <w:i w:val="0"/>
          <w:caps w:val="0"/>
          <w:spacing w:val="0"/>
          <w:w w:val="100"/>
        </w:rPr>
        <w:t>20.投标文件符合性审查与澄清</w:t>
      </w:r>
      <w:r>
        <w:tab/>
      </w:r>
      <w:r>
        <w:fldChar w:fldCharType="begin"/>
      </w:r>
      <w:r>
        <w:instrText xml:space="preserve"> PAGEREF _Toc10709 \h </w:instrText>
      </w:r>
      <w:r>
        <w:fldChar w:fldCharType="separate"/>
      </w:r>
      <w:r>
        <w:t>7</w:t>
      </w:r>
      <w:r>
        <w:fldChar w:fldCharType="end"/>
      </w:r>
      <w:r>
        <w:fldChar w:fldCharType="end"/>
      </w:r>
    </w:p>
    <w:p w14:paraId="7EABFD76">
      <w:pPr>
        <w:pStyle w:val="14"/>
        <w:tabs>
          <w:tab w:val="right" w:leader="dot" w:pos="9786"/>
          <w:tab w:val="clear" w:pos="1260"/>
          <w:tab w:val="clear" w:pos="8630"/>
        </w:tabs>
      </w:pPr>
      <w:r>
        <w:fldChar w:fldCharType="begin"/>
      </w:r>
      <w:r>
        <w:instrText xml:space="preserve"> HYPERLINK \l _Toc29386 </w:instrText>
      </w:r>
      <w:r>
        <w:fldChar w:fldCharType="separate"/>
      </w:r>
      <w:r>
        <w:rPr>
          <w:rFonts w:hint="eastAsia" w:ascii="仿宋_GB2312" w:hAnsi="仿宋_GB2312" w:eastAsia="仿宋_GB2312" w:cs="仿宋_GB2312"/>
          <w:i w:val="0"/>
          <w:caps w:val="0"/>
          <w:spacing w:val="0"/>
          <w:w w:val="100"/>
        </w:rPr>
        <w:t>21.投标偏离</w:t>
      </w:r>
      <w:r>
        <w:tab/>
      </w:r>
      <w:r>
        <w:fldChar w:fldCharType="begin"/>
      </w:r>
      <w:r>
        <w:instrText xml:space="preserve"> PAGEREF _Toc29386 \h </w:instrText>
      </w:r>
      <w:r>
        <w:fldChar w:fldCharType="separate"/>
      </w:r>
      <w:r>
        <w:t>8</w:t>
      </w:r>
      <w:r>
        <w:fldChar w:fldCharType="end"/>
      </w:r>
      <w:r>
        <w:fldChar w:fldCharType="end"/>
      </w:r>
    </w:p>
    <w:p w14:paraId="0EB532B2">
      <w:pPr>
        <w:pStyle w:val="14"/>
        <w:tabs>
          <w:tab w:val="right" w:leader="dot" w:pos="9786"/>
          <w:tab w:val="clear" w:pos="1260"/>
          <w:tab w:val="clear" w:pos="8630"/>
        </w:tabs>
      </w:pPr>
      <w:r>
        <w:fldChar w:fldCharType="begin"/>
      </w:r>
      <w:r>
        <w:instrText xml:space="preserve"> HYPERLINK \l _Toc16191 </w:instrText>
      </w:r>
      <w:r>
        <w:fldChar w:fldCharType="separate"/>
      </w:r>
      <w:r>
        <w:rPr>
          <w:rFonts w:hint="eastAsia" w:ascii="仿宋_GB2312" w:hAnsi="仿宋_GB2312" w:eastAsia="仿宋_GB2312" w:cs="仿宋_GB2312"/>
          <w:i w:val="0"/>
          <w:caps w:val="0"/>
          <w:spacing w:val="0"/>
          <w:w w:val="100"/>
        </w:rPr>
        <w:t>22.投标无效</w:t>
      </w:r>
      <w:r>
        <w:tab/>
      </w:r>
      <w:r>
        <w:fldChar w:fldCharType="begin"/>
      </w:r>
      <w:r>
        <w:instrText xml:space="preserve"> PAGEREF _Toc16191 \h </w:instrText>
      </w:r>
      <w:r>
        <w:fldChar w:fldCharType="separate"/>
      </w:r>
      <w:r>
        <w:t>8</w:t>
      </w:r>
      <w:r>
        <w:fldChar w:fldCharType="end"/>
      </w:r>
      <w:r>
        <w:fldChar w:fldCharType="end"/>
      </w:r>
    </w:p>
    <w:p w14:paraId="5D99E9A2">
      <w:pPr>
        <w:pStyle w:val="14"/>
        <w:tabs>
          <w:tab w:val="right" w:leader="dot" w:pos="9786"/>
          <w:tab w:val="clear" w:pos="1260"/>
          <w:tab w:val="clear" w:pos="8630"/>
        </w:tabs>
      </w:pPr>
      <w:r>
        <w:fldChar w:fldCharType="begin"/>
      </w:r>
      <w:r>
        <w:instrText xml:space="preserve"> HYPERLINK \l _Toc26701 </w:instrText>
      </w:r>
      <w:r>
        <w:fldChar w:fldCharType="separate"/>
      </w:r>
      <w:r>
        <w:rPr>
          <w:rFonts w:hint="eastAsia" w:ascii="仿宋_GB2312" w:hAnsi="仿宋_GB2312" w:eastAsia="仿宋_GB2312" w:cs="仿宋_GB2312"/>
          <w:i w:val="0"/>
          <w:caps w:val="0"/>
          <w:spacing w:val="0"/>
          <w:w w:val="100"/>
        </w:rPr>
        <w:t>24.废标</w:t>
      </w:r>
      <w:r>
        <w:tab/>
      </w:r>
      <w:r>
        <w:fldChar w:fldCharType="begin"/>
      </w:r>
      <w:r>
        <w:instrText xml:space="preserve"> PAGEREF _Toc26701 \h </w:instrText>
      </w:r>
      <w:r>
        <w:fldChar w:fldCharType="separate"/>
      </w:r>
      <w:r>
        <w:t>9</w:t>
      </w:r>
      <w:r>
        <w:fldChar w:fldCharType="end"/>
      </w:r>
      <w:r>
        <w:fldChar w:fldCharType="end"/>
      </w:r>
    </w:p>
    <w:p w14:paraId="43E23B9B">
      <w:pPr>
        <w:pStyle w:val="14"/>
        <w:tabs>
          <w:tab w:val="right" w:leader="dot" w:pos="9786"/>
          <w:tab w:val="clear" w:pos="1260"/>
          <w:tab w:val="clear" w:pos="8630"/>
        </w:tabs>
      </w:pPr>
      <w:r>
        <w:fldChar w:fldCharType="begin"/>
      </w:r>
      <w:r>
        <w:instrText xml:space="preserve"> HYPERLINK \l _Toc29837 </w:instrText>
      </w:r>
      <w:r>
        <w:fldChar w:fldCharType="separate"/>
      </w:r>
      <w:r>
        <w:rPr>
          <w:rFonts w:hint="eastAsia" w:ascii="仿宋_GB2312" w:hAnsi="仿宋_GB2312" w:eastAsia="仿宋_GB2312" w:cs="仿宋_GB2312"/>
          <w:i w:val="0"/>
          <w:caps w:val="0"/>
          <w:spacing w:val="0"/>
          <w:w w:val="100"/>
        </w:rPr>
        <w:t>25.保密原则</w:t>
      </w:r>
      <w:r>
        <w:tab/>
      </w:r>
      <w:r>
        <w:fldChar w:fldCharType="begin"/>
      </w:r>
      <w:r>
        <w:instrText xml:space="preserve"> PAGEREF _Toc29837 \h </w:instrText>
      </w:r>
      <w:r>
        <w:fldChar w:fldCharType="separate"/>
      </w:r>
      <w:r>
        <w:t>9</w:t>
      </w:r>
      <w:r>
        <w:fldChar w:fldCharType="end"/>
      </w:r>
      <w:r>
        <w:fldChar w:fldCharType="end"/>
      </w:r>
    </w:p>
    <w:p w14:paraId="64D5F95E">
      <w:pPr>
        <w:pStyle w:val="27"/>
        <w:tabs>
          <w:tab w:val="right" w:leader="dot" w:pos="9786"/>
        </w:tabs>
      </w:pPr>
      <w:r>
        <w:fldChar w:fldCharType="begin"/>
      </w:r>
      <w:r>
        <w:instrText xml:space="preserve"> HYPERLINK \l _Toc24963 </w:instrText>
      </w:r>
      <w:r>
        <w:fldChar w:fldCharType="separate"/>
      </w:r>
      <w:r>
        <w:rPr>
          <w:rFonts w:hint="eastAsia" w:ascii="仿宋_GB2312" w:hAnsi="仿宋_GB2312" w:eastAsia="仿宋_GB2312" w:cs="仿宋_GB2312"/>
          <w:i w:val="0"/>
          <w:caps w:val="0"/>
          <w:spacing w:val="0"/>
          <w:w w:val="100"/>
        </w:rPr>
        <w:t>六   确定中标</w:t>
      </w:r>
      <w:r>
        <w:tab/>
      </w:r>
      <w:r>
        <w:fldChar w:fldCharType="begin"/>
      </w:r>
      <w:r>
        <w:instrText xml:space="preserve"> PAGEREF _Toc24963 \h </w:instrText>
      </w:r>
      <w:r>
        <w:fldChar w:fldCharType="separate"/>
      </w:r>
      <w:r>
        <w:t>9</w:t>
      </w:r>
      <w:r>
        <w:fldChar w:fldCharType="end"/>
      </w:r>
      <w:r>
        <w:fldChar w:fldCharType="end"/>
      </w:r>
    </w:p>
    <w:p w14:paraId="7DDBADD9">
      <w:pPr>
        <w:pStyle w:val="14"/>
        <w:tabs>
          <w:tab w:val="right" w:leader="dot" w:pos="9786"/>
          <w:tab w:val="clear" w:pos="1260"/>
          <w:tab w:val="clear" w:pos="8630"/>
        </w:tabs>
      </w:pPr>
      <w:r>
        <w:fldChar w:fldCharType="begin"/>
      </w:r>
      <w:r>
        <w:instrText xml:space="preserve"> HYPERLINK \l _Toc11700 </w:instrText>
      </w:r>
      <w:r>
        <w:fldChar w:fldCharType="separate"/>
      </w:r>
      <w:r>
        <w:rPr>
          <w:rFonts w:hint="eastAsia" w:ascii="仿宋_GB2312" w:hAnsi="仿宋_GB2312" w:eastAsia="仿宋_GB2312" w:cs="仿宋_GB2312"/>
          <w:i w:val="0"/>
          <w:caps w:val="0"/>
          <w:spacing w:val="0"/>
          <w:w w:val="100"/>
        </w:rPr>
        <w:t>26.中标候选人的确定原则及标准</w:t>
      </w:r>
      <w:r>
        <w:tab/>
      </w:r>
      <w:r>
        <w:fldChar w:fldCharType="begin"/>
      </w:r>
      <w:r>
        <w:instrText xml:space="preserve"> PAGEREF _Toc11700 \h </w:instrText>
      </w:r>
      <w:r>
        <w:fldChar w:fldCharType="separate"/>
      </w:r>
      <w:r>
        <w:t>9</w:t>
      </w:r>
      <w:r>
        <w:fldChar w:fldCharType="end"/>
      </w:r>
      <w:r>
        <w:fldChar w:fldCharType="end"/>
      </w:r>
    </w:p>
    <w:p w14:paraId="0E1BEF44">
      <w:pPr>
        <w:pStyle w:val="14"/>
        <w:tabs>
          <w:tab w:val="right" w:leader="dot" w:pos="9786"/>
          <w:tab w:val="clear" w:pos="1260"/>
          <w:tab w:val="clear" w:pos="8630"/>
        </w:tabs>
      </w:pPr>
      <w:r>
        <w:fldChar w:fldCharType="begin"/>
      </w:r>
      <w:r>
        <w:instrText xml:space="preserve"> HYPERLINK \l _Toc30552 </w:instrText>
      </w:r>
      <w:r>
        <w:fldChar w:fldCharType="separate"/>
      </w:r>
      <w:r>
        <w:rPr>
          <w:rFonts w:hint="eastAsia" w:ascii="仿宋_GB2312" w:hAnsi="仿宋_GB2312" w:eastAsia="仿宋_GB2312" w:cs="仿宋_GB2312"/>
          <w:i w:val="0"/>
          <w:caps w:val="0"/>
          <w:spacing w:val="0"/>
          <w:w w:val="100"/>
        </w:rPr>
        <w:t>27.确定中标候选人和中标人</w:t>
      </w:r>
      <w:r>
        <w:tab/>
      </w:r>
      <w:r>
        <w:fldChar w:fldCharType="begin"/>
      </w:r>
      <w:r>
        <w:instrText xml:space="preserve"> PAGEREF _Toc30552 \h </w:instrText>
      </w:r>
      <w:r>
        <w:fldChar w:fldCharType="separate"/>
      </w:r>
      <w:r>
        <w:t>9</w:t>
      </w:r>
      <w:r>
        <w:fldChar w:fldCharType="end"/>
      </w:r>
      <w:r>
        <w:fldChar w:fldCharType="end"/>
      </w:r>
    </w:p>
    <w:p w14:paraId="24A78331">
      <w:pPr>
        <w:pStyle w:val="14"/>
        <w:tabs>
          <w:tab w:val="right" w:leader="dot" w:pos="9786"/>
          <w:tab w:val="clear" w:pos="1260"/>
          <w:tab w:val="clear" w:pos="8630"/>
        </w:tabs>
      </w:pPr>
      <w:r>
        <w:fldChar w:fldCharType="begin"/>
      </w:r>
      <w:r>
        <w:instrText xml:space="preserve"> HYPERLINK \l _Toc6520 </w:instrText>
      </w:r>
      <w:r>
        <w:fldChar w:fldCharType="separate"/>
      </w:r>
      <w:r>
        <w:rPr>
          <w:rFonts w:hint="eastAsia" w:ascii="仿宋_GB2312" w:hAnsi="仿宋_GB2312" w:eastAsia="仿宋_GB2312" w:cs="仿宋_GB2312"/>
          <w:i w:val="0"/>
          <w:caps w:val="0"/>
          <w:spacing w:val="0"/>
          <w:w w:val="100"/>
        </w:rPr>
        <w:t>28.采购任务取消</w:t>
      </w:r>
      <w:r>
        <w:tab/>
      </w:r>
      <w:r>
        <w:fldChar w:fldCharType="begin"/>
      </w:r>
      <w:r>
        <w:instrText xml:space="preserve"> PAGEREF _Toc6520 \h </w:instrText>
      </w:r>
      <w:r>
        <w:fldChar w:fldCharType="separate"/>
      </w:r>
      <w:r>
        <w:t>9</w:t>
      </w:r>
      <w:r>
        <w:fldChar w:fldCharType="end"/>
      </w:r>
      <w:r>
        <w:fldChar w:fldCharType="end"/>
      </w:r>
    </w:p>
    <w:p w14:paraId="3CFC64B7">
      <w:pPr>
        <w:pStyle w:val="14"/>
        <w:tabs>
          <w:tab w:val="right" w:leader="dot" w:pos="9786"/>
          <w:tab w:val="clear" w:pos="1260"/>
          <w:tab w:val="clear" w:pos="8630"/>
        </w:tabs>
      </w:pPr>
      <w:r>
        <w:fldChar w:fldCharType="begin"/>
      </w:r>
      <w:r>
        <w:instrText xml:space="preserve"> HYPERLINK \l _Toc22756 </w:instrText>
      </w:r>
      <w:r>
        <w:fldChar w:fldCharType="separate"/>
      </w:r>
      <w:r>
        <w:rPr>
          <w:rFonts w:hint="eastAsia" w:ascii="仿宋_GB2312" w:hAnsi="仿宋_GB2312" w:eastAsia="仿宋_GB2312" w:cs="仿宋_GB2312"/>
          <w:i w:val="0"/>
          <w:caps w:val="0"/>
          <w:spacing w:val="0"/>
          <w:w w:val="100"/>
        </w:rPr>
        <w:t>29.中标通知书</w:t>
      </w:r>
      <w:r>
        <w:tab/>
      </w:r>
      <w:r>
        <w:fldChar w:fldCharType="begin"/>
      </w:r>
      <w:r>
        <w:instrText xml:space="preserve"> PAGEREF _Toc22756 \h </w:instrText>
      </w:r>
      <w:r>
        <w:fldChar w:fldCharType="separate"/>
      </w:r>
      <w:r>
        <w:t>9</w:t>
      </w:r>
      <w:r>
        <w:fldChar w:fldCharType="end"/>
      </w:r>
      <w:r>
        <w:fldChar w:fldCharType="end"/>
      </w:r>
    </w:p>
    <w:p w14:paraId="10CC1AE8">
      <w:pPr>
        <w:pStyle w:val="14"/>
        <w:tabs>
          <w:tab w:val="right" w:leader="dot" w:pos="9786"/>
          <w:tab w:val="clear" w:pos="1260"/>
          <w:tab w:val="clear" w:pos="8630"/>
        </w:tabs>
      </w:pPr>
      <w:r>
        <w:fldChar w:fldCharType="begin"/>
      </w:r>
      <w:r>
        <w:instrText xml:space="preserve"> HYPERLINK \l _Toc108 </w:instrText>
      </w:r>
      <w:r>
        <w:fldChar w:fldCharType="separate"/>
      </w:r>
      <w:r>
        <w:rPr>
          <w:rFonts w:hint="eastAsia" w:ascii="仿宋_GB2312" w:hAnsi="仿宋_GB2312" w:eastAsia="仿宋_GB2312" w:cs="仿宋_GB2312"/>
          <w:i w:val="0"/>
          <w:caps w:val="0"/>
          <w:spacing w:val="0"/>
          <w:w w:val="100"/>
        </w:rPr>
        <w:t>30.签订合同</w:t>
      </w:r>
      <w:r>
        <w:tab/>
      </w:r>
      <w:r>
        <w:fldChar w:fldCharType="begin"/>
      </w:r>
      <w:r>
        <w:instrText xml:space="preserve"> PAGEREF _Toc108 \h </w:instrText>
      </w:r>
      <w:r>
        <w:fldChar w:fldCharType="separate"/>
      </w:r>
      <w:r>
        <w:t>9</w:t>
      </w:r>
      <w:r>
        <w:fldChar w:fldCharType="end"/>
      </w:r>
      <w:r>
        <w:fldChar w:fldCharType="end"/>
      </w:r>
    </w:p>
    <w:p w14:paraId="64D786A6">
      <w:pPr>
        <w:pStyle w:val="14"/>
        <w:tabs>
          <w:tab w:val="right" w:leader="dot" w:pos="9786"/>
          <w:tab w:val="clear" w:pos="1260"/>
          <w:tab w:val="clear" w:pos="8630"/>
        </w:tabs>
      </w:pPr>
      <w:r>
        <w:fldChar w:fldCharType="begin"/>
      </w:r>
      <w:r>
        <w:instrText xml:space="preserve"> HYPERLINK \l _Toc4832 </w:instrText>
      </w:r>
      <w:r>
        <w:fldChar w:fldCharType="separate"/>
      </w:r>
      <w:r>
        <w:rPr>
          <w:rFonts w:hint="eastAsia" w:ascii="仿宋_GB2312" w:hAnsi="仿宋_GB2312" w:eastAsia="仿宋_GB2312" w:cs="仿宋_GB2312"/>
          <w:i w:val="0"/>
          <w:caps w:val="0"/>
          <w:spacing w:val="0"/>
          <w:w w:val="100"/>
        </w:rPr>
        <w:t>31.履约保证金</w:t>
      </w:r>
      <w:r>
        <w:tab/>
      </w:r>
      <w:r>
        <w:fldChar w:fldCharType="begin"/>
      </w:r>
      <w:r>
        <w:instrText xml:space="preserve"> PAGEREF _Toc4832 \h </w:instrText>
      </w:r>
      <w:r>
        <w:fldChar w:fldCharType="separate"/>
      </w:r>
      <w:r>
        <w:t>10</w:t>
      </w:r>
      <w:r>
        <w:fldChar w:fldCharType="end"/>
      </w:r>
      <w:r>
        <w:fldChar w:fldCharType="end"/>
      </w:r>
    </w:p>
    <w:p w14:paraId="4CBB388A">
      <w:pPr>
        <w:pStyle w:val="14"/>
        <w:tabs>
          <w:tab w:val="right" w:leader="dot" w:pos="9786"/>
          <w:tab w:val="clear" w:pos="1260"/>
          <w:tab w:val="clear" w:pos="8630"/>
        </w:tabs>
      </w:pPr>
      <w:r>
        <w:fldChar w:fldCharType="begin"/>
      </w:r>
      <w:r>
        <w:instrText xml:space="preserve"> HYPERLINK \l _Toc20750 </w:instrText>
      </w:r>
      <w:r>
        <w:fldChar w:fldCharType="separate"/>
      </w:r>
      <w:r>
        <w:rPr>
          <w:rFonts w:hint="eastAsia" w:ascii="仿宋_GB2312" w:hAnsi="仿宋_GB2312" w:eastAsia="仿宋_GB2312" w:cs="仿宋_GB2312"/>
          <w:i w:val="0"/>
          <w:caps w:val="0"/>
          <w:spacing w:val="0"/>
          <w:w w:val="100"/>
        </w:rPr>
        <w:t>32.中标服务费</w:t>
      </w:r>
      <w:r>
        <w:tab/>
      </w:r>
      <w:r>
        <w:fldChar w:fldCharType="begin"/>
      </w:r>
      <w:r>
        <w:instrText xml:space="preserve"> PAGEREF _Toc20750 \h </w:instrText>
      </w:r>
      <w:r>
        <w:fldChar w:fldCharType="separate"/>
      </w:r>
      <w:r>
        <w:t>10</w:t>
      </w:r>
      <w:r>
        <w:fldChar w:fldCharType="end"/>
      </w:r>
      <w:r>
        <w:fldChar w:fldCharType="end"/>
      </w:r>
    </w:p>
    <w:p w14:paraId="4B18D8DB">
      <w:pPr>
        <w:pStyle w:val="14"/>
        <w:tabs>
          <w:tab w:val="right" w:leader="dot" w:pos="9786"/>
          <w:tab w:val="clear" w:pos="1260"/>
          <w:tab w:val="clear" w:pos="8630"/>
        </w:tabs>
      </w:pPr>
      <w:r>
        <w:fldChar w:fldCharType="begin"/>
      </w:r>
      <w:r>
        <w:instrText xml:space="preserve"> HYPERLINK \l _Toc17362 </w:instrText>
      </w:r>
      <w:r>
        <w:fldChar w:fldCharType="separate"/>
      </w:r>
      <w:r>
        <w:rPr>
          <w:rFonts w:hint="eastAsia" w:ascii="仿宋_GB2312" w:hAnsi="仿宋_GB2312" w:eastAsia="仿宋_GB2312" w:cs="仿宋_GB2312"/>
          <w:i w:val="0"/>
          <w:caps w:val="0"/>
          <w:spacing w:val="0"/>
          <w:w w:val="100"/>
        </w:rPr>
        <w:t>33.政府采购信用担保</w:t>
      </w:r>
      <w:r>
        <w:tab/>
      </w:r>
      <w:r>
        <w:fldChar w:fldCharType="begin"/>
      </w:r>
      <w:r>
        <w:instrText xml:space="preserve"> PAGEREF _Toc17362 \h </w:instrText>
      </w:r>
      <w:r>
        <w:fldChar w:fldCharType="separate"/>
      </w:r>
      <w:r>
        <w:t>10</w:t>
      </w:r>
      <w:r>
        <w:fldChar w:fldCharType="end"/>
      </w:r>
      <w:r>
        <w:fldChar w:fldCharType="end"/>
      </w:r>
    </w:p>
    <w:p w14:paraId="2765F8AD">
      <w:pPr>
        <w:pStyle w:val="14"/>
        <w:tabs>
          <w:tab w:val="right" w:leader="dot" w:pos="9786"/>
          <w:tab w:val="clear" w:pos="1260"/>
          <w:tab w:val="clear" w:pos="8630"/>
        </w:tabs>
      </w:pPr>
      <w:r>
        <w:fldChar w:fldCharType="begin"/>
      </w:r>
      <w:r>
        <w:instrText xml:space="preserve"> HYPERLINK \l _Toc31175 </w:instrText>
      </w:r>
      <w:r>
        <w:fldChar w:fldCharType="separate"/>
      </w:r>
      <w:r>
        <w:rPr>
          <w:rFonts w:hint="eastAsia" w:ascii="仿宋_GB2312" w:hAnsi="仿宋_GB2312" w:eastAsia="仿宋_GB2312" w:cs="仿宋_GB2312"/>
          <w:i w:val="0"/>
          <w:caps w:val="0"/>
          <w:spacing w:val="0"/>
          <w:w w:val="100"/>
        </w:rPr>
        <w:t>34.廉洁自律规定</w:t>
      </w:r>
      <w:r>
        <w:tab/>
      </w:r>
      <w:r>
        <w:fldChar w:fldCharType="begin"/>
      </w:r>
      <w:r>
        <w:instrText xml:space="preserve"> PAGEREF _Toc31175 \h </w:instrText>
      </w:r>
      <w:r>
        <w:fldChar w:fldCharType="separate"/>
      </w:r>
      <w:r>
        <w:t>10</w:t>
      </w:r>
      <w:r>
        <w:fldChar w:fldCharType="end"/>
      </w:r>
      <w:r>
        <w:fldChar w:fldCharType="end"/>
      </w:r>
    </w:p>
    <w:p w14:paraId="5B72AE78">
      <w:pPr>
        <w:pStyle w:val="14"/>
        <w:tabs>
          <w:tab w:val="right" w:leader="dot" w:pos="9786"/>
          <w:tab w:val="clear" w:pos="1260"/>
          <w:tab w:val="clear" w:pos="8630"/>
        </w:tabs>
      </w:pPr>
      <w:r>
        <w:fldChar w:fldCharType="begin"/>
      </w:r>
      <w:r>
        <w:instrText xml:space="preserve"> HYPERLINK \l _Toc10903 </w:instrText>
      </w:r>
      <w:r>
        <w:fldChar w:fldCharType="separate"/>
      </w:r>
      <w:r>
        <w:rPr>
          <w:rFonts w:hint="eastAsia" w:ascii="仿宋_GB2312" w:hAnsi="仿宋_GB2312" w:eastAsia="仿宋_GB2312" w:cs="仿宋_GB2312"/>
          <w:i w:val="0"/>
          <w:caps w:val="0"/>
          <w:spacing w:val="0"/>
          <w:w w:val="100"/>
        </w:rPr>
        <w:t>35.人员回避</w:t>
      </w:r>
      <w:r>
        <w:tab/>
      </w:r>
      <w:r>
        <w:fldChar w:fldCharType="begin"/>
      </w:r>
      <w:r>
        <w:instrText xml:space="preserve"> PAGEREF _Toc10903 \h </w:instrText>
      </w:r>
      <w:r>
        <w:fldChar w:fldCharType="separate"/>
      </w:r>
      <w:r>
        <w:t>10</w:t>
      </w:r>
      <w:r>
        <w:fldChar w:fldCharType="end"/>
      </w:r>
      <w:r>
        <w:fldChar w:fldCharType="end"/>
      </w:r>
    </w:p>
    <w:p w14:paraId="5561E4FC">
      <w:pPr>
        <w:pStyle w:val="14"/>
        <w:tabs>
          <w:tab w:val="right" w:leader="dot" w:pos="9786"/>
          <w:tab w:val="clear" w:pos="1260"/>
          <w:tab w:val="clear" w:pos="8630"/>
        </w:tabs>
      </w:pPr>
      <w:r>
        <w:fldChar w:fldCharType="begin"/>
      </w:r>
      <w:r>
        <w:instrText xml:space="preserve"> HYPERLINK \l _Toc26572 </w:instrText>
      </w:r>
      <w:r>
        <w:fldChar w:fldCharType="separate"/>
      </w:r>
      <w:r>
        <w:rPr>
          <w:rFonts w:hint="eastAsia" w:ascii="仿宋_GB2312" w:hAnsi="仿宋_GB2312" w:eastAsia="仿宋_GB2312" w:cs="仿宋_GB2312"/>
          <w:szCs w:val="24"/>
        </w:rPr>
        <w:t>36.质疑与接收</w:t>
      </w:r>
      <w:r>
        <w:tab/>
      </w:r>
      <w:r>
        <w:fldChar w:fldCharType="begin"/>
      </w:r>
      <w:r>
        <w:instrText xml:space="preserve"> PAGEREF _Toc26572 \h </w:instrText>
      </w:r>
      <w:r>
        <w:fldChar w:fldCharType="separate"/>
      </w:r>
      <w:r>
        <w:t>10</w:t>
      </w:r>
      <w:r>
        <w:fldChar w:fldCharType="end"/>
      </w:r>
      <w:r>
        <w:fldChar w:fldCharType="end"/>
      </w:r>
    </w:p>
    <w:p w14:paraId="6E9AD9A4">
      <w:pPr>
        <w:pStyle w:val="22"/>
        <w:tabs>
          <w:tab w:val="right" w:leader="dot" w:pos="9786"/>
        </w:tabs>
      </w:pPr>
      <w:r>
        <w:fldChar w:fldCharType="begin"/>
      </w:r>
      <w:r>
        <w:instrText xml:space="preserve"> HYPERLINK \l _Toc10798 </w:instrText>
      </w:r>
      <w:r>
        <w:fldChar w:fldCharType="separate"/>
      </w:r>
      <w:r>
        <w:rPr>
          <w:rFonts w:hint="eastAsia" w:ascii="仿宋_GB2312" w:hAnsi="仿宋_GB2312" w:eastAsia="仿宋_GB2312" w:cs="仿宋_GB2312"/>
          <w:i w:val="0"/>
          <w:caps w:val="0"/>
          <w:spacing w:val="0"/>
          <w:w w:val="100"/>
          <w:kern w:val="0"/>
          <w:szCs w:val="44"/>
        </w:rPr>
        <w:t>第二章</w:t>
      </w:r>
      <w:r>
        <w:rPr>
          <w:rFonts w:hint="eastAsia" w:ascii="仿宋_GB2312" w:hAnsi="仿宋_GB2312" w:eastAsia="仿宋_GB2312" w:cs="仿宋_GB2312"/>
          <w:i w:val="0"/>
          <w:caps w:val="0"/>
          <w:spacing w:val="0"/>
          <w:w w:val="100"/>
          <w:szCs w:val="44"/>
        </w:rPr>
        <w:t xml:space="preserve">  投标文件格式</w:t>
      </w:r>
      <w:r>
        <w:tab/>
      </w:r>
      <w:r>
        <w:fldChar w:fldCharType="begin"/>
      </w:r>
      <w:r>
        <w:instrText xml:space="preserve"> PAGEREF _Toc10798 \h </w:instrText>
      </w:r>
      <w:r>
        <w:fldChar w:fldCharType="separate"/>
      </w:r>
      <w:r>
        <w:t>17</w:t>
      </w:r>
      <w:r>
        <w:fldChar w:fldCharType="end"/>
      </w:r>
      <w:r>
        <w:fldChar w:fldCharType="end"/>
      </w:r>
    </w:p>
    <w:p w14:paraId="6574675D">
      <w:pPr>
        <w:pStyle w:val="27"/>
        <w:tabs>
          <w:tab w:val="right" w:leader="dot" w:pos="9786"/>
        </w:tabs>
        <w:ind w:left="0" w:leftChars="0" w:firstLine="420" w:firstLineChars="200"/>
      </w:pPr>
      <w:r>
        <w:fldChar w:fldCharType="begin"/>
      </w:r>
      <w:r>
        <w:instrText xml:space="preserve"> HYPERLINK \l _Toc29939 </w:instrText>
      </w:r>
      <w:r>
        <w:fldChar w:fldCharType="separate"/>
      </w:r>
      <w:r>
        <w:rPr>
          <w:rFonts w:ascii="仿宋_GB2312" w:hAnsi="宋体" w:eastAsia="仿宋_GB2312"/>
          <w:i w:val="0"/>
          <w:caps w:val="0"/>
          <w:spacing w:val="0"/>
          <w:w w:val="100"/>
        </w:rPr>
        <w:t>第一部分</w:t>
      </w:r>
      <w:r>
        <w:rPr>
          <w:rFonts w:hint="eastAsia" w:ascii="仿宋_GB2312" w:hAnsi="宋体" w:eastAsia="仿宋_GB2312"/>
          <w:i w:val="0"/>
          <w:caps w:val="0"/>
          <w:spacing w:val="0"/>
          <w:w w:val="100"/>
        </w:rPr>
        <w:t xml:space="preserve"> 开标一览表及资格证明文件</w:t>
      </w:r>
      <w:r>
        <w:tab/>
      </w:r>
      <w:r>
        <w:fldChar w:fldCharType="begin"/>
      </w:r>
      <w:r>
        <w:instrText xml:space="preserve"> PAGEREF _Toc29939 \h </w:instrText>
      </w:r>
      <w:r>
        <w:fldChar w:fldCharType="separate"/>
      </w:r>
      <w:r>
        <w:t>17</w:t>
      </w:r>
      <w:r>
        <w:fldChar w:fldCharType="end"/>
      </w:r>
      <w:r>
        <w:fldChar w:fldCharType="end"/>
      </w:r>
    </w:p>
    <w:p w14:paraId="583A123C">
      <w:pPr>
        <w:pStyle w:val="14"/>
        <w:tabs>
          <w:tab w:val="right" w:leader="dot" w:pos="9786"/>
          <w:tab w:val="clear" w:pos="1260"/>
          <w:tab w:val="clear" w:pos="8630"/>
        </w:tabs>
        <w:ind w:left="0" w:leftChars="0" w:firstLine="840" w:firstLineChars="400"/>
      </w:pPr>
      <w:r>
        <w:fldChar w:fldCharType="begin"/>
      </w:r>
      <w:r>
        <w:instrText xml:space="preserve"> HYPERLINK \l _Toc29409 </w:instrText>
      </w:r>
      <w:r>
        <w:fldChar w:fldCharType="separate"/>
      </w:r>
      <w:r>
        <w:rPr>
          <w:rFonts w:hint="eastAsia" w:ascii="仿宋_GB2312" w:hAnsi="仿宋_GB2312" w:eastAsia="仿宋_GB2312" w:cs="仿宋_GB2312"/>
          <w:i w:val="0"/>
          <w:caps w:val="0"/>
          <w:spacing w:val="0"/>
          <w:w w:val="100"/>
        </w:rPr>
        <w:t>1  开标一览表</w:t>
      </w:r>
      <w:r>
        <w:tab/>
      </w:r>
      <w:r>
        <w:fldChar w:fldCharType="begin"/>
      </w:r>
      <w:r>
        <w:instrText xml:space="preserve"> PAGEREF _Toc29409 \h </w:instrText>
      </w:r>
      <w:r>
        <w:fldChar w:fldCharType="separate"/>
      </w:r>
      <w:r>
        <w:t>18</w:t>
      </w:r>
      <w:r>
        <w:fldChar w:fldCharType="end"/>
      </w:r>
      <w:r>
        <w:fldChar w:fldCharType="end"/>
      </w:r>
    </w:p>
    <w:p w14:paraId="1FF2D00C">
      <w:pPr>
        <w:pStyle w:val="14"/>
        <w:tabs>
          <w:tab w:val="right" w:leader="dot" w:pos="9786"/>
          <w:tab w:val="clear" w:pos="1260"/>
          <w:tab w:val="clear" w:pos="8630"/>
        </w:tabs>
        <w:ind w:left="0" w:leftChars="0" w:firstLine="840" w:firstLineChars="400"/>
      </w:pPr>
      <w:r>
        <w:fldChar w:fldCharType="begin"/>
      </w:r>
      <w:r>
        <w:instrText xml:space="preserve"> HYPERLINK \l _Toc25266 </w:instrText>
      </w:r>
      <w:r>
        <w:fldChar w:fldCharType="separate"/>
      </w:r>
      <w:r>
        <w:rPr>
          <w:rFonts w:hint="eastAsia" w:ascii="仿宋_GB2312" w:hAnsi="仿宋_GB2312" w:eastAsia="仿宋_GB2312" w:cs="仿宋_GB2312"/>
          <w:i w:val="0"/>
          <w:caps w:val="0"/>
          <w:spacing w:val="0"/>
          <w:w w:val="100"/>
          <w:kern w:val="0"/>
          <w:szCs w:val="20"/>
          <w:lang w:val="en-US" w:eastAsia="zh-CN" w:bidi="ar-SA"/>
        </w:rPr>
        <w:t>2  法人或者非法人组织的营业执照等证明文件</w:t>
      </w:r>
      <w:r>
        <w:tab/>
      </w:r>
      <w:r>
        <w:fldChar w:fldCharType="begin"/>
      </w:r>
      <w:r>
        <w:instrText xml:space="preserve"> PAGEREF _Toc25266 \h </w:instrText>
      </w:r>
      <w:r>
        <w:fldChar w:fldCharType="separate"/>
      </w:r>
      <w:r>
        <w:t>18</w:t>
      </w:r>
      <w:r>
        <w:fldChar w:fldCharType="end"/>
      </w:r>
      <w:r>
        <w:fldChar w:fldCharType="end"/>
      </w:r>
    </w:p>
    <w:p w14:paraId="7018EA9A">
      <w:pPr>
        <w:pStyle w:val="14"/>
        <w:tabs>
          <w:tab w:val="right" w:leader="dot" w:pos="9786"/>
          <w:tab w:val="clear" w:pos="1260"/>
          <w:tab w:val="clear" w:pos="8630"/>
        </w:tabs>
        <w:ind w:left="0" w:leftChars="0" w:firstLine="840" w:firstLineChars="400"/>
      </w:pPr>
      <w:r>
        <w:fldChar w:fldCharType="begin"/>
      </w:r>
      <w:r>
        <w:instrText xml:space="preserve"> HYPERLINK \l _Toc31390 </w:instrText>
      </w:r>
      <w:r>
        <w:fldChar w:fldCharType="separate"/>
      </w:r>
      <w:r>
        <w:rPr>
          <w:rFonts w:hint="eastAsia" w:ascii="仿宋_GB2312" w:hAnsi="仿宋_GB2312" w:eastAsia="仿宋_GB2312" w:cs="仿宋_GB2312"/>
          <w:i w:val="0"/>
          <w:caps w:val="0"/>
          <w:spacing w:val="0"/>
          <w:w w:val="100"/>
        </w:rPr>
        <w:t>3  法定代表人身份证明</w:t>
      </w:r>
      <w:r>
        <w:tab/>
      </w:r>
      <w:r>
        <w:fldChar w:fldCharType="begin"/>
      </w:r>
      <w:r>
        <w:instrText xml:space="preserve"> PAGEREF _Toc31390 \h </w:instrText>
      </w:r>
      <w:r>
        <w:fldChar w:fldCharType="separate"/>
      </w:r>
      <w:r>
        <w:t>18</w:t>
      </w:r>
      <w:r>
        <w:fldChar w:fldCharType="end"/>
      </w:r>
      <w:r>
        <w:fldChar w:fldCharType="end"/>
      </w:r>
    </w:p>
    <w:p w14:paraId="56B89469">
      <w:pPr>
        <w:pStyle w:val="14"/>
        <w:tabs>
          <w:tab w:val="right" w:leader="dot" w:pos="9786"/>
          <w:tab w:val="clear" w:pos="1260"/>
          <w:tab w:val="clear" w:pos="8630"/>
        </w:tabs>
        <w:ind w:left="0" w:leftChars="0" w:firstLine="840" w:firstLineChars="400"/>
      </w:pPr>
      <w:r>
        <w:fldChar w:fldCharType="begin"/>
      </w:r>
      <w:r>
        <w:instrText xml:space="preserve"> HYPERLINK \l _Toc20527 </w:instrText>
      </w:r>
      <w:r>
        <w:fldChar w:fldCharType="separate"/>
      </w:r>
      <w:r>
        <w:rPr>
          <w:rFonts w:hint="eastAsia" w:ascii="仿宋_GB2312" w:hAnsi="仿宋_GB2312" w:eastAsia="仿宋_GB2312" w:cs="仿宋_GB2312"/>
          <w:i w:val="0"/>
          <w:caps w:val="0"/>
          <w:spacing w:val="0"/>
          <w:w w:val="100"/>
        </w:rPr>
        <w:t>4  法定代表人授权委托书</w:t>
      </w:r>
      <w:r>
        <w:tab/>
      </w:r>
      <w:r>
        <w:fldChar w:fldCharType="begin"/>
      </w:r>
      <w:r>
        <w:instrText xml:space="preserve"> PAGEREF _Toc20527 \h </w:instrText>
      </w:r>
      <w:r>
        <w:fldChar w:fldCharType="separate"/>
      </w:r>
      <w:r>
        <w:t>19</w:t>
      </w:r>
      <w:r>
        <w:fldChar w:fldCharType="end"/>
      </w:r>
      <w:r>
        <w:fldChar w:fldCharType="end"/>
      </w:r>
    </w:p>
    <w:p w14:paraId="40402452">
      <w:pPr>
        <w:pStyle w:val="14"/>
        <w:tabs>
          <w:tab w:val="right" w:leader="dot" w:pos="9786"/>
          <w:tab w:val="clear" w:pos="1260"/>
          <w:tab w:val="clear" w:pos="8630"/>
        </w:tabs>
        <w:ind w:left="0" w:leftChars="0" w:firstLine="840" w:firstLineChars="400"/>
      </w:pPr>
      <w:r>
        <w:fldChar w:fldCharType="begin"/>
      </w:r>
      <w:r>
        <w:instrText xml:space="preserve"> HYPERLINK \l _Toc15659 </w:instrText>
      </w:r>
      <w:r>
        <w:fldChar w:fldCharType="separate"/>
      </w:r>
      <w:r>
        <w:rPr>
          <w:rFonts w:hint="eastAsia" w:ascii="仿宋_GB2312" w:hAnsi="仿宋_GB2312" w:eastAsia="仿宋_GB2312" w:cs="仿宋_GB2312"/>
          <w:i w:val="0"/>
          <w:caps w:val="0"/>
          <w:spacing w:val="0"/>
          <w:w w:val="100"/>
          <w:kern w:val="0"/>
          <w:szCs w:val="20"/>
          <w:lang w:val="en-US" w:eastAsia="zh-CN" w:bidi="ar-SA"/>
        </w:rPr>
        <w:t>5  投标保证金缴纳凭证</w:t>
      </w:r>
      <w:r>
        <w:tab/>
      </w:r>
      <w:r>
        <w:fldChar w:fldCharType="begin"/>
      </w:r>
      <w:r>
        <w:instrText xml:space="preserve"> PAGEREF _Toc15659 \h </w:instrText>
      </w:r>
      <w:r>
        <w:fldChar w:fldCharType="separate"/>
      </w:r>
      <w:r>
        <w:t>20</w:t>
      </w:r>
      <w:r>
        <w:fldChar w:fldCharType="end"/>
      </w:r>
      <w:r>
        <w:fldChar w:fldCharType="end"/>
      </w:r>
    </w:p>
    <w:p w14:paraId="73C41A03">
      <w:pPr>
        <w:pStyle w:val="14"/>
        <w:tabs>
          <w:tab w:val="right" w:leader="dot" w:pos="9786"/>
          <w:tab w:val="clear" w:pos="1260"/>
          <w:tab w:val="clear" w:pos="8630"/>
        </w:tabs>
        <w:ind w:left="0" w:leftChars="0" w:firstLine="840" w:firstLineChars="400"/>
      </w:pPr>
      <w:r>
        <w:fldChar w:fldCharType="begin"/>
      </w:r>
      <w:r>
        <w:instrText xml:space="preserve"> HYPERLINK \l _Toc7196 </w:instrText>
      </w:r>
      <w:r>
        <w:fldChar w:fldCharType="separate"/>
      </w:r>
      <w:r>
        <w:rPr>
          <w:rFonts w:hint="eastAsia" w:ascii="仿宋_GB2312" w:hAnsi="仿宋_GB2312" w:eastAsia="仿宋_GB2312" w:cs="仿宋_GB2312"/>
          <w:i w:val="0"/>
          <w:caps w:val="0"/>
          <w:spacing w:val="0"/>
          <w:w w:val="100"/>
          <w:kern w:val="0"/>
          <w:szCs w:val="20"/>
          <w:lang w:val="en-US" w:eastAsia="zh-CN" w:bidi="ar-SA"/>
        </w:rPr>
        <w:t>6  社会保障资金的缴纳记录</w:t>
      </w:r>
      <w:r>
        <w:tab/>
      </w:r>
      <w:r>
        <w:fldChar w:fldCharType="begin"/>
      </w:r>
      <w:r>
        <w:instrText xml:space="preserve"> PAGEREF _Toc7196 \h </w:instrText>
      </w:r>
      <w:r>
        <w:fldChar w:fldCharType="separate"/>
      </w:r>
      <w:r>
        <w:t>22</w:t>
      </w:r>
      <w:r>
        <w:fldChar w:fldCharType="end"/>
      </w:r>
      <w:r>
        <w:fldChar w:fldCharType="end"/>
      </w:r>
    </w:p>
    <w:p w14:paraId="4058EC02">
      <w:pPr>
        <w:pStyle w:val="27"/>
        <w:tabs>
          <w:tab w:val="right" w:leader="dot" w:pos="9786"/>
        </w:tabs>
        <w:ind w:firstLine="420" w:firstLineChars="200"/>
      </w:pPr>
      <w:r>
        <w:fldChar w:fldCharType="begin"/>
      </w:r>
      <w:r>
        <w:instrText xml:space="preserve"> HYPERLINK \l _Toc206 </w:instrText>
      </w:r>
      <w:r>
        <w:fldChar w:fldCharType="separate"/>
      </w:r>
      <w:r>
        <w:rPr>
          <w:rFonts w:hint="eastAsia" w:ascii="仿宋_GB2312" w:hAnsi="仿宋_GB2312" w:eastAsia="仿宋_GB2312" w:cs="仿宋_GB2312"/>
          <w:lang w:val="en-US" w:eastAsia="zh-CN"/>
        </w:rPr>
        <w:t>7  良好的商业信誉和健全的财务会计制度证明材料</w:t>
      </w:r>
      <w:r>
        <w:tab/>
      </w:r>
      <w:r>
        <w:fldChar w:fldCharType="begin"/>
      </w:r>
      <w:r>
        <w:instrText xml:space="preserve"> PAGEREF _Toc206 \h </w:instrText>
      </w:r>
      <w:r>
        <w:fldChar w:fldCharType="separate"/>
      </w:r>
      <w:r>
        <w:t>22</w:t>
      </w:r>
      <w:r>
        <w:fldChar w:fldCharType="end"/>
      </w:r>
      <w:r>
        <w:fldChar w:fldCharType="end"/>
      </w:r>
    </w:p>
    <w:p w14:paraId="3AB4A460">
      <w:pPr>
        <w:pStyle w:val="27"/>
        <w:tabs>
          <w:tab w:val="right" w:leader="dot" w:pos="9786"/>
        </w:tabs>
        <w:ind w:firstLine="420" w:firstLineChars="200"/>
      </w:pPr>
      <w:r>
        <w:fldChar w:fldCharType="begin"/>
      </w:r>
      <w:r>
        <w:instrText xml:space="preserve"> HYPERLINK \l _Toc13460 </w:instrText>
      </w:r>
      <w:r>
        <w:fldChar w:fldCharType="separate"/>
      </w:r>
      <w:r>
        <w:rPr>
          <w:rFonts w:hint="eastAsia" w:ascii="仿宋_GB2312" w:hAnsi="仿宋_GB2312" w:eastAsia="仿宋_GB2312" w:cs="仿宋_GB2312"/>
          <w:lang w:val="en-US" w:eastAsia="zh-CN"/>
        </w:rPr>
        <w:t>8  依法缴纳税收的证明</w:t>
      </w:r>
      <w:r>
        <w:tab/>
      </w:r>
      <w:r>
        <w:fldChar w:fldCharType="begin"/>
      </w:r>
      <w:r>
        <w:instrText xml:space="preserve"> PAGEREF _Toc13460 \h </w:instrText>
      </w:r>
      <w:r>
        <w:fldChar w:fldCharType="separate"/>
      </w:r>
      <w:r>
        <w:t>22</w:t>
      </w:r>
      <w:r>
        <w:fldChar w:fldCharType="end"/>
      </w:r>
      <w:r>
        <w:fldChar w:fldCharType="end"/>
      </w:r>
    </w:p>
    <w:p w14:paraId="25B2BB95">
      <w:pPr>
        <w:pStyle w:val="27"/>
        <w:tabs>
          <w:tab w:val="right" w:leader="dot" w:pos="9786"/>
        </w:tabs>
        <w:ind w:firstLine="420" w:firstLineChars="200"/>
      </w:pPr>
      <w:r>
        <w:fldChar w:fldCharType="begin"/>
      </w:r>
      <w:r>
        <w:instrText xml:space="preserve"> HYPERLINK \l _Toc97 </w:instrText>
      </w:r>
      <w:r>
        <w:fldChar w:fldCharType="separate"/>
      </w:r>
      <w:r>
        <w:rPr>
          <w:rFonts w:hint="eastAsia" w:ascii="仿宋_GB2312" w:hAnsi="仿宋_GB2312" w:eastAsia="仿宋_GB2312" w:cs="仿宋_GB2312"/>
          <w:lang w:val="en-US" w:eastAsia="zh-CN"/>
        </w:rPr>
        <w:t>9  参加政府采购活动前3年内在经营活动中没有重大违法记录的书面声明及反商业受贿承诺书</w:t>
      </w:r>
      <w:r>
        <w:tab/>
      </w:r>
      <w:r>
        <w:fldChar w:fldCharType="begin"/>
      </w:r>
      <w:r>
        <w:instrText xml:space="preserve"> PAGEREF _Toc97 \h </w:instrText>
      </w:r>
      <w:r>
        <w:fldChar w:fldCharType="separate"/>
      </w:r>
      <w:r>
        <w:t>22</w:t>
      </w:r>
      <w:r>
        <w:fldChar w:fldCharType="end"/>
      </w:r>
      <w:r>
        <w:fldChar w:fldCharType="end"/>
      </w:r>
    </w:p>
    <w:p w14:paraId="12AB2734">
      <w:pPr>
        <w:pStyle w:val="27"/>
        <w:tabs>
          <w:tab w:val="right" w:leader="dot" w:pos="9786"/>
        </w:tabs>
        <w:ind w:firstLine="420" w:firstLineChars="200"/>
      </w:pPr>
      <w:r>
        <w:fldChar w:fldCharType="begin"/>
      </w:r>
      <w:r>
        <w:instrText xml:space="preserve"> HYPERLINK \l _Toc399 </w:instrText>
      </w:r>
      <w:r>
        <w:fldChar w:fldCharType="separate"/>
      </w:r>
      <w:r>
        <w:rPr>
          <w:rFonts w:hint="eastAsia" w:ascii="仿宋_GB2312" w:hAnsi="仿宋_GB2312" w:eastAsia="仿宋_GB2312" w:cs="仿宋_GB2312"/>
          <w:lang w:val="en-US" w:eastAsia="zh-CN"/>
        </w:rPr>
        <w:t>10  投标人须知资料表要求的其他资格证明文件</w:t>
      </w:r>
      <w:r>
        <w:tab/>
      </w:r>
      <w:r>
        <w:fldChar w:fldCharType="begin"/>
      </w:r>
      <w:r>
        <w:instrText xml:space="preserve"> PAGEREF _Toc399 \h </w:instrText>
      </w:r>
      <w:r>
        <w:fldChar w:fldCharType="separate"/>
      </w:r>
      <w:r>
        <w:t>22</w:t>
      </w:r>
      <w:r>
        <w:fldChar w:fldCharType="end"/>
      </w:r>
      <w:r>
        <w:fldChar w:fldCharType="end"/>
      </w:r>
    </w:p>
    <w:p w14:paraId="50C156EC">
      <w:pPr>
        <w:pStyle w:val="27"/>
        <w:tabs>
          <w:tab w:val="right" w:leader="dot" w:pos="9786"/>
        </w:tabs>
        <w:ind w:left="0" w:leftChars="0" w:firstLine="420" w:firstLineChars="200"/>
      </w:pPr>
      <w:r>
        <w:fldChar w:fldCharType="begin"/>
      </w:r>
      <w:r>
        <w:instrText xml:space="preserve"> HYPERLINK \l _Toc17010 </w:instrText>
      </w:r>
      <w:r>
        <w:fldChar w:fldCharType="separate"/>
      </w:r>
      <w:r>
        <w:rPr>
          <w:rFonts w:ascii="仿宋_GB2312" w:hAnsi="宋体" w:eastAsia="仿宋_GB2312" w:cs="Times New Roman"/>
          <w:i w:val="0"/>
          <w:caps w:val="0"/>
          <w:spacing w:val="0"/>
          <w:w w:val="100"/>
          <w:kern w:val="0"/>
          <w:szCs w:val="20"/>
          <w:lang w:val="en-US" w:eastAsia="zh-CN" w:bidi="ar-SA"/>
        </w:rPr>
        <w:t>第</w:t>
      </w:r>
      <w:r>
        <w:rPr>
          <w:rFonts w:hint="eastAsia" w:ascii="仿宋_GB2312" w:hAnsi="宋体" w:eastAsia="仿宋_GB2312" w:cs="Times New Roman"/>
          <w:i w:val="0"/>
          <w:caps w:val="0"/>
          <w:spacing w:val="0"/>
          <w:w w:val="100"/>
          <w:kern w:val="0"/>
          <w:szCs w:val="20"/>
          <w:lang w:val="en-US" w:eastAsia="zh-CN" w:bidi="ar-SA"/>
        </w:rPr>
        <w:t>二</w:t>
      </w:r>
      <w:r>
        <w:rPr>
          <w:rFonts w:ascii="仿宋_GB2312" w:hAnsi="宋体" w:eastAsia="仿宋_GB2312" w:cs="Times New Roman"/>
          <w:i w:val="0"/>
          <w:caps w:val="0"/>
          <w:spacing w:val="0"/>
          <w:w w:val="100"/>
          <w:kern w:val="0"/>
          <w:szCs w:val="20"/>
          <w:lang w:val="en-US" w:eastAsia="zh-CN" w:bidi="ar-SA"/>
        </w:rPr>
        <w:t>部分</w:t>
      </w:r>
      <w:r>
        <w:rPr>
          <w:rFonts w:hint="eastAsia" w:ascii="仿宋_GB2312" w:hAnsi="宋体" w:eastAsia="仿宋_GB2312" w:cs="Times New Roman"/>
          <w:i w:val="0"/>
          <w:caps w:val="0"/>
          <w:spacing w:val="0"/>
          <w:w w:val="100"/>
          <w:kern w:val="0"/>
          <w:szCs w:val="20"/>
          <w:lang w:val="en-US" w:eastAsia="zh-CN" w:bidi="ar-SA"/>
        </w:rPr>
        <w:t xml:space="preserve"> 商务及技术文件</w:t>
      </w:r>
      <w:r>
        <w:tab/>
      </w:r>
      <w:r>
        <w:fldChar w:fldCharType="begin"/>
      </w:r>
      <w:r>
        <w:instrText xml:space="preserve"> PAGEREF _Toc17010 \h </w:instrText>
      </w:r>
      <w:r>
        <w:fldChar w:fldCharType="separate"/>
      </w:r>
      <w:r>
        <w:t>23</w:t>
      </w:r>
      <w:r>
        <w:fldChar w:fldCharType="end"/>
      </w:r>
      <w:r>
        <w:fldChar w:fldCharType="end"/>
      </w:r>
    </w:p>
    <w:p w14:paraId="5801047C">
      <w:pPr>
        <w:pStyle w:val="27"/>
        <w:tabs>
          <w:tab w:val="right" w:leader="dot" w:pos="9786"/>
        </w:tabs>
        <w:ind w:firstLine="420" w:firstLineChars="200"/>
      </w:pPr>
      <w:r>
        <w:fldChar w:fldCharType="begin"/>
      </w:r>
      <w:r>
        <w:instrText xml:space="preserve"> HYPERLINK \l _Toc7158 </w:instrText>
      </w:r>
      <w:r>
        <w:fldChar w:fldCharType="separate"/>
      </w:r>
      <w:r>
        <w:rPr>
          <w:rFonts w:hint="eastAsia" w:ascii="仿宋_GB2312" w:hAnsi="仿宋_GB2312" w:eastAsia="仿宋_GB2312" w:cs="仿宋_GB2312"/>
          <w:lang w:val="en-US" w:eastAsia="zh-CN"/>
        </w:rPr>
        <w:t>1  投标书</w:t>
      </w:r>
      <w:r>
        <w:tab/>
      </w:r>
      <w:r>
        <w:fldChar w:fldCharType="begin"/>
      </w:r>
      <w:r>
        <w:instrText xml:space="preserve"> PAGEREF _Toc7158 \h </w:instrText>
      </w:r>
      <w:r>
        <w:fldChar w:fldCharType="separate"/>
      </w:r>
      <w:r>
        <w:t>24</w:t>
      </w:r>
      <w:r>
        <w:fldChar w:fldCharType="end"/>
      </w:r>
      <w:r>
        <w:fldChar w:fldCharType="end"/>
      </w:r>
    </w:p>
    <w:p w14:paraId="53E6A380">
      <w:pPr>
        <w:pStyle w:val="27"/>
        <w:tabs>
          <w:tab w:val="right" w:leader="dot" w:pos="9786"/>
        </w:tabs>
        <w:ind w:firstLine="420" w:firstLineChars="200"/>
      </w:pPr>
      <w:r>
        <w:fldChar w:fldCharType="begin"/>
      </w:r>
      <w:r>
        <w:instrText xml:space="preserve"> HYPERLINK \l _Toc16018 </w:instrText>
      </w:r>
      <w:r>
        <w:fldChar w:fldCharType="separate"/>
      </w:r>
      <w:r>
        <w:rPr>
          <w:rFonts w:hint="eastAsia" w:ascii="仿宋" w:hAnsi="仿宋" w:eastAsia="仿宋" w:cs="仿宋"/>
          <w:bCs/>
          <w:szCs w:val="24"/>
          <w:highlight w:val="none"/>
          <w:lang w:val="en-US" w:eastAsia="zh-CN"/>
        </w:rPr>
        <w:t>2  服务需求偏离表</w:t>
      </w:r>
      <w:r>
        <w:tab/>
      </w:r>
      <w:r>
        <w:fldChar w:fldCharType="begin"/>
      </w:r>
      <w:r>
        <w:instrText xml:space="preserve"> PAGEREF _Toc16018 \h </w:instrText>
      </w:r>
      <w:r>
        <w:fldChar w:fldCharType="separate"/>
      </w:r>
      <w:r>
        <w:t>25</w:t>
      </w:r>
      <w:r>
        <w:fldChar w:fldCharType="end"/>
      </w:r>
      <w:r>
        <w:fldChar w:fldCharType="end"/>
      </w:r>
    </w:p>
    <w:p w14:paraId="3D65767B">
      <w:pPr>
        <w:pStyle w:val="27"/>
        <w:tabs>
          <w:tab w:val="right" w:leader="dot" w:pos="9786"/>
        </w:tabs>
        <w:ind w:firstLine="420" w:firstLineChars="200"/>
      </w:pPr>
      <w:r>
        <w:fldChar w:fldCharType="begin"/>
      </w:r>
      <w:r>
        <w:instrText xml:space="preserve"> HYPERLINK \l _Toc32310 </w:instrText>
      </w:r>
      <w:r>
        <w:fldChar w:fldCharType="separate"/>
      </w:r>
      <w:r>
        <w:rPr>
          <w:rFonts w:hint="eastAsia" w:ascii="仿宋" w:hAnsi="仿宋" w:eastAsia="仿宋" w:cs="仿宋"/>
          <w:bCs/>
          <w:kern w:val="2"/>
          <w:szCs w:val="24"/>
          <w:highlight w:val="none"/>
          <w:lang w:val="en-US" w:eastAsia="zh-CN" w:bidi="ar-SA"/>
        </w:rPr>
        <w:t>3  商务条款偏离表</w:t>
      </w:r>
      <w:r>
        <w:tab/>
      </w:r>
      <w:r>
        <w:fldChar w:fldCharType="begin"/>
      </w:r>
      <w:r>
        <w:instrText xml:space="preserve"> PAGEREF _Toc32310 \h </w:instrText>
      </w:r>
      <w:r>
        <w:fldChar w:fldCharType="separate"/>
      </w:r>
      <w:r>
        <w:t>25</w:t>
      </w:r>
      <w:r>
        <w:fldChar w:fldCharType="end"/>
      </w:r>
      <w:r>
        <w:fldChar w:fldCharType="end"/>
      </w:r>
    </w:p>
    <w:p w14:paraId="4A513DA0">
      <w:pPr>
        <w:pStyle w:val="27"/>
        <w:tabs>
          <w:tab w:val="right" w:leader="dot" w:pos="9786"/>
        </w:tabs>
        <w:ind w:firstLine="420" w:firstLineChars="200"/>
      </w:pPr>
      <w:r>
        <w:fldChar w:fldCharType="begin"/>
      </w:r>
      <w:r>
        <w:instrText xml:space="preserve"> HYPERLINK \l _Toc27158 </w:instrText>
      </w:r>
      <w:r>
        <w:fldChar w:fldCharType="separate"/>
      </w:r>
      <w:r>
        <w:rPr>
          <w:rFonts w:hint="eastAsia" w:ascii="仿宋" w:hAnsi="仿宋" w:eastAsia="仿宋" w:cs="仿宋"/>
          <w:bCs/>
          <w:kern w:val="2"/>
          <w:szCs w:val="24"/>
          <w:highlight w:val="none"/>
          <w:lang w:val="en-US" w:eastAsia="zh-CN" w:bidi="ar-SA"/>
        </w:rPr>
        <w:t>4  项目负责人及实施团队人员名单简历表</w:t>
      </w:r>
      <w:r>
        <w:tab/>
      </w:r>
      <w:r>
        <w:fldChar w:fldCharType="begin"/>
      </w:r>
      <w:r>
        <w:instrText xml:space="preserve"> PAGEREF _Toc27158 \h </w:instrText>
      </w:r>
      <w:r>
        <w:fldChar w:fldCharType="separate"/>
      </w:r>
      <w:r>
        <w:t>26</w:t>
      </w:r>
      <w:r>
        <w:fldChar w:fldCharType="end"/>
      </w:r>
      <w:r>
        <w:fldChar w:fldCharType="end"/>
      </w:r>
    </w:p>
    <w:p w14:paraId="15DAC425">
      <w:pPr>
        <w:pStyle w:val="27"/>
        <w:tabs>
          <w:tab w:val="right" w:leader="dot" w:pos="9786"/>
        </w:tabs>
        <w:ind w:firstLine="420" w:firstLineChars="200"/>
      </w:pPr>
      <w:r>
        <w:fldChar w:fldCharType="begin"/>
      </w:r>
      <w:r>
        <w:instrText xml:space="preserve"> HYPERLINK \l _Toc641 </w:instrText>
      </w:r>
      <w:r>
        <w:fldChar w:fldCharType="separate"/>
      </w:r>
      <w:r>
        <w:rPr>
          <w:rFonts w:hint="eastAsia" w:ascii="仿宋_GB2312" w:hAnsi="仿宋_GB2312" w:eastAsia="仿宋_GB2312" w:cs="仿宋_GB2312"/>
          <w:i w:val="0"/>
          <w:caps w:val="0"/>
          <w:spacing w:val="0"/>
          <w:w w:val="100"/>
          <w:lang w:val="en-US" w:eastAsia="zh-CN"/>
        </w:rPr>
        <w:t>5-2 残疾人福利性单位声明函</w:t>
      </w:r>
      <w:r>
        <w:tab/>
      </w:r>
      <w:r>
        <w:fldChar w:fldCharType="begin"/>
      </w:r>
      <w:r>
        <w:instrText xml:space="preserve"> PAGEREF _Toc641 \h </w:instrText>
      </w:r>
      <w:r>
        <w:fldChar w:fldCharType="separate"/>
      </w:r>
      <w:r>
        <w:t>28</w:t>
      </w:r>
      <w:r>
        <w:fldChar w:fldCharType="end"/>
      </w:r>
      <w:r>
        <w:fldChar w:fldCharType="end"/>
      </w:r>
    </w:p>
    <w:p w14:paraId="20DDDA2F">
      <w:pPr>
        <w:pStyle w:val="27"/>
        <w:tabs>
          <w:tab w:val="right" w:leader="dot" w:pos="9786"/>
        </w:tabs>
        <w:ind w:firstLine="420" w:firstLineChars="200"/>
      </w:pPr>
      <w:r>
        <w:fldChar w:fldCharType="begin"/>
      </w:r>
      <w:r>
        <w:instrText xml:space="preserve"> HYPERLINK \l _Toc20430 </w:instrText>
      </w:r>
      <w:r>
        <w:fldChar w:fldCharType="separate"/>
      </w:r>
      <w:r>
        <w:rPr>
          <w:rFonts w:hint="eastAsia" w:ascii="仿宋_GB2312" w:hAnsi="仿宋_GB2312" w:eastAsia="仿宋_GB2312" w:cs="仿宋_GB2312"/>
          <w:i w:val="0"/>
          <w:caps w:val="0"/>
          <w:spacing w:val="0"/>
          <w:w w:val="100"/>
          <w:lang w:val="en-US" w:eastAsia="zh-CN"/>
        </w:rPr>
        <w:t>5-3 监狱企业声明函</w:t>
      </w:r>
      <w:r>
        <w:tab/>
      </w:r>
      <w:r>
        <w:fldChar w:fldCharType="begin"/>
      </w:r>
      <w:r>
        <w:instrText xml:space="preserve"> PAGEREF _Toc20430 \h </w:instrText>
      </w:r>
      <w:r>
        <w:fldChar w:fldCharType="separate"/>
      </w:r>
      <w:r>
        <w:t>28</w:t>
      </w:r>
      <w:r>
        <w:fldChar w:fldCharType="end"/>
      </w:r>
      <w:r>
        <w:fldChar w:fldCharType="end"/>
      </w:r>
    </w:p>
    <w:p w14:paraId="0F6CFD93">
      <w:pPr>
        <w:pStyle w:val="14"/>
        <w:tabs>
          <w:tab w:val="right" w:leader="dot" w:pos="9786"/>
          <w:tab w:val="clear" w:pos="1260"/>
          <w:tab w:val="clear" w:pos="8630"/>
        </w:tabs>
        <w:ind w:left="0" w:leftChars="0" w:firstLine="840" w:firstLineChars="400"/>
      </w:pPr>
      <w:r>
        <w:fldChar w:fldCharType="begin"/>
      </w:r>
      <w:r>
        <w:instrText xml:space="preserve"> HYPERLINK \l _Toc25642 </w:instrText>
      </w:r>
      <w:r>
        <w:fldChar w:fldCharType="separate"/>
      </w:r>
      <w:r>
        <w:rPr>
          <w:rFonts w:hint="eastAsia" w:ascii="仿宋_GB2312" w:hAnsi="仿宋_GB2312" w:eastAsia="仿宋_GB2312" w:cs="仿宋_GB2312"/>
          <w:i w:val="0"/>
          <w:caps w:val="0"/>
          <w:spacing w:val="0"/>
          <w:w w:val="100"/>
          <w:lang w:val="en-US" w:eastAsia="zh-CN"/>
        </w:rPr>
        <w:t>6</w:t>
      </w:r>
      <w:r>
        <w:rPr>
          <w:rFonts w:hint="eastAsia" w:ascii="仿宋_GB2312" w:hAnsi="仿宋_GB2312" w:eastAsia="仿宋_GB2312" w:cs="仿宋_GB2312"/>
          <w:i w:val="0"/>
          <w:caps w:val="0"/>
          <w:spacing w:val="0"/>
          <w:w w:val="100"/>
        </w:rPr>
        <w:t xml:space="preserve">  投标文件还应包括第五章、综合评分表的所有技术文件</w:t>
      </w:r>
      <w:r>
        <w:tab/>
      </w:r>
      <w:r>
        <w:fldChar w:fldCharType="begin"/>
      </w:r>
      <w:r>
        <w:instrText xml:space="preserve"> PAGEREF _Toc25642 \h </w:instrText>
      </w:r>
      <w:r>
        <w:fldChar w:fldCharType="separate"/>
      </w:r>
      <w:r>
        <w:t>29</w:t>
      </w:r>
      <w:r>
        <w:fldChar w:fldCharType="end"/>
      </w:r>
      <w:r>
        <w:fldChar w:fldCharType="end"/>
      </w:r>
    </w:p>
    <w:p w14:paraId="1FAE920D">
      <w:pPr>
        <w:pStyle w:val="14"/>
        <w:tabs>
          <w:tab w:val="right" w:leader="dot" w:pos="9786"/>
          <w:tab w:val="clear" w:pos="1260"/>
          <w:tab w:val="clear" w:pos="8630"/>
        </w:tabs>
        <w:ind w:left="0" w:leftChars="0" w:firstLine="840" w:firstLineChars="400"/>
      </w:pPr>
      <w:r>
        <w:fldChar w:fldCharType="begin"/>
      </w:r>
      <w:r>
        <w:instrText xml:space="preserve"> HYPERLINK \l _Toc12927 </w:instrText>
      </w:r>
      <w:r>
        <w:fldChar w:fldCharType="separate"/>
      </w:r>
      <w:r>
        <w:rPr>
          <w:rFonts w:hint="eastAsia" w:ascii="仿宋_GB2312" w:hAnsi="仿宋_GB2312" w:eastAsia="仿宋_GB2312" w:cs="仿宋_GB2312"/>
          <w:i w:val="0"/>
          <w:caps w:val="0"/>
          <w:spacing w:val="0"/>
          <w:w w:val="100"/>
          <w:lang w:val="en-US" w:eastAsia="zh-CN"/>
        </w:rPr>
        <w:t>7</w:t>
      </w:r>
      <w:r>
        <w:rPr>
          <w:rFonts w:hint="eastAsia" w:ascii="仿宋_GB2312" w:hAnsi="仿宋_GB2312" w:eastAsia="仿宋_GB2312" w:cs="仿宋_GB2312"/>
          <w:i w:val="0"/>
          <w:caps w:val="0"/>
          <w:spacing w:val="0"/>
          <w:w w:val="100"/>
        </w:rPr>
        <w:t xml:space="preserve"> 投标人关联单位的说明</w:t>
      </w:r>
      <w:r>
        <w:tab/>
      </w:r>
      <w:r>
        <w:fldChar w:fldCharType="begin"/>
      </w:r>
      <w:r>
        <w:instrText xml:space="preserve"> PAGEREF _Toc12927 \h </w:instrText>
      </w:r>
      <w:r>
        <w:fldChar w:fldCharType="separate"/>
      </w:r>
      <w:r>
        <w:t>29</w:t>
      </w:r>
      <w:r>
        <w:fldChar w:fldCharType="end"/>
      </w:r>
      <w:r>
        <w:fldChar w:fldCharType="end"/>
      </w:r>
    </w:p>
    <w:p w14:paraId="1E7070CD">
      <w:pPr>
        <w:pStyle w:val="14"/>
        <w:tabs>
          <w:tab w:val="right" w:leader="dot" w:pos="9786"/>
          <w:tab w:val="clear" w:pos="1260"/>
          <w:tab w:val="clear" w:pos="8630"/>
        </w:tabs>
        <w:ind w:left="0" w:leftChars="0" w:firstLine="840" w:firstLineChars="400"/>
      </w:pPr>
      <w:r>
        <w:fldChar w:fldCharType="begin"/>
      </w:r>
      <w:r>
        <w:instrText xml:space="preserve"> HYPERLINK \l _Toc25782 </w:instrText>
      </w:r>
      <w:r>
        <w:fldChar w:fldCharType="separate"/>
      </w:r>
      <w:r>
        <w:rPr>
          <w:rFonts w:hint="eastAsia" w:ascii="仿宋_GB2312" w:hAnsi="仿宋_GB2312" w:eastAsia="仿宋_GB2312" w:cs="仿宋_GB2312"/>
          <w:i w:val="0"/>
          <w:caps w:val="0"/>
          <w:spacing w:val="0"/>
          <w:w w:val="100"/>
          <w:lang w:val="en-US" w:eastAsia="zh-CN"/>
        </w:rPr>
        <w:t>8</w:t>
      </w:r>
      <w:r>
        <w:rPr>
          <w:rFonts w:hint="eastAsia" w:ascii="仿宋_GB2312" w:hAnsi="仿宋_GB2312" w:eastAsia="仿宋_GB2312" w:cs="仿宋_GB2312"/>
          <w:i w:val="0"/>
          <w:caps w:val="0"/>
          <w:spacing w:val="0"/>
          <w:w w:val="100"/>
        </w:rPr>
        <w:t xml:space="preserve"> 其他有利于投标人的文件或证明材料</w:t>
      </w:r>
      <w:r>
        <w:tab/>
      </w:r>
      <w:r>
        <w:fldChar w:fldCharType="begin"/>
      </w:r>
      <w:r>
        <w:instrText xml:space="preserve"> PAGEREF _Toc25782 \h </w:instrText>
      </w:r>
      <w:r>
        <w:fldChar w:fldCharType="separate"/>
      </w:r>
      <w:r>
        <w:t>29</w:t>
      </w:r>
      <w:r>
        <w:fldChar w:fldCharType="end"/>
      </w:r>
      <w:r>
        <w:fldChar w:fldCharType="end"/>
      </w:r>
    </w:p>
    <w:p w14:paraId="18F885C0">
      <w:pPr>
        <w:pStyle w:val="14"/>
        <w:tabs>
          <w:tab w:val="right" w:leader="dot" w:pos="9786"/>
          <w:tab w:val="clear" w:pos="1260"/>
          <w:tab w:val="clear" w:pos="8630"/>
        </w:tabs>
        <w:ind w:left="0" w:leftChars="0" w:firstLine="840" w:firstLineChars="400"/>
      </w:pPr>
      <w:r>
        <w:fldChar w:fldCharType="begin"/>
      </w:r>
      <w:r>
        <w:instrText xml:space="preserve"> HYPERLINK \l _Toc30755 </w:instrText>
      </w:r>
      <w:r>
        <w:fldChar w:fldCharType="separate"/>
      </w:r>
      <w:r>
        <w:rPr>
          <w:rFonts w:hint="eastAsia" w:ascii="仿宋_GB2312" w:hAnsi="仿宋_GB2312" w:eastAsia="仿宋_GB2312" w:cs="仿宋_GB2312"/>
          <w:i w:val="0"/>
          <w:caps w:val="0"/>
          <w:spacing w:val="0"/>
          <w:w w:val="100"/>
          <w:lang w:val="en-US" w:eastAsia="zh-CN"/>
        </w:rPr>
        <w:t>9</w:t>
      </w:r>
      <w:r>
        <w:rPr>
          <w:rFonts w:hint="eastAsia" w:ascii="仿宋_GB2312" w:hAnsi="仿宋_GB2312" w:eastAsia="仿宋_GB2312" w:cs="仿宋_GB2312"/>
          <w:i w:val="0"/>
          <w:caps w:val="0"/>
          <w:spacing w:val="0"/>
          <w:w w:val="100"/>
        </w:rPr>
        <w:t xml:space="preserve"> 对本项目投标文件（</w:t>
      </w:r>
      <w:r>
        <w:rPr>
          <w:rFonts w:hint="eastAsia" w:ascii="仿宋_GB2312" w:hAnsi="仿宋_GB2312" w:eastAsia="仿宋_GB2312" w:cs="仿宋_GB2312"/>
          <w:i w:val="0"/>
          <w:caps w:val="0"/>
          <w:spacing w:val="0"/>
          <w:w w:val="100"/>
          <w:lang w:eastAsia="zh-CN"/>
        </w:rPr>
        <w:t>投标文件</w:t>
      </w:r>
      <w:r>
        <w:rPr>
          <w:rFonts w:hint="eastAsia" w:ascii="仿宋_GB2312" w:hAnsi="仿宋_GB2312" w:eastAsia="仿宋_GB2312" w:cs="仿宋_GB2312"/>
          <w:i w:val="0"/>
          <w:caps w:val="0"/>
          <w:spacing w:val="0"/>
          <w:w w:val="100"/>
        </w:rPr>
        <w:t>）中资料真实性的承诺</w:t>
      </w:r>
      <w:r>
        <w:tab/>
      </w:r>
      <w:r>
        <w:fldChar w:fldCharType="begin"/>
      </w:r>
      <w:r>
        <w:instrText xml:space="preserve"> PAGEREF _Toc30755 \h </w:instrText>
      </w:r>
      <w:r>
        <w:fldChar w:fldCharType="separate"/>
      </w:r>
      <w:r>
        <w:t>29</w:t>
      </w:r>
      <w:r>
        <w:fldChar w:fldCharType="end"/>
      </w:r>
      <w:r>
        <w:fldChar w:fldCharType="end"/>
      </w:r>
    </w:p>
    <w:p w14:paraId="75515B48">
      <w:pPr>
        <w:pStyle w:val="22"/>
        <w:tabs>
          <w:tab w:val="right" w:leader="dot" w:pos="9786"/>
        </w:tabs>
      </w:pPr>
      <w:r>
        <w:fldChar w:fldCharType="begin"/>
      </w:r>
      <w:r>
        <w:instrText xml:space="preserve"> HYPERLINK \l _Toc31382 </w:instrText>
      </w:r>
      <w:r>
        <w:fldChar w:fldCharType="separate"/>
      </w:r>
      <w:r>
        <w:rPr>
          <w:rFonts w:hint="eastAsia" w:ascii="仿宋_GB2312" w:hAnsi="仿宋_GB2312" w:eastAsia="仿宋_GB2312" w:cs="仿宋_GB2312"/>
          <w:szCs w:val="44"/>
        </w:rPr>
        <w:t>第三章 投标邀请</w:t>
      </w:r>
      <w:r>
        <w:tab/>
      </w:r>
      <w:r>
        <w:fldChar w:fldCharType="begin"/>
      </w:r>
      <w:r>
        <w:instrText xml:space="preserve"> PAGEREF _Toc31382 \h </w:instrText>
      </w:r>
      <w:r>
        <w:fldChar w:fldCharType="separate"/>
      </w:r>
      <w:r>
        <w:t>31</w:t>
      </w:r>
      <w:r>
        <w:fldChar w:fldCharType="end"/>
      </w:r>
      <w:r>
        <w:fldChar w:fldCharType="end"/>
      </w:r>
    </w:p>
    <w:p w14:paraId="3B05E789">
      <w:pPr>
        <w:pStyle w:val="22"/>
        <w:tabs>
          <w:tab w:val="right" w:leader="dot" w:pos="9786"/>
        </w:tabs>
      </w:pPr>
      <w:r>
        <w:fldChar w:fldCharType="begin"/>
      </w:r>
      <w:r>
        <w:instrText xml:space="preserve"> HYPERLINK \l _Toc24240 </w:instrText>
      </w:r>
      <w:r>
        <w:fldChar w:fldCharType="separate"/>
      </w:r>
      <w:r>
        <w:rPr>
          <w:rFonts w:hint="eastAsia" w:ascii="仿宋_GB2312" w:hAnsi="仿宋_GB2312" w:eastAsia="仿宋_GB2312" w:cs="仿宋_GB2312"/>
          <w:szCs w:val="44"/>
        </w:rPr>
        <w:t>第四章  投标人须知资料表</w:t>
      </w:r>
      <w:r>
        <w:tab/>
      </w:r>
      <w:r>
        <w:fldChar w:fldCharType="begin"/>
      </w:r>
      <w:r>
        <w:instrText xml:space="preserve"> PAGEREF _Toc24240 \h </w:instrText>
      </w:r>
      <w:r>
        <w:fldChar w:fldCharType="separate"/>
      </w:r>
      <w:r>
        <w:t>35</w:t>
      </w:r>
      <w:r>
        <w:fldChar w:fldCharType="end"/>
      </w:r>
      <w:r>
        <w:fldChar w:fldCharType="end"/>
      </w:r>
    </w:p>
    <w:p w14:paraId="20B1FDE6">
      <w:pPr>
        <w:pStyle w:val="22"/>
        <w:tabs>
          <w:tab w:val="right" w:leader="dot" w:pos="9786"/>
        </w:tabs>
      </w:pPr>
      <w:r>
        <w:fldChar w:fldCharType="begin"/>
      </w:r>
      <w:r>
        <w:instrText xml:space="preserve"> HYPERLINK \l _Toc6603 </w:instrText>
      </w:r>
      <w:r>
        <w:fldChar w:fldCharType="separate"/>
      </w:r>
      <w:r>
        <w:rPr>
          <w:rFonts w:hint="eastAsia" w:ascii="仿宋_GB2312" w:hAnsi="仿宋_GB2312" w:eastAsia="仿宋_GB2312" w:cs="仿宋_GB2312"/>
          <w:szCs w:val="44"/>
        </w:rPr>
        <w:t xml:space="preserve">第五章  </w:t>
      </w:r>
      <w:r>
        <w:rPr>
          <w:rFonts w:hint="eastAsia" w:ascii="仿宋_GB2312" w:hAnsi="仿宋_GB2312" w:eastAsia="仿宋_GB2312" w:cs="仿宋_GB2312"/>
          <w:szCs w:val="44"/>
          <w:lang w:eastAsia="zh-CN"/>
        </w:rPr>
        <w:t>项目说明、采购内容</w:t>
      </w:r>
      <w:r>
        <w:tab/>
      </w:r>
      <w:r>
        <w:fldChar w:fldCharType="begin"/>
      </w:r>
      <w:r>
        <w:instrText xml:space="preserve"> PAGEREF _Toc6603 \h </w:instrText>
      </w:r>
      <w:r>
        <w:fldChar w:fldCharType="separate"/>
      </w:r>
      <w:r>
        <w:t>38</w:t>
      </w:r>
      <w:r>
        <w:fldChar w:fldCharType="end"/>
      </w:r>
      <w:r>
        <w:fldChar w:fldCharType="end"/>
      </w:r>
    </w:p>
    <w:p w14:paraId="7A7238A9">
      <w:pPr>
        <w:pStyle w:val="22"/>
        <w:tabs>
          <w:tab w:val="right" w:leader="dot" w:pos="9786"/>
        </w:tabs>
      </w:pPr>
      <w:r>
        <w:fldChar w:fldCharType="begin"/>
      </w:r>
      <w:r>
        <w:instrText xml:space="preserve"> HYPERLINK \l _Toc14105 </w:instrText>
      </w:r>
      <w:r>
        <w:fldChar w:fldCharType="separate"/>
      </w:r>
      <w:r>
        <w:rPr>
          <w:rFonts w:hint="eastAsia" w:ascii="仿宋_GB2312" w:hAnsi="仿宋_GB2312" w:eastAsia="仿宋_GB2312" w:cs="仿宋_GB2312"/>
          <w:i w:val="0"/>
          <w:caps w:val="0"/>
          <w:spacing w:val="0"/>
          <w:w w:val="100"/>
          <w:szCs w:val="40"/>
        </w:rPr>
        <w:t>第六章  评标方法和标准</w:t>
      </w:r>
      <w:r>
        <w:tab/>
      </w:r>
      <w:r>
        <w:fldChar w:fldCharType="begin"/>
      </w:r>
      <w:r>
        <w:instrText xml:space="preserve"> PAGEREF _Toc14105 \h </w:instrText>
      </w:r>
      <w:r>
        <w:fldChar w:fldCharType="separate"/>
      </w:r>
      <w:r>
        <w:t>46</w:t>
      </w:r>
      <w:r>
        <w:fldChar w:fldCharType="end"/>
      </w:r>
      <w:r>
        <w:fldChar w:fldCharType="end"/>
      </w:r>
    </w:p>
    <w:p w14:paraId="0AF72BD1">
      <w:pPr>
        <w:pStyle w:val="22"/>
        <w:tabs>
          <w:tab w:val="right" w:leader="dot" w:pos="9786"/>
        </w:tabs>
      </w:pPr>
      <w:r>
        <w:fldChar w:fldCharType="begin"/>
      </w:r>
      <w:r>
        <w:instrText xml:space="preserve"> HYPERLINK \l _Toc16773 </w:instrText>
      </w:r>
      <w:r>
        <w:fldChar w:fldCharType="separate"/>
      </w:r>
      <w:r>
        <w:rPr>
          <w:rFonts w:hint="eastAsia" w:ascii="仿宋_GB2312" w:hAnsi="仿宋_GB2312" w:eastAsia="仿宋_GB2312" w:cs="仿宋_GB2312"/>
          <w:szCs w:val="44"/>
        </w:rPr>
        <w:t>第七章  政府采购合同</w:t>
      </w:r>
      <w:r>
        <w:tab/>
      </w:r>
      <w:r>
        <w:fldChar w:fldCharType="begin"/>
      </w:r>
      <w:r>
        <w:instrText xml:space="preserve"> PAGEREF _Toc16773 \h </w:instrText>
      </w:r>
      <w:r>
        <w:fldChar w:fldCharType="separate"/>
      </w:r>
      <w:r>
        <w:t>58</w:t>
      </w:r>
      <w:r>
        <w:fldChar w:fldCharType="end"/>
      </w:r>
      <w:r>
        <w:fldChar w:fldCharType="end"/>
      </w:r>
    </w:p>
    <w:p w14:paraId="15BCE539">
      <w:pPr>
        <w:pStyle w:val="3"/>
        <w:tabs>
          <w:tab w:val="left" w:pos="0"/>
        </w:tabs>
        <w:spacing w:before="0" w:after="0" w:line="240" w:lineRule="atLeast"/>
        <w:rPr>
          <w:rFonts w:hint="eastAsia" w:ascii="仿宋_GB2312" w:hAnsi="仿宋_GB2312" w:eastAsia="仿宋_GB2312" w:cs="仿宋_GB2312"/>
          <w:kern w:val="0"/>
          <w:sz w:val="44"/>
          <w:szCs w:val="44"/>
        </w:rPr>
      </w:pPr>
      <w:r>
        <w:fldChar w:fldCharType="end"/>
      </w:r>
    </w:p>
    <w:p w14:paraId="775BE2F3">
      <w:pPr>
        <w:pStyle w:val="3"/>
        <w:tabs>
          <w:tab w:val="left" w:pos="0"/>
        </w:tabs>
        <w:spacing w:before="0" w:after="0" w:line="240" w:lineRule="atLeast"/>
        <w:rPr>
          <w:rFonts w:hint="eastAsia" w:ascii="仿宋_GB2312" w:hAnsi="仿宋_GB2312" w:eastAsia="仿宋_GB2312" w:cs="仿宋_GB2312"/>
          <w:kern w:val="0"/>
          <w:sz w:val="44"/>
          <w:szCs w:val="44"/>
        </w:rPr>
      </w:pPr>
    </w:p>
    <w:p w14:paraId="3B53E0A9">
      <w:pPr>
        <w:pStyle w:val="3"/>
        <w:tabs>
          <w:tab w:val="left" w:pos="0"/>
        </w:tabs>
        <w:spacing w:before="0" w:after="0" w:line="240" w:lineRule="atLeast"/>
        <w:rPr>
          <w:rFonts w:hint="eastAsia" w:ascii="仿宋_GB2312" w:hAnsi="仿宋_GB2312" w:eastAsia="仿宋_GB2312" w:cs="仿宋_GB2312"/>
          <w:kern w:val="0"/>
          <w:sz w:val="44"/>
          <w:szCs w:val="44"/>
        </w:rPr>
      </w:pPr>
    </w:p>
    <w:p w14:paraId="688B817E">
      <w:pPr>
        <w:pStyle w:val="3"/>
        <w:tabs>
          <w:tab w:val="left" w:pos="0"/>
        </w:tabs>
        <w:spacing w:before="0" w:after="0" w:line="240" w:lineRule="atLeast"/>
        <w:rPr>
          <w:rFonts w:hint="eastAsia" w:ascii="仿宋_GB2312" w:hAnsi="仿宋_GB2312" w:eastAsia="仿宋_GB2312" w:cs="仿宋_GB2312"/>
          <w:kern w:val="0"/>
          <w:sz w:val="44"/>
          <w:szCs w:val="44"/>
        </w:rPr>
      </w:pPr>
    </w:p>
    <w:p w14:paraId="1344C343">
      <w:pPr>
        <w:pStyle w:val="3"/>
        <w:tabs>
          <w:tab w:val="left" w:pos="0"/>
        </w:tabs>
        <w:spacing w:before="0" w:after="0" w:line="240" w:lineRule="atLeast"/>
        <w:rPr>
          <w:rFonts w:hint="eastAsia" w:ascii="仿宋_GB2312" w:hAnsi="仿宋_GB2312" w:eastAsia="仿宋_GB2312" w:cs="仿宋_GB2312"/>
          <w:kern w:val="0"/>
          <w:sz w:val="44"/>
          <w:szCs w:val="44"/>
        </w:rPr>
      </w:pPr>
    </w:p>
    <w:p w14:paraId="623165D4">
      <w:pPr>
        <w:pStyle w:val="3"/>
        <w:tabs>
          <w:tab w:val="left" w:pos="0"/>
        </w:tabs>
        <w:spacing w:before="0" w:after="0" w:line="240" w:lineRule="atLeast"/>
        <w:rPr>
          <w:rFonts w:hint="eastAsia" w:ascii="仿宋_GB2312" w:hAnsi="仿宋_GB2312" w:eastAsia="仿宋_GB2312" w:cs="仿宋_GB2312"/>
          <w:kern w:val="0"/>
          <w:sz w:val="44"/>
          <w:szCs w:val="44"/>
        </w:rPr>
      </w:pPr>
    </w:p>
    <w:p w14:paraId="4ECE2E12">
      <w:pPr>
        <w:pStyle w:val="3"/>
        <w:tabs>
          <w:tab w:val="left" w:pos="0"/>
        </w:tabs>
        <w:spacing w:before="0" w:after="0" w:line="240" w:lineRule="atLeast"/>
        <w:jc w:val="both"/>
        <w:rPr>
          <w:rFonts w:hint="eastAsia" w:ascii="仿宋_GB2312" w:hAnsi="仿宋_GB2312" w:eastAsia="仿宋_GB2312" w:cs="仿宋_GB2312"/>
          <w:kern w:val="0"/>
          <w:sz w:val="44"/>
          <w:szCs w:val="44"/>
        </w:rPr>
        <w:sectPr>
          <w:headerReference r:id="rId3" w:type="default"/>
          <w:footerReference r:id="rId4" w:type="default"/>
          <w:pgSz w:w="11906" w:h="16838"/>
          <w:pgMar w:top="1043" w:right="1060" w:bottom="1043" w:left="1060" w:header="851" w:footer="992" w:gutter="0"/>
          <w:pgNumType w:fmt="decimal" w:start="1"/>
          <w:cols w:space="720" w:num="1"/>
          <w:docGrid w:type="linesAndChars" w:linePitch="312" w:charSpace="0"/>
        </w:sectPr>
      </w:pPr>
      <w:bookmarkStart w:id="10" w:name="_Toc11726"/>
    </w:p>
    <w:bookmarkEnd w:id="9"/>
    <w:bookmarkEnd w:id="10"/>
    <w:p w14:paraId="4F72242C">
      <w:pPr>
        <w:pStyle w:val="3"/>
        <w:tabs>
          <w:tab w:val="left" w:pos="0"/>
        </w:tabs>
        <w:snapToGrid/>
        <w:spacing w:before="0" w:beforeAutospacing="0" w:after="0" w:afterAutospacing="0" w:line="240" w:lineRule="atLeast"/>
        <w:jc w:val="center"/>
        <w:textAlignment w:val="baseline"/>
        <w:rPr>
          <w:rFonts w:ascii="仿宋_GB2312" w:hAnsi="仿宋_GB2312" w:eastAsia="仿宋_GB2312" w:cs="仿宋_GB2312"/>
          <w:b w:val="0"/>
          <w:i w:val="0"/>
          <w:caps w:val="0"/>
          <w:spacing w:val="0"/>
          <w:w w:val="100"/>
          <w:sz w:val="20"/>
        </w:rPr>
      </w:pPr>
      <w:bookmarkStart w:id="11" w:name="_Toc8923"/>
      <w:bookmarkStart w:id="12" w:name="_Toc749"/>
      <w:bookmarkStart w:id="13" w:name="_Toc7794"/>
      <w:bookmarkStart w:id="14" w:name="_Toc25393"/>
      <w:bookmarkStart w:id="15" w:name="_Toc27266"/>
      <w:bookmarkStart w:id="16" w:name="_Toc23583"/>
      <w:bookmarkStart w:id="17" w:name="_Toc17317"/>
      <w:bookmarkStart w:id="18" w:name="_Toc4823"/>
      <w:r>
        <w:rPr>
          <w:rFonts w:hint="eastAsia" w:ascii="仿宋_GB2312" w:hAnsi="仿宋_GB2312" w:eastAsia="仿宋_GB2312" w:cs="仿宋_GB2312"/>
          <w:b/>
          <w:i w:val="0"/>
          <w:caps w:val="0"/>
          <w:spacing w:val="0"/>
          <w:w w:val="100"/>
          <w:kern w:val="0"/>
          <w:sz w:val="44"/>
          <w:szCs w:val="44"/>
        </w:rPr>
        <w:t>第一章</w:t>
      </w:r>
      <w:r>
        <w:rPr>
          <w:rFonts w:hint="eastAsia" w:ascii="仿宋_GB2312" w:hAnsi="仿宋_GB2312" w:eastAsia="仿宋_GB2312" w:cs="仿宋_GB2312"/>
          <w:b/>
          <w:i w:val="0"/>
          <w:caps w:val="0"/>
          <w:spacing w:val="0"/>
          <w:w w:val="100"/>
          <w:sz w:val="44"/>
          <w:szCs w:val="44"/>
        </w:rPr>
        <w:t xml:space="preserve">  </w:t>
      </w:r>
      <w:bookmarkStart w:id="19" w:name="_Toc515647756"/>
      <w:r>
        <w:rPr>
          <w:rFonts w:hint="eastAsia" w:ascii="仿宋_GB2312" w:hAnsi="仿宋_GB2312" w:eastAsia="仿宋_GB2312" w:cs="仿宋_GB2312"/>
          <w:b/>
          <w:i w:val="0"/>
          <w:caps w:val="0"/>
          <w:spacing w:val="0"/>
          <w:w w:val="100"/>
          <w:sz w:val="44"/>
          <w:szCs w:val="44"/>
        </w:rPr>
        <w:t>投标人须知</w:t>
      </w:r>
      <w:bookmarkEnd w:id="11"/>
      <w:bookmarkEnd w:id="12"/>
      <w:bookmarkEnd w:id="13"/>
      <w:bookmarkEnd w:id="14"/>
      <w:bookmarkEnd w:id="15"/>
      <w:bookmarkEnd w:id="16"/>
      <w:bookmarkEnd w:id="17"/>
      <w:bookmarkEnd w:id="18"/>
      <w:bookmarkEnd w:id="19"/>
    </w:p>
    <w:p w14:paraId="3CBA6C48">
      <w:pPr>
        <w:pStyle w:val="4"/>
        <w:snapToGrid/>
        <w:spacing w:before="0" w:beforeAutospacing="0" w:after="0" w:afterAutospacing="0" w:line="240" w:lineRule="atLeast"/>
        <w:ind w:left="1078" w:leftChars="257" w:hanging="539"/>
        <w:jc w:val="center"/>
        <w:textAlignment w:val="baseline"/>
        <w:rPr>
          <w:rFonts w:ascii="仿宋_GB2312" w:hAnsi="仿宋_GB2312" w:eastAsia="仿宋_GB2312" w:cs="仿宋_GB2312"/>
          <w:b w:val="0"/>
          <w:i w:val="0"/>
          <w:caps w:val="0"/>
          <w:spacing w:val="0"/>
          <w:w w:val="100"/>
          <w:sz w:val="24"/>
        </w:rPr>
      </w:pPr>
      <w:bookmarkStart w:id="20" w:name="_Toc515647757"/>
      <w:bookmarkStart w:id="21" w:name="_Toc216582805"/>
      <w:bookmarkStart w:id="22" w:name="_Toc520356143"/>
      <w:bookmarkStart w:id="23" w:name="_Toc22145"/>
      <w:bookmarkStart w:id="24" w:name="_Toc28279"/>
      <w:bookmarkStart w:id="25" w:name="_Toc18007"/>
      <w:bookmarkStart w:id="26" w:name="_Toc21215"/>
      <w:bookmarkStart w:id="27" w:name="_Toc28131"/>
      <w:bookmarkStart w:id="28" w:name="_Toc9514"/>
      <w:bookmarkStart w:id="29" w:name="_Toc1988"/>
      <w:bookmarkStart w:id="30" w:name="_Toc21015"/>
      <w:bookmarkStart w:id="31" w:name="_Toc28649"/>
      <w:bookmarkStart w:id="32" w:name="_Toc17202"/>
      <w:bookmarkStart w:id="33" w:name="_Toc13870"/>
      <w:bookmarkStart w:id="34" w:name="_Toc27848"/>
      <w:bookmarkStart w:id="35" w:name="_Toc24426"/>
      <w:r>
        <w:rPr>
          <w:rFonts w:hint="eastAsia" w:ascii="仿宋_GB2312" w:hAnsi="仿宋_GB2312" w:eastAsia="仿宋_GB2312" w:cs="仿宋_GB2312"/>
          <w:b/>
          <w:i w:val="0"/>
          <w:caps w:val="0"/>
          <w:spacing w:val="0"/>
          <w:w w:val="100"/>
          <w:sz w:val="28"/>
        </w:rPr>
        <w:t xml:space="preserve">一   </w:t>
      </w:r>
      <w:bookmarkEnd w:id="20"/>
      <w:bookmarkEnd w:id="21"/>
      <w:bookmarkEnd w:id="22"/>
      <w:r>
        <w:rPr>
          <w:rFonts w:hint="eastAsia" w:ascii="仿宋_GB2312" w:hAnsi="仿宋_GB2312" w:eastAsia="仿宋_GB2312" w:cs="仿宋_GB2312"/>
          <w:b/>
          <w:i w:val="0"/>
          <w:caps w:val="0"/>
          <w:spacing w:val="0"/>
          <w:w w:val="100"/>
          <w:sz w:val="28"/>
        </w:rPr>
        <w:t>总 则</w:t>
      </w:r>
      <w:bookmarkEnd w:id="23"/>
      <w:bookmarkEnd w:id="24"/>
      <w:bookmarkEnd w:id="25"/>
      <w:bookmarkEnd w:id="26"/>
      <w:bookmarkEnd w:id="27"/>
      <w:bookmarkEnd w:id="28"/>
      <w:bookmarkEnd w:id="29"/>
      <w:bookmarkEnd w:id="30"/>
      <w:bookmarkEnd w:id="31"/>
      <w:bookmarkEnd w:id="32"/>
      <w:bookmarkEnd w:id="33"/>
      <w:bookmarkEnd w:id="34"/>
      <w:bookmarkEnd w:id="35"/>
    </w:p>
    <w:p w14:paraId="61221233">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36" w:name="_Toc520356144"/>
      <w:bookmarkStart w:id="37" w:name="_Toc20172"/>
      <w:bookmarkStart w:id="38" w:name="_Toc19622"/>
      <w:bookmarkStart w:id="39" w:name="_Toc24114"/>
      <w:bookmarkStart w:id="40" w:name="_Toc5999"/>
      <w:bookmarkStart w:id="41" w:name="_Toc568"/>
      <w:bookmarkStart w:id="42" w:name="_Toc17376"/>
      <w:bookmarkStart w:id="43" w:name="_Toc11245"/>
      <w:bookmarkStart w:id="44" w:name="_Toc9357"/>
      <w:bookmarkStart w:id="45" w:name="_Toc515647758"/>
      <w:bookmarkStart w:id="46" w:name="_Toc32189"/>
      <w:bookmarkStart w:id="47" w:name="_Toc6990"/>
      <w:bookmarkStart w:id="48" w:name="_Toc14500"/>
      <w:bookmarkStart w:id="49" w:name="_Toc16352"/>
      <w:bookmarkStart w:id="50" w:name="_Toc32623"/>
      <w:r>
        <w:rPr>
          <w:rFonts w:hint="eastAsia" w:ascii="仿宋_GB2312" w:hAnsi="仿宋_GB2312" w:eastAsia="仿宋_GB2312" w:cs="仿宋_GB2312"/>
          <w:b/>
          <w:i w:val="0"/>
          <w:caps w:val="0"/>
          <w:spacing w:val="0"/>
          <w:w w:val="100"/>
          <w:sz w:val="24"/>
        </w:rPr>
        <w:t>1.采购人、采购代理机构及</w:t>
      </w:r>
      <w:bookmarkEnd w:id="36"/>
      <w:r>
        <w:rPr>
          <w:rFonts w:hint="eastAsia" w:ascii="仿宋_GB2312" w:hAnsi="仿宋_GB2312" w:eastAsia="仿宋_GB2312" w:cs="仿宋_GB2312"/>
          <w:b/>
          <w:i w:val="0"/>
          <w:caps w:val="0"/>
          <w:spacing w:val="0"/>
          <w:w w:val="100"/>
          <w:sz w:val="24"/>
        </w:rPr>
        <w:t>投标人</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1C42594">
      <w:pPr>
        <w:numPr>
          <w:ilvl w:val="1"/>
          <w:numId w:val="3"/>
        </w:numPr>
        <w:tabs>
          <w:tab w:val="left" w:pos="0"/>
        </w:tabs>
        <w:snapToGrid/>
        <w:spacing w:before="0" w:beforeAutospacing="0" w:after="0" w:afterAutospacing="0" w:line="288" w:lineRule="auto"/>
        <w:ind w:hanging="898"/>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采购人：是指依法开展政府采购活动的国家机关、事业单位、团体组织。</w:t>
      </w:r>
    </w:p>
    <w:p w14:paraId="63A88389">
      <w:pPr>
        <w:tabs>
          <w:tab w:val="left" w:pos="0"/>
        </w:tabs>
        <w:snapToGrid/>
        <w:spacing w:before="0" w:beforeAutospacing="0" w:after="0" w:afterAutospacing="0" w:line="288" w:lineRule="auto"/>
        <w:ind w:left="90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本项目的采购人见</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w:t>
      </w:r>
    </w:p>
    <w:p w14:paraId="009624DF">
      <w:pPr>
        <w:numPr>
          <w:ilvl w:val="1"/>
          <w:numId w:val="3"/>
        </w:numPr>
        <w:tabs>
          <w:tab w:val="left" w:pos="0"/>
        </w:tabs>
        <w:snapToGrid/>
        <w:spacing w:before="0" w:beforeAutospacing="0" w:after="0" w:afterAutospacing="0" w:line="288" w:lineRule="auto"/>
        <w:ind w:hanging="898"/>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采购代理机构：是指在集中采购机构或从事采购代理业务的社会中介机构。本项目的采购代理机构见</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w:t>
      </w:r>
    </w:p>
    <w:p w14:paraId="07FCB360">
      <w:pPr>
        <w:numPr>
          <w:ilvl w:val="1"/>
          <w:numId w:val="3"/>
        </w:num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投标人：是指向采购人提供货物、工程或者服务的法人、非法人组织或者自然人。本项目的投标人及其投标货物须满足以下条件：</w:t>
      </w:r>
    </w:p>
    <w:p w14:paraId="5C3EBB06">
      <w:pPr>
        <w:snapToGrid/>
        <w:spacing w:before="0" w:beforeAutospacing="0" w:after="0" w:afterAutospacing="0" w:line="288" w:lineRule="auto"/>
        <w:ind w:hangingChars="354"/>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在中华人民共和国境内注册，能够独立承担民事责任，有生产或供应能力的本国供应商。</w:t>
      </w:r>
    </w:p>
    <w:p w14:paraId="761698F0">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1.3.2  具备《中华人民共和国政府采购法》第二十二条关于供应商条件的规定，遵守本项目采购人本级和上级财政部门政府采购的有关规定。</w:t>
      </w:r>
    </w:p>
    <w:p w14:paraId="59105D2A">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1.3.3   以采购代理机构认可的方式获得了本项目的招标文件。</w:t>
      </w:r>
    </w:p>
    <w:p w14:paraId="4EE0851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1.3.4   提供符合</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中规定的资格证明文件。</w:t>
      </w:r>
    </w:p>
    <w:p w14:paraId="1ADCF0F0">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1.3.5   若</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中写明允许采购进口产品，投标人应保证所投产品可履行合法报通关手续进入中国关境内。</w:t>
      </w:r>
    </w:p>
    <w:p w14:paraId="41B4F164">
      <w:pPr>
        <w:snapToGrid/>
        <w:spacing w:before="0" w:beforeAutospacing="0" w:after="0" w:afterAutospacing="0" w:line="288" w:lineRule="auto"/>
        <w:ind w:left="898" w:leftChars="428"/>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若</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中未写明允许采购进口产品，如投标人所投产品为进口产品，其投标将被认定为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2D20E81D">
      <w:pPr>
        <w:snapToGrid/>
        <w:spacing w:before="0" w:beforeAutospacing="0" w:after="0" w:afterAutospacing="0" w:line="288" w:lineRule="auto"/>
        <w:ind w:hangingChars="35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1.3.6  若</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中写明专门面向中小企业采购的，如投标人为非中小企业且所投产品为非中小企业产品，其投标将被认定为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1B1810D5">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     如</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中允许联合体投标，对联合体规定如下：</w:t>
      </w:r>
    </w:p>
    <w:p w14:paraId="52C2207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1.4.1   两个以上供应商可以组成一个投标联合体，以一个投标人的身份投标。</w:t>
      </w:r>
    </w:p>
    <w:p w14:paraId="1E854865">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1.4.2   联合体各方均应符合《中华人民共和国政府采购法》第二十二条规定的条件。</w:t>
      </w:r>
    </w:p>
    <w:p w14:paraId="07A5D5F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1.4.3   采购人根据采购项目对投标人的特殊要求，联合体中至少应当有一方符合相关规定。</w:t>
      </w:r>
    </w:p>
    <w:p w14:paraId="31D0D4D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1.4.4   联合体各方应签订共同投标协议，明确约定联合体各方承担的工作和相应的责任，并将共同投标协议连同作为投标文件第一部分的内容提交。</w:t>
      </w:r>
    </w:p>
    <w:p w14:paraId="185C6E6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1.4.5   大中型企业、其他自然人、法人或者非法人组织与小型、微型企业组成联合体共同参加投标，共同投标协议中应写明小型、微型企业的协议合同金额占到共同投标协议投标总金额的比例。</w:t>
      </w:r>
    </w:p>
    <w:p w14:paraId="1B9BC36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1.4.6  联合体中有同类资质的供应商按照联合体分工承担相同工作的，按照较低的资质等级确定联合体的资质等级。</w:t>
      </w:r>
    </w:p>
    <w:p w14:paraId="0B9FE428">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1.4.7  以联合体形式参加政府采购活动的，联合体各方不得再单独参加或者与其他供应商另外组成联合体参加本项目投标，否则相关投标将被认定为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6B2AD87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1.4.8   对联合体投标的其他资格要求见</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w:t>
      </w:r>
    </w:p>
    <w:p w14:paraId="51F6B57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1.5    单位负责人为同一人或者存在直接控股、管理关系的不同供应商，其相关投标将被认定为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3E8D2889">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1.6    为本项目提供过整体设计、规范编制或者项目管理、监理、检测等服务的供应商，不得再参加本项目上述服务以外的其他采购活动。否则其投标将被认定为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1489FD9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1.7</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投标人在投标过程中不得向采购人提供、给予任何有价值的物品，影响其正常决策行为。一经发现，其将被认定为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27A80560">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1" w:name="_Toc28178"/>
      <w:bookmarkStart w:id="52" w:name="_Toc515647759"/>
      <w:bookmarkStart w:id="53" w:name="_Toc14117"/>
      <w:bookmarkStart w:id="54" w:name="_Toc12139"/>
      <w:bookmarkStart w:id="55" w:name="_Toc21316"/>
      <w:bookmarkStart w:id="56" w:name="_Toc25043"/>
      <w:bookmarkStart w:id="57" w:name="_Toc18623"/>
      <w:bookmarkStart w:id="58" w:name="_Toc14658"/>
      <w:bookmarkStart w:id="59" w:name="_Toc8874"/>
      <w:bookmarkStart w:id="60" w:name="_Toc4322"/>
      <w:bookmarkStart w:id="61" w:name="_Toc7361"/>
      <w:bookmarkStart w:id="62" w:name="_Toc4315"/>
      <w:bookmarkStart w:id="63" w:name="_Toc5286"/>
      <w:bookmarkStart w:id="64" w:name="_Toc17808"/>
      <w:r>
        <w:rPr>
          <w:rFonts w:hint="eastAsia" w:ascii="仿宋_GB2312" w:hAnsi="仿宋_GB2312" w:eastAsia="仿宋_GB2312" w:cs="仿宋_GB2312"/>
          <w:b/>
          <w:i w:val="0"/>
          <w:caps w:val="0"/>
          <w:spacing w:val="0"/>
          <w:w w:val="100"/>
          <w:sz w:val="24"/>
        </w:rPr>
        <w:t>2.资金来源</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619A7E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本项目的采购人已获得足以支付本次招标后所签订的合同项下的资金（包括财政性资金和本项目采购中无法与财政性资金分割的非财政性资金）。</w:t>
      </w:r>
    </w:p>
    <w:p w14:paraId="5363B36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2.2    项目预算金额和分项或分包最高限价</w:t>
      </w:r>
      <w:r>
        <w:rPr>
          <w:rFonts w:hint="eastAsia" w:ascii="仿宋_GB2312" w:hAnsi="仿宋_GB2312" w:eastAsia="仿宋_GB2312" w:cs="仿宋_GB2312"/>
          <w:b w:val="0"/>
          <w:i w:val="0"/>
          <w:caps w:val="0"/>
          <w:spacing w:val="0"/>
          <w:w w:val="100"/>
          <w:sz w:val="24"/>
          <w:u w:val="single" w:color="000000"/>
        </w:rPr>
        <w:t>见投标人须知资料表</w:t>
      </w:r>
      <w:r>
        <w:rPr>
          <w:rFonts w:hint="eastAsia" w:ascii="仿宋_GB2312" w:hAnsi="仿宋_GB2312" w:eastAsia="仿宋_GB2312" w:cs="仿宋_GB2312"/>
          <w:b w:val="0"/>
          <w:i w:val="0"/>
          <w:caps w:val="0"/>
          <w:spacing w:val="0"/>
          <w:w w:val="100"/>
          <w:sz w:val="24"/>
        </w:rPr>
        <w:t>。</w:t>
      </w:r>
    </w:p>
    <w:p w14:paraId="32D9F865">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2.3    投标人报价超过招标文件规定的预算金额或者分项、分包最高限价的，其投标将被认定为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1571B9E2">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65" w:name="_Toc17722"/>
      <w:bookmarkStart w:id="66" w:name="_Toc31923"/>
      <w:bookmarkStart w:id="67" w:name="_Toc25643"/>
      <w:bookmarkStart w:id="68" w:name="_Toc20548"/>
      <w:bookmarkStart w:id="69" w:name="_Toc515647760"/>
      <w:bookmarkStart w:id="70" w:name="_Toc20526"/>
      <w:bookmarkStart w:id="71" w:name="_Toc12066"/>
      <w:bookmarkStart w:id="72" w:name="_Toc520356145"/>
      <w:bookmarkStart w:id="73" w:name="_Toc13235"/>
      <w:bookmarkStart w:id="74" w:name="_Toc15936"/>
      <w:bookmarkStart w:id="75" w:name="_Toc26702"/>
      <w:bookmarkStart w:id="76" w:name="_Toc13828"/>
      <w:bookmarkStart w:id="77" w:name="_Toc26014"/>
      <w:bookmarkStart w:id="78" w:name="_Toc31962"/>
      <w:bookmarkStart w:id="79" w:name="_Toc245"/>
      <w:r>
        <w:rPr>
          <w:rFonts w:hint="eastAsia" w:ascii="仿宋_GB2312" w:hAnsi="仿宋_GB2312" w:eastAsia="仿宋_GB2312" w:cs="仿宋_GB2312"/>
          <w:b/>
          <w:i w:val="0"/>
          <w:caps w:val="0"/>
          <w:spacing w:val="0"/>
          <w:w w:val="100"/>
          <w:sz w:val="24"/>
        </w:rPr>
        <w:t>3.投标费用</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229F15F">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不论投标的结果如何，投标人应承担所有与准备和参加投标有关的费用。</w:t>
      </w:r>
    </w:p>
    <w:p w14:paraId="3F95C10A">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80" w:name="_Toc6116"/>
      <w:bookmarkStart w:id="81" w:name="_Toc10040"/>
      <w:bookmarkStart w:id="82" w:name="_Toc515647761"/>
      <w:bookmarkStart w:id="83" w:name="_Toc20058"/>
      <w:bookmarkStart w:id="84" w:name="_Toc32665"/>
      <w:bookmarkStart w:id="85" w:name="_Toc18730"/>
      <w:bookmarkStart w:id="86" w:name="_Toc31798"/>
      <w:bookmarkStart w:id="87" w:name="_Toc25102"/>
      <w:bookmarkStart w:id="88" w:name="_Toc3200"/>
      <w:bookmarkStart w:id="89" w:name="_Toc4463"/>
      <w:bookmarkStart w:id="90" w:name="_Toc22881"/>
      <w:bookmarkStart w:id="91" w:name="_Toc3354"/>
      <w:bookmarkStart w:id="92" w:name="_Toc28041"/>
      <w:bookmarkStart w:id="93" w:name="_Toc24113"/>
      <w:r>
        <w:rPr>
          <w:rFonts w:hint="eastAsia" w:ascii="仿宋_GB2312" w:hAnsi="仿宋_GB2312" w:eastAsia="仿宋_GB2312" w:cs="仿宋_GB2312"/>
          <w:b/>
          <w:i w:val="0"/>
          <w:caps w:val="0"/>
          <w:spacing w:val="0"/>
          <w:w w:val="100"/>
          <w:sz w:val="24"/>
        </w:rPr>
        <w:t>4.适用法律</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A85FE84">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0314C314">
      <w:pPr>
        <w:pStyle w:val="4"/>
        <w:snapToGrid/>
        <w:spacing w:before="0" w:beforeAutospacing="0" w:after="0" w:afterAutospacing="0" w:line="288" w:lineRule="auto"/>
        <w:ind w:left="1079" w:leftChars="257" w:hanging="540"/>
        <w:jc w:val="center"/>
        <w:textAlignment w:val="baseline"/>
        <w:rPr>
          <w:rFonts w:ascii="仿宋_GB2312" w:hAnsi="仿宋_GB2312" w:eastAsia="仿宋_GB2312" w:cs="仿宋_GB2312"/>
          <w:b/>
          <w:i w:val="0"/>
          <w:caps w:val="0"/>
          <w:spacing w:val="0"/>
          <w:w w:val="100"/>
          <w:sz w:val="28"/>
        </w:rPr>
      </w:pPr>
      <w:bookmarkStart w:id="94" w:name="_Toc1733"/>
      <w:bookmarkStart w:id="95" w:name="_Toc6944"/>
      <w:bookmarkStart w:id="96" w:name="_Toc17538"/>
      <w:bookmarkStart w:id="97" w:name="_Toc216582806"/>
      <w:bookmarkStart w:id="98" w:name="_Toc28572"/>
      <w:bookmarkStart w:id="99" w:name="_Toc515647762"/>
      <w:bookmarkStart w:id="100" w:name="_Toc10643"/>
      <w:bookmarkStart w:id="101" w:name="_Toc14410"/>
      <w:bookmarkStart w:id="102" w:name="_Toc4063"/>
      <w:bookmarkStart w:id="103" w:name="_Toc19184"/>
      <w:bookmarkStart w:id="104" w:name="_Toc30891"/>
      <w:bookmarkStart w:id="105" w:name="_Toc4365"/>
      <w:bookmarkStart w:id="106" w:name="_Toc520356146"/>
      <w:bookmarkStart w:id="107" w:name="_Toc21566"/>
      <w:bookmarkStart w:id="108" w:name="_Toc8117"/>
      <w:r>
        <w:rPr>
          <w:rFonts w:hint="eastAsia" w:ascii="仿宋_GB2312" w:hAnsi="仿宋_GB2312" w:eastAsia="仿宋_GB2312" w:cs="仿宋_GB2312"/>
          <w:b/>
          <w:i w:val="0"/>
          <w:caps w:val="0"/>
          <w:spacing w:val="0"/>
          <w:w w:val="100"/>
          <w:sz w:val="28"/>
        </w:rPr>
        <w:t>二   招标文件</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341B883">
      <w:pPr>
        <w:pStyle w:val="6"/>
        <w:snapToGrid/>
        <w:spacing w:before="0" w:beforeAutospacing="0" w:after="0" w:afterAutospacing="0" w:line="288" w:lineRule="auto"/>
        <w:ind w:firstLine="420"/>
        <w:jc w:val="left"/>
        <w:textAlignment w:val="baseline"/>
        <w:rPr>
          <w:rFonts w:ascii="仿宋_GB2312" w:hAnsi="仿宋_GB2312" w:eastAsia="仿宋_GB2312" w:cs="仿宋_GB2312"/>
          <w:b w:val="0"/>
          <w:i w:val="0"/>
          <w:caps w:val="0"/>
          <w:spacing w:val="0"/>
          <w:w w:val="100"/>
          <w:sz w:val="24"/>
        </w:rPr>
      </w:pPr>
    </w:p>
    <w:p w14:paraId="2FB20BCB">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109" w:name="_Toc1617"/>
      <w:bookmarkStart w:id="110" w:name="_Toc481"/>
      <w:bookmarkStart w:id="111" w:name="_Toc520356147"/>
      <w:bookmarkStart w:id="112" w:name="_Toc6246"/>
      <w:bookmarkStart w:id="113" w:name="_Toc5326"/>
      <w:bookmarkStart w:id="114" w:name="_Toc22748"/>
      <w:bookmarkStart w:id="115" w:name="_Toc25743"/>
      <w:bookmarkStart w:id="116" w:name="_Toc28647"/>
      <w:bookmarkStart w:id="117" w:name="_Toc26759"/>
      <w:bookmarkStart w:id="118" w:name="_Toc515647763"/>
      <w:bookmarkStart w:id="119" w:name="_Toc11582"/>
      <w:bookmarkStart w:id="120" w:name="_Toc4671"/>
      <w:bookmarkStart w:id="121" w:name="_Toc14637"/>
      <w:bookmarkStart w:id="122" w:name="_Toc14084"/>
      <w:bookmarkStart w:id="123" w:name="_Toc17225"/>
      <w:r>
        <w:rPr>
          <w:rFonts w:hint="eastAsia" w:ascii="仿宋_GB2312" w:hAnsi="仿宋_GB2312" w:eastAsia="仿宋_GB2312" w:cs="仿宋_GB2312"/>
          <w:b/>
          <w:i w:val="0"/>
          <w:caps w:val="0"/>
          <w:spacing w:val="0"/>
          <w:w w:val="100"/>
          <w:sz w:val="24"/>
        </w:rPr>
        <w:t>5.招标文件构成</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C7B0C4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5.1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招标文件分为三册共7章，内容如下：</w:t>
      </w:r>
    </w:p>
    <w:p w14:paraId="10BD0EDC">
      <w:pPr>
        <w:snapToGrid/>
        <w:spacing w:before="0" w:beforeAutospacing="0" w:after="0" w:afterAutospacing="0" w:line="288" w:lineRule="auto"/>
        <w:ind w:left="1078" w:leftChars="428" w:hangingChars="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第一册</w:t>
      </w:r>
    </w:p>
    <w:p w14:paraId="22543F24">
      <w:pPr>
        <w:numPr>
          <w:ilvl w:val="0"/>
          <w:numId w:val="4"/>
        </w:numPr>
        <w:tabs>
          <w:tab w:val="left" w:pos="0"/>
        </w:tabs>
        <w:snapToGrid/>
        <w:spacing w:before="0" w:beforeAutospacing="0" w:after="0" w:afterAutospacing="0" w:line="288" w:lineRule="auto"/>
        <w:ind w:hanging="829"/>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投标人须知</w:t>
      </w:r>
    </w:p>
    <w:p w14:paraId="5DC33462">
      <w:pPr>
        <w:numPr>
          <w:ilvl w:val="0"/>
          <w:numId w:val="4"/>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投标文件格式</w:t>
      </w:r>
    </w:p>
    <w:p w14:paraId="51BA7BCA">
      <w:p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第二册</w:t>
      </w:r>
    </w:p>
    <w:p w14:paraId="53B7247F">
      <w:pPr>
        <w:numPr>
          <w:ilvl w:val="0"/>
          <w:numId w:val="4"/>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投标邀请</w:t>
      </w:r>
    </w:p>
    <w:p w14:paraId="4C1CD184">
      <w:pPr>
        <w:numPr>
          <w:ilvl w:val="0"/>
          <w:numId w:val="4"/>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投标人须知资料表</w:t>
      </w:r>
    </w:p>
    <w:p w14:paraId="790098C4">
      <w:pPr>
        <w:numPr>
          <w:ilvl w:val="0"/>
          <w:numId w:val="4"/>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货物需求一览表及技术规格</w:t>
      </w:r>
    </w:p>
    <w:p w14:paraId="076CB7C9">
      <w:pPr>
        <w:numPr>
          <w:ilvl w:val="0"/>
          <w:numId w:val="4"/>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评标方法和标准</w:t>
      </w:r>
    </w:p>
    <w:p w14:paraId="1F90492B">
      <w:pPr>
        <w:snapToGrid/>
        <w:spacing w:before="0" w:beforeAutospacing="0" w:after="0" w:afterAutospacing="0" w:line="288" w:lineRule="auto"/>
        <w:ind w:left="901"/>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第三册</w:t>
      </w:r>
    </w:p>
    <w:p w14:paraId="7CD4EC5E">
      <w:pPr>
        <w:numPr>
          <w:ilvl w:val="0"/>
          <w:numId w:val="4"/>
        </w:numPr>
        <w:snapToGrid/>
        <w:spacing w:before="0" w:beforeAutospacing="0" w:after="0" w:afterAutospacing="0" w:line="288" w:lineRule="auto"/>
        <w:ind w:left="718" w:leftChars="342" w:firstLine="240" w:firstLineChars="10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政府采购合同格式</w:t>
      </w:r>
    </w:p>
    <w:p w14:paraId="1A84D835">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5.2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如本文件的前后内容不一致，以最后描述为准。</w:t>
      </w:r>
    </w:p>
    <w:p w14:paraId="03D0A3D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5.3    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15F91C85">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124" w:name="_Toc520356148"/>
      <w:bookmarkStart w:id="125" w:name="_Toc515904805"/>
      <w:bookmarkStart w:id="126" w:name="_Toc7323"/>
      <w:bookmarkStart w:id="127" w:name="_Toc18688"/>
      <w:bookmarkStart w:id="128" w:name="_Toc4118"/>
      <w:bookmarkStart w:id="129" w:name="_Toc1922"/>
      <w:bookmarkStart w:id="130" w:name="_Toc4284"/>
      <w:bookmarkStart w:id="131" w:name="_Toc1925"/>
      <w:bookmarkStart w:id="132" w:name="_Toc10625"/>
      <w:bookmarkStart w:id="133" w:name="_Toc27562"/>
      <w:bookmarkStart w:id="134" w:name="_Toc2703"/>
      <w:bookmarkStart w:id="135" w:name="_Toc20175"/>
      <w:bookmarkStart w:id="136" w:name="_Toc26044"/>
      <w:bookmarkStart w:id="137" w:name="_Toc9232"/>
      <w:bookmarkStart w:id="138" w:name="_Toc3154"/>
      <w:r>
        <w:rPr>
          <w:rFonts w:hint="eastAsia" w:ascii="仿宋_GB2312" w:hAnsi="仿宋_GB2312" w:eastAsia="仿宋_GB2312" w:cs="仿宋_GB2312"/>
          <w:b/>
          <w:i w:val="0"/>
          <w:caps w:val="0"/>
          <w:spacing w:val="0"/>
          <w:w w:val="100"/>
          <w:sz w:val="24"/>
        </w:rPr>
        <w:t>6.招标文件的澄清</w:t>
      </w:r>
      <w:bookmarkEnd w:id="124"/>
      <w:bookmarkEnd w:id="125"/>
      <w:r>
        <w:rPr>
          <w:rFonts w:hint="eastAsia" w:ascii="仿宋_GB2312" w:hAnsi="仿宋_GB2312" w:eastAsia="仿宋_GB2312" w:cs="仿宋_GB2312"/>
          <w:b/>
          <w:i w:val="0"/>
          <w:caps w:val="0"/>
          <w:spacing w:val="0"/>
          <w:w w:val="100"/>
          <w:sz w:val="24"/>
        </w:rPr>
        <w:t>与修改</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0A4B71AB">
      <w:pPr>
        <w:pStyle w:val="6"/>
        <w:snapToGrid/>
        <w:spacing w:before="0" w:beforeAutospacing="0" w:after="0" w:afterAutospacing="0" w:line="288" w:lineRule="auto"/>
        <w:ind w:hangingChars="350"/>
        <w:jc w:val="left"/>
        <w:textAlignment w:val="baseline"/>
        <w:rPr>
          <w:rFonts w:ascii="仿宋_GB2312" w:hAnsi="仿宋_GB2312" w:eastAsia="仿宋_GB2312" w:cs="仿宋_GB2312"/>
          <w:b w:val="0"/>
          <w:i w:val="0"/>
          <w:caps w:val="0"/>
          <w:spacing w:val="0"/>
          <w:w w:val="100"/>
          <w:sz w:val="24"/>
          <w:szCs w:val="24"/>
        </w:rPr>
      </w:pPr>
      <w:r>
        <w:rPr>
          <w:rFonts w:hint="eastAsia" w:ascii="仿宋_GB2312" w:hAnsi="仿宋_GB2312" w:eastAsia="仿宋_GB2312" w:cs="仿宋_GB2312"/>
          <w:b w:val="0"/>
          <w:i w:val="0"/>
          <w:caps w:val="0"/>
          <w:spacing w:val="0"/>
          <w:w w:val="100"/>
          <w:sz w:val="24"/>
          <w:szCs w:val="24"/>
        </w:rPr>
        <w:t>6.1    为了保证对招标文件的澄清和修改满足法律的时限要求，任何要求对招标文件进行澄清的投标人，均应在投标截止期十五日前，以书面形式将澄清要求通知采购人或采购代理机构。</w:t>
      </w:r>
    </w:p>
    <w:p w14:paraId="49F67279">
      <w:pPr>
        <w:pStyle w:val="6"/>
        <w:snapToGrid/>
        <w:spacing w:before="0" w:beforeAutospacing="0" w:after="0" w:afterAutospacing="0" w:line="288" w:lineRule="auto"/>
        <w:ind w:hangingChars="350"/>
        <w:jc w:val="left"/>
        <w:textAlignment w:val="baseline"/>
        <w:rPr>
          <w:rFonts w:ascii="仿宋_GB2312" w:hAnsi="仿宋_GB2312" w:eastAsia="仿宋_GB2312" w:cs="仿宋_GB2312"/>
          <w:b w:val="0"/>
          <w:i w:val="0"/>
          <w:caps w:val="0"/>
          <w:spacing w:val="0"/>
          <w:w w:val="100"/>
          <w:sz w:val="24"/>
          <w:szCs w:val="24"/>
        </w:rPr>
      </w:pPr>
      <w:bookmarkStart w:id="139" w:name="_Toc515904806"/>
      <w:bookmarkStart w:id="140" w:name="_Toc520356149"/>
      <w:bookmarkStart w:id="141" w:name="_Ref467378678"/>
      <w:r>
        <w:rPr>
          <w:rFonts w:hint="eastAsia" w:ascii="仿宋_GB2312" w:hAnsi="仿宋_GB2312" w:eastAsia="仿宋_GB2312" w:cs="仿宋_GB2312"/>
          <w:b w:val="0"/>
          <w:i w:val="0"/>
          <w:caps w:val="0"/>
          <w:spacing w:val="0"/>
          <w:w w:val="100"/>
          <w:sz w:val="24"/>
          <w:szCs w:val="24"/>
        </w:rPr>
        <w:t>6.2</w:t>
      </w:r>
      <w:r>
        <w:rPr>
          <w:rFonts w:hint="eastAsia" w:ascii="仿宋_GB2312" w:hAnsi="仿宋_GB2312" w:eastAsia="仿宋_GB2312" w:cs="仿宋_GB2312"/>
          <w:b w:val="0"/>
          <w:i w:val="0"/>
          <w:caps w:val="0"/>
          <w:spacing w:val="0"/>
          <w:w w:val="100"/>
          <w:sz w:val="24"/>
          <w:szCs w:val="24"/>
        </w:rPr>
        <w:tab/>
      </w:r>
      <w:r>
        <w:rPr>
          <w:rFonts w:hint="eastAsia" w:ascii="仿宋_GB2312" w:hAnsi="仿宋_GB2312" w:eastAsia="仿宋_GB2312" w:cs="仿宋_GB2312"/>
          <w:b w:val="0"/>
          <w:i w:val="0"/>
          <w:caps w:val="0"/>
          <w:spacing w:val="0"/>
          <w:w w:val="100"/>
          <w:sz w:val="24"/>
          <w:szCs w:val="24"/>
        </w:rPr>
        <w:t>采购人可主动地或在解答投标人提出的澄清问题时对招标文件进行澄清或修改。采购代理机构将以发布澄清（更正）公告的方式，澄清或修改招标文件，澄清或修改内容作为招标文件的组成部分。</w:t>
      </w:r>
    </w:p>
    <w:p w14:paraId="56E18D74">
      <w:pPr>
        <w:pStyle w:val="6"/>
        <w:snapToGrid/>
        <w:spacing w:before="0" w:beforeAutospacing="0" w:after="0" w:afterAutospacing="0" w:line="288" w:lineRule="auto"/>
        <w:ind w:hangingChars="350"/>
        <w:jc w:val="left"/>
        <w:textAlignment w:val="baseline"/>
        <w:rPr>
          <w:rFonts w:ascii="仿宋_GB2312" w:hAnsi="仿宋_GB2312" w:eastAsia="仿宋_GB2312" w:cs="仿宋_GB2312"/>
          <w:b w:val="0"/>
          <w:i w:val="0"/>
          <w:caps w:val="0"/>
          <w:spacing w:val="0"/>
          <w:w w:val="100"/>
          <w:sz w:val="24"/>
          <w:szCs w:val="24"/>
        </w:rPr>
      </w:pPr>
      <w:r>
        <w:rPr>
          <w:rFonts w:hint="eastAsia" w:ascii="仿宋_GB2312" w:hAnsi="仿宋_GB2312" w:eastAsia="仿宋_GB2312" w:cs="仿宋_GB2312"/>
          <w:b w:val="0"/>
          <w:i w:val="0"/>
          <w:caps w:val="0"/>
          <w:spacing w:val="0"/>
          <w:w w:val="100"/>
          <w:sz w:val="24"/>
          <w:szCs w:val="24"/>
        </w:rPr>
        <w:t>6.3</w:t>
      </w:r>
      <w:r>
        <w:rPr>
          <w:rFonts w:hint="eastAsia" w:ascii="仿宋_GB2312" w:hAnsi="仿宋_GB2312" w:eastAsia="仿宋_GB2312" w:cs="仿宋_GB2312"/>
          <w:b w:val="0"/>
          <w:i w:val="0"/>
          <w:caps w:val="0"/>
          <w:spacing w:val="0"/>
          <w:w w:val="100"/>
          <w:sz w:val="24"/>
          <w:szCs w:val="24"/>
        </w:rPr>
        <w:tab/>
      </w:r>
      <w:r>
        <w:rPr>
          <w:rFonts w:hint="eastAsia" w:ascii="仿宋_GB2312" w:hAnsi="仿宋_GB2312" w:eastAsia="仿宋_GB2312" w:cs="仿宋_GB2312"/>
          <w:b w:val="0"/>
          <w:i w:val="0"/>
          <w:caps w:val="0"/>
          <w:spacing w:val="0"/>
          <w:w w:val="100"/>
          <w:sz w:val="24"/>
          <w:szCs w:val="24"/>
        </w:rPr>
        <w:t>澄清或者修改的内容可能影响投标文件编制的，采购代理机构将以书面形式通知所有购买招标文件的潜在投标人，并对其具有约束力。投标人在收到上述通知后，应及时向采购代理机构回函确认。</w:t>
      </w:r>
    </w:p>
    <w:p w14:paraId="29E6C2BD">
      <w:pPr>
        <w:pStyle w:val="2"/>
        <w:tabs>
          <w:tab w:val="left" w:pos="900"/>
        </w:tabs>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142" w:name="_Toc14569"/>
      <w:bookmarkStart w:id="143" w:name="_Toc25461"/>
      <w:bookmarkStart w:id="144" w:name="_Toc2744"/>
      <w:bookmarkStart w:id="145" w:name="_Toc7775"/>
      <w:bookmarkStart w:id="146" w:name="_Toc21993"/>
      <w:bookmarkStart w:id="147" w:name="_Toc25416"/>
      <w:bookmarkStart w:id="148" w:name="_Toc25635"/>
      <w:bookmarkStart w:id="149" w:name="_Toc4653"/>
      <w:bookmarkStart w:id="150" w:name="_Toc330"/>
      <w:bookmarkStart w:id="151" w:name="_Toc19841"/>
      <w:bookmarkStart w:id="152" w:name="_Toc12448"/>
      <w:bookmarkStart w:id="153" w:name="_Toc31409"/>
      <w:bookmarkStart w:id="154" w:name="_Toc23166"/>
      <w:r>
        <w:rPr>
          <w:rFonts w:hint="eastAsia" w:ascii="仿宋_GB2312" w:hAnsi="仿宋_GB2312" w:eastAsia="仿宋_GB2312" w:cs="仿宋_GB2312"/>
          <w:b/>
          <w:i w:val="0"/>
          <w:caps w:val="0"/>
          <w:spacing w:val="0"/>
          <w:w w:val="100"/>
          <w:sz w:val="24"/>
        </w:rPr>
        <w:t>7</w:t>
      </w:r>
      <w:bookmarkEnd w:id="139"/>
      <w:bookmarkEnd w:id="140"/>
      <w:bookmarkEnd w:id="141"/>
      <w:r>
        <w:rPr>
          <w:rFonts w:hint="eastAsia" w:ascii="仿宋_GB2312" w:hAnsi="仿宋_GB2312" w:eastAsia="仿宋_GB2312" w:cs="仿宋_GB2312"/>
          <w:b/>
          <w:i w:val="0"/>
          <w:caps w:val="0"/>
          <w:spacing w:val="0"/>
          <w:w w:val="100"/>
          <w:sz w:val="24"/>
        </w:rPr>
        <w:t>.投标截止时间的顺延</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2D9E7A7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为使投标人准备投标时有足够的时间对招标文件的澄清或者修改部分进行研究，采购人将依法决定是否顺延投标截止时间。</w:t>
      </w:r>
    </w:p>
    <w:p w14:paraId="3D4F83DC">
      <w:pPr>
        <w:pStyle w:val="4"/>
        <w:tabs>
          <w:tab w:val="left" w:pos="900"/>
        </w:tabs>
        <w:snapToGrid/>
        <w:spacing w:before="0" w:beforeAutospacing="0" w:after="0" w:afterAutospacing="0" w:line="288" w:lineRule="auto"/>
        <w:ind w:left="1079" w:leftChars="257" w:hanging="540"/>
        <w:jc w:val="center"/>
        <w:textAlignment w:val="baseline"/>
        <w:rPr>
          <w:rFonts w:ascii="仿宋_GB2312" w:hAnsi="仿宋_GB2312" w:eastAsia="仿宋_GB2312" w:cs="仿宋_GB2312"/>
          <w:b w:val="0"/>
          <w:i w:val="0"/>
          <w:caps w:val="0"/>
          <w:spacing w:val="0"/>
          <w:w w:val="100"/>
          <w:sz w:val="24"/>
        </w:rPr>
      </w:pPr>
      <w:bookmarkStart w:id="155" w:name="_Toc516367020"/>
      <w:bookmarkStart w:id="156" w:name="_Toc31039"/>
      <w:bookmarkStart w:id="157" w:name="_Toc30808"/>
      <w:bookmarkStart w:id="158" w:name="_Toc12340"/>
      <w:bookmarkStart w:id="159" w:name="_Toc7636"/>
      <w:bookmarkStart w:id="160" w:name="_Toc25866"/>
      <w:bookmarkStart w:id="161" w:name="_Toc22175"/>
      <w:bookmarkStart w:id="162" w:name="_Toc19696"/>
      <w:bookmarkStart w:id="163" w:name="_Toc15802"/>
      <w:bookmarkStart w:id="164" w:name="_Toc520356150"/>
      <w:bookmarkStart w:id="165" w:name="_Toc8537"/>
      <w:bookmarkStart w:id="166" w:name="_Toc14530"/>
      <w:bookmarkStart w:id="167" w:name="_Toc8381"/>
      <w:bookmarkStart w:id="168" w:name="_Toc28472"/>
      <w:bookmarkStart w:id="169" w:name="_Toc216582807"/>
      <w:bookmarkStart w:id="170" w:name="_Toc515647766"/>
      <w:bookmarkStart w:id="171" w:name="_Toc23336"/>
      <w:r>
        <w:rPr>
          <w:rFonts w:hint="eastAsia" w:ascii="仿宋_GB2312" w:hAnsi="仿宋_GB2312" w:eastAsia="仿宋_GB2312" w:cs="仿宋_GB2312"/>
          <w:b/>
          <w:i w:val="0"/>
          <w:caps w:val="0"/>
          <w:spacing w:val="0"/>
          <w:w w:val="100"/>
          <w:sz w:val="28"/>
        </w:rPr>
        <w:t>三   投标文件</w:t>
      </w:r>
      <w:bookmarkEnd w:id="155"/>
      <w:r>
        <w:rPr>
          <w:rFonts w:hint="eastAsia" w:ascii="仿宋_GB2312" w:hAnsi="仿宋_GB2312" w:eastAsia="仿宋_GB2312" w:cs="仿宋_GB2312"/>
          <w:b/>
          <w:i w:val="0"/>
          <w:caps w:val="0"/>
          <w:spacing w:val="0"/>
          <w:w w:val="100"/>
          <w:sz w:val="28"/>
        </w:rPr>
        <w:t>的编制</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E305A6D">
      <w:pPr>
        <w:pStyle w:val="2"/>
        <w:tabs>
          <w:tab w:val="left" w:pos="900"/>
        </w:tabs>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172" w:name="_Toc7786"/>
      <w:bookmarkStart w:id="173" w:name="_Toc6680"/>
      <w:bookmarkStart w:id="174" w:name="_Toc516367021"/>
      <w:bookmarkStart w:id="175" w:name="_Toc27410"/>
      <w:bookmarkStart w:id="176" w:name="_Toc2259"/>
      <w:bookmarkStart w:id="177" w:name="_Toc15590"/>
      <w:bookmarkStart w:id="178" w:name="_Toc15952"/>
      <w:bookmarkStart w:id="179" w:name="_Toc11023"/>
      <w:bookmarkStart w:id="180" w:name="_Toc11230"/>
      <w:bookmarkStart w:id="181" w:name="_Toc515647767"/>
      <w:bookmarkStart w:id="182" w:name="_Toc520356151"/>
      <w:bookmarkStart w:id="183" w:name="_Toc3553"/>
      <w:bookmarkStart w:id="184" w:name="_Toc28188"/>
      <w:bookmarkStart w:id="185" w:name="_Toc30570"/>
      <w:bookmarkStart w:id="186" w:name="_Toc10758"/>
      <w:bookmarkStart w:id="187" w:name="_Toc28725"/>
      <w:r>
        <w:rPr>
          <w:rFonts w:hint="eastAsia" w:ascii="仿宋_GB2312" w:hAnsi="仿宋_GB2312" w:eastAsia="仿宋_GB2312" w:cs="仿宋_GB2312"/>
          <w:b/>
          <w:i w:val="0"/>
          <w:caps w:val="0"/>
          <w:spacing w:val="0"/>
          <w:w w:val="100"/>
          <w:sz w:val="24"/>
        </w:rPr>
        <w:t>8.投标范围及投标文件中标准和计量单位的使用</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5B6CCDF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8.1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项目有分包的，投标人可对招标文件其中某一个或几个分包货物进行投标，除非在</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中另有规定。</w:t>
      </w:r>
    </w:p>
    <w:p w14:paraId="72BD219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8.2     投标人应当对所投分包招标文件中“服务需求”所列的所有内容进行投标，如仅响应某一包中的部分内容，其该包投标将被认定为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25DD543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8.3     无论招标文件第5章货物需求一览表及技术规格中是否要求，投标人所投货物均应符合国家强制性标准。</w:t>
      </w:r>
    </w:p>
    <w:p w14:paraId="5C68882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8.4     除招标文件中有特殊要求外，投标文件中所使用的计量单位，应采用中华人民共和国法定计量单位。</w:t>
      </w:r>
    </w:p>
    <w:p w14:paraId="3E4C9C25">
      <w:pPr>
        <w:pStyle w:val="2"/>
        <w:tabs>
          <w:tab w:val="left" w:pos="900"/>
        </w:tabs>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188" w:name="_Toc516367022"/>
      <w:bookmarkStart w:id="189" w:name="_Ref467306676"/>
      <w:bookmarkStart w:id="190" w:name="_Ref467306195"/>
      <w:bookmarkStart w:id="191" w:name="_Toc22989"/>
      <w:bookmarkStart w:id="192" w:name="_Toc21249"/>
      <w:bookmarkStart w:id="193" w:name="_Toc520356152"/>
      <w:bookmarkStart w:id="194" w:name="_Toc18627"/>
      <w:bookmarkStart w:id="195" w:name="_Toc10364"/>
      <w:bookmarkStart w:id="196" w:name="_Toc9389"/>
      <w:bookmarkStart w:id="197" w:name="_Toc9822"/>
      <w:bookmarkStart w:id="198" w:name="_Toc28307"/>
      <w:bookmarkStart w:id="199" w:name="_Toc6112"/>
      <w:bookmarkStart w:id="200" w:name="_Toc18692"/>
      <w:bookmarkStart w:id="201" w:name="_Toc13854"/>
      <w:bookmarkStart w:id="202" w:name="_Toc17949"/>
      <w:bookmarkStart w:id="203" w:name="_Toc9237"/>
      <w:bookmarkStart w:id="204" w:name="_Toc515647768"/>
      <w:bookmarkStart w:id="205" w:name="_Toc17979"/>
      <w:r>
        <w:rPr>
          <w:rFonts w:hint="eastAsia" w:ascii="仿宋_GB2312" w:hAnsi="仿宋_GB2312" w:eastAsia="仿宋_GB2312" w:cs="仿宋_GB2312"/>
          <w:b/>
          <w:i w:val="0"/>
          <w:caps w:val="0"/>
          <w:spacing w:val="0"/>
          <w:w w:val="100"/>
          <w:sz w:val="24"/>
        </w:rPr>
        <w:t>9.投标文件</w:t>
      </w:r>
      <w:bookmarkEnd w:id="188"/>
      <w:bookmarkEnd w:id="189"/>
      <w:bookmarkEnd w:id="190"/>
      <w:r>
        <w:rPr>
          <w:rFonts w:hint="eastAsia" w:ascii="仿宋_GB2312" w:hAnsi="仿宋_GB2312" w:eastAsia="仿宋_GB2312" w:cs="仿宋_GB2312"/>
          <w:b/>
          <w:i w:val="0"/>
          <w:caps w:val="0"/>
          <w:spacing w:val="0"/>
          <w:w w:val="100"/>
          <w:sz w:val="24"/>
        </w:rPr>
        <w:t>构成</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59B3B6BC">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9.1    投标单位应完整地按招标文件提供的</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格式及要求编写</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，投标单位须</w:t>
      </w:r>
    </w:p>
    <w:p w14:paraId="7B12114C">
      <w:pPr>
        <w:snapToGrid/>
        <w:spacing w:before="0" w:beforeAutospacing="0" w:after="0" w:afterAutospacing="0" w:line="288" w:lineRule="auto"/>
        <w:ind w:left="898" w:leftChars="342" w:hanging="180" w:hangingChars="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在投标截止时间前完成在系统上递交电子</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。投标单位的电子</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是经</w:t>
      </w:r>
    </w:p>
    <w:p w14:paraId="71A41442">
      <w:pPr>
        <w:snapToGrid/>
        <w:spacing w:before="0" w:beforeAutospacing="0" w:after="0" w:afterAutospacing="0" w:line="288" w:lineRule="auto"/>
        <w:ind w:left="898" w:leftChars="342" w:hanging="180" w:hangingChars="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过 CA 证书加密后上传提交的，任何单位或个人均无法在投标截止时间(即投标时间)</w:t>
      </w:r>
    </w:p>
    <w:p w14:paraId="1EECD700">
      <w:pPr>
        <w:snapToGrid/>
        <w:spacing w:before="0" w:beforeAutospacing="0" w:after="0" w:afterAutospacing="0" w:line="288" w:lineRule="auto"/>
        <w:ind w:left="898" w:leftChars="342" w:hanging="180" w:hangingChars="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之前查看或篡改，不存在泄密风险。（严格按照政采云电子投标流程制作并上传电</w:t>
      </w:r>
    </w:p>
    <w:p w14:paraId="7D35B6FA">
      <w:pPr>
        <w:snapToGrid/>
        <w:spacing w:before="0" w:beforeAutospacing="0" w:after="0" w:afterAutospacing="0" w:line="288" w:lineRule="auto"/>
        <w:ind w:left="898" w:leftChars="342" w:hanging="180" w:hangingChars="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子</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w:t>
      </w:r>
    </w:p>
    <w:p w14:paraId="2FB50854">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9.2 上述文件应按照</w:t>
      </w:r>
      <w:r>
        <w:rPr>
          <w:rFonts w:hint="eastAsia" w:ascii="仿宋_GB2312" w:hAnsi="仿宋_GB2312" w:eastAsia="仿宋_GB2312" w:cs="仿宋_GB2312"/>
          <w:b w:val="0"/>
          <w:i w:val="0"/>
          <w:caps w:val="0"/>
          <w:spacing w:val="0"/>
          <w:w w:val="100"/>
          <w:sz w:val="24"/>
          <w:lang w:eastAsia="zh-CN"/>
        </w:rPr>
        <w:t>招标</w:t>
      </w:r>
      <w:r>
        <w:rPr>
          <w:rFonts w:hint="eastAsia" w:ascii="仿宋_GB2312" w:hAnsi="仿宋_GB2312" w:eastAsia="仿宋_GB2312" w:cs="仿宋_GB2312"/>
          <w:b w:val="0"/>
          <w:i w:val="0"/>
          <w:caps w:val="0"/>
          <w:spacing w:val="0"/>
          <w:w w:val="100"/>
          <w:sz w:val="24"/>
        </w:rPr>
        <w:t>文件规定的格式填写、签署和盖章招标文件中的格式供参考，投标文件中的内容可自行调整但应包括格式内的所有内容。</w:t>
      </w:r>
    </w:p>
    <w:p w14:paraId="6118664F">
      <w:pPr>
        <w:pStyle w:val="2"/>
        <w:tabs>
          <w:tab w:val="left" w:pos="900"/>
        </w:tabs>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206" w:name="_Toc515647769"/>
      <w:bookmarkStart w:id="207" w:name="_Toc2871"/>
      <w:bookmarkStart w:id="208" w:name="_Toc2550"/>
      <w:bookmarkStart w:id="209" w:name="_Toc30942"/>
      <w:bookmarkStart w:id="210" w:name="_Toc3494"/>
      <w:bookmarkStart w:id="211" w:name="_Toc520356153"/>
      <w:bookmarkStart w:id="212" w:name="_Toc516367023"/>
      <w:bookmarkStart w:id="213" w:name="_Toc10379"/>
      <w:bookmarkStart w:id="214" w:name="_Toc6889"/>
      <w:bookmarkStart w:id="215" w:name="_Toc4601"/>
      <w:bookmarkStart w:id="216" w:name="_Toc5539"/>
      <w:bookmarkStart w:id="217" w:name="_Toc7354"/>
      <w:bookmarkStart w:id="218" w:name="_Toc22816"/>
      <w:bookmarkStart w:id="219" w:name="_Toc21436"/>
      <w:bookmarkStart w:id="220" w:name="_Toc13143"/>
      <w:bookmarkStart w:id="221" w:name="_Toc22144"/>
      <w:r>
        <w:rPr>
          <w:rFonts w:hint="eastAsia" w:ascii="仿宋_GB2312" w:hAnsi="仿宋_GB2312" w:eastAsia="仿宋_GB2312" w:cs="仿宋_GB2312"/>
          <w:b/>
          <w:i w:val="0"/>
          <w:caps w:val="0"/>
          <w:spacing w:val="0"/>
          <w:w w:val="100"/>
          <w:sz w:val="24"/>
        </w:rPr>
        <w:t>10.证明投标标的的合格性和符合招标文件规定的技术文件</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1E57CCD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10.1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投标人应提交证明文件，证明其投标内容符合招标文件规定。该证明文件是投标文件的一部分。</w:t>
      </w:r>
    </w:p>
    <w:p w14:paraId="48D22E7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bookmarkStart w:id="222" w:name="_Ref467306244"/>
      <w:r>
        <w:rPr>
          <w:rFonts w:hint="eastAsia" w:ascii="仿宋_GB2312" w:hAnsi="仿宋_GB2312" w:eastAsia="仿宋_GB2312" w:cs="仿宋_GB2312"/>
          <w:b w:val="0"/>
          <w:i w:val="0"/>
          <w:caps w:val="0"/>
          <w:spacing w:val="0"/>
          <w:w w:val="100"/>
          <w:sz w:val="24"/>
        </w:rPr>
        <w:t>10.2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上款所述的证明文件，可以是文字资料、图纸和数据，</w:t>
      </w:r>
      <w:bookmarkEnd w:id="222"/>
      <w:r>
        <w:rPr>
          <w:rFonts w:hint="eastAsia" w:ascii="仿宋_GB2312" w:hAnsi="仿宋_GB2312" w:eastAsia="仿宋_GB2312" w:cs="仿宋_GB2312"/>
          <w:b w:val="0"/>
          <w:i w:val="0"/>
          <w:caps w:val="0"/>
          <w:spacing w:val="0"/>
          <w:w w:val="100"/>
          <w:sz w:val="24"/>
        </w:rPr>
        <w:t>它包括：</w:t>
      </w:r>
    </w:p>
    <w:p w14:paraId="446E616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10.2.1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货物主要技术指标和性能的详细说明；</w:t>
      </w:r>
    </w:p>
    <w:p w14:paraId="5FFC5047">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10.2.2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货物从买方开始使用至招标文件规定的保质期内正常、连续地使用所必须的备件和专用工具清单，包括备件和专用工具的货源及现行价格；</w:t>
      </w:r>
    </w:p>
    <w:p w14:paraId="59DF4EA6">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10.2.3</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对照招标文件技术规格，逐条说明所提供货物及伴随的工程和服务已对招标文件的技术规格做出了实质性的响应，或申明与技术规格条文的偏差和例外。</w:t>
      </w:r>
    </w:p>
    <w:p w14:paraId="00D0A760">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10.3</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p>
    <w:p w14:paraId="7E361556">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223" w:name="_Toc515647770"/>
      <w:bookmarkStart w:id="224" w:name="_Toc2248"/>
      <w:bookmarkStart w:id="225" w:name="_Toc28319"/>
      <w:bookmarkStart w:id="226" w:name="_Toc14959"/>
      <w:bookmarkStart w:id="227" w:name="_Toc1965"/>
      <w:bookmarkStart w:id="228" w:name="_Toc19624"/>
      <w:bookmarkStart w:id="229" w:name="_Toc13077"/>
      <w:bookmarkStart w:id="230" w:name="_Toc520356155"/>
      <w:bookmarkStart w:id="231" w:name="_Toc2418"/>
      <w:bookmarkStart w:id="232" w:name="_Toc9907"/>
      <w:bookmarkStart w:id="233" w:name="_Toc6623"/>
      <w:bookmarkStart w:id="234" w:name="_Toc23231"/>
      <w:bookmarkStart w:id="235" w:name="_Toc25539"/>
      <w:bookmarkStart w:id="236" w:name="_Toc1082"/>
      <w:bookmarkStart w:id="237" w:name="_Toc21624"/>
      <w:r>
        <w:rPr>
          <w:rFonts w:hint="eastAsia" w:ascii="仿宋_GB2312" w:hAnsi="仿宋_GB2312" w:eastAsia="仿宋_GB2312" w:cs="仿宋_GB2312"/>
          <w:b/>
          <w:i w:val="0"/>
          <w:caps w:val="0"/>
          <w:spacing w:val="0"/>
          <w:w w:val="100"/>
          <w:sz w:val="24"/>
        </w:rPr>
        <w:t>11.投标报价</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3B0CA35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07E49A89">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投标人应在投标分项报价表上标明投标货物及相关服务的单价（如适用）和总价，并由法定代表人或其授权代表签署。</w:t>
      </w:r>
    </w:p>
    <w:p w14:paraId="4F171905">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11.3</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投标分项报价表上的价格应按下列方式填写：</w:t>
      </w:r>
    </w:p>
    <w:p w14:paraId="34576C27">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11.3.1  投标货物（包括备品备件、专用工具等）的出厂价（包括已在中国国内的进口货物完税后的仓库交货价、展室交货价或货架交货价），投标货物安装、调试、检验、技术服务和培训等费用；</w:t>
      </w:r>
    </w:p>
    <w:p w14:paraId="5BF2887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11.3.2  货物运至最终目的地的运输费和保险费用。</w:t>
      </w:r>
    </w:p>
    <w:p w14:paraId="6ABF493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11.4</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投标人所报的各分项投标单价在合同履行过程中是固定不变的，不得以任何理由予以变更。任何包含价格调整要求的投标，其投标将被认定为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6D994DC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11.5</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每种货物只能有一个投标报价。采购人不接受具有附加条件的报价。</w:t>
      </w:r>
    </w:p>
    <w:p w14:paraId="583D14D8">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11.6    投标文件中应写明投标产品的产地、数量/面积、养护服务期、供货期，未明确写明的其投标将被认定为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09C46BC2">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238" w:name="_Toc31739"/>
      <w:bookmarkStart w:id="239" w:name="_Ref467306513"/>
      <w:bookmarkStart w:id="240" w:name="_Toc17296"/>
      <w:bookmarkStart w:id="241" w:name="_Toc27024"/>
      <w:bookmarkStart w:id="242" w:name="_Toc22212"/>
      <w:bookmarkStart w:id="243" w:name="_Toc11514"/>
      <w:bookmarkStart w:id="244" w:name="_Toc515647771"/>
      <w:bookmarkStart w:id="245" w:name="_Toc8651"/>
      <w:bookmarkStart w:id="246" w:name="_Toc2961"/>
      <w:bookmarkStart w:id="247" w:name="_Toc520356156"/>
      <w:bookmarkStart w:id="248" w:name="_Toc17788"/>
      <w:bookmarkStart w:id="249" w:name="_Toc1823"/>
      <w:bookmarkStart w:id="250" w:name="_Toc13084"/>
      <w:bookmarkStart w:id="251" w:name="_Toc17357"/>
      <w:bookmarkStart w:id="252" w:name="_Toc29572"/>
      <w:bookmarkStart w:id="253" w:name="_Toc17068"/>
      <w:r>
        <w:rPr>
          <w:rFonts w:hint="eastAsia" w:ascii="仿宋_GB2312" w:hAnsi="仿宋_GB2312" w:eastAsia="仿宋_GB2312" w:cs="仿宋_GB2312"/>
          <w:b/>
          <w:i w:val="0"/>
          <w:caps w:val="0"/>
          <w:spacing w:val="0"/>
          <w:w w:val="100"/>
          <w:sz w:val="24"/>
        </w:rPr>
        <w:t>12.投标保证金</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265B4A4">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bookmarkStart w:id="254" w:name="_Ref467306302"/>
      <w:r>
        <w:rPr>
          <w:rFonts w:hint="eastAsia" w:ascii="仿宋_GB2312" w:hAnsi="仿宋_GB2312" w:eastAsia="仿宋_GB2312" w:cs="仿宋_GB2312"/>
          <w:b w:val="0"/>
          <w:i w:val="0"/>
          <w:caps w:val="0"/>
          <w:spacing w:val="0"/>
          <w:w w:val="100"/>
          <w:sz w:val="24"/>
        </w:rPr>
        <w:t>12.1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投标人应提交</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中规定的投标保证金</w:t>
      </w:r>
      <w:bookmarkEnd w:id="254"/>
      <w:r>
        <w:rPr>
          <w:rFonts w:hint="eastAsia" w:ascii="仿宋_GB2312" w:hAnsi="仿宋_GB2312" w:eastAsia="仿宋_GB2312" w:cs="仿宋_GB2312"/>
          <w:b w:val="0"/>
          <w:i w:val="0"/>
          <w:caps w:val="0"/>
          <w:spacing w:val="0"/>
          <w:w w:val="100"/>
          <w:sz w:val="24"/>
        </w:rPr>
        <w:t>，并作为其投标的一部分。</w:t>
      </w:r>
    </w:p>
    <w:p w14:paraId="2E904BF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投标人存在下列情形的，投标保证金不予退还：</w:t>
      </w:r>
    </w:p>
    <w:p w14:paraId="59C5B791">
      <w:pPr>
        <w:pStyle w:val="15"/>
        <w:tabs>
          <w:tab w:val="left" w:pos="2240"/>
        </w:tabs>
        <w:snapToGrid/>
        <w:spacing w:before="0" w:beforeAutospacing="0" w:after="0" w:afterAutospacing="0" w:line="288" w:lineRule="auto"/>
        <w:ind w:left="1079" w:leftChars="371" w:hangingChars="1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（1）在投标有效期内，撤销投标的；</w:t>
      </w:r>
    </w:p>
    <w:p w14:paraId="3FBA1C21">
      <w:pPr>
        <w:pStyle w:val="15"/>
        <w:tabs>
          <w:tab w:val="left" w:pos="2240"/>
        </w:tabs>
        <w:snapToGrid/>
        <w:spacing w:before="0" w:beforeAutospacing="0" w:after="0" w:afterAutospacing="0" w:line="288" w:lineRule="auto"/>
        <w:ind w:left="1079" w:leftChars="371" w:hangingChars="1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（2）中标后不按本须知第30条的规定与采购人签订合同的；</w:t>
      </w:r>
    </w:p>
    <w:p w14:paraId="0D5C5CC5">
      <w:pPr>
        <w:pStyle w:val="15"/>
        <w:tabs>
          <w:tab w:val="left" w:pos="2240"/>
        </w:tabs>
        <w:snapToGrid/>
        <w:spacing w:before="0" w:beforeAutospacing="0" w:after="0" w:afterAutospacing="0" w:line="288" w:lineRule="auto"/>
        <w:ind w:left="1079" w:leftChars="371" w:hangingChars="1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（3）中标后不按本须知第31条的规定提交履约保证金的；</w:t>
      </w:r>
    </w:p>
    <w:p w14:paraId="3A16423A">
      <w:pPr>
        <w:pStyle w:val="15"/>
        <w:tabs>
          <w:tab w:val="left" w:pos="2240"/>
        </w:tabs>
        <w:snapToGrid/>
        <w:spacing w:before="0" w:beforeAutospacing="0" w:after="0" w:afterAutospacing="0" w:line="288" w:lineRule="auto"/>
        <w:ind w:left="1079" w:leftChars="371" w:hangingChars="1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（4）中标后不按本须知第32条的规定缴纳中标服务费的；</w:t>
      </w:r>
    </w:p>
    <w:p w14:paraId="12138457">
      <w:pPr>
        <w:pStyle w:val="15"/>
        <w:tabs>
          <w:tab w:val="left" w:pos="2240"/>
        </w:tabs>
        <w:snapToGrid/>
        <w:spacing w:before="0" w:beforeAutospacing="0" w:after="0" w:afterAutospacing="0" w:line="288" w:lineRule="auto"/>
        <w:ind w:left="1079" w:leftChars="371" w:hangingChars="1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（5）存在其他违法违规行为的。</w:t>
      </w:r>
    </w:p>
    <w:p w14:paraId="00F7409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bookmarkStart w:id="255" w:name="_Ref467306336"/>
      <w:r>
        <w:rPr>
          <w:rFonts w:hint="eastAsia" w:ascii="仿宋_GB2312" w:hAnsi="仿宋_GB2312" w:eastAsia="仿宋_GB2312" w:cs="仿宋_GB2312"/>
          <w:b w:val="0"/>
          <w:i w:val="0"/>
          <w:caps w:val="0"/>
          <w:spacing w:val="0"/>
          <w:w w:val="100"/>
          <w:sz w:val="24"/>
        </w:rPr>
        <w:t>12.3</w:t>
      </w:r>
      <w:r>
        <w:rPr>
          <w:rFonts w:hint="eastAsia" w:ascii="仿宋_GB2312" w:hAnsi="仿宋_GB2312" w:eastAsia="仿宋_GB2312" w:cs="仿宋_GB2312"/>
          <w:b w:val="0"/>
          <w:i w:val="0"/>
          <w:caps w:val="0"/>
          <w:spacing w:val="0"/>
          <w:w w:val="100"/>
          <w:sz w:val="24"/>
        </w:rPr>
        <w:tab/>
      </w:r>
      <w:bookmarkEnd w:id="255"/>
      <w:r>
        <w:rPr>
          <w:rFonts w:hint="eastAsia" w:ascii="仿宋_GB2312" w:hAnsi="仿宋_GB2312" w:eastAsia="仿宋_GB2312" w:cs="仿宋_GB2312"/>
          <w:b w:val="0"/>
          <w:i w:val="0"/>
          <w:caps w:val="0"/>
          <w:spacing w:val="0"/>
          <w:w w:val="100"/>
          <w:sz w:val="24"/>
        </w:rPr>
        <w:t>政府采购信用担保试点范围内的项目，接受符合财政部门规定的政府采购投标担保函原件。</w:t>
      </w:r>
    </w:p>
    <w:p w14:paraId="4B18D667">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12.4</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投标人未按本须知规定提交投标保证金的，其投标将被认定为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32E461F4">
      <w:pPr>
        <w:snapToGrid/>
        <w:spacing w:before="0" w:beforeAutospacing="0" w:after="0" w:afterAutospacing="0" w:line="288" w:lineRule="auto"/>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12.4.1  采用电汇形式的，一般可以实时入账。</w:t>
      </w:r>
    </w:p>
    <w:p w14:paraId="746B7C67">
      <w:pPr>
        <w:snapToGrid/>
        <w:spacing w:before="0" w:beforeAutospacing="0" w:after="0" w:afterAutospacing="0" w:line="288" w:lineRule="auto"/>
        <w:ind w:hangingChars="4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相关规定处理。</w:t>
      </w:r>
    </w:p>
    <w:p w14:paraId="7488427D">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12.5   联合体投标的，可以由联合体中的一方或者共同提交投标保证金。以一方名义提交投标保证金的，对联合体各方均具有约束力。</w:t>
      </w:r>
    </w:p>
    <w:p w14:paraId="6642A5D6">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12.6</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投标保证金的退还</w:t>
      </w:r>
    </w:p>
    <w:p w14:paraId="523A6C0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12.6.1  中标人应在与采购人签订合同之日起5个工作日内，及时联系保证金收受机构办理投标保证金无息退还手续。</w:t>
      </w:r>
    </w:p>
    <w:p w14:paraId="34B4B31D">
      <w:pPr>
        <w:snapToGrid/>
        <w:spacing w:before="0" w:beforeAutospacing="0" w:after="0" w:afterAutospacing="0" w:line="288" w:lineRule="auto"/>
        <w:ind w:hangingChars="40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12.6.2  未中标投标人的投标保证金将在中标通知书发出之日暨中标结果公告公布之日起5个工作日内无息退还。投标人应及时联系保证金收受机构办理退还投标保证金手续。</w:t>
      </w:r>
    </w:p>
    <w:p w14:paraId="35F91EB2">
      <w:pPr>
        <w:snapToGrid/>
        <w:spacing w:before="0" w:beforeAutospacing="0" w:after="0" w:afterAutospacing="0" w:line="288" w:lineRule="auto"/>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12.6.3  政府采购投标担保函不予退回。</w:t>
      </w:r>
    </w:p>
    <w:p w14:paraId="268963F7">
      <w:pPr>
        <w:snapToGrid/>
        <w:spacing w:before="0" w:beforeAutospacing="0" w:after="0" w:afterAutospacing="0" w:line="288" w:lineRule="auto"/>
        <w:ind w:right="-121" w:hangingChars="4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12.7    因投标人自身原因导致无法及时退还的，采购人或采购代理机构将不承担相应责任。</w:t>
      </w:r>
    </w:p>
    <w:p w14:paraId="69AE7DBC">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256" w:name="_Toc9445"/>
      <w:bookmarkStart w:id="257" w:name="_Toc515647772"/>
      <w:bookmarkStart w:id="258" w:name="_Toc14721"/>
      <w:bookmarkStart w:id="259" w:name="_Toc26844"/>
      <w:bookmarkStart w:id="260" w:name="_Toc23590"/>
      <w:bookmarkStart w:id="261" w:name="_Toc30629"/>
      <w:bookmarkStart w:id="262" w:name="_Toc15069"/>
      <w:bookmarkStart w:id="263" w:name="_Toc19849"/>
      <w:bookmarkStart w:id="264" w:name="_Toc17879"/>
      <w:bookmarkStart w:id="265" w:name="_Toc2130"/>
      <w:bookmarkStart w:id="266" w:name="_Toc15117"/>
      <w:bookmarkStart w:id="267" w:name="_Toc22901"/>
      <w:bookmarkStart w:id="268" w:name="_Toc520356157"/>
      <w:bookmarkStart w:id="269" w:name="_Toc27579"/>
      <w:bookmarkStart w:id="270" w:name="_Toc32569"/>
      <w:r>
        <w:rPr>
          <w:rFonts w:hint="eastAsia" w:ascii="仿宋_GB2312" w:hAnsi="仿宋_GB2312" w:eastAsia="仿宋_GB2312" w:cs="仿宋_GB2312"/>
          <w:b/>
          <w:i w:val="0"/>
          <w:caps w:val="0"/>
          <w:spacing w:val="0"/>
          <w:w w:val="100"/>
          <w:sz w:val="24"/>
        </w:rPr>
        <w:t>13.投标有效期</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0F1293F2">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投标应在</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中规定时间内保持有效。投标有效期不满足要求的投标，其投标将被认定为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4C92292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13.2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6A1FF873">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i w:val="0"/>
          <w:caps w:val="0"/>
          <w:spacing w:val="0"/>
          <w:w w:val="100"/>
          <w:kern w:val="0"/>
          <w:sz w:val="24"/>
          <w:szCs w:val="20"/>
          <w:u w:val="single"/>
          <w:lang w:val="en-US" w:eastAsia="zh-CN" w:bidi="ar-SA"/>
        </w:rPr>
      </w:pPr>
      <w:r>
        <w:rPr>
          <w:rFonts w:hint="eastAsia" w:ascii="仿宋_GB2312" w:hAnsi="仿宋_GB2312" w:eastAsia="仿宋_GB2312" w:cs="仿宋_GB2312"/>
          <w:b/>
          <w:i w:val="0"/>
          <w:caps w:val="0"/>
          <w:spacing w:val="0"/>
          <w:w w:val="100"/>
          <w:kern w:val="0"/>
          <w:sz w:val="24"/>
          <w:szCs w:val="20"/>
          <w:u w:val="single"/>
          <w:lang w:val="en-US" w:eastAsia="zh-CN" w:bidi="ar-SA"/>
        </w:rPr>
        <w:t>14.投标文件的签署及规定</w:t>
      </w:r>
    </w:p>
    <w:p w14:paraId="37C6B399">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14.1 </w:t>
      </w:r>
      <w:r>
        <w:rPr>
          <w:rFonts w:hint="eastAsia" w:ascii="仿宋_GB2312" w:hAnsi="仿宋_GB2312" w:eastAsia="仿宋_GB2312" w:cs="仿宋_GB2312"/>
          <w:b w:val="0"/>
          <w:i w:val="0"/>
          <w:caps w:val="0"/>
          <w:spacing w:val="0"/>
          <w:w w:val="100"/>
          <w:sz w:val="24"/>
          <w:lang w:val="en-US" w:eastAsia="zh-CN"/>
        </w:rPr>
        <w:t xml:space="preserve">  </w:t>
      </w:r>
      <w:r>
        <w:rPr>
          <w:rFonts w:hint="eastAsia" w:ascii="仿宋_GB2312" w:hAnsi="仿宋_GB2312" w:eastAsia="仿宋_GB2312" w:cs="仿宋_GB2312"/>
          <w:b w:val="0"/>
          <w:i w:val="0"/>
          <w:caps w:val="0"/>
          <w:spacing w:val="0"/>
          <w:w w:val="100"/>
          <w:sz w:val="24"/>
        </w:rPr>
        <w:t>供应商应按供应商须知资料表中的规定，准备和递交（加密上传）电子</w:t>
      </w:r>
      <w:r>
        <w:rPr>
          <w:rFonts w:hint="eastAsia" w:ascii="仿宋_GB2312" w:hAnsi="仿宋_GB2312" w:eastAsia="仿宋_GB2312" w:cs="仿宋_GB2312"/>
          <w:b w:val="0"/>
          <w:i w:val="0"/>
          <w:caps w:val="0"/>
          <w:spacing w:val="0"/>
          <w:w w:val="100"/>
          <w:sz w:val="24"/>
          <w:lang w:val="en-US" w:eastAsia="zh-CN"/>
        </w:rPr>
        <w:t>投标</w:t>
      </w:r>
      <w:r>
        <w:rPr>
          <w:rFonts w:hint="eastAsia" w:ascii="仿宋_GB2312" w:hAnsi="仿宋_GB2312" w:eastAsia="仿宋_GB2312" w:cs="仿宋_GB2312"/>
          <w:b w:val="0"/>
          <w:i w:val="0"/>
          <w:caps w:val="0"/>
          <w:spacing w:val="0"/>
          <w:w w:val="100"/>
          <w:sz w:val="24"/>
        </w:rPr>
        <w:t>文件。</w:t>
      </w:r>
    </w:p>
    <w:p w14:paraId="2A568233">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14.2 </w:t>
      </w:r>
      <w:r>
        <w:rPr>
          <w:rFonts w:hint="eastAsia" w:ascii="仿宋_GB2312" w:hAnsi="仿宋_GB2312" w:eastAsia="仿宋_GB2312" w:cs="仿宋_GB2312"/>
          <w:b w:val="0"/>
          <w:i w:val="0"/>
          <w:caps w:val="0"/>
          <w:spacing w:val="0"/>
          <w:w w:val="100"/>
          <w:sz w:val="24"/>
          <w:lang w:val="en-US" w:eastAsia="zh-CN"/>
        </w:rPr>
        <w:t xml:space="preserve">  </w:t>
      </w:r>
      <w:r>
        <w:rPr>
          <w:rFonts w:hint="eastAsia" w:ascii="仿宋_GB2312" w:hAnsi="仿宋_GB2312" w:eastAsia="仿宋_GB2312" w:cs="仿宋_GB2312"/>
          <w:b w:val="0"/>
          <w:i w:val="0"/>
          <w:caps w:val="0"/>
          <w:spacing w:val="0"/>
          <w:w w:val="100"/>
          <w:sz w:val="24"/>
        </w:rPr>
        <w:t>所有</w:t>
      </w:r>
      <w:r>
        <w:rPr>
          <w:rFonts w:hint="eastAsia" w:ascii="仿宋_GB2312" w:hAnsi="仿宋_GB2312" w:eastAsia="仿宋_GB2312" w:cs="仿宋_GB2312"/>
          <w:b w:val="0"/>
          <w:i w:val="0"/>
          <w:caps w:val="0"/>
          <w:spacing w:val="0"/>
          <w:w w:val="100"/>
          <w:sz w:val="24"/>
          <w:lang w:val="en-US" w:eastAsia="zh-CN"/>
        </w:rPr>
        <w:t>投标</w:t>
      </w:r>
      <w:r>
        <w:rPr>
          <w:rFonts w:hint="eastAsia" w:ascii="仿宋_GB2312" w:hAnsi="仿宋_GB2312" w:eastAsia="仿宋_GB2312" w:cs="仿宋_GB2312"/>
          <w:b w:val="0"/>
          <w:i w:val="0"/>
          <w:caps w:val="0"/>
          <w:spacing w:val="0"/>
          <w:w w:val="100"/>
          <w:sz w:val="24"/>
        </w:rPr>
        <w:t>文件应按照招标文件规定的格式填写、签署和盖章。</w:t>
      </w:r>
    </w:p>
    <w:p w14:paraId="3116E798">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14.3 </w:t>
      </w:r>
      <w:r>
        <w:rPr>
          <w:rFonts w:hint="eastAsia" w:ascii="仿宋_GB2312" w:hAnsi="仿宋_GB2312" w:eastAsia="仿宋_GB2312" w:cs="仿宋_GB2312"/>
          <w:b w:val="0"/>
          <w:i w:val="0"/>
          <w:caps w:val="0"/>
          <w:spacing w:val="0"/>
          <w:w w:val="100"/>
          <w:sz w:val="24"/>
          <w:lang w:val="en-US" w:eastAsia="zh-CN"/>
        </w:rPr>
        <w:t xml:space="preserve">  投标</w:t>
      </w:r>
      <w:r>
        <w:rPr>
          <w:rFonts w:hint="eastAsia" w:ascii="仿宋_GB2312" w:hAnsi="仿宋_GB2312" w:eastAsia="仿宋_GB2312" w:cs="仿宋_GB2312"/>
          <w:b w:val="0"/>
          <w:i w:val="0"/>
          <w:caps w:val="0"/>
          <w:spacing w:val="0"/>
          <w:w w:val="100"/>
          <w:sz w:val="24"/>
        </w:rPr>
        <w:t>文件因字迹潦草、表达不清所引起的后果由供应商负责。</w:t>
      </w:r>
    </w:p>
    <w:p w14:paraId="063AF877">
      <w:pPr>
        <w:pStyle w:val="4"/>
        <w:snapToGrid/>
        <w:spacing w:before="0" w:beforeAutospacing="0" w:after="0" w:afterAutospacing="0" w:line="288" w:lineRule="auto"/>
        <w:ind w:left="1079" w:leftChars="257" w:hanging="540"/>
        <w:jc w:val="center"/>
        <w:textAlignment w:val="baseline"/>
        <w:rPr>
          <w:rFonts w:ascii="仿宋_GB2312" w:hAnsi="仿宋_GB2312" w:eastAsia="仿宋_GB2312" w:cs="仿宋_GB2312"/>
          <w:b/>
          <w:i w:val="0"/>
          <w:caps w:val="0"/>
          <w:spacing w:val="0"/>
          <w:w w:val="100"/>
          <w:sz w:val="24"/>
        </w:rPr>
      </w:pPr>
      <w:bookmarkStart w:id="271" w:name="_Toc22843"/>
      <w:bookmarkStart w:id="272" w:name="_Toc515647774"/>
      <w:bookmarkStart w:id="273" w:name="_Toc9509"/>
      <w:bookmarkStart w:id="274" w:name="_Toc5332"/>
      <w:bookmarkStart w:id="275" w:name="_Toc31447"/>
      <w:bookmarkStart w:id="276" w:name="_Toc25700"/>
      <w:bookmarkStart w:id="277" w:name="_Toc25925"/>
      <w:bookmarkStart w:id="278" w:name="_Toc11483"/>
      <w:bookmarkStart w:id="279" w:name="_Toc27533"/>
      <w:bookmarkStart w:id="280" w:name="_Toc11179"/>
      <w:bookmarkStart w:id="281" w:name="_Toc22560"/>
      <w:bookmarkStart w:id="282" w:name="_Toc216582808"/>
      <w:bookmarkStart w:id="283" w:name="_Toc7920"/>
      <w:bookmarkStart w:id="284" w:name="_Toc16865"/>
      <w:bookmarkStart w:id="285" w:name="_Toc520356159"/>
      <w:bookmarkStart w:id="286" w:name="_Toc25200"/>
      <w:r>
        <w:rPr>
          <w:rFonts w:hint="eastAsia" w:ascii="仿宋_GB2312" w:hAnsi="仿宋_GB2312" w:eastAsia="仿宋_GB2312" w:cs="仿宋_GB2312"/>
          <w:b/>
          <w:i w:val="0"/>
          <w:caps w:val="0"/>
          <w:spacing w:val="0"/>
          <w:w w:val="100"/>
          <w:sz w:val="24"/>
        </w:rPr>
        <w:t>四   投标文件的递交</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FBE499B">
      <w:pPr>
        <w:pStyle w:val="2"/>
        <w:tabs>
          <w:tab w:val="left" w:pos="900"/>
        </w:tabs>
        <w:snapToGrid/>
        <w:spacing w:before="0" w:beforeAutospacing="0" w:after="0" w:afterAutospacing="0" w:line="288" w:lineRule="auto"/>
        <w:jc w:val="left"/>
        <w:textAlignment w:val="baseline"/>
        <w:rPr>
          <w:rFonts w:hint="eastAsia" w:ascii="仿宋_GB2312" w:hAnsi="仿宋_GB2312" w:eastAsia="仿宋_GB2312" w:cs="仿宋_GB2312"/>
          <w:b/>
          <w:i w:val="0"/>
          <w:caps w:val="0"/>
          <w:spacing w:val="0"/>
          <w:w w:val="100"/>
          <w:sz w:val="24"/>
        </w:rPr>
      </w:pPr>
      <w:bookmarkStart w:id="287" w:name="_Toc632"/>
      <w:bookmarkStart w:id="288" w:name="_Toc26374"/>
      <w:bookmarkStart w:id="289" w:name="_Toc21645"/>
      <w:bookmarkStart w:id="290" w:name="_Toc515647775"/>
      <w:bookmarkStart w:id="291" w:name="_Toc32337"/>
      <w:bookmarkStart w:id="292" w:name="_Toc520356160"/>
      <w:bookmarkStart w:id="293" w:name="_Toc6343"/>
      <w:bookmarkStart w:id="294" w:name="_Toc32131"/>
      <w:bookmarkStart w:id="295" w:name="_Toc26195"/>
      <w:bookmarkStart w:id="296" w:name="_Toc15077"/>
      <w:r>
        <w:rPr>
          <w:rFonts w:hint="eastAsia" w:ascii="仿宋_GB2312" w:hAnsi="仿宋_GB2312" w:eastAsia="仿宋_GB2312" w:cs="仿宋_GB2312"/>
          <w:b/>
          <w:i w:val="0"/>
          <w:caps w:val="0"/>
          <w:spacing w:val="0"/>
          <w:w w:val="100"/>
          <w:sz w:val="24"/>
        </w:rPr>
        <w:t>15.投标文件的密封和标记</w:t>
      </w:r>
      <w:bookmarkEnd w:id="287"/>
      <w:bookmarkEnd w:id="288"/>
      <w:bookmarkEnd w:id="289"/>
      <w:bookmarkEnd w:id="290"/>
      <w:bookmarkEnd w:id="291"/>
      <w:bookmarkEnd w:id="292"/>
      <w:bookmarkEnd w:id="293"/>
      <w:bookmarkEnd w:id="294"/>
      <w:bookmarkEnd w:id="295"/>
      <w:bookmarkEnd w:id="296"/>
    </w:p>
    <w:p w14:paraId="5C35FCAB">
      <w:pPr>
        <w:tabs>
          <w:tab w:val="left" w:pos="-200"/>
          <w:tab w:val="left" w:pos="5580"/>
        </w:tabs>
        <w:spacing w:line="240" w:lineRule="atLeast"/>
        <w:ind w:left="960" w:hanging="960" w:hangingChars="400"/>
        <w:jc w:val="left"/>
        <w:rPr>
          <w:rFonts w:hint="eastAsia" w:ascii="仿宋_GB2312" w:hAnsi="仿宋_GB2312" w:eastAsia="仿宋_GB2312" w:cs="仿宋_GB2312"/>
          <w:b/>
          <w:bCs/>
          <w:i w:val="0"/>
          <w:caps w:val="0"/>
          <w:spacing w:val="0"/>
          <w:w w:val="100"/>
          <w:sz w:val="24"/>
        </w:rPr>
      </w:pPr>
      <w:r>
        <w:rPr>
          <w:rFonts w:hint="eastAsia" w:ascii="宋体" w:hAnsi="宋体" w:cs="宋体"/>
          <w:sz w:val="24"/>
        </w:rPr>
        <w:t xml:space="preserve">15.1    </w:t>
      </w:r>
      <w:r>
        <w:rPr>
          <w:rFonts w:hint="eastAsia" w:ascii="仿宋_GB2312" w:hAnsi="仿宋_GB2312" w:eastAsia="仿宋_GB2312" w:cs="仿宋_GB2312"/>
          <w:b/>
          <w:bCs/>
          <w:i w:val="0"/>
          <w:caps w:val="0"/>
          <w:spacing w:val="0"/>
          <w:w w:val="100"/>
          <w:sz w:val="24"/>
        </w:rPr>
        <w:t>供应商应完整地按招标文件提供的投标文件格式及要求编写投标文件， 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w:t>
      </w:r>
      <w:r>
        <w:rPr>
          <w:rFonts w:hint="eastAsia" w:ascii="仿宋_GB2312" w:hAnsi="仿宋_GB2312" w:eastAsia="仿宋_GB2312" w:cs="仿宋_GB2312"/>
          <w:b/>
          <w:bCs/>
          <w:i w:val="0"/>
          <w:caps w:val="0"/>
          <w:spacing w:val="0"/>
          <w:w w:val="100"/>
          <w:sz w:val="24"/>
          <w:lang w:eastAsia="zh-CN"/>
        </w:rPr>
        <w:t>投标文件</w:t>
      </w:r>
      <w:r>
        <w:rPr>
          <w:rFonts w:hint="eastAsia" w:ascii="仿宋_GB2312" w:hAnsi="仿宋_GB2312" w:eastAsia="仿宋_GB2312" w:cs="仿宋_GB2312"/>
          <w:b/>
          <w:bCs/>
          <w:i w:val="0"/>
          <w:caps w:val="0"/>
          <w:spacing w:val="0"/>
          <w:w w:val="100"/>
          <w:sz w:val="24"/>
        </w:rPr>
        <w:t>）</w:t>
      </w:r>
    </w:p>
    <w:p w14:paraId="547E562D">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bookmarkStart w:id="297" w:name="_Toc28106"/>
      <w:r>
        <w:rPr>
          <w:rFonts w:hint="eastAsia" w:ascii="宋体" w:hAnsi="宋体" w:cs="宋体"/>
          <w:sz w:val="24"/>
        </w:rPr>
        <w:t xml:space="preserve">15.2   </w:t>
      </w:r>
      <w:bookmarkEnd w:id="297"/>
      <w:r>
        <w:rPr>
          <w:rFonts w:hint="eastAsia" w:ascii="仿宋_GB2312" w:hAnsi="仿宋_GB2312" w:eastAsia="仿宋_GB2312" w:cs="仿宋_GB2312"/>
          <w:b w:val="0"/>
          <w:i w:val="0"/>
          <w:caps w:val="0"/>
          <w:spacing w:val="0"/>
          <w:w w:val="100"/>
          <w:sz w:val="24"/>
        </w:rPr>
        <w:t>供应商因自身原因导致电子投标文件无法导入电子评标系统的，该</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视为</w:t>
      </w:r>
      <w:r>
        <w:rPr>
          <w:rFonts w:hint="eastAsia" w:ascii="仿宋_GB2312" w:hAnsi="仿宋_GB2312" w:eastAsia="仿宋_GB2312" w:cs="仿宋_GB2312"/>
          <w:b/>
          <w:bCs/>
          <w:i w:val="0"/>
          <w:caps w:val="0"/>
          <w:spacing w:val="0"/>
          <w:w w:val="100"/>
          <w:sz w:val="24"/>
        </w:rPr>
        <w:t>无效文件。</w:t>
      </w:r>
    </w:p>
    <w:p w14:paraId="3A702212">
      <w:pPr>
        <w:snapToGrid/>
        <w:spacing w:before="0" w:beforeAutospacing="0" w:after="0" w:afterAutospacing="0" w:line="288" w:lineRule="auto"/>
        <w:ind w:hangingChars="375"/>
        <w:jc w:val="both"/>
        <w:textAlignment w:val="baseline"/>
        <w:rPr>
          <w:rFonts w:hint="eastAsia" w:ascii="宋体" w:hAnsi="宋体" w:cs="宋体"/>
          <w:sz w:val="24"/>
        </w:rPr>
      </w:pPr>
      <w:r>
        <w:rPr>
          <w:rFonts w:hint="eastAsia" w:ascii="仿宋_GB2312" w:hAnsi="仿宋_GB2312" w:eastAsia="仿宋_GB2312" w:cs="仿宋_GB2312"/>
          <w:b w:val="0"/>
          <w:i w:val="0"/>
          <w:caps w:val="0"/>
          <w:spacing w:val="0"/>
          <w:w w:val="100"/>
          <w:sz w:val="24"/>
        </w:rPr>
        <w:t>15.3    电子投标文件具有法律效力,与其他形式的</w:t>
      </w:r>
      <w:r>
        <w:rPr>
          <w:rFonts w:hint="eastAsia" w:ascii="仿宋_GB2312" w:hAnsi="仿宋_GB2312" w:eastAsia="仿宋_GB2312" w:cs="仿宋_GB2312"/>
          <w:b w:val="0"/>
          <w:i w:val="0"/>
          <w:caps w:val="0"/>
          <w:spacing w:val="0"/>
          <w:w w:val="100"/>
          <w:sz w:val="24"/>
          <w:lang w:eastAsia="zh-CN"/>
        </w:rPr>
        <w:t>投标文件</w:t>
      </w:r>
      <w:r>
        <w:rPr>
          <w:rFonts w:hint="eastAsia" w:ascii="仿宋_GB2312" w:hAnsi="仿宋_GB2312" w:eastAsia="仿宋_GB2312" w:cs="仿宋_GB2312"/>
          <w:b w:val="0"/>
          <w:i w:val="0"/>
          <w:caps w:val="0"/>
          <w:spacing w:val="0"/>
          <w:w w:val="100"/>
          <w:sz w:val="24"/>
        </w:rPr>
        <w:t>在内容和格式上等同，若投标文件与招标文件要求不一致，其内容影响成交结果时，责任由供应商自行承担。</w:t>
      </w:r>
    </w:p>
    <w:p w14:paraId="48DD3CBC">
      <w:pPr>
        <w:pStyle w:val="2"/>
        <w:tabs>
          <w:tab w:val="left" w:pos="900"/>
        </w:tabs>
        <w:snapToGrid/>
        <w:spacing w:before="0" w:beforeAutospacing="0" w:after="0" w:afterAutospacing="0" w:line="288" w:lineRule="auto"/>
        <w:jc w:val="left"/>
        <w:textAlignment w:val="baseline"/>
        <w:rPr>
          <w:rFonts w:hint="eastAsia" w:ascii="仿宋_GB2312" w:hAnsi="仿宋_GB2312" w:eastAsia="仿宋_GB2312" w:cs="仿宋_GB2312"/>
          <w:b/>
          <w:i w:val="0"/>
          <w:caps w:val="0"/>
          <w:spacing w:val="0"/>
          <w:w w:val="100"/>
          <w:sz w:val="24"/>
        </w:rPr>
      </w:pPr>
      <w:bookmarkStart w:id="298" w:name="_Toc520356161"/>
      <w:bookmarkStart w:id="299" w:name="_Toc27547"/>
      <w:bookmarkStart w:id="300" w:name="_Toc1456"/>
      <w:bookmarkStart w:id="301" w:name="_Toc515647776"/>
      <w:bookmarkStart w:id="302" w:name="_Toc28170"/>
      <w:bookmarkStart w:id="303" w:name="_Toc12751"/>
      <w:bookmarkStart w:id="304" w:name="_Toc17361"/>
      <w:bookmarkStart w:id="305" w:name="_Toc9840"/>
      <w:bookmarkStart w:id="306" w:name="_Toc29756"/>
      <w:bookmarkStart w:id="307" w:name="_Toc24017"/>
      <w:r>
        <w:rPr>
          <w:rFonts w:hint="eastAsia" w:ascii="仿宋_GB2312" w:hAnsi="仿宋_GB2312" w:eastAsia="仿宋_GB2312" w:cs="仿宋_GB2312"/>
          <w:b/>
          <w:i w:val="0"/>
          <w:caps w:val="0"/>
          <w:spacing w:val="0"/>
          <w:w w:val="100"/>
          <w:sz w:val="24"/>
        </w:rPr>
        <w:t>16.投标截止</w:t>
      </w:r>
      <w:bookmarkEnd w:id="298"/>
      <w:bookmarkEnd w:id="299"/>
      <w:bookmarkEnd w:id="300"/>
      <w:bookmarkEnd w:id="301"/>
      <w:bookmarkEnd w:id="302"/>
      <w:bookmarkEnd w:id="303"/>
      <w:bookmarkEnd w:id="304"/>
      <w:bookmarkEnd w:id="305"/>
      <w:bookmarkEnd w:id="306"/>
      <w:bookmarkEnd w:id="307"/>
    </w:p>
    <w:p w14:paraId="00DD99D7">
      <w:pPr>
        <w:spacing w:line="240" w:lineRule="atLeast"/>
        <w:ind w:left="900" w:hanging="900" w:hangingChars="375"/>
        <w:rPr>
          <w:rFonts w:hint="eastAsia" w:ascii="宋体" w:hAnsi="宋体" w:cs="宋体"/>
          <w:b/>
          <w:bCs/>
          <w:sz w:val="24"/>
        </w:rPr>
      </w:pPr>
      <w:r>
        <w:rPr>
          <w:rFonts w:hint="eastAsia" w:ascii="宋体" w:hAnsi="宋体" w:cs="宋体"/>
          <w:sz w:val="24"/>
        </w:rPr>
        <w:t>16.1</w:t>
      </w:r>
      <w:r>
        <w:rPr>
          <w:rFonts w:hint="eastAsia" w:ascii="宋体" w:hAnsi="宋体" w:cs="宋体"/>
          <w:sz w:val="24"/>
        </w:rPr>
        <w:tab/>
      </w:r>
      <w:r>
        <w:rPr>
          <w:rFonts w:hint="eastAsia" w:ascii="仿宋_GB2312" w:hAnsi="仿宋_GB2312" w:eastAsia="仿宋_GB2312" w:cs="仿宋_GB2312"/>
          <w:b w:val="0"/>
          <w:i w:val="0"/>
          <w:caps w:val="0"/>
          <w:spacing w:val="0"/>
          <w:w w:val="100"/>
          <w:sz w:val="24"/>
        </w:rPr>
        <w:t>投标人应在</w:t>
      </w:r>
      <w:r>
        <w:rPr>
          <w:rFonts w:hint="eastAsia" w:ascii="宋体" w:hAnsi="宋体" w:cs="宋体"/>
          <w:b/>
          <w:bCs/>
          <w:sz w:val="24"/>
          <w:u w:val="single"/>
        </w:rPr>
        <w:t>投标人须知资料表</w:t>
      </w:r>
      <w:r>
        <w:rPr>
          <w:rFonts w:hint="eastAsia" w:ascii="仿宋_GB2312" w:hAnsi="仿宋_GB2312" w:eastAsia="仿宋_GB2312" w:cs="仿宋_GB2312"/>
          <w:b w:val="0"/>
          <w:i w:val="0"/>
          <w:caps w:val="0"/>
          <w:spacing w:val="0"/>
          <w:w w:val="100"/>
          <w:sz w:val="24"/>
        </w:rPr>
        <w:t>中规定的截止时间前，将投标文件递交到招标公告中规定的地点。</w:t>
      </w:r>
      <w:r>
        <w:rPr>
          <w:rFonts w:hint="eastAsia" w:ascii="宋体" w:hAnsi="宋体" w:cs="宋体"/>
          <w:b/>
          <w:bCs/>
          <w:sz w:val="24"/>
        </w:rPr>
        <w:t>解密时间30分钟，逾期未解密的视为投标无效。</w:t>
      </w:r>
    </w:p>
    <w:p w14:paraId="42122877">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宋体" w:hAnsi="宋体" w:cs="宋体"/>
          <w:sz w:val="24"/>
        </w:rPr>
        <w:t>16.2</w:t>
      </w:r>
      <w:r>
        <w:rPr>
          <w:rFonts w:hint="eastAsia" w:ascii="宋体" w:hAnsi="宋体" w:cs="宋体"/>
          <w:sz w:val="24"/>
        </w:rPr>
        <w:tab/>
      </w:r>
      <w:r>
        <w:rPr>
          <w:rFonts w:hint="eastAsia" w:ascii="仿宋_GB2312" w:hAnsi="仿宋_GB2312" w:eastAsia="仿宋_GB2312" w:cs="仿宋_GB2312"/>
          <w:b w:val="0"/>
          <w:i w:val="0"/>
          <w:caps w:val="0"/>
          <w:spacing w:val="0"/>
          <w:w w:val="100"/>
          <w:sz w:val="24"/>
        </w:rPr>
        <w:t>采购人和采购代理机构有权按本须知的规定，延迟投标截止时间。在此情况下，采购人、采购代理机构和投标人受投标截止时间制约的所有权利和义务均应延长至新的截止时间。</w:t>
      </w:r>
    </w:p>
    <w:p w14:paraId="424A86E5">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16.3</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采购人和采购代理机构将拒绝接收在投标截止时间后上传的投标文件</w:t>
      </w:r>
    </w:p>
    <w:p w14:paraId="5301980D">
      <w:pPr>
        <w:pStyle w:val="2"/>
        <w:spacing w:before="0" w:after="0" w:line="240" w:lineRule="atLeast"/>
        <w:rPr>
          <w:rFonts w:hint="eastAsia" w:ascii="仿宋_GB2312" w:hAnsi="仿宋_GB2312" w:eastAsia="仿宋_GB2312" w:cs="仿宋_GB2312"/>
          <w:b/>
          <w:i w:val="0"/>
          <w:caps w:val="0"/>
          <w:spacing w:val="0"/>
          <w:w w:val="100"/>
          <w:sz w:val="24"/>
        </w:rPr>
      </w:pPr>
      <w:bookmarkStart w:id="308" w:name="_Toc18537"/>
      <w:bookmarkStart w:id="309" w:name="_Toc21703"/>
      <w:bookmarkStart w:id="310" w:name="_Toc24275"/>
      <w:bookmarkStart w:id="311" w:name="_Toc31670"/>
      <w:bookmarkStart w:id="312" w:name="_Toc520356162"/>
      <w:bookmarkStart w:id="313" w:name="_Toc22207"/>
      <w:bookmarkStart w:id="314" w:name="_Toc9987"/>
      <w:bookmarkStart w:id="315" w:name="_Toc515647777"/>
      <w:bookmarkStart w:id="316" w:name="_Toc11458"/>
      <w:bookmarkStart w:id="317" w:name="_Toc24785"/>
      <w:r>
        <w:rPr>
          <w:rFonts w:hint="eastAsia" w:ascii="仿宋_GB2312" w:hAnsi="仿宋_GB2312" w:eastAsia="仿宋_GB2312" w:cs="仿宋_GB2312"/>
          <w:b/>
          <w:i w:val="0"/>
          <w:caps w:val="0"/>
          <w:spacing w:val="0"/>
          <w:w w:val="100"/>
          <w:sz w:val="24"/>
        </w:rPr>
        <w:t>17.投标文件的接收、修改与撤回</w:t>
      </w:r>
      <w:bookmarkEnd w:id="308"/>
      <w:bookmarkEnd w:id="309"/>
      <w:bookmarkEnd w:id="310"/>
      <w:bookmarkEnd w:id="311"/>
      <w:bookmarkEnd w:id="312"/>
      <w:bookmarkEnd w:id="313"/>
      <w:bookmarkEnd w:id="314"/>
      <w:bookmarkEnd w:id="315"/>
      <w:bookmarkEnd w:id="316"/>
      <w:bookmarkEnd w:id="317"/>
    </w:p>
    <w:p w14:paraId="740F8ADA">
      <w:pPr>
        <w:spacing w:line="240" w:lineRule="atLeast"/>
        <w:ind w:left="900" w:hanging="900" w:hangingChars="375"/>
        <w:rPr>
          <w:rFonts w:hint="eastAsia" w:ascii="宋体" w:hAnsi="宋体" w:cs="宋体"/>
          <w:b/>
        </w:rPr>
      </w:pPr>
      <w:r>
        <w:rPr>
          <w:rFonts w:hint="eastAsia" w:ascii="宋体" w:hAnsi="宋体" w:cs="宋体"/>
          <w:sz w:val="24"/>
        </w:rPr>
        <w:t>17.1</w:t>
      </w:r>
      <w:r>
        <w:rPr>
          <w:rFonts w:hint="eastAsia" w:ascii="宋体" w:hAnsi="宋体" w:cs="宋体"/>
          <w:sz w:val="24"/>
        </w:rPr>
        <w:tab/>
      </w:r>
      <w:r>
        <w:rPr>
          <w:rFonts w:hint="eastAsia" w:ascii="仿宋_GB2312" w:hAnsi="仿宋_GB2312" w:eastAsia="仿宋_GB2312" w:cs="仿宋_GB2312"/>
          <w:b w:val="0"/>
          <w:i w:val="0"/>
          <w:caps w:val="0"/>
          <w:spacing w:val="0"/>
          <w:w w:val="100"/>
          <w:sz w:val="24"/>
        </w:rPr>
        <w:t>在投标截止时间后上传投标文件的，采购人和采购代理机构将</w:t>
      </w:r>
      <w:r>
        <w:rPr>
          <w:rFonts w:hint="eastAsia" w:ascii="宋体" w:hAnsi="宋体" w:cs="宋体"/>
          <w:b/>
          <w:bCs/>
          <w:sz w:val="24"/>
        </w:rPr>
        <w:t>拒绝接收</w:t>
      </w:r>
      <w:r>
        <w:rPr>
          <w:rFonts w:hint="eastAsia" w:ascii="宋体" w:hAnsi="宋体" w:cs="宋体"/>
          <w:sz w:val="24"/>
        </w:rPr>
        <w:t>。</w:t>
      </w:r>
    </w:p>
    <w:p w14:paraId="79DCADE1">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宋体" w:hAnsi="宋体" w:cs="宋体"/>
          <w:sz w:val="24"/>
        </w:rPr>
        <w:t>17.2</w:t>
      </w:r>
      <w:r>
        <w:rPr>
          <w:rFonts w:hint="eastAsia" w:ascii="宋体" w:hAnsi="宋体" w:cs="宋体"/>
          <w:sz w:val="24"/>
        </w:rPr>
        <w:tab/>
      </w:r>
      <w:r>
        <w:rPr>
          <w:rFonts w:hint="eastAsia" w:ascii="仿宋_GB2312" w:hAnsi="仿宋_GB2312" w:eastAsia="仿宋_GB2312" w:cs="仿宋_GB2312"/>
          <w:b w:val="0"/>
          <w:i w:val="0"/>
          <w:caps w:val="0"/>
          <w:spacing w:val="0"/>
          <w:w w:val="100"/>
          <w:sz w:val="24"/>
        </w:rPr>
        <w:t>采购人或者采购代理机构收到投标文件后，应当如实记载投标文件的送达时间和密封情况。</w:t>
      </w:r>
    </w:p>
    <w:p w14:paraId="07A204F2">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17.3</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递交投标文件以后，如果投标人要进行修改或撤回投标，须提出书面申请并在投标截止时间前上传至</w:t>
      </w:r>
      <w:r>
        <w:rPr>
          <w:rFonts w:hint="eastAsia" w:ascii="宋体" w:hAnsi="宋体" w:cs="宋体"/>
          <w:b/>
          <w:bCs/>
          <w:sz w:val="24"/>
        </w:rPr>
        <w:t>新疆政采云平台https://www.zcygov.cn</w:t>
      </w:r>
      <w:r>
        <w:rPr>
          <w:rFonts w:hint="eastAsia" w:ascii="宋体" w:hAnsi="宋体" w:cs="宋体"/>
          <w:sz w:val="24"/>
        </w:rPr>
        <w:t>，</w:t>
      </w:r>
      <w:r>
        <w:rPr>
          <w:rFonts w:hint="eastAsia" w:ascii="仿宋_GB2312" w:hAnsi="仿宋_GB2312" w:eastAsia="仿宋_GB2312" w:cs="仿宋_GB2312"/>
          <w:b w:val="0"/>
          <w:i w:val="0"/>
          <w:caps w:val="0"/>
          <w:spacing w:val="0"/>
          <w:w w:val="100"/>
          <w:sz w:val="24"/>
        </w:rPr>
        <w:t>投标人对投标文件的修改或撤回通知应按本须知规定编制、密封、标记。采购人和采购代理机构将予以接收，并视为投标文件的组成部分。</w:t>
      </w:r>
    </w:p>
    <w:p w14:paraId="692A0644">
      <w:pPr>
        <w:snapToGrid/>
        <w:spacing w:before="0" w:beforeAutospacing="0" w:after="0" w:afterAutospacing="0" w:line="288" w:lineRule="auto"/>
        <w:ind w:hangingChars="375"/>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17.4</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在投标截止期之后，采购人和采购代理机构不接受投标人主动对其投标文件做任何修改。</w:t>
      </w:r>
    </w:p>
    <w:p w14:paraId="05536F2A">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bookmarkStart w:id="318" w:name="_Toc26872"/>
      <w:bookmarkStart w:id="319" w:name="_Toc13495"/>
      <w:bookmarkStart w:id="320" w:name="_Toc19583"/>
      <w:r>
        <w:rPr>
          <w:rFonts w:hint="eastAsia" w:ascii="仿宋_GB2312" w:hAnsi="仿宋_GB2312" w:eastAsia="仿宋_GB2312" w:cs="仿宋_GB2312"/>
          <w:b w:val="0"/>
          <w:i w:val="0"/>
          <w:caps w:val="0"/>
          <w:spacing w:val="0"/>
          <w:w w:val="100"/>
          <w:sz w:val="24"/>
        </w:rPr>
        <w:t>17.5</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采购人和采购代理机构对所接收投标文件概不退回。</w:t>
      </w:r>
      <w:bookmarkEnd w:id="318"/>
      <w:bookmarkEnd w:id="319"/>
      <w:bookmarkEnd w:id="320"/>
    </w:p>
    <w:p w14:paraId="4A4748C8">
      <w:pPr>
        <w:pStyle w:val="4"/>
        <w:snapToGrid/>
        <w:spacing w:before="0" w:beforeAutospacing="0" w:after="0" w:afterAutospacing="0" w:line="288" w:lineRule="auto"/>
        <w:ind w:left="1079" w:leftChars="257" w:hanging="540"/>
        <w:jc w:val="center"/>
        <w:textAlignment w:val="baseline"/>
        <w:rPr>
          <w:rFonts w:ascii="仿宋_GB2312" w:hAnsi="仿宋_GB2312" w:eastAsia="仿宋_GB2312" w:cs="仿宋_GB2312"/>
          <w:b/>
          <w:i w:val="0"/>
          <w:caps w:val="0"/>
          <w:spacing w:val="0"/>
          <w:w w:val="100"/>
          <w:sz w:val="30"/>
        </w:rPr>
      </w:pPr>
      <w:bookmarkStart w:id="321" w:name="_Toc22638"/>
      <w:bookmarkStart w:id="322" w:name="_Toc27778"/>
      <w:bookmarkStart w:id="323" w:name="_Toc26876"/>
      <w:bookmarkStart w:id="324" w:name="_Toc20246"/>
      <w:bookmarkStart w:id="325" w:name="_Toc216582809"/>
      <w:bookmarkStart w:id="326" w:name="_Toc8462"/>
      <w:bookmarkStart w:id="327" w:name="_Toc25610"/>
      <w:bookmarkStart w:id="328" w:name="_Toc515647778"/>
      <w:bookmarkStart w:id="329" w:name="_Toc6326"/>
      <w:bookmarkStart w:id="330" w:name="_Toc4683"/>
      <w:bookmarkStart w:id="331" w:name="_Toc26891"/>
      <w:bookmarkStart w:id="332" w:name="_Toc28581"/>
      <w:bookmarkStart w:id="333" w:name="_Toc28398"/>
      <w:bookmarkStart w:id="334" w:name="_Toc520356163"/>
      <w:bookmarkStart w:id="335" w:name="_Toc12436"/>
      <w:bookmarkStart w:id="336" w:name="_Toc5077"/>
      <w:bookmarkStart w:id="337" w:name="_Toc21372"/>
      <w:bookmarkStart w:id="338" w:name="_Toc515647780"/>
      <w:bookmarkStart w:id="339" w:name="_Toc31290"/>
      <w:bookmarkStart w:id="340" w:name="_Toc19296"/>
      <w:r>
        <w:rPr>
          <w:rFonts w:hint="eastAsia" w:ascii="仿宋_GB2312" w:hAnsi="仿宋_GB2312" w:eastAsia="仿宋_GB2312" w:cs="仿宋_GB2312"/>
          <w:b/>
          <w:i w:val="0"/>
          <w:caps w:val="0"/>
          <w:spacing w:val="0"/>
          <w:w w:val="100"/>
          <w:sz w:val="24"/>
        </w:rPr>
        <w:t>五   开标及评标</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478356DD">
      <w:pPr>
        <w:pStyle w:val="2"/>
        <w:numPr>
          <w:ilvl w:val="0"/>
          <w:numId w:val="5"/>
        </w:numPr>
        <w:snapToGrid/>
        <w:spacing w:before="360" w:beforeAutospacing="0" w:after="120" w:afterAutospacing="0" w:line="288" w:lineRule="auto"/>
        <w:jc w:val="left"/>
        <w:textAlignment w:val="baseline"/>
        <w:rPr>
          <w:rFonts w:ascii="仿宋_GB2312" w:hAnsi="仿宋_GB2312" w:eastAsia="仿宋_GB2312" w:cs="仿宋_GB2312"/>
          <w:b/>
          <w:i w:val="0"/>
          <w:caps w:val="0"/>
          <w:spacing w:val="0"/>
          <w:w w:val="100"/>
          <w:sz w:val="24"/>
          <w:u w:val="single"/>
        </w:rPr>
      </w:pPr>
      <w:bookmarkStart w:id="341" w:name="_Toc21932"/>
      <w:bookmarkStart w:id="342" w:name="_Toc15239"/>
      <w:bookmarkStart w:id="343" w:name="_Toc21582"/>
      <w:bookmarkStart w:id="344" w:name="_Toc7186"/>
      <w:bookmarkStart w:id="345" w:name="_Toc433"/>
      <w:bookmarkStart w:id="346" w:name="_Toc25345"/>
      <w:bookmarkStart w:id="347" w:name="_Toc28774"/>
      <w:bookmarkStart w:id="348" w:name="_Toc32258"/>
      <w:bookmarkStart w:id="349" w:name="_Toc11395"/>
      <w:bookmarkStart w:id="350" w:name="_Toc6310"/>
      <w:bookmarkStart w:id="351" w:name="_Toc17257"/>
      <w:bookmarkStart w:id="352" w:name="_Toc18521"/>
      <w:bookmarkStart w:id="353" w:name="_Toc515647779"/>
      <w:bookmarkStart w:id="354" w:name="_Toc17235"/>
      <w:bookmarkStart w:id="355" w:name="_Toc520356164"/>
      <w:r>
        <w:rPr>
          <w:rFonts w:hint="eastAsia" w:ascii="仿宋_GB2312" w:hAnsi="仿宋_GB2312" w:eastAsia="仿宋_GB2312" w:cs="仿宋_GB2312"/>
          <w:b/>
          <w:i w:val="0"/>
          <w:caps w:val="0"/>
          <w:spacing w:val="0"/>
          <w:w w:val="100"/>
          <w:sz w:val="24"/>
        </w:rPr>
        <w:t>开标</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7CDB9A29">
      <w:pPr>
        <w:numPr>
          <w:ilvl w:val="1"/>
          <w:numId w:val="5"/>
        </w:num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采购人和采购代理机构将按</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中规定的开标时间和地点组织公开开标并邀请所有投标人代表参加。</w:t>
      </w:r>
    </w:p>
    <w:p w14:paraId="76BD86FA">
      <w:pPr>
        <w:snapToGrid/>
        <w:spacing w:before="0" w:beforeAutospacing="0" w:after="0" w:afterAutospacing="0" w:line="288" w:lineRule="auto"/>
        <w:ind w:left="735" w:leftChars="350" w:firstLine="120" w:firstLineChars="5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投标人不足3家的，不得开标。</w:t>
      </w:r>
    </w:p>
    <w:p w14:paraId="701C6613">
      <w:pPr>
        <w:snapToGrid/>
        <w:spacing w:before="0" w:beforeAutospacing="0" w:after="0" w:afterAutospacing="0" w:line="288" w:lineRule="auto"/>
        <w:ind w:hangingChars="40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18.2   </w:t>
      </w:r>
      <w:r>
        <w:rPr>
          <w:rFonts w:hint="eastAsia" w:ascii="宋体" w:hAnsi="宋体" w:cs="宋体"/>
          <w:b/>
          <w:bCs/>
          <w:sz w:val="24"/>
        </w:rPr>
        <w:t>开标时，由代理机构工作人员点击</w:t>
      </w:r>
      <w:r>
        <w:rPr>
          <w:rFonts w:hint="eastAsia" w:ascii="宋体" w:hAnsi="宋体" w:cs="宋体"/>
          <w:b/>
          <w:bCs/>
          <w:sz w:val="24"/>
          <w:lang w:eastAsia="zh-CN"/>
        </w:rPr>
        <w:t>投标文件</w:t>
      </w:r>
      <w:r>
        <w:rPr>
          <w:rFonts w:hint="eastAsia" w:ascii="宋体" w:hAnsi="宋体" w:cs="宋体"/>
          <w:b/>
          <w:bCs/>
          <w:sz w:val="24"/>
        </w:rPr>
        <w:t>解密流程，解密时间为30分钟。解密时间截止后经记录，由采购人或采购代理机构开启开标一览表，宣读投标人名称、投标价格及招标文件规定的内容。对于投标人在投标截止期前递交的投标声明，在开标时当众宣读，评标时有效。未宣读投标价格、价格折扣等实质内容，评标时不予承认。逾期未解密的视为投标无效</w:t>
      </w:r>
      <w:r>
        <w:rPr>
          <w:rFonts w:hint="eastAsia" w:ascii="仿宋_GB2312" w:hAnsi="仿宋_GB2312" w:eastAsia="仿宋_GB2312" w:cs="仿宋_GB2312"/>
          <w:b w:val="0"/>
          <w:i w:val="0"/>
          <w:caps w:val="0"/>
          <w:spacing w:val="0"/>
          <w:w w:val="100"/>
          <w:sz w:val="24"/>
        </w:rPr>
        <w:t>。</w:t>
      </w:r>
    </w:p>
    <w:p w14:paraId="144ABFCB">
      <w:pPr>
        <w:keepNext w:val="0"/>
        <w:keepLines w:val="0"/>
        <w:widowControl/>
        <w:suppressLineNumbers w:val="0"/>
        <w:jc w:val="left"/>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18.3   采购人或采购代理机构将对开标过程进行记录，由参加开标的各投标人代表和相关工作人员签字确认，并存档备查。</w:t>
      </w:r>
    </w:p>
    <w:p w14:paraId="31667F9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18.4    投标人代表对开标过程和开标记录有疑义，以及认为采购人、采购代理机构相关工作人员有需要回避的情形的，应当场提出询问或者回避申请。</w:t>
      </w:r>
    </w:p>
    <w:p w14:paraId="298F99F6">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356" w:name="_Toc11574"/>
      <w:bookmarkStart w:id="357" w:name="_Toc3319"/>
      <w:bookmarkStart w:id="358" w:name="_Toc30404"/>
      <w:bookmarkStart w:id="359" w:name="_Toc13177"/>
      <w:bookmarkStart w:id="360" w:name="_Toc16060"/>
      <w:bookmarkStart w:id="361" w:name="_Toc1719"/>
      <w:bookmarkStart w:id="362" w:name="_Toc3739"/>
      <w:bookmarkStart w:id="363" w:name="_Toc10635"/>
      <w:bookmarkStart w:id="364" w:name="_Toc10173"/>
      <w:bookmarkStart w:id="365" w:name="_Toc1947"/>
      <w:r>
        <w:rPr>
          <w:rFonts w:hint="eastAsia" w:ascii="仿宋_GB2312" w:hAnsi="仿宋_GB2312" w:eastAsia="仿宋_GB2312" w:cs="仿宋_GB2312"/>
          <w:b/>
          <w:i w:val="0"/>
          <w:caps w:val="0"/>
          <w:spacing w:val="0"/>
          <w:w w:val="100"/>
          <w:sz w:val="24"/>
        </w:rPr>
        <w:t>19.资格审查及组建评标委员会</w:t>
      </w:r>
      <w:bookmarkEnd w:id="337"/>
      <w:bookmarkEnd w:id="338"/>
      <w:bookmarkEnd w:id="339"/>
      <w:bookmarkEnd w:id="340"/>
      <w:bookmarkEnd w:id="356"/>
      <w:bookmarkEnd w:id="357"/>
      <w:bookmarkEnd w:id="358"/>
      <w:bookmarkEnd w:id="359"/>
      <w:bookmarkEnd w:id="360"/>
      <w:bookmarkEnd w:id="361"/>
      <w:bookmarkEnd w:id="362"/>
      <w:bookmarkEnd w:id="363"/>
      <w:bookmarkEnd w:id="364"/>
      <w:bookmarkEnd w:id="365"/>
    </w:p>
    <w:p w14:paraId="2AA3669A">
      <w:pPr>
        <w:snapToGrid/>
        <w:spacing w:before="0" w:beforeAutospacing="0" w:after="0" w:afterAutospacing="0" w:line="288" w:lineRule="auto"/>
        <w:ind w:hangingChars="40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19.1    采购人或采购代理机构依据法律法规和招标文件中规定的内容，对投标人及其货物的资格进行审查，未通过资格审查的投标人不进入评标；通过资格审查的投标人少于不足三家的，不得评标。</w:t>
      </w:r>
    </w:p>
    <w:p w14:paraId="755B4D70">
      <w:pPr>
        <w:spacing w:line="240" w:lineRule="atLeast"/>
        <w:ind w:left="857" w:leftChars="2" w:hanging="853"/>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19.</w:t>
      </w:r>
      <w:r>
        <w:rPr>
          <w:rFonts w:hint="eastAsia" w:ascii="仿宋_GB2312" w:hAnsi="仿宋_GB2312" w:eastAsia="仿宋_GB2312" w:cs="仿宋_GB2312"/>
          <w:b w:val="0"/>
          <w:i w:val="0"/>
          <w:caps w:val="0"/>
          <w:spacing w:val="0"/>
          <w:w w:val="100"/>
          <w:sz w:val="24"/>
          <w:lang w:val="en-US" w:eastAsia="zh-CN"/>
        </w:rPr>
        <w:t>2</w:t>
      </w:r>
      <w:r>
        <w:rPr>
          <w:rFonts w:hint="eastAsia" w:ascii="仿宋_GB2312" w:hAnsi="仿宋_GB2312" w:eastAsia="仿宋_GB2312" w:cs="仿宋_GB2312"/>
          <w:b w:val="0"/>
          <w:i w:val="0"/>
          <w:caps w:val="0"/>
          <w:spacing w:val="0"/>
          <w:w w:val="100"/>
          <w:sz w:val="24"/>
        </w:rPr>
        <w:t xml:space="preserve">   </w:t>
      </w:r>
      <w:bookmarkStart w:id="366" w:name="_Toc520356166"/>
      <w:r>
        <w:rPr>
          <w:rFonts w:hint="eastAsia" w:ascii="仿宋_GB2312" w:hAnsi="仿宋_GB2312" w:eastAsia="仿宋_GB2312" w:cs="仿宋_GB2312"/>
          <w:b w:val="0"/>
          <w:i w:val="0"/>
          <w:caps w:val="0"/>
          <w:spacing w:val="0"/>
          <w:w w:val="100"/>
          <w:sz w:val="24"/>
        </w:rPr>
        <w:t>采购人或采购代理机构将在开标前1个工作日至投标截止后1小时的期间内查询投标人的信用记录。投标人存在不良信用记录的，其投标将被认定为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20AC3C9A">
      <w:pPr>
        <w:spacing w:line="240" w:lineRule="atLeast"/>
        <w:ind w:left="857" w:leftChars="2" w:hanging="853"/>
        <w:rPr>
          <w:rFonts w:hint="eastAsia" w:ascii="仿宋_GB2312" w:hAnsi="仿宋_GB2312" w:eastAsia="仿宋_GB2312" w:cs="仿宋_GB2312"/>
          <w:b w:val="0"/>
          <w:i w:val="0"/>
          <w:caps w:val="0"/>
          <w:spacing w:val="0"/>
          <w:w w:val="100"/>
          <w:sz w:val="24"/>
        </w:rPr>
      </w:pPr>
      <w:r>
        <w:rPr>
          <w:rFonts w:hint="eastAsia" w:ascii="宋体" w:hAnsi="宋体" w:cs="宋体"/>
          <w:sz w:val="24"/>
        </w:rPr>
        <w:t xml:space="preserve">19.2.1 </w:t>
      </w:r>
      <w:r>
        <w:rPr>
          <w:rFonts w:hint="eastAsia" w:ascii="仿宋_GB2312" w:hAnsi="仿宋_GB2312" w:eastAsia="仿宋_GB2312" w:cs="仿宋_GB2312"/>
          <w:b w:val="0"/>
          <w:i w:val="0"/>
          <w:caps w:val="0"/>
          <w:spacing w:val="0"/>
          <w:w w:val="100"/>
          <w:sz w:val="24"/>
        </w:rPr>
        <w:t>不良信用记录指：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14:paraId="1624FF42">
      <w:pPr>
        <w:spacing w:line="240" w:lineRule="atLeast"/>
        <w:ind w:left="857" w:leftChars="2" w:hanging="853"/>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以联合体形式参加投标的，联合体任何成员存在以上不良信用记录的，联合体投标将被认定为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5CC71846">
      <w:pPr>
        <w:spacing w:line="240" w:lineRule="atLeast"/>
        <w:ind w:left="857" w:leftChars="2" w:hanging="853"/>
        <w:rPr>
          <w:rFonts w:hint="eastAsia" w:ascii="仿宋_GB2312" w:hAnsi="仿宋_GB2312" w:eastAsia="仿宋_GB2312" w:cs="仿宋_GB2312"/>
          <w:b w:val="0"/>
          <w:i w:val="0"/>
          <w:caps w:val="0"/>
          <w:spacing w:val="0"/>
          <w:w w:val="100"/>
          <w:sz w:val="24"/>
        </w:rPr>
      </w:pPr>
      <w:r>
        <w:rPr>
          <w:rFonts w:hint="eastAsia" w:hAnsi="宋体" w:cs="宋体"/>
        </w:rPr>
        <w:t xml:space="preserve">19.2.2 </w:t>
      </w:r>
      <w:r>
        <w:rPr>
          <w:rFonts w:hint="eastAsia" w:ascii="仿宋_GB2312" w:hAnsi="仿宋_GB2312" w:eastAsia="仿宋_GB2312" w:cs="仿宋_GB2312"/>
          <w:b w:val="0"/>
          <w:i w:val="0"/>
          <w:caps w:val="0"/>
          <w:spacing w:val="0"/>
          <w:w w:val="100"/>
          <w:sz w:val="24"/>
        </w:rPr>
        <w:t>查询及记录方式：采购人或采购代理机构经办人将查询网页打印、签字并存档备查。投标人不良信用记录以采购人或采购代理机构查询结果为准。</w:t>
      </w:r>
    </w:p>
    <w:p w14:paraId="465D148B">
      <w:pPr>
        <w:spacing w:line="240" w:lineRule="atLeast"/>
        <w:ind w:left="968" w:leftChars="458" w:hanging="7" w:hangingChars="3"/>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在本招标文件规定的查询时间之后，网站信息发生的任何变更均不再作为评标依据。</w:t>
      </w:r>
    </w:p>
    <w:p w14:paraId="05E950DC">
      <w:pPr>
        <w:spacing w:line="240" w:lineRule="atLeast"/>
        <w:ind w:left="968" w:leftChars="458" w:hanging="7" w:hangingChars="3"/>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投标人自行提供的与网站信息不一致的其他证明材料亦不作为资格审查依据。</w:t>
      </w:r>
    </w:p>
    <w:p w14:paraId="7E35D3C1">
      <w:pPr>
        <w:pStyle w:val="24"/>
        <w:ind w:left="960" w:hanging="960" w:hangingChars="400"/>
        <w:rPr>
          <w:rFonts w:hint="eastAsia"/>
          <w:color w:val="FF0000"/>
        </w:rPr>
      </w:pPr>
      <w:r>
        <w:rPr>
          <w:rFonts w:hint="eastAsia" w:ascii="宋体" w:hAnsi="宋体" w:cs="宋体"/>
          <w:sz w:val="24"/>
        </w:rPr>
        <w:t xml:space="preserve">19.3   </w:t>
      </w:r>
      <w:r>
        <w:rPr>
          <w:rFonts w:hint="eastAsia" w:ascii="仿宋_GB2312" w:hAnsi="仿宋_GB2312" w:eastAsia="仿宋_GB2312" w:cs="仿宋_GB2312"/>
          <w:b w:val="0"/>
          <w:i w:val="0"/>
          <w:caps w:val="0"/>
          <w:spacing w:val="0"/>
          <w:w w:val="100"/>
          <w:sz w:val="24"/>
        </w:rPr>
        <w:t>按照《中华人民共和国政府采购法》、《中华人民共和国政府采购法实施条例》及本项目本级和上级财政部门的有关规定依法组建的评标委员会，负责评标工作。</w:t>
      </w:r>
      <w:r>
        <w:rPr>
          <w:rFonts w:hint="eastAsia" w:ascii="仿宋_GB2312" w:hAnsi="仿宋_GB2312" w:eastAsia="仿宋_GB2312" w:cs="仿宋_GB2312"/>
          <w:b/>
          <w:bCs/>
          <w:i w:val="0"/>
          <w:caps w:val="0"/>
          <w:color w:val="FF0000"/>
          <w:spacing w:val="0"/>
          <w:w w:val="100"/>
          <w:sz w:val="24"/>
          <w:u w:val="single"/>
        </w:rPr>
        <w:t>本项目评标委员会由</w:t>
      </w:r>
      <w:r>
        <w:rPr>
          <w:rFonts w:hint="eastAsia" w:ascii="仿宋_GB2312" w:hAnsi="仿宋_GB2312" w:eastAsia="仿宋_GB2312" w:cs="仿宋_GB2312"/>
          <w:b/>
          <w:bCs/>
          <w:i w:val="0"/>
          <w:caps w:val="0"/>
          <w:color w:val="00B0F0"/>
          <w:spacing w:val="0"/>
          <w:w w:val="100"/>
          <w:sz w:val="24"/>
          <w:u w:val="single"/>
          <w:lang w:val="en-US" w:eastAsia="zh-CN"/>
        </w:rPr>
        <w:t>5</w:t>
      </w:r>
      <w:r>
        <w:rPr>
          <w:rFonts w:hint="eastAsia" w:ascii="仿宋_GB2312" w:hAnsi="仿宋_GB2312" w:eastAsia="仿宋_GB2312" w:cs="仿宋_GB2312"/>
          <w:b/>
          <w:bCs/>
          <w:i w:val="0"/>
          <w:caps w:val="0"/>
          <w:color w:val="00B0F0"/>
          <w:spacing w:val="0"/>
          <w:w w:val="100"/>
          <w:sz w:val="24"/>
          <w:u w:val="single"/>
        </w:rPr>
        <w:t>人</w:t>
      </w:r>
      <w:r>
        <w:rPr>
          <w:rFonts w:hint="eastAsia" w:ascii="仿宋_GB2312" w:hAnsi="仿宋_GB2312" w:eastAsia="仿宋_GB2312" w:cs="仿宋_GB2312"/>
          <w:b/>
          <w:bCs/>
          <w:i w:val="0"/>
          <w:caps w:val="0"/>
          <w:color w:val="FF0000"/>
          <w:spacing w:val="0"/>
          <w:w w:val="100"/>
          <w:sz w:val="24"/>
          <w:u w:val="single"/>
        </w:rPr>
        <w:t>单数组成，其中：业主代表</w:t>
      </w:r>
      <w:r>
        <w:rPr>
          <w:rFonts w:hint="eastAsia" w:ascii="仿宋_GB2312" w:hAnsi="仿宋_GB2312" w:eastAsia="仿宋_GB2312" w:cs="仿宋_GB2312"/>
          <w:b/>
          <w:bCs/>
          <w:i w:val="0"/>
          <w:caps w:val="0"/>
          <w:color w:val="00B0F0"/>
          <w:spacing w:val="0"/>
          <w:w w:val="100"/>
          <w:sz w:val="24"/>
          <w:u w:val="single"/>
          <w:lang w:val="en-US" w:eastAsia="zh-CN"/>
        </w:rPr>
        <w:t>1人</w:t>
      </w:r>
      <w:r>
        <w:rPr>
          <w:rFonts w:hint="eastAsia" w:ascii="仿宋_GB2312" w:hAnsi="仿宋_GB2312" w:eastAsia="仿宋_GB2312" w:cs="仿宋_GB2312"/>
          <w:b/>
          <w:bCs/>
          <w:i w:val="0"/>
          <w:caps w:val="0"/>
          <w:color w:val="FF0000"/>
          <w:spacing w:val="0"/>
          <w:w w:val="100"/>
          <w:sz w:val="24"/>
          <w:u w:val="single"/>
        </w:rPr>
        <w:t>，评委</w:t>
      </w:r>
      <w:r>
        <w:rPr>
          <w:rFonts w:hint="eastAsia" w:ascii="仿宋_GB2312" w:hAnsi="仿宋_GB2312" w:eastAsia="仿宋_GB2312" w:cs="仿宋_GB2312"/>
          <w:b/>
          <w:bCs/>
          <w:i w:val="0"/>
          <w:caps w:val="0"/>
          <w:color w:val="00B0F0"/>
          <w:spacing w:val="0"/>
          <w:w w:val="100"/>
          <w:sz w:val="24"/>
          <w:u w:val="single"/>
          <w:lang w:val="en-US" w:eastAsia="zh-CN"/>
        </w:rPr>
        <w:t>4人</w:t>
      </w:r>
      <w:r>
        <w:rPr>
          <w:rFonts w:hint="eastAsia" w:ascii="仿宋_GB2312" w:hAnsi="仿宋_GB2312" w:eastAsia="仿宋_GB2312" w:cs="仿宋_GB2312"/>
          <w:b/>
          <w:bCs/>
          <w:i w:val="0"/>
          <w:caps w:val="0"/>
          <w:color w:val="FF0000"/>
          <w:spacing w:val="0"/>
          <w:w w:val="100"/>
          <w:sz w:val="24"/>
          <w:u w:val="single"/>
        </w:rPr>
        <w:t>（政采云专家库随机抽取）。</w:t>
      </w:r>
    </w:p>
    <w:p w14:paraId="3AAF2AFA">
      <w:pPr>
        <w:pStyle w:val="24"/>
      </w:pPr>
    </w:p>
    <w:p w14:paraId="7D136F39">
      <w:pPr>
        <w:pStyle w:val="2"/>
        <w:snapToGrid/>
        <w:spacing w:before="0" w:beforeAutospacing="0" w:after="0" w:afterAutospacing="0" w:line="288" w:lineRule="auto"/>
        <w:jc w:val="left"/>
        <w:textAlignment w:val="baseline"/>
        <w:rPr>
          <w:rFonts w:ascii="仿宋_GB2312" w:hAnsi="仿宋_GB2312" w:eastAsia="仿宋_GB2312" w:cs="仿宋_GB2312"/>
          <w:b w:val="0"/>
          <w:bCs/>
          <w:i w:val="0"/>
          <w:caps w:val="0"/>
          <w:spacing w:val="0"/>
          <w:w w:val="100"/>
          <w:sz w:val="24"/>
          <w:u w:val="single"/>
          <w:bdr w:val="single" w:color="auto" w:sz="4" w:space="0"/>
        </w:rPr>
      </w:pPr>
      <w:bookmarkStart w:id="367" w:name="_Toc20899"/>
      <w:bookmarkStart w:id="368" w:name="_Toc13960"/>
      <w:bookmarkStart w:id="369" w:name="_Toc2541"/>
      <w:bookmarkStart w:id="370" w:name="_Toc26332"/>
      <w:bookmarkStart w:id="371" w:name="_Toc28479"/>
      <w:bookmarkStart w:id="372" w:name="_Toc12297"/>
      <w:bookmarkStart w:id="373" w:name="_Toc30633"/>
      <w:bookmarkStart w:id="374" w:name="_Toc21183"/>
      <w:bookmarkStart w:id="375" w:name="_Toc4341"/>
      <w:bookmarkStart w:id="376" w:name="_Toc19949"/>
      <w:bookmarkStart w:id="377" w:name="_Toc23586"/>
      <w:bookmarkStart w:id="378" w:name="_Toc25418"/>
      <w:bookmarkStart w:id="379" w:name="_Toc515647781"/>
      <w:bookmarkStart w:id="380" w:name="_Toc29906"/>
      <w:r>
        <w:rPr>
          <w:rFonts w:hint="eastAsia" w:ascii="仿宋_GB2312" w:hAnsi="仿宋_GB2312" w:eastAsia="仿宋_GB2312" w:cs="仿宋_GB2312"/>
          <w:b/>
          <w:i w:val="0"/>
          <w:caps w:val="0"/>
          <w:spacing w:val="0"/>
          <w:w w:val="100"/>
          <w:sz w:val="24"/>
        </w:rPr>
        <w:t>20.投标文件</w:t>
      </w:r>
      <w:bookmarkEnd w:id="366"/>
      <w:r>
        <w:rPr>
          <w:rFonts w:hint="eastAsia" w:ascii="仿宋_GB2312" w:hAnsi="仿宋_GB2312" w:eastAsia="仿宋_GB2312" w:cs="仿宋_GB2312"/>
          <w:b/>
          <w:i w:val="0"/>
          <w:caps w:val="0"/>
          <w:spacing w:val="0"/>
          <w:w w:val="100"/>
          <w:sz w:val="24"/>
        </w:rPr>
        <w:t>符合性审查与澄清</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8727A4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20.1   符合性审查是指依据招标文件的规定，从投标文件的有效性和完整性对招标文件的响应程度进行审查，以确定是否对招标文件的实质性要求做出响应。</w:t>
      </w:r>
      <w:bookmarkStart w:id="381" w:name="_Hlt522424701"/>
      <w:bookmarkEnd w:id="381"/>
      <w:bookmarkStart w:id="382" w:name="_Toc520356167"/>
    </w:p>
    <w:p w14:paraId="1F8AC3A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投标文件的澄清</w:t>
      </w:r>
    </w:p>
    <w:p w14:paraId="3FE55EA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的澄清、说明或补正应在评标委员会规定的时间内以书面方式进行，并不得超出投标文件范围或者改变投标文件的实质性内容。</w:t>
      </w:r>
    </w:p>
    <w:p w14:paraId="45088FE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20.2.2  投标人的的澄清、说明或补正将作为投标文件的一部分。</w:t>
      </w:r>
    </w:p>
    <w:p w14:paraId="5500749B">
      <w:pPr>
        <w:snapToGrid/>
        <w:spacing w:before="0" w:beforeAutospacing="0" w:after="0" w:afterAutospacing="0" w:line="288" w:lineRule="auto"/>
        <w:ind w:hangingChars="375"/>
        <w:jc w:val="both"/>
        <w:textAlignment w:val="baseline"/>
        <w:rPr>
          <w:rFonts w:ascii="仿宋_GB2312" w:hAnsi="仿宋_GB2312" w:eastAsia="仿宋_GB2312" w:cs="仿宋_GB2312"/>
          <w:b/>
          <w:bCs/>
          <w:i w:val="0"/>
          <w:caps w:val="0"/>
          <w:spacing w:val="0"/>
          <w:w w:val="100"/>
          <w:sz w:val="24"/>
        </w:rPr>
      </w:pPr>
      <w:r>
        <w:rPr>
          <w:rFonts w:hint="eastAsia" w:ascii="仿宋_GB2312" w:hAnsi="仿宋_GB2312" w:eastAsia="仿宋_GB2312" w:cs="仿宋_GB2312"/>
          <w:b w:val="0"/>
          <w:i w:val="0"/>
          <w:caps w:val="0"/>
          <w:spacing w:val="0"/>
          <w:w w:val="100"/>
          <w:sz w:val="24"/>
        </w:rPr>
        <w:t xml:space="preserve">20.3 </w:t>
      </w:r>
      <w:r>
        <w:rPr>
          <w:rFonts w:hint="eastAsia" w:ascii="仿宋_GB2312" w:hAnsi="仿宋_GB2312" w:eastAsia="仿宋_GB2312" w:cs="仿宋_GB2312"/>
          <w:b/>
          <w:bCs/>
          <w:i w:val="0"/>
          <w:caps w:val="0"/>
          <w:spacing w:val="0"/>
          <w:w w:val="100"/>
          <w:sz w:val="24"/>
        </w:rPr>
        <w:t xml:space="preserve"> 投标文件报价出现前后不一致的，按照下列规定修正：</w:t>
      </w:r>
    </w:p>
    <w:p w14:paraId="167920B0">
      <w:pPr>
        <w:snapToGrid/>
        <w:spacing w:before="0" w:beforeAutospacing="0" w:after="0" w:afterAutospacing="0" w:line="288" w:lineRule="auto"/>
        <w:ind w:hangingChars="4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（一）投标文件中开标一览表（报价表）内容与投标文件中相应内容不一致的，以开标一览表（报价表）为准；</w:t>
      </w:r>
    </w:p>
    <w:p w14:paraId="2A4505A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（二）大写金额和小写金额不一致的，以大写金额为准；</w:t>
      </w:r>
    </w:p>
    <w:p w14:paraId="3BFE97EB">
      <w:pPr>
        <w:snapToGrid/>
        <w:spacing w:before="0" w:beforeAutospacing="0" w:after="0" w:afterAutospacing="0" w:line="288" w:lineRule="auto"/>
        <w:ind w:hangingChars="4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（三）单价金额小数点或者百分比有明显错位的，以开标一览表的总价为准，并修改单价；</w:t>
      </w:r>
    </w:p>
    <w:p w14:paraId="4C0AFA0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（四）总价金额与按单价汇总金额不一致的，以单价金额计算结果为准。</w:t>
      </w:r>
    </w:p>
    <w:p w14:paraId="7951DE8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同时出现两种以上不一致的，按照前款规定的顺序修正。修正后的报价按照第20.2条的规定经投标人确认后产生约束力，投标人不确认的，其投标将被认定为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55B63BC7">
      <w:pPr>
        <w:snapToGrid/>
        <w:spacing w:before="0" w:beforeAutospacing="0" w:after="0" w:afterAutospacing="0" w:line="288" w:lineRule="auto"/>
        <w:ind w:left="735" w:leftChars="350" w:firstLine="120" w:firstLineChars="5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对不同文字文本投标文件的解释发生异议的，以中文文本为准。</w:t>
      </w:r>
    </w:p>
    <w:p w14:paraId="3A4120C1">
      <w:pPr>
        <w:snapToGrid/>
        <w:spacing w:before="0" w:beforeAutospacing="0" w:after="0" w:afterAutospacing="0" w:line="288" w:lineRule="auto"/>
        <w:ind w:hangingChars="375"/>
        <w:jc w:val="both"/>
        <w:textAlignment w:val="baseline"/>
        <w:rPr>
          <w:rFonts w:ascii="仿宋_GB2312" w:hAnsi="仿宋_GB2312" w:eastAsia="仿宋_GB2312" w:cs="仿宋_GB2312"/>
          <w:b/>
          <w:bCs/>
          <w:i w:val="0"/>
          <w:caps w:val="0"/>
          <w:spacing w:val="0"/>
          <w:w w:val="100"/>
          <w:sz w:val="24"/>
        </w:rPr>
      </w:pPr>
      <w:r>
        <w:rPr>
          <w:rFonts w:hint="eastAsia" w:ascii="仿宋_GB2312" w:hAnsi="仿宋_GB2312" w:eastAsia="仿宋_GB2312" w:cs="仿宋_GB2312"/>
          <w:b w:val="0"/>
          <w:i w:val="0"/>
          <w:caps w:val="0"/>
          <w:spacing w:val="0"/>
          <w:w w:val="100"/>
          <w:sz w:val="24"/>
        </w:rPr>
        <w:t xml:space="preserve">20.4 </w:t>
      </w:r>
      <w:r>
        <w:rPr>
          <w:rFonts w:hint="eastAsia" w:ascii="仿宋_GB2312" w:hAnsi="仿宋_GB2312" w:eastAsia="仿宋_GB2312" w:cs="仿宋_GB2312"/>
          <w:b/>
          <w:bCs/>
          <w:i w:val="0"/>
          <w:caps w:val="0"/>
          <w:spacing w:val="0"/>
          <w:w w:val="100"/>
          <w:sz w:val="24"/>
        </w:rPr>
        <w:t xml:space="preserve">  </w:t>
      </w:r>
      <w:r>
        <w:rPr>
          <w:rFonts w:hint="eastAsia" w:ascii="仿宋_GB2312" w:hAnsi="仿宋_GB2312" w:eastAsia="仿宋_GB2312" w:cs="仿宋_GB2312"/>
          <w:b w:val="0"/>
          <w:i w:val="0"/>
          <w:caps w:val="0"/>
          <w:spacing w:val="0"/>
          <w:w w:val="100"/>
          <w:sz w:val="24"/>
        </w:rPr>
        <w:t>如一个分包内只有一种产品，不同投标人所投产品为同一品牌的，按如下方式处理：</w:t>
      </w:r>
    </w:p>
    <w:p w14:paraId="3B47EF8D">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20.4.1  如本项目使用最低评标价法，提供相同品牌产品的不同投标人以其中通过资格审查、符合性审查且报价最低的参加评标；报价相同的，由采购人或者采购人委托评标委员会按照招标文件第六章中评标办法规定的方式确定一个参加评标的投标人；未规定的采取随机抽取方式确定，其他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3D3021E7">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第六章中评标办法规定的方式确定一个投标人获得中标人推荐资格；未规定的采取随机抽取方式确定，其他同品牌投标人不作为中标候选人。</w:t>
      </w:r>
    </w:p>
    <w:p w14:paraId="4D435D63">
      <w:pPr>
        <w:snapToGrid/>
        <w:spacing w:before="0" w:beforeAutospacing="0" w:after="0" w:afterAutospacing="0" w:line="288" w:lineRule="auto"/>
        <w:ind w:hangingChars="375"/>
        <w:jc w:val="both"/>
        <w:textAlignment w:val="baseline"/>
        <w:rPr>
          <w:rFonts w:ascii="仿宋_GB2312" w:hAnsi="仿宋_GB2312" w:eastAsia="仿宋_GB2312" w:cs="仿宋_GB2312"/>
          <w:b/>
          <w:bCs/>
          <w:i w:val="0"/>
          <w:caps w:val="0"/>
          <w:spacing w:val="0"/>
          <w:w w:val="100"/>
          <w:sz w:val="24"/>
        </w:rPr>
      </w:pPr>
      <w:r>
        <w:rPr>
          <w:rFonts w:hint="eastAsia" w:ascii="仿宋_GB2312" w:hAnsi="仿宋_GB2312" w:eastAsia="仿宋_GB2312" w:cs="仿宋_GB2312"/>
          <w:b w:val="0"/>
          <w:i w:val="0"/>
          <w:caps w:val="0"/>
          <w:spacing w:val="0"/>
          <w:w w:val="100"/>
          <w:sz w:val="24"/>
        </w:rPr>
        <w:t>20.5   如一个分包内包含多种产品的，采购人或采购代理机构将在投标人须知资料表中载明核心产品，多家投标人提供的核心产品品牌相同的，按第20.4条规定处理。</w:t>
      </w:r>
    </w:p>
    <w:p w14:paraId="4972A9A4">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20.6   投标人所投产品如被列入财政部与国家主管部门颁发的节能产品目录或环境标志产品目录，应提供相关证明，在评标时予以优先采购，具体优先采购办法见第六章评标方法和标准。</w:t>
      </w:r>
    </w:p>
    <w:p w14:paraId="2140D0C8">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如采购人所采购产品为政府强制采购的节能产品，投标人所投产品的品牌及型号必须为清单中有效期内产品并提供证明文件，否则其投标将被认定为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w:t>
      </w:r>
    </w:p>
    <w:p w14:paraId="57785A99">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383" w:name="_Toc6364"/>
      <w:bookmarkStart w:id="384" w:name="_Toc18529"/>
      <w:bookmarkStart w:id="385" w:name="_Toc5986"/>
      <w:bookmarkStart w:id="386" w:name="_Toc515647782"/>
      <w:bookmarkStart w:id="387" w:name="_Toc8063"/>
      <w:bookmarkStart w:id="388" w:name="_Toc25623"/>
      <w:bookmarkStart w:id="389" w:name="_Toc12839"/>
      <w:bookmarkStart w:id="390" w:name="_Toc15628"/>
      <w:bookmarkStart w:id="391" w:name="_Toc6003"/>
      <w:bookmarkStart w:id="392" w:name="_Toc5230"/>
      <w:bookmarkStart w:id="393" w:name="_Toc19326"/>
      <w:bookmarkStart w:id="394" w:name="_Toc9469"/>
      <w:bookmarkStart w:id="395" w:name="_Toc15064"/>
      <w:bookmarkStart w:id="396" w:name="_Toc24227"/>
      <w:r>
        <w:rPr>
          <w:rFonts w:hint="eastAsia" w:ascii="仿宋_GB2312" w:hAnsi="仿宋_GB2312" w:eastAsia="仿宋_GB2312" w:cs="仿宋_GB2312"/>
          <w:b/>
          <w:i w:val="0"/>
          <w:caps w:val="0"/>
          <w:spacing w:val="0"/>
          <w:w w:val="100"/>
          <w:sz w:val="24"/>
        </w:rPr>
        <w:t>21.投标偏离</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6B332A9B">
      <w:pPr>
        <w:snapToGrid/>
        <w:spacing w:before="0" w:beforeAutospacing="0" w:after="0" w:afterAutospacing="0" w:line="288" w:lineRule="auto"/>
        <w:ind w:left="847" w:leftChars="99" w:hangingChars="267"/>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评标委员会可以接受投标文件中不构成实质性偏离的不正规或不一致。</w:t>
      </w:r>
    </w:p>
    <w:p w14:paraId="3CE5D3A2">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397" w:name="_Toc515647783"/>
      <w:bookmarkStart w:id="398" w:name="_Toc5894"/>
      <w:bookmarkStart w:id="399" w:name="_Toc6092"/>
      <w:bookmarkStart w:id="400" w:name="_Toc7006"/>
      <w:bookmarkStart w:id="401" w:name="_Toc15752"/>
      <w:bookmarkStart w:id="402" w:name="_Toc21597"/>
      <w:bookmarkStart w:id="403" w:name="_Toc21189"/>
      <w:bookmarkStart w:id="404" w:name="_Toc21694"/>
      <w:bookmarkStart w:id="405" w:name="_Toc506"/>
      <w:bookmarkStart w:id="406" w:name="_Toc17567"/>
      <w:bookmarkStart w:id="407" w:name="_Toc18719"/>
      <w:bookmarkStart w:id="408" w:name="_Toc23936"/>
      <w:bookmarkStart w:id="409" w:name="_Toc32270"/>
      <w:bookmarkStart w:id="410" w:name="_Toc4950"/>
      <w:r>
        <w:rPr>
          <w:rFonts w:hint="eastAsia" w:ascii="仿宋_GB2312" w:hAnsi="仿宋_GB2312" w:eastAsia="仿宋_GB2312" w:cs="仿宋_GB2312"/>
          <w:b/>
          <w:i w:val="0"/>
          <w:caps w:val="0"/>
          <w:spacing w:val="0"/>
          <w:w w:val="100"/>
          <w:sz w:val="24"/>
        </w:rPr>
        <w:t>22.投标</w:t>
      </w:r>
      <w:bookmarkEnd w:id="397"/>
      <w:r>
        <w:rPr>
          <w:rFonts w:hint="eastAsia" w:ascii="仿宋_GB2312" w:hAnsi="仿宋_GB2312" w:eastAsia="仿宋_GB2312" w:cs="仿宋_GB2312"/>
          <w:b/>
          <w:i w:val="0"/>
          <w:caps w:val="0"/>
          <w:spacing w:val="0"/>
          <w:w w:val="100"/>
          <w:sz w:val="24"/>
        </w:rPr>
        <w:t>无效</w:t>
      </w:r>
      <w:bookmarkEnd w:id="398"/>
      <w:bookmarkEnd w:id="399"/>
      <w:bookmarkEnd w:id="400"/>
      <w:bookmarkEnd w:id="401"/>
      <w:bookmarkEnd w:id="402"/>
      <w:bookmarkEnd w:id="403"/>
      <w:bookmarkEnd w:id="404"/>
      <w:bookmarkEnd w:id="405"/>
      <w:bookmarkEnd w:id="406"/>
      <w:bookmarkEnd w:id="407"/>
      <w:bookmarkEnd w:id="408"/>
      <w:bookmarkEnd w:id="409"/>
      <w:bookmarkEnd w:id="410"/>
    </w:p>
    <w:p w14:paraId="1A0D5510">
      <w:pPr>
        <w:snapToGrid/>
        <w:spacing w:before="0" w:beforeAutospacing="0" w:after="0" w:afterAutospacing="0" w:line="288" w:lineRule="auto"/>
        <w:ind w:left="852" w:leftChars="-23"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。投标人不得通过修正或撤销不符合要求的偏离，从而使其投标成为实质上响应的投标。</w:t>
      </w:r>
    </w:p>
    <w:p w14:paraId="59DE1577">
      <w:pPr>
        <w:snapToGrid/>
        <w:spacing w:before="0" w:beforeAutospacing="0" w:after="0" w:afterAutospacing="0" w:line="288" w:lineRule="auto"/>
        <w:ind w:left="791" w:leftChars="377"/>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评标委员会决定投标的响应性只根据招标文件要求、投标文件内容及财政主管部门指定相关信息发布媒体。</w:t>
      </w:r>
    </w:p>
    <w:p w14:paraId="6C0ABCE3">
      <w:pPr>
        <w:snapToGrid/>
        <w:spacing w:before="0" w:beforeAutospacing="0" w:after="0" w:afterAutospacing="0" w:line="288" w:lineRule="auto"/>
        <w:ind w:hangingChars="375"/>
        <w:jc w:val="both"/>
        <w:textAlignment w:val="baseline"/>
        <w:rPr>
          <w:rFonts w:ascii="仿宋_GB2312" w:hAnsi="仿宋_GB2312" w:eastAsia="仿宋_GB2312" w:cs="仿宋_GB2312"/>
          <w:b/>
          <w:bCs/>
          <w:i w:val="0"/>
          <w:caps w:val="0"/>
          <w:spacing w:val="0"/>
          <w:w w:val="100"/>
          <w:sz w:val="24"/>
        </w:rPr>
      </w:pPr>
      <w:r>
        <w:rPr>
          <w:rFonts w:hint="eastAsia" w:ascii="仿宋_GB2312" w:hAnsi="仿宋_GB2312" w:eastAsia="仿宋_GB2312" w:cs="仿宋_GB2312"/>
          <w:b w:val="0"/>
          <w:i w:val="0"/>
          <w:caps w:val="0"/>
          <w:spacing w:val="0"/>
          <w:w w:val="100"/>
          <w:sz w:val="24"/>
        </w:rPr>
        <w:t>22.2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bCs/>
          <w:i w:val="0"/>
          <w:caps w:val="0"/>
          <w:spacing w:val="0"/>
          <w:w w:val="100"/>
          <w:sz w:val="24"/>
        </w:rPr>
        <w:t>如发现下列情况之一的，其投标将被认定为投标无效：（以下情形应当在招标文件中规定，并以醒目的方式标明）</w:t>
      </w:r>
    </w:p>
    <w:p w14:paraId="043E308E">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未按招标文件规定的形式和金额提交投标保证金的；</w:t>
      </w:r>
    </w:p>
    <w:p w14:paraId="7F4BBB6B">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未按照招标文件规定要求签署、盖章的；</w:t>
      </w:r>
    </w:p>
    <w:p w14:paraId="3D02C080">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未满足招标文件中技术条款的实质性要求；</w:t>
      </w:r>
    </w:p>
    <w:p w14:paraId="479C4901">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与其他投标人串通投标，或者与招标人串通投标；</w:t>
      </w:r>
    </w:p>
    <w:p w14:paraId="73686ADC">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属于招标文件规定的其他</w:t>
      </w:r>
      <w:r>
        <w:rPr>
          <w:rFonts w:hint="eastAsia" w:ascii="仿宋_GB2312" w:hAnsi="仿宋_GB2312" w:eastAsia="仿宋_GB2312" w:cs="仿宋_GB2312"/>
          <w:b/>
          <w:bCs/>
          <w:i w:val="0"/>
          <w:caps w:val="0"/>
          <w:spacing w:val="0"/>
          <w:w w:val="100"/>
          <w:sz w:val="24"/>
        </w:rPr>
        <w:t>投标无效</w:t>
      </w:r>
      <w:r>
        <w:rPr>
          <w:rFonts w:hint="eastAsia" w:ascii="仿宋_GB2312" w:hAnsi="仿宋_GB2312" w:eastAsia="仿宋_GB2312" w:cs="仿宋_GB2312"/>
          <w:b w:val="0"/>
          <w:i w:val="0"/>
          <w:caps w:val="0"/>
          <w:spacing w:val="0"/>
          <w:w w:val="100"/>
          <w:sz w:val="24"/>
        </w:rPr>
        <w:t>情形；</w:t>
      </w:r>
    </w:p>
    <w:p w14:paraId="761B6B01">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评标委员会认为投标人的报价明显低于其他通过符合性检查投标人的报价，有可能影响履约的，且投标人未按照规定证明其报价合理性的；</w:t>
      </w:r>
    </w:p>
    <w:p w14:paraId="3632BA8A">
      <w:pPr>
        <w:numPr>
          <w:ilvl w:val="0"/>
          <w:numId w:val="6"/>
        </w:numPr>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投标文件含有采购人不能接受的附加条件的；</w:t>
      </w:r>
    </w:p>
    <w:p w14:paraId="473D4B38">
      <w:pPr>
        <w:numPr>
          <w:ilvl w:val="0"/>
          <w:numId w:val="6"/>
        </w:numPr>
        <w:tabs>
          <w:tab w:val="left" w:pos="0"/>
        </w:tabs>
        <w:snapToGrid/>
        <w:spacing w:before="0" w:beforeAutospacing="0" w:after="0" w:afterAutospacing="0" w:line="288" w:lineRule="auto"/>
        <w:ind w:left="1080" w:leftChars="429" w:hanging="18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不符合法规和招标文件中规定的其他实质性要求的。</w:t>
      </w:r>
    </w:p>
    <w:p w14:paraId="4A7B5681">
      <w:pPr>
        <w:tabs>
          <w:tab w:val="left" w:pos="0"/>
        </w:tabs>
        <w:snapToGrid/>
        <w:spacing w:before="0" w:beforeAutospacing="0" w:after="0" w:afterAutospacing="0" w:line="288" w:lineRule="auto"/>
        <w:jc w:val="both"/>
        <w:textAlignment w:val="baseline"/>
        <w:rPr>
          <w:rFonts w:ascii="仿宋_GB2312" w:hAnsi="仿宋_GB2312" w:eastAsia="仿宋_GB2312" w:cs="仿宋_GB2312"/>
          <w:b/>
          <w:bCs/>
          <w:i w:val="0"/>
          <w:caps w:val="0"/>
          <w:spacing w:val="0"/>
          <w:w w:val="100"/>
          <w:sz w:val="24"/>
        </w:rPr>
      </w:pPr>
      <w:bookmarkStart w:id="411" w:name="_Toc22941"/>
      <w:bookmarkStart w:id="412" w:name="_Toc13652"/>
      <w:bookmarkStart w:id="413" w:name="_Toc8521"/>
      <w:bookmarkStart w:id="414" w:name="_Toc515647784"/>
      <w:r>
        <w:rPr>
          <w:rFonts w:hint="eastAsia" w:ascii="仿宋_GB2312" w:hAnsi="仿宋_GB2312" w:eastAsia="仿宋_GB2312" w:cs="仿宋_GB2312"/>
          <w:b/>
          <w:bCs/>
          <w:i w:val="0"/>
          <w:caps w:val="0"/>
          <w:spacing w:val="0"/>
          <w:w w:val="100"/>
          <w:sz w:val="24"/>
        </w:rPr>
        <w:t>23.</w:t>
      </w:r>
      <w:bookmarkEnd w:id="382"/>
      <w:r>
        <w:rPr>
          <w:rFonts w:hint="eastAsia" w:ascii="仿宋_GB2312" w:hAnsi="仿宋_GB2312" w:eastAsia="仿宋_GB2312" w:cs="仿宋_GB2312"/>
          <w:b/>
          <w:bCs/>
          <w:i w:val="0"/>
          <w:caps w:val="0"/>
          <w:spacing w:val="0"/>
          <w:w w:val="100"/>
          <w:sz w:val="24"/>
        </w:rPr>
        <w:t>比较与评价</w:t>
      </w:r>
      <w:bookmarkEnd w:id="411"/>
      <w:bookmarkEnd w:id="412"/>
      <w:bookmarkEnd w:id="413"/>
      <w:bookmarkEnd w:id="414"/>
    </w:p>
    <w:p w14:paraId="34F36BEF">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23.1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经符合性审查合格的投标文件，评标委员会将根据招标文件确定的评标方法和标准，对其投标文件作进一步的比较和评价。</w:t>
      </w:r>
    </w:p>
    <w:p w14:paraId="22FB43D5">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23.2  </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评标严格按照招标文件的要求和条件进行。根据实际情况，在</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中规定采用下列一种评标方法，详细评标标准见招标文件第六章：</w:t>
      </w:r>
    </w:p>
    <w:p w14:paraId="3C638A52">
      <w:pPr>
        <w:pStyle w:val="15"/>
        <w:snapToGrid/>
        <w:spacing w:before="0" w:beforeAutospacing="0" w:after="0" w:afterAutospacing="0" w:line="288" w:lineRule="auto"/>
        <w:ind w:left="899" w:leftChars="342" w:hanging="181"/>
        <w:jc w:val="both"/>
        <w:textAlignment w:val="baseline"/>
        <w:rPr>
          <w:rFonts w:ascii="仿宋_GB2312" w:hAnsi="仿宋_GB2312" w:eastAsia="仿宋_GB2312" w:cs="仿宋_GB2312"/>
          <w:b w:val="0"/>
          <w:i w:val="0"/>
          <w:caps w:val="0"/>
          <w:spacing w:val="0"/>
          <w:w w:val="100"/>
          <w:sz w:val="24"/>
          <w:szCs w:val="24"/>
        </w:rPr>
      </w:pPr>
      <w:r>
        <w:rPr>
          <w:rFonts w:hint="eastAsia" w:ascii="仿宋_GB2312" w:hAnsi="仿宋_GB2312" w:eastAsia="仿宋_GB2312" w:cs="仿宋_GB2312"/>
          <w:b w:val="0"/>
          <w:i w:val="0"/>
          <w:caps w:val="0"/>
          <w:spacing w:val="0"/>
          <w:w w:val="100"/>
          <w:sz w:val="24"/>
          <w:szCs w:val="24"/>
        </w:rPr>
        <w:t>（1） 最低评标价法，是指投标文件满足招标文件全部实质性要求，且投标报价最低的投标人为中标候选人的评标方法。</w:t>
      </w:r>
    </w:p>
    <w:p w14:paraId="64288486">
      <w:pPr>
        <w:pStyle w:val="15"/>
        <w:snapToGrid/>
        <w:spacing w:before="0" w:beforeAutospacing="0" w:after="0" w:afterAutospacing="0" w:line="288" w:lineRule="auto"/>
        <w:ind w:left="898" w:leftChars="342" w:hanging="180"/>
        <w:jc w:val="both"/>
        <w:textAlignment w:val="baseline"/>
        <w:rPr>
          <w:rFonts w:hint="eastAsia" w:ascii="仿宋_GB2312" w:hAnsi="仿宋_GB2312" w:eastAsia="仿宋_GB2312" w:cs="仿宋_GB2312"/>
          <w:b w:val="0"/>
          <w:i w:val="0"/>
          <w:caps w:val="0"/>
          <w:spacing w:val="0"/>
          <w:w w:val="100"/>
          <w:sz w:val="24"/>
          <w:szCs w:val="24"/>
        </w:rPr>
      </w:pPr>
      <w:r>
        <w:rPr>
          <w:rFonts w:hint="eastAsia" w:ascii="仿宋_GB2312" w:hAnsi="仿宋_GB2312" w:eastAsia="仿宋_GB2312" w:cs="仿宋_GB2312"/>
          <w:b w:val="0"/>
          <w:i w:val="0"/>
          <w:caps w:val="0"/>
          <w:spacing w:val="0"/>
          <w:w w:val="100"/>
          <w:sz w:val="24"/>
          <w:szCs w:val="24"/>
        </w:rPr>
        <w:t>（2） 综合评分法，是指投标文件满足招标文件全部实质性要求，且按照评审因素的量化指标评审得分最高的投标人为中标候选人的评标方法。</w:t>
      </w:r>
    </w:p>
    <w:p w14:paraId="015BFA89">
      <w:pPr>
        <w:pStyle w:val="15"/>
        <w:snapToGrid/>
        <w:spacing w:before="0" w:beforeAutospacing="0" w:after="0" w:afterAutospacing="0" w:line="288" w:lineRule="auto"/>
        <w:ind w:left="720" w:hanging="720" w:hangingChars="300"/>
        <w:jc w:val="both"/>
        <w:textAlignment w:val="baseline"/>
        <w:rPr>
          <w:rFonts w:hint="eastAsia" w:ascii="仿宋_GB2312" w:hAnsi="仿宋_GB2312" w:eastAsia="仿宋_GB2312" w:cs="仿宋_GB2312"/>
          <w:b w:val="0"/>
          <w:i w:val="0"/>
          <w:caps w:val="0"/>
          <w:spacing w:val="0"/>
          <w:w w:val="100"/>
          <w:sz w:val="24"/>
          <w:szCs w:val="24"/>
        </w:rPr>
      </w:pPr>
      <w:r>
        <w:rPr>
          <w:rFonts w:hint="eastAsia" w:hAnsi="宋体" w:cs="宋体"/>
          <w:sz w:val="24"/>
          <w:szCs w:val="24"/>
        </w:rPr>
        <w:t xml:space="preserve">23.3   </w:t>
      </w:r>
      <w:r>
        <w:rPr>
          <w:rFonts w:hint="eastAsia" w:ascii="仿宋_GB2312" w:hAnsi="仿宋_GB2312" w:eastAsia="仿宋_GB2312" w:cs="仿宋_GB2312"/>
          <w:b w:val="0"/>
          <w:i w:val="0"/>
          <w:caps w:val="0"/>
          <w:spacing w:val="0"/>
          <w:w w:val="100"/>
          <w:sz w:val="24"/>
          <w:szCs w:val="24"/>
          <w:u w:val="single"/>
        </w:rPr>
        <w:t>根据《政府采购促进中小企业发展管理办法》(财库「2020]46号)、《关于进一步加大政府采购支持中小企业力度的通知》(财库[2022]19号)《关于落实好政府采购支持中小企业发展的通知》（新财购〔2022〕22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p>
    <w:p w14:paraId="6F63BDF1">
      <w:pPr>
        <w:pStyle w:val="15"/>
        <w:snapToGrid/>
        <w:spacing w:before="0" w:beforeAutospacing="0" w:after="0" w:afterAutospacing="0" w:line="288" w:lineRule="auto"/>
        <w:ind w:left="898" w:leftChars="342" w:hanging="180"/>
        <w:jc w:val="both"/>
        <w:textAlignment w:val="baseline"/>
        <w:rPr>
          <w:rFonts w:hint="eastAsia" w:ascii="仿宋_GB2312" w:hAnsi="仿宋_GB2312" w:eastAsia="仿宋_GB2312" w:cs="仿宋_GB2312"/>
          <w:b w:val="0"/>
          <w:i w:val="0"/>
          <w:caps w:val="0"/>
          <w:spacing w:val="0"/>
          <w:w w:val="100"/>
          <w:sz w:val="24"/>
          <w:szCs w:val="24"/>
        </w:rPr>
      </w:pPr>
    </w:p>
    <w:p w14:paraId="1C5706B6">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415" w:name="_Toc520356168"/>
      <w:bookmarkStart w:id="416" w:name="_Toc9378"/>
      <w:bookmarkStart w:id="417" w:name="_Toc23673"/>
      <w:bookmarkStart w:id="418" w:name="_Toc5875"/>
      <w:bookmarkStart w:id="419" w:name="_Toc31728"/>
      <w:bookmarkStart w:id="420" w:name="_Toc18723"/>
      <w:bookmarkStart w:id="421" w:name="_Toc15050"/>
      <w:bookmarkStart w:id="422" w:name="_Toc8424"/>
      <w:bookmarkStart w:id="423" w:name="_Toc20227"/>
      <w:bookmarkStart w:id="424" w:name="_Toc17546"/>
      <w:bookmarkStart w:id="425" w:name="_Toc29670"/>
      <w:bookmarkStart w:id="426" w:name="_Toc14242"/>
      <w:bookmarkStart w:id="427" w:name="_Toc515647785"/>
      <w:bookmarkStart w:id="428" w:name="_Toc15293"/>
      <w:bookmarkStart w:id="429" w:name="_Toc11401"/>
      <w:r>
        <w:rPr>
          <w:rFonts w:hint="eastAsia" w:ascii="仿宋_GB2312" w:hAnsi="仿宋_GB2312" w:eastAsia="仿宋_GB2312" w:cs="仿宋_GB2312"/>
          <w:b/>
          <w:i w:val="0"/>
          <w:caps w:val="0"/>
          <w:spacing w:val="0"/>
          <w:w w:val="100"/>
          <w:sz w:val="24"/>
        </w:rPr>
        <w:t>24</w:t>
      </w:r>
      <w:bookmarkEnd w:id="415"/>
      <w:r>
        <w:rPr>
          <w:rFonts w:hint="eastAsia" w:ascii="仿宋_GB2312" w:hAnsi="仿宋_GB2312" w:eastAsia="仿宋_GB2312" w:cs="仿宋_GB2312"/>
          <w:b/>
          <w:i w:val="0"/>
          <w:caps w:val="0"/>
          <w:spacing w:val="0"/>
          <w:w w:val="100"/>
          <w:sz w:val="24"/>
        </w:rPr>
        <w:t>.废标</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195D8557">
      <w:pPr>
        <w:snapToGrid/>
        <w:spacing w:before="0" w:beforeAutospacing="0" w:after="0" w:afterAutospacing="0" w:line="288" w:lineRule="auto"/>
        <w:ind w:left="897" w:leftChars="399" w:hangingChars="2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出现下列情形之一，将导致项目废标： </w:t>
      </w:r>
    </w:p>
    <w:p w14:paraId="10142FA6">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（1）符合专业条件的供应商或者对招标文件做实质性响应的供应商不足三家；</w:t>
      </w:r>
    </w:p>
    <w:p w14:paraId="6651FB8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（2）出现影响采购公正的违法、违规行为的；</w:t>
      </w:r>
    </w:p>
    <w:p w14:paraId="78C5FE63">
      <w:pPr>
        <w:snapToGrid/>
        <w:spacing w:before="0" w:beforeAutospacing="0" w:after="0" w:afterAutospacing="0" w:line="288" w:lineRule="auto"/>
        <w:ind w:firstLine="840" w:firstLineChars="35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（3）投标人的报价均超过了采购预算，采购人不能支付的；</w:t>
      </w:r>
    </w:p>
    <w:p w14:paraId="5B71AD58">
      <w:pPr>
        <w:snapToGrid/>
        <w:spacing w:before="0" w:beforeAutospacing="0" w:after="0" w:afterAutospacing="0" w:line="288" w:lineRule="auto"/>
        <w:ind w:firstLine="840" w:firstLineChars="35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（4）因重大变故，采购任务取消的。   </w:t>
      </w:r>
    </w:p>
    <w:p w14:paraId="32F5E20E">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430" w:name="_Toc16912"/>
      <w:bookmarkStart w:id="431" w:name="_Toc30826"/>
      <w:bookmarkStart w:id="432" w:name="_Toc27384"/>
      <w:bookmarkStart w:id="433" w:name="_Toc30606"/>
      <w:bookmarkStart w:id="434" w:name="_Toc20311"/>
      <w:bookmarkStart w:id="435" w:name="_Toc31289"/>
      <w:bookmarkStart w:id="436" w:name="_Toc11699"/>
      <w:bookmarkStart w:id="437" w:name="_Toc24972"/>
      <w:bookmarkStart w:id="438" w:name="_Toc19908"/>
      <w:bookmarkStart w:id="439" w:name="_Toc12228"/>
      <w:bookmarkStart w:id="440" w:name="_Toc10707"/>
      <w:bookmarkStart w:id="441" w:name="_Toc11175"/>
      <w:bookmarkStart w:id="442" w:name="_Toc13265"/>
      <w:bookmarkStart w:id="443" w:name="_Toc515647786"/>
      <w:bookmarkStart w:id="444" w:name="_Toc520356169"/>
      <w:r>
        <w:rPr>
          <w:rFonts w:hint="eastAsia" w:ascii="仿宋_GB2312" w:hAnsi="仿宋_GB2312" w:eastAsia="仿宋_GB2312" w:cs="仿宋_GB2312"/>
          <w:b/>
          <w:i w:val="0"/>
          <w:caps w:val="0"/>
          <w:spacing w:val="0"/>
          <w:w w:val="100"/>
          <w:sz w:val="24"/>
        </w:rPr>
        <w:t>25.保密原则</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27ED2577">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25.1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评标将在严格保密的情况下进行。</w:t>
      </w:r>
    </w:p>
    <w:p w14:paraId="39F6EDF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25.2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政府采购评审专家应当遵守评审工作纪律，不得泄露评审文件、评审情况和评审中获悉的商业秘密。</w:t>
      </w:r>
      <w:bookmarkStart w:id="445" w:name="_Toc2153"/>
      <w:bookmarkStart w:id="446" w:name="_Toc12143"/>
      <w:bookmarkStart w:id="447" w:name="_Toc23904"/>
      <w:bookmarkStart w:id="448" w:name="_Toc216582810"/>
      <w:bookmarkStart w:id="449" w:name="_Toc515647787"/>
    </w:p>
    <w:p w14:paraId="63A7E508">
      <w:pPr>
        <w:pStyle w:val="4"/>
        <w:snapToGrid/>
        <w:spacing w:before="0" w:beforeAutospacing="0" w:after="0" w:afterAutospacing="0" w:line="288" w:lineRule="auto"/>
        <w:ind w:left="1257" w:leftChars="599" w:firstLine="2500" w:firstLineChars="1042"/>
        <w:jc w:val="both"/>
        <w:textAlignment w:val="baseline"/>
        <w:rPr>
          <w:rFonts w:ascii="仿宋_GB2312" w:hAnsi="仿宋_GB2312" w:eastAsia="仿宋_GB2312" w:cs="仿宋_GB2312"/>
          <w:b/>
          <w:i w:val="0"/>
          <w:caps w:val="0"/>
          <w:spacing w:val="0"/>
          <w:w w:val="100"/>
          <w:sz w:val="24"/>
        </w:rPr>
      </w:pPr>
      <w:bookmarkStart w:id="450" w:name="_Toc29576"/>
      <w:bookmarkStart w:id="451" w:name="_Toc11673"/>
      <w:bookmarkStart w:id="452" w:name="_Toc4031"/>
      <w:bookmarkStart w:id="453" w:name="_Toc2098"/>
      <w:bookmarkStart w:id="454" w:name="_Toc6207"/>
      <w:bookmarkStart w:id="455" w:name="_Toc31174"/>
      <w:bookmarkStart w:id="456" w:name="_Toc17670"/>
      <w:bookmarkStart w:id="457" w:name="_Toc13388"/>
      <w:bookmarkStart w:id="458" w:name="_Toc31413"/>
      <w:bookmarkStart w:id="459" w:name="_Toc31457"/>
      <w:r>
        <w:rPr>
          <w:rFonts w:hint="eastAsia" w:ascii="仿宋_GB2312" w:hAnsi="仿宋_GB2312" w:eastAsia="仿宋_GB2312" w:cs="仿宋_GB2312"/>
          <w:b/>
          <w:i w:val="0"/>
          <w:caps w:val="0"/>
          <w:spacing w:val="0"/>
          <w:w w:val="100"/>
          <w:sz w:val="24"/>
        </w:rPr>
        <w:t xml:space="preserve">六   </w:t>
      </w:r>
      <w:bookmarkEnd w:id="444"/>
      <w:r>
        <w:rPr>
          <w:rFonts w:hint="eastAsia" w:ascii="仿宋_GB2312" w:hAnsi="仿宋_GB2312" w:eastAsia="仿宋_GB2312" w:cs="仿宋_GB2312"/>
          <w:b/>
          <w:i w:val="0"/>
          <w:caps w:val="0"/>
          <w:spacing w:val="0"/>
          <w:w w:val="100"/>
          <w:sz w:val="24"/>
        </w:rPr>
        <w:t>确定中标</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F9ACFF7">
      <w:pPr>
        <w:pStyle w:val="6"/>
        <w:snapToGrid/>
        <w:spacing w:before="0" w:beforeAutospacing="0" w:after="0" w:afterAutospacing="0" w:line="288" w:lineRule="auto"/>
        <w:ind w:firstLine="420"/>
        <w:jc w:val="left"/>
        <w:textAlignment w:val="baseline"/>
        <w:rPr>
          <w:rFonts w:ascii="仿宋_GB2312" w:hAnsi="仿宋_GB2312" w:eastAsia="仿宋_GB2312" w:cs="仿宋_GB2312"/>
          <w:b w:val="0"/>
          <w:i w:val="0"/>
          <w:caps w:val="0"/>
          <w:spacing w:val="0"/>
          <w:w w:val="100"/>
          <w:sz w:val="24"/>
        </w:rPr>
      </w:pPr>
    </w:p>
    <w:p w14:paraId="0A9C845C">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460" w:name="_Toc29826"/>
      <w:bookmarkStart w:id="461" w:name="_Toc30556"/>
      <w:bookmarkStart w:id="462" w:name="_Toc23617"/>
      <w:bookmarkStart w:id="463" w:name="_Toc23762"/>
      <w:bookmarkStart w:id="464" w:name="_Toc30908"/>
      <w:bookmarkStart w:id="465" w:name="_Toc11587"/>
      <w:bookmarkStart w:id="466" w:name="_Toc32399"/>
      <w:bookmarkStart w:id="467" w:name="_Toc13121"/>
      <w:bookmarkStart w:id="468" w:name="_Toc25225"/>
      <w:bookmarkStart w:id="469" w:name="_Toc13522"/>
      <w:bookmarkStart w:id="470" w:name="_Toc23538"/>
      <w:bookmarkStart w:id="471" w:name="_Toc515647788"/>
      <w:bookmarkStart w:id="472" w:name="_Toc286"/>
      <w:bookmarkStart w:id="473" w:name="_Toc28066"/>
      <w:bookmarkStart w:id="474" w:name="_Ref467307010"/>
      <w:bookmarkStart w:id="475" w:name="_Toc520356170"/>
      <w:r>
        <w:rPr>
          <w:rFonts w:hint="eastAsia" w:ascii="仿宋_GB2312" w:hAnsi="仿宋_GB2312" w:eastAsia="仿宋_GB2312" w:cs="仿宋_GB2312"/>
          <w:b/>
          <w:i w:val="0"/>
          <w:caps w:val="0"/>
          <w:spacing w:val="0"/>
          <w:w w:val="100"/>
          <w:sz w:val="24"/>
        </w:rPr>
        <w:t>26.中标候选人的确定原则及标准</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3E266F1">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除第28条规定外，对实质上响应招标文件的投标人按下列方法进行排序，确定投标候选人：</w:t>
      </w:r>
    </w:p>
    <w:p w14:paraId="4B850FA1">
      <w:pPr>
        <w:snapToGrid/>
        <w:spacing w:before="0" w:beforeAutospacing="0" w:after="0" w:afterAutospacing="0" w:line="288" w:lineRule="auto"/>
        <w:ind w:left="901"/>
        <w:jc w:val="both"/>
        <w:textAlignment w:val="baseline"/>
        <w:rPr>
          <w:rFonts w:ascii="仿宋_GB2312" w:hAnsi="仿宋_GB2312" w:eastAsia="仿宋_GB2312" w:cs="仿宋_GB2312"/>
          <w:b w:val="0"/>
          <w:i w:val="0"/>
          <w:caps w:val="0"/>
          <w:spacing w:val="0"/>
          <w:w w:val="100"/>
          <w:sz w:val="24"/>
        </w:rPr>
      </w:pPr>
      <w:bookmarkStart w:id="476" w:name="_Toc520356171"/>
      <w:bookmarkStart w:id="477" w:name="_Toc515647789"/>
      <w:r>
        <w:rPr>
          <w:rFonts w:hint="eastAsia" w:ascii="仿宋_GB2312" w:hAnsi="仿宋_GB2312" w:eastAsia="仿宋_GB2312" w:cs="仿宋_GB2312"/>
          <w:b w:val="0"/>
          <w:i w:val="0"/>
          <w:caps w:val="0"/>
          <w:spacing w:val="0"/>
          <w:w w:val="100"/>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7A1E2EE3">
      <w:pPr>
        <w:snapToGrid/>
        <w:spacing w:before="0" w:beforeAutospacing="0" w:after="0" w:afterAutospacing="0" w:line="288" w:lineRule="auto"/>
        <w:ind w:left="901"/>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（2）采用综合评分法的，评标结果按评审后得分由高到低顺序排列。得分相同的，按修正和扣除后的投标报价由低到高顺序排列。得分与投标报价均相同的处理方式详见招标文件第6章。</w:t>
      </w:r>
    </w:p>
    <w:p w14:paraId="2E2677C9">
      <w:pPr>
        <w:pStyle w:val="2"/>
        <w:tabs>
          <w:tab w:val="left" w:pos="900"/>
        </w:tabs>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478" w:name="_Toc28903"/>
      <w:bookmarkStart w:id="479" w:name="_Toc1493"/>
      <w:bookmarkStart w:id="480" w:name="_Toc15415"/>
      <w:bookmarkStart w:id="481" w:name="_Toc8300"/>
      <w:bookmarkStart w:id="482" w:name="_Toc19685"/>
      <w:bookmarkStart w:id="483" w:name="_Toc28266"/>
      <w:bookmarkStart w:id="484" w:name="_Toc22105"/>
      <w:bookmarkStart w:id="485" w:name="_Toc19950"/>
      <w:bookmarkStart w:id="486" w:name="_Toc14469"/>
      <w:bookmarkStart w:id="487" w:name="_Toc17755"/>
      <w:bookmarkStart w:id="488" w:name="_Toc23951"/>
      <w:bookmarkStart w:id="489" w:name="_Toc10359"/>
      <w:bookmarkStart w:id="490" w:name="_Toc9653"/>
      <w:r>
        <w:rPr>
          <w:rFonts w:hint="eastAsia" w:ascii="仿宋_GB2312" w:hAnsi="仿宋_GB2312" w:eastAsia="仿宋_GB2312" w:cs="仿宋_GB2312"/>
          <w:b/>
          <w:i w:val="0"/>
          <w:caps w:val="0"/>
          <w:spacing w:val="0"/>
          <w:w w:val="100"/>
          <w:sz w:val="24"/>
        </w:rPr>
        <w:t>27</w:t>
      </w:r>
      <w:bookmarkEnd w:id="476"/>
      <w:r>
        <w:rPr>
          <w:rFonts w:hint="eastAsia" w:ascii="仿宋_GB2312" w:hAnsi="仿宋_GB2312" w:eastAsia="仿宋_GB2312" w:cs="仿宋_GB2312"/>
          <w:b/>
          <w:i w:val="0"/>
          <w:caps w:val="0"/>
          <w:spacing w:val="0"/>
          <w:w w:val="100"/>
          <w:sz w:val="24"/>
        </w:rPr>
        <w:t>.确定中标候选人和中标人</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6BB21AE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评标委员会将根据评标标准，按</w:t>
      </w:r>
      <w:r>
        <w:rPr>
          <w:rFonts w:hint="eastAsia" w:ascii="仿宋_GB2312" w:hAnsi="仿宋_GB2312" w:eastAsia="仿宋_GB2312" w:cs="仿宋_GB2312"/>
          <w:b w:val="0"/>
          <w:i w:val="0"/>
          <w:caps w:val="0"/>
          <w:spacing w:val="0"/>
          <w:w w:val="100"/>
          <w:sz w:val="24"/>
          <w:u w:val="single" w:color="000000"/>
        </w:rPr>
        <w:t>投标人须知资料表中</w:t>
      </w:r>
      <w:r>
        <w:rPr>
          <w:rFonts w:hint="eastAsia" w:ascii="仿宋_GB2312" w:hAnsi="仿宋_GB2312" w:eastAsia="仿宋_GB2312" w:cs="仿宋_GB2312"/>
          <w:b w:val="0"/>
          <w:i w:val="0"/>
          <w:caps w:val="0"/>
          <w:spacing w:val="0"/>
          <w:w w:val="100"/>
          <w:sz w:val="24"/>
        </w:rPr>
        <w:t>规定数量推荐中标候选人；或根据采购人的委托，直接确定中标人。</w:t>
      </w:r>
    </w:p>
    <w:p w14:paraId="7F11CB0D">
      <w:pPr>
        <w:pStyle w:val="2"/>
        <w:tabs>
          <w:tab w:val="left" w:pos="900"/>
        </w:tabs>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491" w:name="_Ref467306874"/>
      <w:bookmarkStart w:id="492" w:name="_Toc520356173"/>
      <w:bookmarkStart w:id="493" w:name="_Toc26160"/>
      <w:bookmarkStart w:id="494" w:name="_Toc26197"/>
      <w:bookmarkStart w:id="495" w:name="_Toc8389"/>
      <w:bookmarkStart w:id="496" w:name="_Toc7783"/>
      <w:bookmarkStart w:id="497" w:name="_Toc19331"/>
      <w:bookmarkStart w:id="498" w:name="_Toc28562"/>
      <w:bookmarkStart w:id="499" w:name="_Toc8958"/>
      <w:bookmarkStart w:id="500" w:name="_Toc5444"/>
      <w:bookmarkStart w:id="501" w:name="_Toc515647790"/>
      <w:bookmarkStart w:id="502" w:name="_Toc6582"/>
      <w:bookmarkStart w:id="503" w:name="_Toc28621"/>
      <w:bookmarkStart w:id="504" w:name="_Toc27049"/>
      <w:bookmarkStart w:id="505" w:name="_Toc11867"/>
      <w:bookmarkStart w:id="506" w:name="_Toc13782"/>
      <w:r>
        <w:rPr>
          <w:rFonts w:hint="eastAsia" w:ascii="仿宋_GB2312" w:hAnsi="仿宋_GB2312" w:eastAsia="仿宋_GB2312" w:cs="仿宋_GB2312"/>
          <w:b/>
          <w:i w:val="0"/>
          <w:caps w:val="0"/>
          <w:spacing w:val="0"/>
          <w:w w:val="100"/>
          <w:sz w:val="24"/>
        </w:rPr>
        <w:t>28.</w:t>
      </w:r>
      <w:bookmarkEnd w:id="491"/>
      <w:bookmarkEnd w:id="492"/>
      <w:r>
        <w:rPr>
          <w:rFonts w:hint="eastAsia" w:ascii="仿宋_GB2312" w:hAnsi="仿宋_GB2312" w:eastAsia="仿宋_GB2312" w:cs="仿宋_GB2312"/>
          <w:b/>
          <w:i w:val="0"/>
          <w:caps w:val="0"/>
          <w:spacing w:val="0"/>
          <w:w w:val="100"/>
          <w:sz w:val="24"/>
        </w:rPr>
        <w:t>采购任务取消</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279AA83E">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因重大变故采购任务取消时，采购人有权拒绝任何投标人中标，且对受影响的投标人不承担任何责任。</w:t>
      </w:r>
      <w:bookmarkStart w:id="507" w:name="_Toc520356174"/>
    </w:p>
    <w:p w14:paraId="3F52B71E">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08" w:name="_Toc13508"/>
      <w:bookmarkStart w:id="509" w:name="_Toc5808"/>
      <w:bookmarkStart w:id="510" w:name="_Toc31142"/>
      <w:bookmarkStart w:id="511" w:name="_Toc5136"/>
      <w:bookmarkStart w:id="512" w:name="_Toc10164"/>
      <w:bookmarkStart w:id="513" w:name="_Toc22190"/>
      <w:bookmarkStart w:id="514" w:name="_Toc30170"/>
      <w:bookmarkStart w:id="515" w:name="_Toc31281"/>
      <w:bookmarkStart w:id="516" w:name="_Toc515647791"/>
      <w:bookmarkStart w:id="517" w:name="_Toc25468"/>
      <w:bookmarkStart w:id="518" w:name="_Toc2614"/>
      <w:bookmarkStart w:id="519" w:name="_Toc3276"/>
      <w:bookmarkStart w:id="520" w:name="_Toc31099"/>
      <w:bookmarkStart w:id="521" w:name="_Toc31992"/>
      <w:r>
        <w:rPr>
          <w:rFonts w:hint="eastAsia" w:ascii="仿宋_GB2312" w:hAnsi="仿宋_GB2312" w:eastAsia="仿宋_GB2312" w:cs="仿宋_GB2312"/>
          <w:b/>
          <w:i w:val="0"/>
          <w:caps w:val="0"/>
          <w:spacing w:val="0"/>
          <w:w w:val="100"/>
          <w:sz w:val="24"/>
        </w:rPr>
        <w:t>29.中标通知书</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377EBB66">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29.1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在投标有效期内，中标人确定后，采购人或者采购代理机构发布中标公告，公示期后以书面形式向中标人发出中标通知书。</w:t>
      </w:r>
    </w:p>
    <w:p w14:paraId="7C67A8B9">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29.2</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中标通知书是合同的组成部分。</w:t>
      </w:r>
    </w:p>
    <w:p w14:paraId="630DC1EF">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22" w:name="_Toc17224"/>
      <w:bookmarkStart w:id="523" w:name="_Ref467306377"/>
      <w:bookmarkStart w:id="524" w:name="_Toc24763"/>
      <w:bookmarkStart w:id="525" w:name="_Toc31080"/>
      <w:bookmarkStart w:id="526" w:name="_Toc19020"/>
      <w:bookmarkStart w:id="527" w:name="_Toc515647792"/>
      <w:bookmarkStart w:id="528" w:name="_Toc520356175"/>
      <w:bookmarkStart w:id="529" w:name="_Toc14795"/>
      <w:bookmarkStart w:id="530" w:name="_Toc32036"/>
      <w:bookmarkStart w:id="531" w:name="_Toc28367"/>
      <w:bookmarkStart w:id="532" w:name="_Ref467307204"/>
      <w:bookmarkStart w:id="533" w:name="_Toc10227"/>
      <w:bookmarkStart w:id="534" w:name="_Toc28520"/>
      <w:bookmarkStart w:id="535" w:name="_Ref467306978"/>
      <w:bookmarkStart w:id="536" w:name="_Toc7779"/>
      <w:bookmarkStart w:id="537" w:name="_Toc29585"/>
      <w:bookmarkStart w:id="538" w:name="_Ref467307062"/>
      <w:bookmarkStart w:id="539" w:name="_Toc790"/>
      <w:bookmarkStart w:id="540" w:name="_Toc27557"/>
      <w:r>
        <w:rPr>
          <w:rFonts w:hint="eastAsia" w:ascii="仿宋_GB2312" w:hAnsi="仿宋_GB2312" w:eastAsia="仿宋_GB2312" w:cs="仿宋_GB2312"/>
          <w:b/>
          <w:i w:val="0"/>
          <w:caps w:val="0"/>
          <w:spacing w:val="0"/>
          <w:w w:val="100"/>
          <w:sz w:val="24"/>
        </w:rPr>
        <w:t>30.签订合同</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30992D38">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30.1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中标人应当自发出中标通知书之日起30日内，与采购人签订合同。</w:t>
      </w:r>
    </w:p>
    <w:p w14:paraId="2E2453B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30.2</w:t>
      </w:r>
      <w:r>
        <w:rPr>
          <w:rFonts w:hint="eastAsia" w:ascii="仿宋_GB2312" w:hAnsi="仿宋_GB2312" w:eastAsia="仿宋_GB2312" w:cs="仿宋_GB2312"/>
          <w:b w:val="0"/>
          <w:i w:val="0"/>
          <w:caps w:val="0"/>
          <w:spacing w:val="0"/>
          <w:w w:val="100"/>
          <w:sz w:val="24"/>
        </w:rPr>
        <w:tab/>
      </w:r>
      <w:bookmarkStart w:id="541" w:name="_Ref467307090"/>
      <w:bookmarkStart w:id="542" w:name="_Ref467306425"/>
      <w:bookmarkStart w:id="543" w:name="_Toc520356176"/>
      <w:r>
        <w:rPr>
          <w:rFonts w:hint="eastAsia" w:ascii="仿宋_GB2312" w:hAnsi="仿宋_GB2312" w:eastAsia="仿宋_GB2312" w:cs="仿宋_GB2312"/>
          <w:b w:val="0"/>
          <w:i w:val="0"/>
          <w:caps w:val="0"/>
          <w:spacing w:val="0"/>
          <w:w w:val="100"/>
          <w:sz w:val="24"/>
        </w:rPr>
        <w:t>招标文件、中标人的投标文件及其澄清文件等，均为签订合同的依据。</w:t>
      </w:r>
    </w:p>
    <w:p w14:paraId="0488D3C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30.3   中标人拒绝与采购人签订合同的，采购人可以按照评审报告推荐的中标候选人名单排序，确定下一中标候选人为中标人，也可以重新开展政府采购活动。</w:t>
      </w:r>
    </w:p>
    <w:p w14:paraId="2CCFC0A8">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30.4   当出现法规规定的</w:t>
      </w:r>
      <w:r>
        <w:rPr>
          <w:rFonts w:hint="eastAsia" w:ascii="仿宋_GB2312" w:hAnsi="仿宋_GB2312" w:eastAsia="仿宋_GB2312" w:cs="仿宋_GB2312"/>
          <w:b/>
          <w:i w:val="0"/>
          <w:caps w:val="0"/>
          <w:spacing w:val="0"/>
          <w:w w:val="100"/>
          <w:sz w:val="24"/>
        </w:rPr>
        <w:t>中标无效或中标结果无效</w:t>
      </w:r>
      <w:r>
        <w:rPr>
          <w:rFonts w:hint="eastAsia" w:ascii="仿宋_GB2312" w:hAnsi="仿宋_GB2312" w:eastAsia="仿宋_GB2312" w:cs="仿宋_GB2312"/>
          <w:b w:val="0"/>
          <w:i w:val="0"/>
          <w:caps w:val="0"/>
          <w:spacing w:val="0"/>
          <w:w w:val="100"/>
          <w:sz w:val="24"/>
        </w:rPr>
        <w:t>情形时，采购人可与排名下一位的中标候选人另行签订合同，或依法重新开展采购活动。</w:t>
      </w:r>
    </w:p>
    <w:p w14:paraId="366EF7B2">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44" w:name="_Toc5487"/>
      <w:bookmarkStart w:id="545" w:name="_Toc29549"/>
      <w:bookmarkStart w:id="546" w:name="_Toc14080"/>
      <w:bookmarkStart w:id="547" w:name="_Toc11523"/>
      <w:bookmarkStart w:id="548" w:name="_Toc16785"/>
      <w:bookmarkStart w:id="549" w:name="_Toc7188"/>
      <w:bookmarkStart w:id="550" w:name="_Toc515647793"/>
      <w:bookmarkStart w:id="551" w:name="_Toc13900"/>
      <w:bookmarkStart w:id="552" w:name="_Toc27954"/>
      <w:bookmarkStart w:id="553" w:name="_Toc16031"/>
      <w:bookmarkStart w:id="554" w:name="_Toc10395"/>
      <w:bookmarkStart w:id="555" w:name="_Toc25751"/>
      <w:bookmarkStart w:id="556" w:name="_Toc25154"/>
      <w:bookmarkStart w:id="557" w:name="_Toc22555"/>
      <w:r>
        <w:rPr>
          <w:rFonts w:hint="eastAsia" w:ascii="仿宋_GB2312" w:hAnsi="仿宋_GB2312" w:eastAsia="仿宋_GB2312" w:cs="仿宋_GB2312"/>
          <w:b/>
          <w:i w:val="0"/>
          <w:caps w:val="0"/>
          <w:spacing w:val="0"/>
          <w:w w:val="100"/>
          <w:sz w:val="24"/>
        </w:rPr>
        <w:t>31.履约保证金</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69A6178">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31.1</w:t>
      </w:r>
      <w:r>
        <w:rPr>
          <w:rFonts w:hint="eastAsia" w:ascii="仿宋_GB2312" w:hAnsi="仿宋_GB2312" w:eastAsia="仿宋_GB2312" w:cs="仿宋_GB2312"/>
          <w:b w:val="0"/>
          <w:i w:val="0"/>
          <w:caps w:val="0"/>
          <w:spacing w:val="0"/>
          <w:w w:val="100"/>
          <w:sz w:val="24"/>
        </w:rPr>
        <w:tab/>
      </w:r>
      <w:r>
        <w:rPr>
          <w:rFonts w:hint="eastAsia" w:ascii="仿宋_GB2312" w:hAnsi="仿宋_GB2312" w:eastAsia="仿宋_GB2312" w:cs="仿宋_GB2312"/>
          <w:b w:val="0"/>
          <w:i w:val="0"/>
          <w:caps w:val="0"/>
          <w:spacing w:val="0"/>
          <w:w w:val="100"/>
          <w:sz w:val="24"/>
        </w:rPr>
        <w:t>中标人应按照</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规定向采购人缴纳履约保证金。</w:t>
      </w:r>
    </w:p>
    <w:p w14:paraId="12D5CDF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31.2   如果中标人没有按照上述履约保证金的规定执行，将视为放弃中标资格，中标人的投标保证金将不予退还。在此情况下，采购人可确定下一候选人为中标人，也可以重新开展采购活动。</w:t>
      </w:r>
    </w:p>
    <w:p w14:paraId="1B5A619E">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58" w:name="_Toc12106"/>
      <w:bookmarkStart w:id="559" w:name="_Toc515647794"/>
      <w:bookmarkStart w:id="560" w:name="_Toc3090"/>
      <w:bookmarkStart w:id="561" w:name="_Toc24667"/>
      <w:bookmarkStart w:id="562" w:name="_Toc31936"/>
      <w:bookmarkStart w:id="563" w:name="_Toc11875"/>
      <w:bookmarkStart w:id="564" w:name="_Toc10961"/>
      <w:bookmarkStart w:id="565" w:name="_Toc15895"/>
      <w:bookmarkStart w:id="566" w:name="_Toc17038"/>
      <w:bookmarkStart w:id="567" w:name="_Toc19288"/>
      <w:bookmarkStart w:id="568" w:name="_Toc30049"/>
      <w:bookmarkStart w:id="569" w:name="_Toc27777"/>
      <w:bookmarkStart w:id="570" w:name="_Toc7922"/>
      <w:bookmarkStart w:id="571" w:name="_Toc29408"/>
      <w:r>
        <w:rPr>
          <w:rFonts w:hint="eastAsia" w:ascii="仿宋_GB2312" w:hAnsi="仿宋_GB2312" w:eastAsia="仿宋_GB2312" w:cs="仿宋_GB2312"/>
          <w:b/>
          <w:i w:val="0"/>
          <w:caps w:val="0"/>
          <w:spacing w:val="0"/>
          <w:w w:val="100"/>
          <w:sz w:val="24"/>
        </w:rPr>
        <w:t>32.中标服务费</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A07BD9C">
      <w:pPr>
        <w:snapToGrid/>
        <w:spacing w:before="0" w:beforeAutospacing="0" w:after="0" w:afterAutospacing="0" w:line="288" w:lineRule="auto"/>
        <w:ind w:left="840" w:leftChars="200" w:hangingChars="175"/>
        <w:jc w:val="both"/>
        <w:textAlignment w:val="baseline"/>
        <w:rPr>
          <w:rFonts w:hint="eastAsia" w:ascii="仿宋_GB2312" w:hAnsi="仿宋_GB2312" w:eastAsia="仿宋_GB2312" w:cs="仿宋_GB2312"/>
          <w:b w:val="0"/>
          <w:i w:val="0"/>
          <w:caps w:val="0"/>
          <w:spacing w:val="0"/>
          <w:w w:val="100"/>
          <w:sz w:val="24"/>
          <w:lang w:eastAsia="zh-CN"/>
        </w:rPr>
      </w:pPr>
      <w:r>
        <w:rPr>
          <w:rFonts w:hint="eastAsia" w:ascii="仿宋_GB2312" w:hAnsi="仿宋_GB2312" w:eastAsia="仿宋_GB2312" w:cs="仿宋_GB2312"/>
          <w:b w:val="0"/>
          <w:i w:val="0"/>
          <w:caps w:val="0"/>
          <w:spacing w:val="0"/>
          <w:w w:val="100"/>
          <w:sz w:val="24"/>
        </w:rPr>
        <w:t xml:space="preserve">   中标人须按照</w:t>
      </w:r>
      <w:r>
        <w:rPr>
          <w:rFonts w:hint="eastAsia" w:ascii="仿宋_GB2312" w:hAnsi="仿宋_GB2312" w:eastAsia="仿宋_GB2312" w:cs="仿宋_GB2312"/>
          <w:b w:val="0"/>
          <w:i w:val="0"/>
          <w:caps w:val="0"/>
          <w:spacing w:val="0"/>
          <w:w w:val="100"/>
          <w:sz w:val="24"/>
          <w:u w:val="single" w:color="000000"/>
        </w:rPr>
        <w:t>投标须知资料表</w:t>
      </w:r>
      <w:r>
        <w:rPr>
          <w:rFonts w:hint="eastAsia" w:ascii="仿宋_GB2312" w:hAnsi="仿宋_GB2312" w:eastAsia="仿宋_GB2312" w:cs="仿宋_GB2312"/>
          <w:b w:val="0"/>
          <w:i w:val="0"/>
          <w:caps w:val="0"/>
          <w:spacing w:val="0"/>
          <w:w w:val="100"/>
          <w:sz w:val="24"/>
        </w:rPr>
        <w:t>规定，向采购代理机构支付中标服务费。</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color w:val="FF0000"/>
          <w:spacing w:val="0"/>
          <w:w w:val="100"/>
          <w:sz w:val="24"/>
          <w:lang w:val="en-US" w:eastAsia="zh-CN"/>
        </w:rPr>
        <w:t>不适用</w:t>
      </w:r>
      <w:r>
        <w:rPr>
          <w:rFonts w:hint="eastAsia" w:ascii="仿宋_GB2312" w:hAnsi="仿宋_GB2312" w:eastAsia="仿宋_GB2312" w:cs="仿宋_GB2312"/>
          <w:b w:val="0"/>
          <w:i w:val="0"/>
          <w:caps w:val="0"/>
          <w:spacing w:val="0"/>
          <w:w w:val="100"/>
          <w:sz w:val="24"/>
          <w:lang w:eastAsia="zh-CN"/>
        </w:rPr>
        <w:t>）</w:t>
      </w:r>
    </w:p>
    <w:p w14:paraId="6C889DA9">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72" w:name="_Toc3954"/>
      <w:bookmarkStart w:id="573" w:name="_Toc14390"/>
      <w:bookmarkStart w:id="574" w:name="_Toc13588"/>
      <w:bookmarkStart w:id="575" w:name="_Toc12385"/>
      <w:bookmarkStart w:id="576" w:name="_Toc17196"/>
      <w:bookmarkStart w:id="577" w:name="_Toc29312"/>
      <w:bookmarkStart w:id="578" w:name="_Toc30722"/>
      <w:bookmarkStart w:id="579" w:name="_Toc16253"/>
      <w:bookmarkStart w:id="580" w:name="_Toc515647795"/>
      <w:bookmarkStart w:id="581" w:name="_Toc24553"/>
      <w:bookmarkStart w:id="582" w:name="_Toc24674"/>
      <w:bookmarkStart w:id="583" w:name="_Toc6923"/>
      <w:bookmarkStart w:id="584" w:name="_Toc7049"/>
      <w:bookmarkStart w:id="585" w:name="_Toc28457"/>
      <w:r>
        <w:rPr>
          <w:rFonts w:hint="eastAsia" w:ascii="仿宋_GB2312" w:hAnsi="仿宋_GB2312" w:eastAsia="仿宋_GB2312" w:cs="仿宋_GB2312"/>
          <w:b/>
          <w:i w:val="0"/>
          <w:caps w:val="0"/>
          <w:spacing w:val="0"/>
          <w:w w:val="100"/>
          <w:sz w:val="24"/>
        </w:rPr>
        <w:t>33.政府采购信用担保</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654C0DF4">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33.1   本项目是否属于信用担保试点范围见</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w:t>
      </w:r>
    </w:p>
    <w:p w14:paraId="6995A1C5">
      <w:pPr>
        <w:snapToGrid/>
        <w:spacing w:before="0" w:beforeAutospacing="0" w:after="0" w:afterAutospacing="0" w:line="288" w:lineRule="auto"/>
        <w:ind w:hangingChars="354"/>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33.2   如属于政府采购信用担保试点范围内，中小型企业投标人可以自由按照财政部门的规定，采用投标担保、履约担保和融资担保。</w:t>
      </w:r>
    </w:p>
    <w:p w14:paraId="5F0DA27C">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33.2.1 投标人递交的投标担保函和履约担保函应符合本招标文件的规定。</w:t>
      </w:r>
    </w:p>
    <w:p w14:paraId="54AC623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33.2.2 中标人可以采取融资担保的形式为政府采购项目履约进行融资。</w:t>
      </w:r>
    </w:p>
    <w:p w14:paraId="720CD59F">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33.2.3 合格的政府采购专业信用担保机构名单见</w:t>
      </w:r>
      <w:r>
        <w:rPr>
          <w:rFonts w:hint="eastAsia" w:ascii="仿宋_GB2312" w:hAnsi="仿宋_GB2312" w:eastAsia="仿宋_GB2312" w:cs="仿宋_GB2312"/>
          <w:b w:val="0"/>
          <w:i w:val="0"/>
          <w:caps w:val="0"/>
          <w:spacing w:val="0"/>
          <w:w w:val="100"/>
          <w:sz w:val="24"/>
          <w:u w:val="single" w:color="000000"/>
        </w:rPr>
        <w:t>投标人须知资料表</w:t>
      </w:r>
      <w:r>
        <w:rPr>
          <w:rFonts w:hint="eastAsia" w:ascii="仿宋_GB2312" w:hAnsi="仿宋_GB2312" w:eastAsia="仿宋_GB2312" w:cs="仿宋_GB2312"/>
          <w:b w:val="0"/>
          <w:i w:val="0"/>
          <w:caps w:val="0"/>
          <w:spacing w:val="0"/>
          <w:w w:val="100"/>
          <w:sz w:val="24"/>
        </w:rPr>
        <w:t>。</w:t>
      </w:r>
    </w:p>
    <w:p w14:paraId="1D1DC94B">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586" w:name="_Toc21223"/>
      <w:bookmarkStart w:id="587" w:name="_Toc27852"/>
      <w:bookmarkStart w:id="588" w:name="_Toc9688"/>
      <w:bookmarkStart w:id="589" w:name="_Toc27198"/>
      <w:bookmarkStart w:id="590" w:name="_Toc23999"/>
      <w:bookmarkStart w:id="591" w:name="_Toc2133"/>
      <w:bookmarkStart w:id="592" w:name="_Toc22070"/>
      <w:bookmarkStart w:id="593" w:name="_Toc20713"/>
      <w:bookmarkStart w:id="594" w:name="_Toc7"/>
      <w:bookmarkStart w:id="595" w:name="_Toc515647796"/>
      <w:bookmarkStart w:id="596" w:name="_Toc27816"/>
      <w:bookmarkStart w:id="597" w:name="_Toc28024"/>
      <w:bookmarkStart w:id="598" w:name="_Toc6716"/>
      <w:bookmarkStart w:id="599" w:name="_Toc9817"/>
      <w:r>
        <w:rPr>
          <w:rFonts w:hint="eastAsia" w:ascii="仿宋_GB2312" w:hAnsi="仿宋_GB2312" w:eastAsia="仿宋_GB2312" w:cs="仿宋_GB2312"/>
          <w:b/>
          <w:i w:val="0"/>
          <w:caps w:val="0"/>
          <w:spacing w:val="0"/>
          <w:w w:val="100"/>
          <w:sz w:val="24"/>
        </w:rPr>
        <w:t>34.廉洁自律规定</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015EE5D6">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34.1   采购代理机构工作人员不得以不正当手段获取政府采购代理业务，不得与采购人、供应商恶意串通操纵政府采购活动。</w:t>
      </w:r>
    </w:p>
    <w:p w14:paraId="09DC5210">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34.2   采购代理机构工作人员不得接受采购人或者供应商组织的宴请、旅游、娱乐，不得收受礼品、现金、有价证券等，不得向采购人或者供应商报销应当由个人承担的费用。</w:t>
      </w:r>
    </w:p>
    <w:p w14:paraId="481ED38B">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34.3   为强化采购代理机构内部监督机制，供应商可按</w:t>
      </w:r>
      <w:r>
        <w:rPr>
          <w:rFonts w:hint="eastAsia" w:ascii="仿宋_GB2312" w:hAnsi="仿宋_GB2312" w:eastAsia="仿宋_GB2312" w:cs="仿宋_GB2312"/>
          <w:b w:val="0"/>
          <w:i w:val="0"/>
          <w:caps w:val="0"/>
          <w:spacing w:val="0"/>
          <w:w w:val="100"/>
          <w:sz w:val="24"/>
          <w:u w:val="single" w:color="000000"/>
        </w:rPr>
        <w:t>投标人须知资料表中的</w:t>
      </w:r>
      <w:r>
        <w:rPr>
          <w:rFonts w:hint="eastAsia" w:ascii="仿宋_GB2312" w:hAnsi="仿宋_GB2312" w:eastAsia="仿宋_GB2312" w:cs="仿宋_GB2312"/>
          <w:b w:val="0"/>
          <w:i w:val="0"/>
          <w:caps w:val="0"/>
          <w:spacing w:val="0"/>
          <w:w w:val="100"/>
          <w:sz w:val="24"/>
        </w:rPr>
        <w:t>监督电话和邮箱，反映采购代理机构的廉洁自律等问题。</w:t>
      </w:r>
    </w:p>
    <w:p w14:paraId="4ECA0C06">
      <w:pPr>
        <w:pStyle w:val="2"/>
        <w:snapToGrid/>
        <w:spacing w:before="0" w:beforeAutospacing="0" w:after="0" w:afterAutospacing="0" w:line="288" w:lineRule="auto"/>
        <w:jc w:val="left"/>
        <w:textAlignment w:val="baseline"/>
        <w:rPr>
          <w:rFonts w:ascii="仿宋_GB2312" w:hAnsi="仿宋_GB2312" w:eastAsia="仿宋_GB2312" w:cs="仿宋_GB2312"/>
          <w:b/>
          <w:i w:val="0"/>
          <w:caps w:val="0"/>
          <w:spacing w:val="0"/>
          <w:w w:val="100"/>
          <w:sz w:val="24"/>
        </w:rPr>
      </w:pPr>
      <w:bookmarkStart w:id="600" w:name="_Toc24038"/>
      <w:bookmarkStart w:id="601" w:name="_Toc515647797"/>
      <w:bookmarkStart w:id="602" w:name="_Toc18027"/>
      <w:bookmarkStart w:id="603" w:name="_Toc31644"/>
      <w:bookmarkStart w:id="604" w:name="_Toc1541"/>
      <w:bookmarkStart w:id="605" w:name="_Toc14897"/>
      <w:bookmarkStart w:id="606" w:name="_Toc7508"/>
      <w:bookmarkStart w:id="607" w:name="_Toc10376"/>
      <w:bookmarkStart w:id="608" w:name="_Toc10437"/>
      <w:bookmarkStart w:id="609" w:name="_Toc22285"/>
      <w:bookmarkStart w:id="610" w:name="_Toc25480"/>
      <w:bookmarkStart w:id="611" w:name="_Toc11586"/>
      <w:bookmarkStart w:id="612" w:name="_Toc3888"/>
      <w:bookmarkStart w:id="613" w:name="_Toc6874"/>
      <w:r>
        <w:rPr>
          <w:rFonts w:hint="eastAsia" w:ascii="仿宋_GB2312" w:hAnsi="仿宋_GB2312" w:eastAsia="仿宋_GB2312" w:cs="仿宋_GB2312"/>
          <w:b/>
          <w:i w:val="0"/>
          <w:caps w:val="0"/>
          <w:spacing w:val="0"/>
          <w:w w:val="100"/>
          <w:sz w:val="24"/>
        </w:rPr>
        <w:t>35.人员回避</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28E09653">
      <w:pPr>
        <w:snapToGrid/>
        <w:spacing w:before="0" w:beforeAutospacing="0" w:after="0" w:afterAutospacing="0" w:line="288" w:lineRule="auto"/>
        <w:ind w:hangingChars="375"/>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       投标人认为采购人员及其相关人员有法律法规所列与其他供应商有利害关系的，可以向采购人或采购代理机构书面提出回避申请，并说明理由。</w:t>
      </w:r>
    </w:p>
    <w:p w14:paraId="42D698F2">
      <w:pPr>
        <w:pStyle w:val="2"/>
        <w:snapToGrid/>
        <w:spacing w:before="0" w:beforeAutospacing="0" w:after="0" w:afterAutospacing="0" w:line="288" w:lineRule="auto"/>
        <w:jc w:val="left"/>
        <w:textAlignment w:val="baseline"/>
        <w:rPr>
          <w:rFonts w:hint="eastAsia" w:ascii="仿宋_GB2312" w:hAnsi="仿宋_GB2312" w:eastAsia="仿宋_GB2312" w:cs="仿宋_GB2312"/>
          <w:b/>
          <w:i w:val="0"/>
          <w:caps w:val="0"/>
          <w:spacing w:val="0"/>
          <w:w w:val="100"/>
          <w:sz w:val="24"/>
        </w:rPr>
      </w:pPr>
      <w:bookmarkStart w:id="614" w:name="_Toc16862"/>
      <w:bookmarkStart w:id="615" w:name="_Toc17669"/>
      <w:bookmarkStart w:id="616" w:name="_Toc30751"/>
      <w:bookmarkStart w:id="617" w:name="_Toc23678"/>
      <w:bookmarkStart w:id="618" w:name="_Toc518923103"/>
      <w:bookmarkStart w:id="619" w:name="_Toc23883"/>
      <w:bookmarkStart w:id="620" w:name="_Toc3083"/>
      <w:r>
        <w:rPr>
          <w:rFonts w:hint="eastAsia" w:ascii="仿宋_GB2312" w:hAnsi="仿宋_GB2312" w:eastAsia="仿宋_GB2312" w:cs="仿宋_GB2312"/>
          <w:b/>
          <w:i w:val="0"/>
          <w:caps w:val="0"/>
          <w:spacing w:val="0"/>
          <w:w w:val="100"/>
          <w:sz w:val="24"/>
        </w:rPr>
        <w:t>36.质疑与接收</w:t>
      </w:r>
      <w:bookmarkEnd w:id="614"/>
      <w:bookmarkEnd w:id="615"/>
    </w:p>
    <w:p w14:paraId="6D83C34C">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36.1    供应商认为</w:t>
      </w:r>
      <w:r>
        <w:rPr>
          <w:rFonts w:hint="eastAsia" w:ascii="仿宋_GB2312" w:hAnsi="仿宋_GB2312" w:eastAsia="仿宋_GB2312" w:cs="仿宋_GB2312"/>
          <w:sz w:val="24"/>
          <w:lang w:eastAsia="zh-CN"/>
        </w:rPr>
        <w:t>招标</w:t>
      </w:r>
      <w:r>
        <w:rPr>
          <w:rFonts w:hint="eastAsia" w:ascii="仿宋_GB2312" w:hAnsi="仿宋_GB2312" w:eastAsia="仿宋_GB2312" w:cs="仿宋_GB2312"/>
          <w:sz w:val="24"/>
        </w:rPr>
        <w:t>文件、</w:t>
      </w:r>
      <w:r>
        <w:rPr>
          <w:rFonts w:hint="eastAsia" w:ascii="仿宋_GB2312" w:hAnsi="仿宋_GB2312" w:eastAsia="仿宋_GB2312" w:cs="仿宋_GB2312"/>
          <w:sz w:val="24"/>
          <w:lang w:eastAsia="zh-CN"/>
        </w:rPr>
        <w:t>招标</w:t>
      </w:r>
      <w:r>
        <w:rPr>
          <w:rFonts w:hint="eastAsia" w:ascii="仿宋_GB2312" w:hAnsi="仿宋_GB2312" w:eastAsia="仿宋_GB2312" w:cs="仿宋_GB2312"/>
          <w:sz w:val="24"/>
        </w:rPr>
        <w:t>过程和成交结果使自己的权益受到损害的，可以根据《中华人民共和国政府采购法》、《中华人民共和国政府采购法实施条例》和《政府采购质疑和投诉办法》的有关规定，依法向采购人或其委托的采购代理机构提出质疑。</w:t>
      </w:r>
    </w:p>
    <w:p w14:paraId="3F325E58">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14:paraId="77CE0995">
      <w:pPr>
        <w:keepNext w:val="0"/>
        <w:keepLines w:val="0"/>
        <w:pageBreakBefore w:val="0"/>
        <w:widowControl w:val="0"/>
        <w:kinsoku/>
        <w:wordWrap/>
        <w:overflowPunct/>
        <w:topLinePunct w:val="0"/>
        <w:autoSpaceDE/>
        <w:autoSpaceDN/>
        <w:bidi w:val="0"/>
        <w:adjustRightInd/>
        <w:snapToGrid/>
        <w:spacing w:line="340" w:lineRule="exact"/>
        <w:ind w:left="957" w:leftChars="456" w:firstLine="60" w:firstLineChars="2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超出法定质疑期的、重复提出的、分次提出的或内容、形式不符合《政府采购质疑和投诉办法》的，质疑供应商将依法承担不利后果。</w:t>
      </w:r>
    </w:p>
    <w:p w14:paraId="05A6A4A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36.3    采购代理机构质疑函接收部门、联系电话和通讯地址, 见供应商须知资料表。</w:t>
      </w:r>
    </w:p>
    <w:p w14:paraId="3087E12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36.4、质疑的提出</w:t>
      </w:r>
    </w:p>
    <w:p w14:paraId="0D49573B">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36.5   本采购文件中所称质疑及答复，是指参加本次采购活动的供应商对政府采购活动中的采购文件、采购过程和成交结果向采购方提出质疑，采购方答复质疑的行为。</w:t>
      </w:r>
    </w:p>
    <w:p w14:paraId="23043CF2">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14:paraId="41017291">
      <w:pPr>
        <w:keepNext w:val="0"/>
        <w:keepLines w:val="0"/>
        <w:pageBreakBefore w:val="0"/>
        <w:widowControl w:val="0"/>
        <w:kinsoku/>
        <w:wordWrap/>
        <w:overflowPunct/>
        <w:topLinePunct w:val="0"/>
        <w:autoSpaceDE/>
        <w:autoSpaceDN/>
        <w:bidi w:val="0"/>
        <w:adjustRightInd/>
        <w:snapToGrid/>
        <w:spacing w:line="340" w:lineRule="exact"/>
        <w:ind w:firstLine="720" w:firstLineChars="3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（一）对可以质疑的采购文件提出质疑的，为收到采购文件之日或者采购文件公告期限届满之日；</w:t>
      </w:r>
    </w:p>
    <w:p w14:paraId="05218C32">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（二）对采购过程提出质疑的，为各采购程序环节结束之日；</w:t>
      </w:r>
    </w:p>
    <w:p w14:paraId="111F0779">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（三）对成交结果提出质疑的，为成交结果公告期限届满之日。</w:t>
      </w:r>
    </w:p>
    <w:p w14:paraId="29AEA8F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36.7   对可以质疑的采购文件提出质疑的，质疑人为参与本项目的报价方或潜在报价方。可质疑的文件为采购公告以及采购文件（包括属于其组成部分的澄清、修改、补充文件和评审标准、合同文本等）。</w:t>
      </w:r>
    </w:p>
    <w:p w14:paraId="4C8AA53F">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36.8   对采购过程和成交结果提出质疑的，质疑人为直接参与本项目的报价方。采购过程,即从采购项目信息公告发布起到成交结果公告止，包括采购文件的发出、提交</w:t>
      </w:r>
      <w:r>
        <w:rPr>
          <w:rFonts w:hint="eastAsia" w:ascii="仿宋_GB2312" w:hAnsi="仿宋_GB2312" w:eastAsia="仿宋_GB2312" w:cs="仿宋_GB2312"/>
          <w:sz w:val="24"/>
          <w:lang w:eastAsia="zh-CN"/>
        </w:rPr>
        <w:t>投标文件</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投标文件</w:t>
      </w:r>
      <w:r>
        <w:rPr>
          <w:rFonts w:hint="eastAsia" w:ascii="仿宋_GB2312" w:hAnsi="仿宋_GB2312" w:eastAsia="仿宋_GB2312" w:cs="仿宋_GB2312"/>
          <w:sz w:val="24"/>
        </w:rPr>
        <w:t>开启、评审等各个采购程序环节。</w:t>
      </w:r>
    </w:p>
    <w:p w14:paraId="7E986CEA">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36.9   提出质疑应当符合下列条件：</w:t>
      </w:r>
    </w:p>
    <w:p w14:paraId="257CAB1D">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（一）质疑主体应当符合有关规定；</w:t>
      </w:r>
    </w:p>
    <w:p w14:paraId="37FB3B0A">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（二）在质疑法定期限内提出；</w:t>
      </w:r>
    </w:p>
    <w:p w14:paraId="2F3516B6">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（三）属于可以提出质疑的政府采购事项受理范围和本项目采购人的管辖权范围；</w:t>
      </w:r>
    </w:p>
    <w:p w14:paraId="7A350A39">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（四）政府采购法律、法规、规章规定的其他条件。</w:t>
      </w:r>
    </w:p>
    <w:p w14:paraId="17CFE5A5">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6AD51EDD">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.1  质疑人所提供的证明材料应当具有真实性、合法性以及与质疑事项的关联性和证明力，否则不能作为认定该质疑事项成立的依据。</w:t>
      </w:r>
    </w:p>
    <w:p w14:paraId="721F9827">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.2   质疑人提出质疑时应当提交质疑函。质疑函包括下列内容：</w:t>
      </w:r>
    </w:p>
    <w:p w14:paraId="2316459A">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（一）提出质疑的质疑人的名称、地址、邮编、联系人及联系电话等；</w:t>
      </w:r>
    </w:p>
    <w:p w14:paraId="7BEF978C">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（二）质疑项目的名称、编号；</w:t>
      </w:r>
    </w:p>
    <w:p w14:paraId="19B73CB1">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（三）质疑事项；</w:t>
      </w:r>
    </w:p>
    <w:p w14:paraId="3D1B033C">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（四）事实依据和证明材料；</w:t>
      </w:r>
    </w:p>
    <w:p w14:paraId="11CB4936">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（五）法律依据；</w:t>
      </w:r>
    </w:p>
    <w:p w14:paraId="50482E2F">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（六）提出质疑的日期。</w:t>
      </w:r>
    </w:p>
    <w:p w14:paraId="4C3FD17E">
      <w:pPr>
        <w:keepNext w:val="0"/>
        <w:keepLines w:val="0"/>
        <w:pageBreakBefore w:val="0"/>
        <w:widowControl w:val="0"/>
        <w:kinsoku/>
        <w:wordWrap/>
        <w:overflowPunct/>
        <w:topLinePunct w:val="0"/>
        <w:autoSpaceDE/>
        <w:autoSpaceDN/>
        <w:bidi w:val="0"/>
        <w:adjustRightInd/>
        <w:snapToGrid/>
        <w:spacing w:line="340" w:lineRule="exact"/>
        <w:ind w:left="957" w:leftChars="456" w:firstLine="0" w:firstLineChars="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质疑函采用实名制。质疑人为自然人的应当由本人签字，并附有效身份证明文件；质疑人为法人或者非法人组织的应当由法定代表人或者负责人签字并加盖公章，并附有效身份证明文件。</w:t>
      </w:r>
    </w:p>
    <w:p w14:paraId="3FE1B3C0">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.3    质疑人可以委托代理人进行质疑。代理人应当提交授权委托书。授权委托书应当载明委托代理的具体权限、期限和相关事项。</w:t>
      </w:r>
    </w:p>
    <w:p w14:paraId="33AE7621">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.4、</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质疑的审查和受理</w:t>
      </w:r>
    </w:p>
    <w:p w14:paraId="7E42DD28">
      <w:pPr>
        <w:keepNext w:val="0"/>
        <w:keepLines w:val="0"/>
        <w:pageBreakBefore w:val="0"/>
        <w:widowControl w:val="0"/>
        <w:kinsoku/>
        <w:wordWrap/>
        <w:overflowPunct/>
        <w:topLinePunct w:val="0"/>
        <w:autoSpaceDE/>
        <w:autoSpaceDN/>
        <w:bidi w:val="0"/>
        <w:adjustRightInd/>
        <w:snapToGrid/>
        <w:spacing w:line="340" w:lineRule="exact"/>
        <w:ind w:left="718" w:leftChars="342" w:firstLine="0" w:firstLineChars="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采购方在收到质疑函后应当及时审查是否符合质疑受理条件，对符合质疑受理条件的，及时予以受理。</w:t>
      </w:r>
    </w:p>
    <w:p w14:paraId="71E74D7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.5    对不符合质疑受理条件的，分别按照下列不同情形予以处理：</w:t>
      </w:r>
    </w:p>
    <w:p w14:paraId="43714F64">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（一）质疑函内容不符合规定的，告知质疑人进行修改并重新提出质疑。修改后质疑事项仍不具体、不明确或者最终递交质疑函的时间超过质疑法定期限的，不予受理；</w:t>
      </w:r>
    </w:p>
    <w:p w14:paraId="0004310F">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（二）质疑主体不符合有关规定的，告知质疑人不予受理；</w:t>
      </w:r>
    </w:p>
    <w:p w14:paraId="14710E76">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（三）超过质疑法定期限提出质疑的，告知质疑人不予受理；</w:t>
      </w:r>
    </w:p>
    <w:p w14:paraId="3B17E043">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（四）对不属于可以提出质疑的政府采购事项提出质疑的，告知质疑人不予受理；</w:t>
      </w:r>
    </w:p>
    <w:p w14:paraId="0731DC77">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（五）质疑不属于本项目采购方管辖的，告知质疑人向有管辖权的采购人提出质疑；</w:t>
      </w:r>
    </w:p>
    <w:p w14:paraId="4E30ACE6">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（六）质疑不符合其他条件的，告知质疑人不予受理。</w:t>
      </w:r>
    </w:p>
    <w:p w14:paraId="297C1E46">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.6、</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质疑的处理和答复</w:t>
      </w:r>
    </w:p>
    <w:p w14:paraId="7C1370B0">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.7   采购方受理质疑后，将及时把质疑函发送给被质疑人，并要求其在一定限期内提交书面答复，同时提供有关证据、依据和相关材料。</w:t>
      </w:r>
    </w:p>
    <w:p w14:paraId="2A00529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.8    对于质疑事项中涉及的问题较多、情况比较复杂的，为了全面查清事实、取得充分的证据，采购方认为有必要时，可以进行调查取证或者组织质证。</w:t>
      </w:r>
    </w:p>
    <w:p w14:paraId="62F60FAF">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37</w:t>
      </w:r>
      <w:r>
        <w:rPr>
          <w:rFonts w:hint="eastAsia" w:ascii="仿宋_GB2312" w:hAnsi="仿宋_GB2312" w:eastAsia="仿宋_GB2312" w:cs="仿宋_GB2312"/>
          <w:sz w:val="24"/>
        </w:rPr>
        <w:t>.9    对评审过程、成交结果提出质疑的，采购方可以组织原评审委员会协助答复质疑。</w:t>
      </w:r>
    </w:p>
    <w:p w14:paraId="07388F09">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38</w:t>
      </w:r>
      <w:r>
        <w:rPr>
          <w:rFonts w:hint="eastAsia" w:ascii="仿宋_GB2312" w:hAnsi="仿宋_GB2312" w:eastAsia="仿宋_GB2312" w:cs="仿宋_GB2312"/>
          <w:sz w:val="24"/>
        </w:rPr>
        <w:t>.    质疑处理过程中，质疑人书面申请撤回质疑的，将终止质疑处理程序。</w:t>
      </w:r>
    </w:p>
    <w:p w14:paraId="69D90812">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38</w:t>
      </w:r>
      <w:r>
        <w:rPr>
          <w:rFonts w:hint="eastAsia" w:ascii="仿宋_GB2312" w:hAnsi="仿宋_GB2312" w:eastAsia="仿宋_GB2312" w:cs="仿宋_GB2312"/>
          <w:sz w:val="24"/>
        </w:rPr>
        <w:t>.1   质疑人拒绝配合采购方依法对质疑进行调查处理的，采购方将按质疑人自动撤回质疑处理；被质疑人拒绝配合采购方依法对质疑进行调查处理的，采购方将视同其认可质疑事项。</w:t>
      </w:r>
    </w:p>
    <w:p w14:paraId="319E8E9F">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38</w:t>
      </w:r>
      <w:r>
        <w:rPr>
          <w:rFonts w:hint="eastAsia" w:ascii="仿宋_GB2312" w:hAnsi="仿宋_GB2312" w:eastAsia="仿宋_GB2312" w:cs="仿宋_GB2312"/>
          <w:sz w:val="24"/>
        </w:rPr>
        <w:t>.1   质疑人拒绝配合采购方依法对质疑进行调查处理的，采购方将按质疑人自动撤回质疑处理；被质疑人拒绝配合采购方依法对质疑进行调查处理的，采购方将视同其认可质疑事项。</w:t>
      </w:r>
    </w:p>
    <w:p w14:paraId="18516E58">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38</w:t>
      </w:r>
      <w:r>
        <w:rPr>
          <w:rFonts w:hint="eastAsia" w:ascii="仿宋_GB2312" w:hAnsi="仿宋_GB2312" w:eastAsia="仿宋_GB2312" w:cs="仿宋_GB2312"/>
          <w:sz w:val="24"/>
        </w:rPr>
        <w:t>.2   采购方将在正式受理质疑后7个工作日内作出答复。</w:t>
      </w:r>
    </w:p>
    <w:p w14:paraId="16575495">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38</w:t>
      </w:r>
      <w:r>
        <w:rPr>
          <w:rFonts w:hint="eastAsia" w:ascii="仿宋_GB2312" w:hAnsi="仿宋_GB2312" w:eastAsia="仿宋_GB2312" w:cs="仿宋_GB2312"/>
          <w:sz w:val="24"/>
        </w:rPr>
        <w:t>.3   质疑答复应当包括下列内容：</w:t>
      </w:r>
    </w:p>
    <w:p w14:paraId="75C95645">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（一）质疑人的姓名或者名称；</w:t>
      </w:r>
    </w:p>
    <w:p w14:paraId="073C93AF">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（二）收到质疑函的日期、质疑项目名称及编号；</w:t>
      </w:r>
    </w:p>
    <w:p w14:paraId="36A4C61D">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（三）质疑事项、质疑答复的具体内容、事实依据和法律依据；</w:t>
      </w:r>
    </w:p>
    <w:p w14:paraId="7D5C2419">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（四）告知质疑供应商依法投诉的权利；</w:t>
      </w:r>
    </w:p>
    <w:p w14:paraId="51EA2BAF">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（五）质疑答复人名称；</w:t>
      </w:r>
    </w:p>
    <w:p w14:paraId="183D9571">
      <w:pPr>
        <w:keepNext w:val="0"/>
        <w:keepLines w:val="0"/>
        <w:pageBreakBefore w:val="0"/>
        <w:widowControl w:val="0"/>
        <w:kinsoku/>
        <w:wordWrap/>
        <w:overflowPunct/>
        <w:topLinePunct w:val="0"/>
        <w:autoSpaceDE/>
        <w:autoSpaceDN/>
        <w:bidi w:val="0"/>
        <w:adjustRightInd/>
        <w:snapToGrid/>
        <w:spacing w:line="340" w:lineRule="exact"/>
        <w:ind w:left="898" w:leftChars="342" w:hanging="180" w:hangingChars="75"/>
        <w:textAlignment w:val="auto"/>
        <w:rPr>
          <w:rFonts w:hint="eastAsia" w:ascii="仿宋_GB2312" w:hAnsi="仿宋_GB2312" w:eastAsia="仿宋_GB2312" w:cs="仿宋_GB2312"/>
          <w:b/>
          <w:bCs/>
          <w:sz w:val="24"/>
        </w:rPr>
      </w:pPr>
      <w:r>
        <w:rPr>
          <w:rFonts w:hint="eastAsia" w:ascii="仿宋_GB2312" w:hAnsi="仿宋_GB2312" w:eastAsia="仿宋_GB2312" w:cs="仿宋_GB2312"/>
          <w:sz w:val="24"/>
        </w:rPr>
        <w:t>（六）答复质疑的日期。</w:t>
      </w:r>
    </w:p>
    <w:p w14:paraId="616EDAD4">
      <w:pPr>
        <w:keepNext w:val="0"/>
        <w:keepLines w:val="0"/>
        <w:pageBreakBefore w:val="0"/>
        <w:widowControl w:val="0"/>
        <w:kinsoku/>
        <w:wordWrap/>
        <w:overflowPunct/>
        <w:topLinePunct w:val="0"/>
        <w:autoSpaceDE/>
        <w:autoSpaceDN/>
        <w:bidi w:val="0"/>
        <w:adjustRightInd/>
        <w:snapToGrid/>
        <w:spacing w:line="340" w:lineRule="exact"/>
        <w:ind w:left="0" w:hanging="900" w:hangingChars="375"/>
        <w:jc w:val="center"/>
        <w:textAlignment w:val="auto"/>
        <w:rPr>
          <w:rFonts w:hint="eastAsia" w:ascii="仿宋_GB2312" w:hAnsi="仿宋_GB2312" w:eastAsia="仿宋_GB2312" w:cs="仿宋_GB2312"/>
          <w:b/>
          <w:bCs/>
          <w:sz w:val="24"/>
        </w:rPr>
      </w:pPr>
    </w:p>
    <w:p w14:paraId="3C4545F3">
      <w:pPr>
        <w:keepNext w:val="0"/>
        <w:keepLines w:val="0"/>
        <w:pageBreakBefore w:val="0"/>
        <w:widowControl w:val="0"/>
        <w:kinsoku/>
        <w:wordWrap/>
        <w:overflowPunct/>
        <w:topLinePunct w:val="0"/>
        <w:autoSpaceDE/>
        <w:autoSpaceDN/>
        <w:bidi w:val="0"/>
        <w:adjustRightInd/>
        <w:snapToGrid/>
        <w:spacing w:line="340" w:lineRule="exact"/>
        <w:ind w:left="0" w:hanging="900" w:hangingChars="375"/>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质疑函范本</w:t>
      </w:r>
    </w:p>
    <w:p w14:paraId="4311F4A4">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一、质疑供应商基本信息</w:t>
      </w:r>
    </w:p>
    <w:p w14:paraId="7E349E26">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质疑供应商：</w:t>
      </w:r>
    </w:p>
    <w:p w14:paraId="54659513">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地址：邮编：</w:t>
      </w:r>
    </w:p>
    <w:p w14:paraId="7B288EBD">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联系人：联系电话：</w:t>
      </w:r>
    </w:p>
    <w:p w14:paraId="0DC8D20C">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授权代表：</w:t>
      </w:r>
    </w:p>
    <w:p w14:paraId="2A84C637">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联系电话：</w:t>
      </w:r>
    </w:p>
    <w:p w14:paraId="7EF597B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地址：邮编：</w:t>
      </w:r>
    </w:p>
    <w:p w14:paraId="749D54A7">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二、质疑项目基本情况</w:t>
      </w:r>
    </w:p>
    <w:p w14:paraId="2E36E625">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质疑项目的名称：</w:t>
      </w:r>
    </w:p>
    <w:p w14:paraId="43774A16">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质疑项目的编号：包号：</w:t>
      </w:r>
    </w:p>
    <w:p w14:paraId="04EC064D">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采购人名称：</w:t>
      </w:r>
    </w:p>
    <w:p w14:paraId="3B2092DB">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采购文件获取日期：</w:t>
      </w:r>
    </w:p>
    <w:p w14:paraId="1373D472">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三、质疑事项具体内容</w:t>
      </w:r>
    </w:p>
    <w:p w14:paraId="0306DBE2">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质疑事项1：</w:t>
      </w:r>
    </w:p>
    <w:p w14:paraId="3CD6043D">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事实依据：</w:t>
      </w:r>
    </w:p>
    <w:p w14:paraId="02A20B81">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p>
    <w:p w14:paraId="190CA21B">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法律依据：</w:t>
      </w:r>
    </w:p>
    <w:p w14:paraId="6F5B426B">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p>
    <w:p w14:paraId="6F89D719">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质疑事项2</w:t>
      </w:r>
    </w:p>
    <w:p w14:paraId="0115FA29">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p>
    <w:p w14:paraId="20D45D73">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四、与质疑事项相关的质疑请求</w:t>
      </w:r>
    </w:p>
    <w:p w14:paraId="7853F170">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请求：</w:t>
      </w:r>
    </w:p>
    <w:p w14:paraId="082D7FDA">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签字(签章)：</w:t>
      </w:r>
    </w:p>
    <w:p w14:paraId="5812E25D">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公章：</w:t>
      </w:r>
    </w:p>
    <w:p w14:paraId="788F97A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日期：</w:t>
      </w:r>
    </w:p>
    <w:p w14:paraId="5B3D436E">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p>
    <w:p w14:paraId="75F70BBA">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p>
    <w:p w14:paraId="5F7E43FD">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质疑函制作说明：</w:t>
      </w:r>
    </w:p>
    <w:p w14:paraId="58A95CE6">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1.供应商提出质疑时，应提交质疑函和必要的证明材料。</w:t>
      </w:r>
      <w:r>
        <w:rPr>
          <w:rFonts w:hint="eastAsia" w:ascii="仿宋_GB2312" w:hAnsi="仿宋_GB2312" w:eastAsia="仿宋_GB2312" w:cs="仿宋_GB2312"/>
          <w:sz w:val="24"/>
          <w:lang w:val="en-US" w:eastAsia="zh-CN"/>
        </w:rPr>
        <w:t xml:space="preserve"> </w:t>
      </w:r>
    </w:p>
    <w:p w14:paraId="515DC117">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7CD60C4">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14:paraId="55115F2B">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14:paraId="6D01D4DF">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14:paraId="79F890AF">
      <w:pPr>
        <w:keepNext w:val="0"/>
        <w:keepLines w:val="0"/>
        <w:pageBreakBefore w:val="0"/>
        <w:widowControl w:val="0"/>
        <w:kinsoku/>
        <w:wordWrap/>
        <w:overflowPunct/>
        <w:topLinePunct w:val="0"/>
        <w:autoSpaceDE/>
        <w:autoSpaceDN/>
        <w:bidi w:val="0"/>
        <w:adjustRightInd/>
        <w:snapToGrid/>
        <w:spacing w:line="340" w:lineRule="exact"/>
        <w:ind w:left="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14:paraId="3985919E">
      <w:pPr>
        <w:pageBreakBefore w:val="0"/>
        <w:widowControl w:val="0"/>
        <w:kinsoku/>
        <w:wordWrap/>
        <w:overflowPunct/>
        <w:topLinePunct w:val="0"/>
        <w:bidi w:val="0"/>
        <w:spacing w:before="0" w:line="240" w:lineRule="atLeast"/>
        <w:ind w:left="1079" w:leftChars="257" w:hanging="540"/>
        <w:outlineLvl w:val="9"/>
        <w:rPr>
          <w:rFonts w:hint="eastAsia" w:ascii="宋体" w:hAnsi="宋体" w:eastAsia="宋体" w:cs="宋体"/>
          <w:szCs w:val="24"/>
        </w:rPr>
      </w:pPr>
      <w:r>
        <w:rPr>
          <w:rFonts w:hint="eastAsia" w:ascii="仿宋_GB2312" w:hAnsi="仿宋_GB2312" w:eastAsia="仿宋_GB2312" w:cs="仿宋_GB2312"/>
          <w:sz w:val="24"/>
        </w:rPr>
        <w:br w:type="page"/>
      </w:r>
    </w:p>
    <w:p w14:paraId="4DA4B5F5">
      <w:pPr>
        <w:pageBreakBefore w:val="0"/>
        <w:widowControl w:val="0"/>
        <w:kinsoku/>
        <w:wordWrap/>
        <w:overflowPunct/>
        <w:topLinePunct w:val="0"/>
        <w:bidi w:val="0"/>
        <w:spacing w:before="0" w:line="240" w:lineRule="atLeast"/>
        <w:ind w:left="1079" w:leftChars="257" w:hanging="540"/>
        <w:outlineLvl w:val="9"/>
        <w:rPr>
          <w:rFonts w:hint="eastAsia" w:ascii="宋体" w:hAnsi="宋体" w:eastAsia="宋体" w:cs="宋体"/>
          <w:szCs w:val="24"/>
        </w:rPr>
      </w:pPr>
      <w:r>
        <w:rPr>
          <w:rFonts w:hint="eastAsia" w:ascii="宋体" w:hAnsi="宋体" w:eastAsia="宋体" w:cs="宋体"/>
          <w:szCs w:val="24"/>
        </w:rPr>
        <w:t>附件1：履约保证金保函（格式）</w:t>
      </w:r>
      <w:bookmarkEnd w:id="616"/>
      <w:bookmarkEnd w:id="617"/>
      <w:bookmarkEnd w:id="618"/>
      <w:bookmarkEnd w:id="619"/>
      <w:bookmarkEnd w:id="620"/>
    </w:p>
    <w:p w14:paraId="4B4A3DE5">
      <w:pPr>
        <w:pStyle w:val="15"/>
        <w:pageBreakBefore w:val="0"/>
        <w:widowControl w:val="0"/>
        <w:kinsoku/>
        <w:wordWrap/>
        <w:overflowPunct/>
        <w:topLinePunct w:val="0"/>
        <w:bidi w:val="0"/>
        <w:spacing w:line="240" w:lineRule="atLeast"/>
        <w:ind w:left="1079" w:leftChars="257" w:hanging="540"/>
        <w:jc w:val="center"/>
        <w:outlineLvl w:val="9"/>
        <w:rPr>
          <w:rFonts w:hint="eastAsia" w:hAnsi="宋体" w:cs="宋体"/>
          <w:b/>
          <w:sz w:val="24"/>
        </w:rPr>
      </w:pPr>
      <w:r>
        <w:rPr>
          <w:rFonts w:hint="eastAsia" w:hAnsi="宋体" w:cs="宋体"/>
          <w:b/>
          <w:sz w:val="24"/>
        </w:rPr>
        <w:t>（中标后开具）</w:t>
      </w:r>
    </w:p>
    <w:p w14:paraId="6D2B63CC">
      <w:pPr>
        <w:pStyle w:val="15"/>
        <w:pageBreakBefore w:val="0"/>
        <w:widowControl w:val="0"/>
        <w:kinsoku/>
        <w:wordWrap/>
        <w:overflowPunct/>
        <w:topLinePunct w:val="0"/>
        <w:bidi w:val="0"/>
        <w:spacing w:line="240" w:lineRule="atLeast"/>
        <w:outlineLvl w:val="9"/>
        <w:rPr>
          <w:rFonts w:hint="eastAsia" w:hAnsi="宋体" w:cs="宋体"/>
          <w:b/>
          <w:sz w:val="24"/>
        </w:rPr>
      </w:pPr>
      <w:r>
        <w:rPr>
          <w:rFonts w:hint="eastAsia" w:hAnsi="宋体" w:cs="宋体"/>
          <w:b/>
          <w:sz w:val="24"/>
        </w:rPr>
        <w:t xml:space="preserve">                       </w:t>
      </w:r>
    </w:p>
    <w:p w14:paraId="47D5737B">
      <w:pPr>
        <w:pStyle w:val="15"/>
        <w:pageBreakBefore w:val="0"/>
        <w:widowControl w:val="0"/>
        <w:kinsoku/>
        <w:wordWrap/>
        <w:overflowPunct/>
        <w:topLinePunct w:val="0"/>
        <w:bidi w:val="0"/>
        <w:spacing w:line="240" w:lineRule="atLeast"/>
        <w:outlineLvl w:val="9"/>
        <w:rPr>
          <w:rFonts w:hint="eastAsia" w:ascii="宋体" w:hAnsi="宋体" w:eastAsia="宋体" w:cs="宋体"/>
          <w:sz w:val="24"/>
          <w:szCs w:val="24"/>
        </w:rPr>
      </w:pPr>
      <w:r>
        <w:rPr>
          <w:rFonts w:hint="eastAsia" w:ascii="宋体" w:hAnsi="宋体" w:eastAsia="宋体" w:cs="宋体"/>
          <w:sz w:val="24"/>
          <w:szCs w:val="24"/>
        </w:rPr>
        <w:t>致: (</w:t>
      </w:r>
      <w:r>
        <w:rPr>
          <w:rFonts w:hint="eastAsia" w:ascii="宋体" w:hAnsi="宋体" w:eastAsia="宋体" w:cs="宋体"/>
          <w:i/>
          <w:sz w:val="24"/>
          <w:szCs w:val="24"/>
          <w:u w:val="single"/>
        </w:rPr>
        <w:t>买方名称</w:t>
      </w:r>
      <w:r>
        <w:rPr>
          <w:rFonts w:hint="eastAsia" w:ascii="宋体" w:hAnsi="宋体" w:eastAsia="宋体" w:cs="宋体"/>
          <w:sz w:val="24"/>
          <w:szCs w:val="24"/>
        </w:rPr>
        <w:t>)</w:t>
      </w:r>
    </w:p>
    <w:p w14:paraId="26FF11C4">
      <w:pPr>
        <w:pStyle w:val="15"/>
        <w:pageBreakBefore w:val="0"/>
        <w:widowControl w:val="0"/>
        <w:kinsoku/>
        <w:wordWrap/>
        <w:overflowPunct/>
        <w:topLinePunct w:val="0"/>
        <w:bidi w:val="0"/>
        <w:spacing w:line="240" w:lineRule="atLeast"/>
        <w:ind w:left="1079" w:leftChars="257" w:hanging="540"/>
        <w:jc w:val="center"/>
        <w:outlineLvl w:val="9"/>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号合同履约保函</w:t>
      </w:r>
    </w:p>
    <w:p w14:paraId="7EDA111A">
      <w:pPr>
        <w:pStyle w:val="15"/>
        <w:pageBreakBefore w:val="0"/>
        <w:widowControl w:val="0"/>
        <w:kinsoku/>
        <w:wordWrap/>
        <w:overflowPunct/>
        <w:topLinePunct w:val="0"/>
        <w:bidi w:val="0"/>
        <w:spacing w:line="240" w:lineRule="atLeast"/>
        <w:ind w:left="1079" w:leftChars="257" w:hanging="540"/>
        <w:jc w:val="center"/>
        <w:outlineLvl w:val="9"/>
        <w:rPr>
          <w:rFonts w:hint="eastAsia" w:ascii="宋体" w:hAnsi="宋体" w:eastAsia="宋体" w:cs="宋体"/>
          <w:sz w:val="24"/>
          <w:szCs w:val="24"/>
        </w:rPr>
      </w:pPr>
    </w:p>
    <w:p w14:paraId="291BAFCC">
      <w:pPr>
        <w:pStyle w:val="15"/>
        <w:pageBreakBefore w:val="0"/>
        <w:widowControl w:val="0"/>
        <w:kinsoku/>
        <w:wordWrap/>
        <w:overflowPunct/>
        <w:topLinePunct w:val="0"/>
        <w:bidi w:val="0"/>
        <w:spacing w:line="240" w:lineRule="atLeast"/>
        <w:ind w:firstLine="600" w:firstLineChars="250"/>
        <w:outlineLvl w:val="9"/>
        <w:rPr>
          <w:rFonts w:hint="eastAsia" w:ascii="宋体" w:hAnsi="宋体" w:eastAsia="宋体" w:cs="宋体"/>
          <w:sz w:val="24"/>
          <w:szCs w:val="24"/>
        </w:rPr>
      </w:pPr>
      <w:r>
        <w:rPr>
          <w:rFonts w:hint="eastAsia" w:ascii="宋体" w:hAnsi="宋体" w:eastAsia="宋体" w:cs="宋体"/>
          <w:sz w:val="24"/>
          <w:szCs w:val="24"/>
        </w:rPr>
        <w:t>本保函作为贵方与(</w:t>
      </w:r>
      <w:r>
        <w:rPr>
          <w:rFonts w:hint="eastAsia" w:ascii="宋体" w:hAnsi="宋体" w:eastAsia="宋体" w:cs="宋体"/>
          <w:i/>
          <w:sz w:val="24"/>
          <w:szCs w:val="24"/>
          <w:u w:val="single"/>
        </w:rPr>
        <w:t>卖方名称</w:t>
      </w:r>
      <w:r>
        <w:rPr>
          <w:rFonts w:hint="eastAsia" w:ascii="宋体" w:hAnsi="宋体" w:eastAsia="宋体" w:cs="宋体"/>
          <w:sz w:val="24"/>
          <w:szCs w:val="24"/>
        </w:rPr>
        <w:t>)(以下简称卖方)于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日就</w:t>
      </w:r>
      <w:r>
        <w:rPr>
          <w:rFonts w:hint="eastAsia" w:ascii="宋体" w:hAnsi="宋体" w:eastAsia="宋体" w:cs="宋体"/>
          <w:sz w:val="24"/>
          <w:szCs w:val="24"/>
          <w:u w:val="single"/>
        </w:rPr>
        <w:t xml:space="preserve">      </w:t>
      </w:r>
      <w:r>
        <w:rPr>
          <w:rFonts w:hint="eastAsia" w:ascii="宋体" w:hAnsi="宋体" w:eastAsia="宋体" w:cs="宋体"/>
          <w:sz w:val="24"/>
          <w:szCs w:val="24"/>
        </w:rPr>
        <w:t>项目(以下简称项目)项下提供(</w:t>
      </w:r>
      <w:r>
        <w:rPr>
          <w:rFonts w:hint="eastAsia" w:ascii="宋体" w:hAnsi="宋体" w:eastAsia="宋体" w:cs="宋体"/>
          <w:i/>
          <w:sz w:val="24"/>
          <w:szCs w:val="24"/>
          <w:u w:val="single"/>
        </w:rPr>
        <w:t>货物名称</w:t>
      </w:r>
      <w:r>
        <w:rPr>
          <w:rFonts w:hint="eastAsia" w:ascii="宋体" w:hAnsi="宋体" w:eastAsia="宋体" w:cs="宋体"/>
          <w:sz w:val="24"/>
          <w:szCs w:val="24"/>
        </w:rPr>
        <w:t>)(以下简称货物)签订的(</w:t>
      </w:r>
      <w:r>
        <w:rPr>
          <w:rFonts w:hint="eastAsia" w:ascii="宋体" w:hAnsi="宋体" w:eastAsia="宋体" w:cs="宋体"/>
          <w:i/>
          <w:sz w:val="24"/>
          <w:szCs w:val="24"/>
          <w:u w:val="single"/>
        </w:rPr>
        <w:t>合同号</w:t>
      </w:r>
      <w:r>
        <w:rPr>
          <w:rFonts w:hint="eastAsia" w:ascii="宋体" w:hAnsi="宋体" w:eastAsia="宋体" w:cs="宋体"/>
          <w:sz w:val="24"/>
          <w:szCs w:val="24"/>
        </w:rPr>
        <w:t>)号合同的履约保函。</w:t>
      </w:r>
    </w:p>
    <w:p w14:paraId="5795208A">
      <w:pPr>
        <w:pStyle w:val="15"/>
        <w:pageBreakBefore w:val="0"/>
        <w:widowControl w:val="0"/>
        <w:kinsoku/>
        <w:wordWrap/>
        <w:overflowPunct/>
        <w:topLinePunct w:val="0"/>
        <w:bidi w:val="0"/>
        <w:spacing w:line="240" w:lineRule="atLeast"/>
        <w:ind w:firstLine="540" w:firstLineChars="225"/>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i/>
          <w:sz w:val="24"/>
          <w:szCs w:val="24"/>
          <w:u w:val="single"/>
        </w:rPr>
        <w:t>出具保函的银行名称</w:t>
      </w:r>
      <w:r>
        <w:rPr>
          <w:rFonts w:hint="eastAsia" w:ascii="宋体" w:hAnsi="宋体" w:eastAsia="宋体" w:cs="宋体"/>
          <w:sz w:val="24"/>
          <w:szCs w:val="24"/>
        </w:rPr>
        <w:t>)(以下简称银行)无条件地、不可撤销地具结保证本行、其继承人和受让人无追索地向贵方以(</w:t>
      </w:r>
      <w:r>
        <w:rPr>
          <w:rFonts w:hint="eastAsia" w:ascii="宋体" w:hAnsi="宋体" w:eastAsia="宋体" w:cs="宋体"/>
          <w:i/>
          <w:sz w:val="24"/>
          <w:szCs w:val="24"/>
          <w:u w:val="single"/>
        </w:rPr>
        <w:t>货币名称</w:t>
      </w:r>
      <w:r>
        <w:rPr>
          <w:rFonts w:hint="eastAsia" w:ascii="宋体" w:hAnsi="宋体" w:eastAsia="宋体" w:cs="宋体"/>
          <w:sz w:val="24"/>
          <w:szCs w:val="24"/>
        </w:rPr>
        <w:t>)支付总额不超过(</w:t>
      </w:r>
      <w:r>
        <w:rPr>
          <w:rFonts w:hint="eastAsia" w:ascii="宋体" w:hAnsi="宋体" w:eastAsia="宋体" w:cs="宋体"/>
          <w:i/>
          <w:sz w:val="24"/>
          <w:szCs w:val="24"/>
          <w:u w:val="single"/>
        </w:rPr>
        <w:t>货币数量</w:t>
      </w:r>
      <w:r>
        <w:rPr>
          <w:rFonts w:hint="eastAsia" w:ascii="宋体" w:hAnsi="宋体" w:eastAsia="宋体" w:cs="宋体"/>
          <w:sz w:val="24"/>
          <w:szCs w:val="24"/>
        </w:rPr>
        <w:t>),即相当于合同价格的</w:t>
      </w:r>
      <w:r>
        <w:rPr>
          <w:rFonts w:hint="eastAsia" w:ascii="宋体" w:hAnsi="宋体" w:eastAsia="宋体" w:cs="宋体"/>
          <w:sz w:val="24"/>
          <w:szCs w:val="24"/>
          <w:u w:val="single"/>
        </w:rPr>
        <w:t xml:space="preserve">     </w:t>
      </w:r>
      <w:r>
        <w:rPr>
          <w:rFonts w:hint="eastAsia" w:ascii="宋体" w:hAnsi="宋体" w:eastAsia="宋体" w:cs="宋体"/>
          <w:sz w:val="24"/>
          <w:szCs w:val="24"/>
        </w:rPr>
        <w:t>%,并以此约定如下:</w:t>
      </w:r>
    </w:p>
    <w:p w14:paraId="4962EA22">
      <w:pPr>
        <w:pStyle w:val="15"/>
        <w:pageBreakBefore w:val="0"/>
        <w:widowControl w:val="0"/>
        <w:kinsoku/>
        <w:wordWrap/>
        <w:overflowPunct/>
        <w:topLinePunct w:val="0"/>
        <w:bidi w:val="0"/>
        <w:spacing w:line="240" w:lineRule="atLeast"/>
        <w:ind w:left="539" w:leftChars="257"/>
        <w:outlineLvl w:val="9"/>
        <w:rPr>
          <w:rFonts w:hint="eastAsia" w:ascii="宋体" w:hAnsi="宋体" w:eastAsia="宋体" w:cs="宋体"/>
          <w:sz w:val="24"/>
          <w:szCs w:val="24"/>
        </w:rPr>
      </w:pPr>
      <w:r>
        <w:rPr>
          <w:rFonts w:hint="eastAsia" w:ascii="宋体" w:hAnsi="宋体" w:eastAsia="宋体" w:cs="宋体"/>
          <w:sz w:val="24"/>
          <w:szCs w:val="24"/>
        </w:rPr>
        <w:t>1.只要贵方确定卖方未能忠实地履行所有合同文件的规定和双方此后一致 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14:paraId="55B4D3AE">
      <w:pPr>
        <w:pStyle w:val="15"/>
        <w:pageBreakBefore w:val="0"/>
        <w:widowControl w:val="0"/>
        <w:kinsoku/>
        <w:wordWrap/>
        <w:overflowPunct/>
        <w:topLinePunct w:val="0"/>
        <w:bidi w:val="0"/>
        <w:spacing w:line="240" w:lineRule="atLeast"/>
        <w:ind w:left="540"/>
        <w:outlineLvl w:val="9"/>
        <w:rPr>
          <w:rFonts w:hint="eastAsia" w:ascii="宋体" w:hAnsi="宋体" w:eastAsia="宋体" w:cs="宋体"/>
          <w:sz w:val="24"/>
          <w:szCs w:val="24"/>
        </w:rPr>
      </w:pPr>
      <w:r>
        <w:rPr>
          <w:rFonts w:hint="eastAsia" w:ascii="宋体" w:hAnsi="宋体" w:eastAsia="宋体" w:cs="宋体"/>
          <w:sz w:val="24"/>
          <w:szCs w:val="24"/>
        </w:rPr>
        <w:t>2.本保函项下的任何支付应为免税和净值。对于现有或将来的税收、关税、收费、费用扣减或预提税款，不论这些款项是何种性质和由谁征收，都不应从本保函项下的支付中扣除。</w:t>
      </w:r>
    </w:p>
    <w:p w14:paraId="34524D66">
      <w:pPr>
        <w:pStyle w:val="15"/>
        <w:pageBreakBefore w:val="0"/>
        <w:widowControl w:val="0"/>
        <w:kinsoku/>
        <w:wordWrap/>
        <w:overflowPunct/>
        <w:topLinePunct w:val="0"/>
        <w:bidi w:val="0"/>
        <w:spacing w:line="240" w:lineRule="atLeast"/>
        <w:ind w:left="540"/>
        <w:outlineLvl w:val="9"/>
        <w:rPr>
          <w:rFonts w:hint="eastAsia" w:ascii="宋体" w:hAnsi="宋体" w:eastAsia="宋体" w:cs="宋体"/>
          <w:sz w:val="24"/>
          <w:szCs w:val="24"/>
        </w:rPr>
      </w:pPr>
      <w:r>
        <w:rPr>
          <w:rFonts w:hint="eastAsia" w:ascii="宋体" w:hAnsi="宋体" w:eastAsia="宋体" w:cs="宋体"/>
          <w:sz w:val="24"/>
          <w:szCs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49E9763A">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rPr>
      </w:pPr>
      <w:bookmarkStart w:id="621" w:name="_Toc1076"/>
      <w:bookmarkStart w:id="622" w:name="_Toc6985"/>
      <w:r>
        <w:rPr>
          <w:rFonts w:hint="eastAsia" w:ascii="宋体" w:hAnsi="宋体" w:eastAsia="宋体" w:cs="宋体"/>
          <w:sz w:val="24"/>
          <w:szCs w:val="24"/>
        </w:rPr>
        <w:t>4.本保函在本合同规定的保证期期满前完全有效。</w:t>
      </w:r>
      <w:bookmarkEnd w:id="621"/>
      <w:bookmarkEnd w:id="622"/>
    </w:p>
    <w:p w14:paraId="5904388D">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rPr>
      </w:pPr>
    </w:p>
    <w:p w14:paraId="46305B77">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rPr>
      </w:pPr>
      <w:r>
        <w:rPr>
          <w:rFonts w:hint="eastAsia" w:ascii="宋体" w:hAnsi="宋体" w:eastAsia="宋体" w:cs="宋体"/>
          <w:sz w:val="24"/>
          <w:szCs w:val="24"/>
        </w:rPr>
        <w:t>谨启</w:t>
      </w:r>
    </w:p>
    <w:p w14:paraId="2ACC9431">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rPr>
      </w:pPr>
      <w:r>
        <w:rPr>
          <w:rFonts w:hint="eastAsia" w:ascii="宋体" w:hAnsi="宋体" w:eastAsia="宋体" w:cs="宋体"/>
          <w:sz w:val="24"/>
          <w:szCs w:val="24"/>
        </w:rPr>
        <w:t>出具保函银行名称：</w:t>
      </w:r>
      <w:r>
        <w:rPr>
          <w:rFonts w:hint="eastAsia" w:ascii="宋体" w:hAnsi="宋体" w:eastAsia="宋体" w:cs="宋体"/>
          <w:sz w:val="24"/>
          <w:szCs w:val="24"/>
          <w:u w:val="single"/>
        </w:rPr>
        <w:t xml:space="preserve">                             </w:t>
      </w:r>
    </w:p>
    <w:p w14:paraId="3E6975C6">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u w:val="single"/>
        </w:rPr>
      </w:pPr>
      <w:r>
        <w:rPr>
          <w:rFonts w:hint="eastAsia" w:ascii="宋体" w:hAnsi="宋体" w:eastAsia="宋体" w:cs="宋体"/>
          <w:sz w:val="24"/>
          <w:szCs w:val="24"/>
        </w:rPr>
        <w:t>签字人姓名和职务：</w:t>
      </w:r>
      <w:r>
        <w:rPr>
          <w:rFonts w:hint="eastAsia" w:ascii="宋体" w:hAnsi="宋体" w:eastAsia="宋体" w:cs="宋体"/>
          <w:sz w:val="24"/>
          <w:szCs w:val="24"/>
          <w:u w:val="single"/>
        </w:rPr>
        <w:t xml:space="preserve">                             </w:t>
      </w:r>
    </w:p>
    <w:p w14:paraId="51DCB873">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rPr>
      </w:pPr>
      <w:r>
        <w:rPr>
          <w:rFonts w:hint="eastAsia" w:ascii="宋体" w:hAnsi="宋体" w:eastAsia="宋体" w:cs="宋体"/>
          <w:sz w:val="24"/>
          <w:szCs w:val="24"/>
        </w:rPr>
        <w:t>签字人签名</w:t>
      </w:r>
      <w:r>
        <w:rPr>
          <w:rFonts w:hint="eastAsia" w:hAnsi="宋体" w:eastAsia="宋体" w:cs="宋体"/>
          <w:sz w:val="24"/>
          <w:szCs w:val="24"/>
          <w:lang w:eastAsia="zh-CN"/>
        </w:rPr>
        <w:t>（</w:t>
      </w:r>
      <w:r>
        <w:rPr>
          <w:rFonts w:hint="eastAsia" w:hAnsi="宋体" w:eastAsia="宋体" w:cs="宋体"/>
          <w:sz w:val="24"/>
          <w:szCs w:val="24"/>
          <w:lang w:val="en-US" w:eastAsia="zh-CN"/>
        </w:rPr>
        <w:t>签章</w:t>
      </w:r>
      <w:r>
        <w:rPr>
          <w:rFonts w:hint="eastAsia"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u w:val="single"/>
        </w:rPr>
        <w:t xml:space="preserve">                                   </w:t>
      </w:r>
    </w:p>
    <w:p w14:paraId="1840073D">
      <w:pPr>
        <w:pStyle w:val="15"/>
        <w:pageBreakBefore w:val="0"/>
        <w:widowControl w:val="0"/>
        <w:kinsoku/>
        <w:wordWrap/>
        <w:overflowPunct/>
        <w:topLinePunct w:val="0"/>
        <w:bidi w:val="0"/>
        <w:spacing w:line="240" w:lineRule="atLeast"/>
        <w:ind w:left="1079" w:leftChars="257" w:hanging="540"/>
        <w:outlineLvl w:val="9"/>
        <w:rPr>
          <w:rFonts w:hint="eastAsia" w:ascii="宋体" w:hAnsi="宋体" w:eastAsia="宋体" w:cs="宋体"/>
          <w:sz w:val="24"/>
          <w:szCs w:val="24"/>
          <w:u w:val="single"/>
        </w:rPr>
      </w:pPr>
      <w:r>
        <w:rPr>
          <w:rFonts w:hint="eastAsia" w:ascii="宋体" w:hAnsi="宋体" w:eastAsia="宋体" w:cs="宋体"/>
          <w:sz w:val="24"/>
          <w:szCs w:val="24"/>
        </w:rPr>
        <w:t>公章：</w:t>
      </w:r>
      <w:r>
        <w:rPr>
          <w:rFonts w:hint="eastAsia" w:ascii="宋体" w:hAnsi="宋体" w:eastAsia="宋体" w:cs="宋体"/>
          <w:sz w:val="24"/>
          <w:szCs w:val="24"/>
          <w:u w:val="single"/>
        </w:rPr>
        <w:t xml:space="preserve">                                         </w:t>
      </w:r>
    </w:p>
    <w:p w14:paraId="69BF7E8B">
      <w:pPr>
        <w:rPr>
          <w:rFonts w:hint="eastAsia"/>
        </w:rPr>
      </w:pPr>
    </w:p>
    <w:p w14:paraId="6EBC1459">
      <w:pPr>
        <w:pStyle w:val="24"/>
        <w:rPr>
          <w:rFonts w:hint="eastAsia"/>
        </w:rPr>
      </w:pPr>
    </w:p>
    <w:p w14:paraId="38F115DD">
      <w:pPr>
        <w:pageBreakBefore w:val="0"/>
        <w:widowControl w:val="0"/>
        <w:kinsoku/>
        <w:wordWrap/>
        <w:overflowPunct/>
        <w:topLinePunct w:val="0"/>
        <w:bidi w:val="0"/>
        <w:spacing w:before="0" w:line="240" w:lineRule="atLeast"/>
        <w:ind w:left="1079" w:leftChars="257" w:hanging="540"/>
        <w:outlineLvl w:val="9"/>
        <w:rPr>
          <w:rFonts w:hint="eastAsia" w:ascii="宋体" w:hAnsi="宋体" w:eastAsia="宋体" w:cs="宋体"/>
          <w:szCs w:val="24"/>
        </w:rPr>
      </w:pPr>
      <w:bookmarkStart w:id="623" w:name="_Toc27788"/>
      <w:bookmarkStart w:id="624" w:name="_Toc21744"/>
      <w:bookmarkStart w:id="625" w:name="_Toc518923104"/>
      <w:bookmarkStart w:id="626" w:name="_Toc22540"/>
      <w:bookmarkStart w:id="627" w:name="_Toc27581"/>
      <w:bookmarkStart w:id="628" w:name="_Toc16707"/>
      <w:r>
        <w:rPr>
          <w:rFonts w:hint="eastAsia" w:ascii="宋体" w:hAnsi="宋体" w:eastAsia="宋体" w:cs="宋体"/>
          <w:szCs w:val="24"/>
        </w:rPr>
        <w:t>附件2：履约担保函格式</w:t>
      </w:r>
      <w:bookmarkEnd w:id="623"/>
      <w:bookmarkEnd w:id="624"/>
      <w:bookmarkEnd w:id="625"/>
      <w:bookmarkEnd w:id="626"/>
      <w:bookmarkEnd w:id="627"/>
      <w:bookmarkEnd w:id="628"/>
    </w:p>
    <w:p w14:paraId="4CF12EBC">
      <w:pPr>
        <w:pageBreakBefore w:val="0"/>
        <w:widowControl w:val="0"/>
        <w:kinsoku/>
        <w:wordWrap/>
        <w:overflowPunct/>
        <w:topLinePunct w:val="0"/>
        <w:bidi w:val="0"/>
        <w:spacing w:before="0" w:line="240" w:lineRule="atLeast"/>
        <w:ind w:left="1079" w:leftChars="257" w:hanging="540"/>
        <w:outlineLvl w:val="9"/>
        <w:rPr>
          <w:rFonts w:hint="eastAsia" w:ascii="宋体" w:hAnsi="宋体" w:eastAsia="宋体" w:cs="宋体"/>
          <w:b w:val="0"/>
        </w:rPr>
      </w:pPr>
      <w:bookmarkStart w:id="629" w:name="_Toc32574"/>
      <w:bookmarkStart w:id="630" w:name="_Toc7209"/>
      <w:bookmarkStart w:id="631" w:name="_Toc13962"/>
      <w:bookmarkStart w:id="632" w:name="_Toc162"/>
      <w:bookmarkStart w:id="633" w:name="_Toc515647801"/>
      <w:bookmarkStart w:id="634" w:name="_Toc9735"/>
      <w:r>
        <w:rPr>
          <w:rFonts w:hint="eastAsia" w:ascii="宋体" w:hAnsi="宋体" w:eastAsia="宋体" w:cs="宋体"/>
          <w:szCs w:val="24"/>
        </w:rPr>
        <w:t>（采用政府采购信用担保形式时使用）</w:t>
      </w:r>
      <w:bookmarkEnd w:id="629"/>
      <w:bookmarkEnd w:id="630"/>
      <w:bookmarkEnd w:id="631"/>
      <w:bookmarkEnd w:id="632"/>
      <w:bookmarkEnd w:id="633"/>
      <w:bookmarkEnd w:id="634"/>
    </w:p>
    <w:p w14:paraId="0CDBDCA7">
      <w:pPr>
        <w:pageBreakBefore w:val="0"/>
        <w:widowControl w:val="0"/>
        <w:kinsoku/>
        <w:wordWrap/>
        <w:overflowPunct/>
        <w:topLinePunct w:val="0"/>
        <w:bidi w:val="0"/>
        <w:spacing w:line="240" w:lineRule="atLeast"/>
        <w:ind w:left="1079" w:leftChars="257" w:hanging="540"/>
        <w:outlineLvl w:val="9"/>
        <w:rPr>
          <w:rFonts w:hint="eastAsia" w:ascii="宋体" w:hAnsi="宋体" w:cs="宋体"/>
          <w:b/>
          <w:kern w:val="0"/>
          <w:sz w:val="24"/>
          <w:szCs w:val="20"/>
        </w:rPr>
      </w:pPr>
    </w:p>
    <w:p w14:paraId="0874F5D9">
      <w:pPr>
        <w:pageBreakBefore w:val="0"/>
        <w:widowControl w:val="0"/>
        <w:kinsoku/>
        <w:wordWrap/>
        <w:overflowPunct/>
        <w:topLinePunct w:val="0"/>
        <w:bidi w:val="0"/>
        <w:jc w:val="center"/>
        <w:outlineLvl w:val="9"/>
        <w:rPr>
          <w:rFonts w:hint="eastAsia" w:ascii="宋体" w:hAnsi="宋体" w:cs="宋体"/>
          <w:sz w:val="24"/>
        </w:rPr>
      </w:pPr>
      <w:r>
        <w:rPr>
          <w:rFonts w:hint="eastAsia" w:ascii="宋体" w:hAnsi="宋体" w:cs="宋体"/>
          <w:sz w:val="24"/>
        </w:rPr>
        <w:t>政府采购履约担保函（项目用）</w:t>
      </w:r>
    </w:p>
    <w:p w14:paraId="0F17CE3D">
      <w:pPr>
        <w:pageBreakBefore w:val="0"/>
        <w:widowControl w:val="0"/>
        <w:kinsoku/>
        <w:wordWrap/>
        <w:overflowPunct/>
        <w:topLinePunct w:val="0"/>
        <w:bidi w:val="0"/>
        <w:outlineLvl w:val="9"/>
        <w:rPr>
          <w:rFonts w:hint="eastAsia" w:ascii="宋体" w:hAnsi="宋体" w:cs="宋体"/>
          <w:sz w:val="24"/>
        </w:rPr>
      </w:pPr>
      <w:r>
        <w:rPr>
          <w:rFonts w:hint="eastAsia" w:ascii="宋体" w:hAnsi="宋体" w:cs="宋体"/>
          <w:sz w:val="24"/>
        </w:rPr>
        <w:t xml:space="preserve">                                                   编号：</w:t>
      </w:r>
    </w:p>
    <w:p w14:paraId="6587A771">
      <w:pPr>
        <w:pageBreakBefore w:val="0"/>
        <w:widowControl w:val="0"/>
        <w:kinsoku/>
        <w:wordWrap/>
        <w:overflowPunct/>
        <w:topLinePunct w:val="0"/>
        <w:bidi w:val="0"/>
        <w:outlineLvl w:val="9"/>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（采购人）：</w:t>
      </w:r>
    </w:p>
    <w:p w14:paraId="7436DC6B">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鉴于你方与</w:t>
      </w:r>
      <w:r>
        <w:rPr>
          <w:rFonts w:hint="eastAsia" w:ascii="宋体" w:hAnsi="宋体" w:cs="宋体"/>
          <w:sz w:val="24"/>
          <w:u w:val="single"/>
        </w:rPr>
        <w:t xml:space="preserve">                    </w:t>
      </w:r>
      <w:r>
        <w:rPr>
          <w:rFonts w:hint="eastAsia" w:ascii="宋体" w:hAnsi="宋体" w:cs="宋体"/>
          <w:sz w:val="24"/>
        </w:rPr>
        <w:t>（以下简称供应商）于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日签定编号为   的《</w:t>
      </w:r>
      <w:r>
        <w:rPr>
          <w:rFonts w:hint="eastAsia" w:ascii="宋体" w:hAnsi="宋体" w:cs="宋体"/>
          <w:sz w:val="24"/>
          <w:u w:val="single"/>
        </w:rPr>
        <w:t xml:space="preserve">           </w:t>
      </w:r>
      <w:r>
        <w:rPr>
          <w:rFonts w:hint="eastAsia" w:ascii="宋体" w:hAnsi="宋体" w:cs="宋体"/>
          <w:sz w:val="24"/>
        </w:rPr>
        <w:t>政府采购合同》（以下简称主合同），且依据该合同的约定，供应商应在</w:t>
      </w:r>
      <w:r>
        <w:rPr>
          <w:rFonts w:hint="eastAsia" w:ascii="宋体" w:hAnsi="宋体" w:cs="宋体"/>
          <w:sz w:val="24"/>
          <w:u w:val="single"/>
        </w:rPr>
        <w:t xml:space="preserve">    </w:t>
      </w:r>
      <w:r>
        <w:rPr>
          <w:rFonts w:hint="eastAsia" w:ascii="宋体" w:hAnsi="宋体" w:cs="宋体"/>
          <w:sz w:val="24"/>
        </w:rPr>
        <w:t>年</w:t>
      </w:r>
    </w:p>
    <w:p w14:paraId="611BAA0C">
      <w:pPr>
        <w:pageBreakBefore w:val="0"/>
        <w:widowControl w:val="0"/>
        <w:kinsoku/>
        <w:wordWrap/>
        <w:overflowPunct/>
        <w:topLinePunct w:val="0"/>
        <w:bidi w:val="0"/>
        <w:outlineLvl w:val="9"/>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日前向你方交纳履约保证金，且可以履约担保函的形式交纳履约保证金。应供应商的申请，我方以保证的方式向你方提供如下履约保证金担保：</w:t>
      </w:r>
    </w:p>
    <w:p w14:paraId="1F5248EB">
      <w:pPr>
        <w:pageBreakBefore w:val="0"/>
        <w:widowControl w:val="0"/>
        <w:kinsoku/>
        <w:wordWrap/>
        <w:overflowPunct/>
        <w:topLinePunct w:val="0"/>
        <w:bidi w:val="0"/>
        <w:ind w:firstLine="480" w:firstLineChars="200"/>
        <w:outlineLvl w:val="9"/>
        <w:rPr>
          <w:rFonts w:hint="eastAsia" w:ascii="宋体" w:hAnsi="宋体" w:cs="宋体"/>
          <w:sz w:val="24"/>
        </w:rPr>
      </w:pPr>
      <w:bookmarkStart w:id="635" w:name="_Toc16807"/>
      <w:r>
        <w:rPr>
          <w:rFonts w:hint="eastAsia" w:ascii="宋体" w:hAnsi="宋体" w:cs="宋体"/>
          <w:sz w:val="24"/>
        </w:rPr>
        <w:t>一、保证责任的情形及保证金额</w:t>
      </w:r>
      <w:bookmarkEnd w:id="635"/>
    </w:p>
    <w:p w14:paraId="162E6155">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（一）在供应商出现下列情形之一时，我方承担保证责任：</w:t>
      </w:r>
    </w:p>
    <w:p w14:paraId="457C0D54">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1．将中标项目转让给他人，或者在投标文件中未说明，且未经采购招标机构人同意，将中标项目分包给他人的；</w:t>
      </w:r>
    </w:p>
    <w:p w14:paraId="530DA2E7">
      <w:pPr>
        <w:pageBreakBefore w:val="0"/>
        <w:widowControl w:val="0"/>
        <w:kinsoku/>
        <w:wordWrap/>
        <w:overflowPunct/>
        <w:topLinePunct w:val="0"/>
        <w:bidi w:val="0"/>
        <w:outlineLvl w:val="9"/>
        <w:rPr>
          <w:rFonts w:hint="eastAsia" w:ascii="宋体" w:hAnsi="宋体" w:cs="宋体"/>
          <w:sz w:val="24"/>
        </w:rPr>
      </w:pPr>
      <w:r>
        <w:rPr>
          <w:rFonts w:hint="eastAsia" w:ascii="宋体" w:hAnsi="宋体" w:cs="宋体"/>
          <w:sz w:val="24"/>
        </w:rPr>
        <w:t>　　</w:t>
      </w:r>
      <w:bookmarkStart w:id="636" w:name="_Toc2434"/>
      <w:bookmarkStart w:id="637" w:name="_Toc806"/>
      <w:bookmarkStart w:id="638" w:name="_Toc30650"/>
      <w:r>
        <w:rPr>
          <w:rFonts w:hint="eastAsia" w:ascii="宋体" w:hAnsi="宋体" w:cs="宋体"/>
          <w:sz w:val="24"/>
        </w:rPr>
        <w:t>2．主合同约定的应当缴纳履约保证金的情形:</w:t>
      </w:r>
      <w:bookmarkEnd w:id="636"/>
      <w:bookmarkEnd w:id="637"/>
      <w:bookmarkEnd w:id="638"/>
      <w:r>
        <w:rPr>
          <w:rFonts w:hint="eastAsia" w:ascii="宋体" w:hAnsi="宋体" w:cs="宋体"/>
          <w:sz w:val="24"/>
        </w:rPr>
        <w:t xml:space="preserve"> </w:t>
      </w:r>
    </w:p>
    <w:p w14:paraId="3690990B">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（1）未按主合同约定的质量、数量和期限供应货物/提供服务/完成工程的；</w:t>
      </w:r>
    </w:p>
    <w:p w14:paraId="5E19E7F8">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（2）</w:t>
      </w:r>
      <w:r>
        <w:rPr>
          <w:rFonts w:hint="eastAsia" w:ascii="宋体" w:hAnsi="宋体" w:cs="宋体"/>
          <w:sz w:val="24"/>
          <w:u w:val="single"/>
        </w:rPr>
        <w:t xml:space="preserve">                                                           </w:t>
      </w:r>
      <w:r>
        <w:rPr>
          <w:rFonts w:hint="eastAsia" w:ascii="宋体" w:hAnsi="宋体" w:cs="宋体"/>
          <w:sz w:val="24"/>
        </w:rPr>
        <w:t>。</w:t>
      </w:r>
    </w:p>
    <w:p w14:paraId="31077749">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（二）我方的保证范围是主合同约定的合同价款总额的</w:t>
      </w:r>
      <w:r>
        <w:rPr>
          <w:rFonts w:hint="eastAsia" w:ascii="宋体" w:hAnsi="宋体" w:cs="宋体"/>
          <w:sz w:val="24"/>
          <w:u w:val="single"/>
        </w:rPr>
        <w:t xml:space="preserve">      </w:t>
      </w:r>
      <w:r>
        <w:rPr>
          <w:rFonts w:hint="eastAsia" w:ascii="宋体" w:hAnsi="宋体" w:cs="宋体"/>
          <w:sz w:val="24"/>
        </w:rPr>
        <w:t>%数额为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），币种为</w:t>
      </w:r>
      <w:r>
        <w:rPr>
          <w:rFonts w:hint="eastAsia" w:ascii="宋体" w:hAnsi="宋体" w:cs="宋体"/>
          <w:sz w:val="24"/>
          <w:u w:val="single"/>
        </w:rPr>
        <w:t xml:space="preserve">        </w:t>
      </w:r>
      <w:r>
        <w:rPr>
          <w:rFonts w:hint="eastAsia" w:ascii="宋体" w:hAnsi="宋体" w:cs="宋体"/>
          <w:sz w:val="24"/>
        </w:rPr>
        <w:t>。（即主合同履约保证金金额）</w:t>
      </w:r>
    </w:p>
    <w:p w14:paraId="13F283F9">
      <w:pPr>
        <w:pageBreakBefore w:val="0"/>
        <w:widowControl w:val="0"/>
        <w:kinsoku/>
        <w:wordWrap/>
        <w:overflowPunct/>
        <w:topLinePunct w:val="0"/>
        <w:bidi w:val="0"/>
        <w:ind w:firstLine="480" w:firstLineChars="200"/>
        <w:outlineLvl w:val="9"/>
        <w:rPr>
          <w:rFonts w:hint="eastAsia" w:ascii="宋体" w:hAnsi="宋体" w:cs="宋体"/>
          <w:sz w:val="24"/>
        </w:rPr>
      </w:pPr>
      <w:bookmarkStart w:id="639" w:name="_Toc16733"/>
      <w:r>
        <w:rPr>
          <w:rFonts w:hint="eastAsia" w:ascii="宋体" w:hAnsi="宋体" w:cs="宋体"/>
          <w:sz w:val="24"/>
        </w:rPr>
        <w:t>二、保证的方式及保证期间</w:t>
      </w:r>
      <w:bookmarkEnd w:id="639"/>
    </w:p>
    <w:p w14:paraId="4961CEB7">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我方保证的方式为：连带责任保证。</w:t>
      </w:r>
    </w:p>
    <w:p w14:paraId="74772139">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我方保证的期间为：自本合同生效之日起至供应商按照主合同约定的供货/完工期限届满后</w:t>
      </w:r>
      <w:r>
        <w:rPr>
          <w:rFonts w:hint="eastAsia" w:ascii="宋体" w:hAnsi="宋体" w:cs="宋体"/>
          <w:sz w:val="24"/>
          <w:u w:val="single"/>
        </w:rPr>
        <w:t xml:space="preserve">     </w:t>
      </w:r>
      <w:r>
        <w:rPr>
          <w:rFonts w:hint="eastAsia" w:ascii="宋体" w:hAnsi="宋体" w:cs="宋体"/>
          <w:sz w:val="24"/>
        </w:rPr>
        <w:t>日内。</w:t>
      </w:r>
    </w:p>
    <w:p w14:paraId="7CF42E1F">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如果供应商未按主合同约定向贵方供应货物/提供服务/完成工程的，由我方在保证金额内向你方支付上述款项。</w:t>
      </w:r>
    </w:p>
    <w:p w14:paraId="6EEBA904">
      <w:pPr>
        <w:pageBreakBefore w:val="0"/>
        <w:widowControl w:val="0"/>
        <w:kinsoku/>
        <w:wordWrap/>
        <w:overflowPunct/>
        <w:topLinePunct w:val="0"/>
        <w:bidi w:val="0"/>
        <w:ind w:firstLine="480" w:firstLineChars="200"/>
        <w:outlineLvl w:val="9"/>
        <w:rPr>
          <w:rFonts w:hint="eastAsia" w:ascii="宋体" w:hAnsi="宋体" w:cs="宋体"/>
          <w:sz w:val="24"/>
        </w:rPr>
      </w:pPr>
      <w:bookmarkStart w:id="640" w:name="_Toc19668"/>
      <w:r>
        <w:rPr>
          <w:rFonts w:hint="eastAsia" w:ascii="宋体" w:hAnsi="宋体" w:cs="宋体"/>
          <w:sz w:val="24"/>
        </w:rPr>
        <w:t>三、承担保证责任的程序</w:t>
      </w:r>
      <w:bookmarkEnd w:id="640"/>
    </w:p>
    <w:p w14:paraId="35D24038">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1．你方要求我方承担保证责任的，应在本保函保证期间内向我方发出书面索赔通知。索赔通知应写明要求索赔的金额，支付款项应到达的帐号。并附有证明供应商违约事实的证明材料。</w:t>
      </w:r>
    </w:p>
    <w:p w14:paraId="5108F26D">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如果你方与供应商因货物质量问题产生争议，你方还需同时提供</w:t>
      </w:r>
      <w:r>
        <w:rPr>
          <w:rFonts w:hint="eastAsia" w:ascii="宋体" w:hAnsi="宋体" w:cs="宋体"/>
          <w:sz w:val="24"/>
          <w:u w:val="single"/>
        </w:rPr>
        <w:t xml:space="preserve">        </w:t>
      </w:r>
      <w:r>
        <w:rPr>
          <w:rFonts w:hint="eastAsia" w:ascii="宋体" w:hAnsi="宋体" w:cs="宋体"/>
          <w:sz w:val="24"/>
        </w:rPr>
        <w:t>部门出具的质量检测报告，或经诉讼（仲裁）程序裁决后的裁决书、调解书，本保证人即按照检测结果或裁决书、调解书决定是否承担保证责任。</w:t>
      </w:r>
    </w:p>
    <w:p w14:paraId="715FAEBF">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2． 我方收到你方的书面索赔通知及相应证明材料，在</w:t>
      </w:r>
      <w:r>
        <w:rPr>
          <w:rFonts w:hint="eastAsia" w:ascii="宋体" w:hAnsi="宋体" w:cs="宋体"/>
          <w:sz w:val="24"/>
          <w:u w:val="single"/>
        </w:rPr>
        <w:t xml:space="preserve">     </w:t>
      </w:r>
      <w:r>
        <w:rPr>
          <w:rFonts w:hint="eastAsia" w:ascii="宋体" w:hAnsi="宋体" w:cs="宋体"/>
          <w:sz w:val="24"/>
        </w:rPr>
        <w:t>工作日内进行核定后按照本保函的承诺承担保证责任。</w:t>
      </w:r>
    </w:p>
    <w:p w14:paraId="356940D6">
      <w:pPr>
        <w:pageBreakBefore w:val="0"/>
        <w:widowControl w:val="0"/>
        <w:kinsoku/>
        <w:wordWrap/>
        <w:overflowPunct/>
        <w:topLinePunct w:val="0"/>
        <w:bidi w:val="0"/>
        <w:ind w:firstLine="480" w:firstLineChars="200"/>
        <w:outlineLvl w:val="9"/>
        <w:rPr>
          <w:rFonts w:hint="eastAsia" w:ascii="宋体" w:hAnsi="宋体" w:cs="宋体"/>
          <w:sz w:val="24"/>
        </w:rPr>
      </w:pPr>
      <w:bookmarkStart w:id="641" w:name="_Toc11641"/>
      <w:r>
        <w:rPr>
          <w:rFonts w:hint="eastAsia" w:ascii="宋体" w:hAnsi="宋体" w:cs="宋体"/>
          <w:sz w:val="24"/>
        </w:rPr>
        <w:t>四、保证责任的终止</w:t>
      </w:r>
      <w:bookmarkEnd w:id="641"/>
    </w:p>
    <w:p w14:paraId="5F163297">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9AB9736">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2．我方按照本保函向你方履行了保证责任后，自我方向你方支付款项（支付款项从我方账户划出）之日起，保证责任即终止。</w:t>
      </w:r>
    </w:p>
    <w:p w14:paraId="1880D454">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3．按照法律法规的规定或出现应终止我方保证责任的其它情形的，我方在本保函项下的保证责任亦终止。</w:t>
      </w:r>
    </w:p>
    <w:p w14:paraId="28EB4FB0">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68B06D9">
      <w:pPr>
        <w:pageBreakBefore w:val="0"/>
        <w:widowControl w:val="0"/>
        <w:kinsoku/>
        <w:wordWrap/>
        <w:overflowPunct/>
        <w:topLinePunct w:val="0"/>
        <w:bidi w:val="0"/>
        <w:ind w:firstLine="480" w:firstLineChars="200"/>
        <w:outlineLvl w:val="9"/>
        <w:rPr>
          <w:rFonts w:hint="eastAsia" w:ascii="宋体" w:hAnsi="宋体" w:cs="宋体"/>
          <w:sz w:val="24"/>
        </w:rPr>
      </w:pPr>
      <w:bookmarkStart w:id="642" w:name="_Toc3542"/>
      <w:r>
        <w:rPr>
          <w:rFonts w:hint="eastAsia" w:ascii="宋体" w:hAnsi="宋体" w:cs="宋体"/>
          <w:sz w:val="24"/>
        </w:rPr>
        <w:t>五、免责条款</w:t>
      </w:r>
      <w:bookmarkEnd w:id="642"/>
    </w:p>
    <w:p w14:paraId="5046842B">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1．因你方违反主合同约定致使供应商不能履行义务的，我方不承担保证责任。</w:t>
      </w:r>
    </w:p>
    <w:p w14:paraId="19BE1C5A">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2．依照法律法规的规定或你方与供应商的另行约定，全部或者部分免除供应商应缴纳的保证金义务的，我方亦免除相应的保证责任。</w:t>
      </w:r>
    </w:p>
    <w:p w14:paraId="794F28FA">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3．因不可抗力造成供应商不能履行供货义务的，我方不承担保证责任。</w:t>
      </w:r>
    </w:p>
    <w:p w14:paraId="246CD2DD">
      <w:pPr>
        <w:pageBreakBefore w:val="0"/>
        <w:widowControl w:val="0"/>
        <w:kinsoku/>
        <w:wordWrap/>
        <w:overflowPunct/>
        <w:topLinePunct w:val="0"/>
        <w:bidi w:val="0"/>
        <w:ind w:firstLine="480" w:firstLineChars="200"/>
        <w:outlineLvl w:val="9"/>
        <w:rPr>
          <w:rFonts w:hint="eastAsia" w:ascii="宋体" w:hAnsi="宋体" w:cs="宋体"/>
          <w:sz w:val="24"/>
        </w:rPr>
      </w:pPr>
      <w:bookmarkStart w:id="643" w:name="_Toc908"/>
      <w:r>
        <w:rPr>
          <w:rFonts w:hint="eastAsia" w:ascii="宋体" w:hAnsi="宋体" w:cs="宋体"/>
          <w:sz w:val="24"/>
        </w:rPr>
        <w:t>六、争议的解决</w:t>
      </w:r>
      <w:bookmarkEnd w:id="643"/>
    </w:p>
    <w:p w14:paraId="5FDE7413">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因本保函发生的纠纷，由你我双方协商解决，协商不成的，通过诉讼程序解决，诉讼管辖地法院为</w:t>
      </w:r>
      <w:r>
        <w:rPr>
          <w:rFonts w:hint="eastAsia" w:ascii="宋体" w:hAnsi="宋体" w:cs="宋体"/>
          <w:sz w:val="24"/>
          <w:u w:val="single"/>
        </w:rPr>
        <w:t xml:space="preserve">        </w:t>
      </w:r>
      <w:r>
        <w:rPr>
          <w:rFonts w:hint="eastAsia" w:ascii="宋体" w:hAnsi="宋体" w:cs="宋体"/>
          <w:sz w:val="24"/>
        </w:rPr>
        <w:t>法院。</w:t>
      </w:r>
    </w:p>
    <w:p w14:paraId="7022F252">
      <w:pPr>
        <w:pageBreakBefore w:val="0"/>
        <w:widowControl w:val="0"/>
        <w:kinsoku/>
        <w:wordWrap/>
        <w:overflowPunct/>
        <w:topLinePunct w:val="0"/>
        <w:bidi w:val="0"/>
        <w:ind w:firstLine="480" w:firstLineChars="200"/>
        <w:outlineLvl w:val="9"/>
        <w:rPr>
          <w:rFonts w:hint="eastAsia" w:ascii="宋体" w:hAnsi="宋体" w:cs="宋体"/>
          <w:sz w:val="24"/>
        </w:rPr>
      </w:pPr>
      <w:bookmarkStart w:id="644" w:name="_Toc17651"/>
      <w:r>
        <w:rPr>
          <w:rFonts w:hint="eastAsia" w:ascii="宋体" w:hAnsi="宋体" w:cs="宋体"/>
          <w:sz w:val="24"/>
        </w:rPr>
        <w:t>七、保函的生效</w:t>
      </w:r>
      <w:bookmarkEnd w:id="644"/>
    </w:p>
    <w:p w14:paraId="08E78B3E">
      <w:pPr>
        <w:pageBreakBefore w:val="0"/>
        <w:widowControl w:val="0"/>
        <w:kinsoku/>
        <w:wordWrap/>
        <w:overflowPunct/>
        <w:topLinePunct w:val="0"/>
        <w:bidi w:val="0"/>
        <w:ind w:firstLine="480" w:firstLineChars="200"/>
        <w:outlineLvl w:val="9"/>
        <w:rPr>
          <w:rFonts w:hint="eastAsia" w:ascii="宋体" w:hAnsi="宋体" w:cs="宋体"/>
          <w:sz w:val="24"/>
        </w:rPr>
      </w:pPr>
      <w:r>
        <w:rPr>
          <w:rFonts w:hint="eastAsia" w:ascii="宋体" w:hAnsi="宋体" w:cs="宋体"/>
          <w:sz w:val="24"/>
        </w:rPr>
        <w:t>本保函自我方加盖公章之日起生效。</w:t>
      </w:r>
    </w:p>
    <w:p w14:paraId="4AD1FD6A">
      <w:pPr>
        <w:pStyle w:val="10"/>
        <w:rPr>
          <w:rFonts w:hint="eastAsia"/>
        </w:rPr>
      </w:pPr>
    </w:p>
    <w:p w14:paraId="36BB042E">
      <w:pPr>
        <w:pageBreakBefore w:val="0"/>
        <w:widowControl w:val="0"/>
        <w:kinsoku/>
        <w:wordWrap/>
        <w:overflowPunct/>
        <w:topLinePunct w:val="0"/>
        <w:bidi w:val="0"/>
        <w:outlineLvl w:val="9"/>
        <w:rPr>
          <w:rFonts w:hint="eastAsia" w:ascii="宋体" w:hAnsi="宋体" w:cs="宋体"/>
          <w:sz w:val="24"/>
        </w:rPr>
      </w:pPr>
    </w:p>
    <w:p w14:paraId="27EE1009">
      <w:pPr>
        <w:pageBreakBefore w:val="0"/>
        <w:widowControl w:val="0"/>
        <w:kinsoku/>
        <w:wordWrap/>
        <w:overflowPunct/>
        <w:topLinePunct w:val="0"/>
        <w:bidi w:val="0"/>
        <w:outlineLvl w:val="9"/>
        <w:rPr>
          <w:rFonts w:hint="eastAsia" w:ascii="宋体" w:hAnsi="宋体" w:cs="宋体"/>
          <w:sz w:val="24"/>
        </w:rPr>
      </w:pPr>
      <w:r>
        <w:rPr>
          <w:rFonts w:hint="eastAsia" w:ascii="宋体" w:hAnsi="宋体" w:cs="宋体"/>
          <w:sz w:val="24"/>
        </w:rPr>
        <w:t xml:space="preserve">                                   </w:t>
      </w:r>
    </w:p>
    <w:p w14:paraId="48595174">
      <w:pPr>
        <w:pageBreakBefore w:val="0"/>
        <w:widowControl w:val="0"/>
        <w:kinsoku/>
        <w:wordWrap/>
        <w:overflowPunct/>
        <w:topLinePunct w:val="0"/>
        <w:bidi w:val="0"/>
        <w:ind w:firstLine="5400" w:firstLineChars="2250"/>
        <w:outlineLvl w:val="9"/>
        <w:rPr>
          <w:rFonts w:hint="eastAsia" w:ascii="宋体" w:hAnsi="宋体" w:cs="宋体"/>
          <w:sz w:val="24"/>
        </w:rPr>
      </w:pPr>
      <w:r>
        <w:rPr>
          <w:rFonts w:hint="eastAsia" w:ascii="宋体" w:hAnsi="宋体" w:cs="宋体"/>
          <w:sz w:val="24"/>
        </w:rPr>
        <w:t>保证人：</w:t>
      </w:r>
      <w:r>
        <w:rPr>
          <w:rFonts w:hint="eastAsia" w:ascii="宋体" w:hAnsi="宋体" w:cs="宋体"/>
          <w:sz w:val="24"/>
          <w:lang w:val="en-US" w:eastAsia="zh-CN"/>
        </w:rPr>
        <w:t xml:space="preserve"> </w:t>
      </w:r>
      <w:r>
        <w:rPr>
          <w:rFonts w:hint="eastAsia" w:ascii="宋体" w:hAnsi="宋体" w:cs="宋体"/>
          <w:sz w:val="24"/>
        </w:rPr>
        <w:t>（公章）</w:t>
      </w:r>
    </w:p>
    <w:p w14:paraId="018F2575">
      <w:pPr>
        <w:pageBreakBefore w:val="0"/>
        <w:widowControl w:val="0"/>
        <w:kinsoku/>
        <w:wordWrap/>
        <w:overflowPunct/>
        <w:topLinePunct w:val="0"/>
        <w:bidi w:val="0"/>
        <w:outlineLvl w:val="9"/>
        <w:rPr>
          <w:rFonts w:hint="eastAsia" w:ascii="宋体" w:hAnsi="宋体" w:cs="宋体"/>
          <w:sz w:val="24"/>
        </w:rPr>
      </w:pPr>
      <w:r>
        <w:rPr>
          <w:rFonts w:hint="eastAsia" w:ascii="宋体" w:hAnsi="宋体" w:cs="宋体"/>
          <w:sz w:val="24"/>
        </w:rPr>
        <w:t xml:space="preserve">                   </w:t>
      </w:r>
    </w:p>
    <w:p w14:paraId="426FA022">
      <w:pPr>
        <w:pageBreakBefore w:val="0"/>
        <w:widowControl w:val="0"/>
        <w:kinsoku/>
        <w:wordWrap/>
        <w:overflowPunct/>
        <w:topLinePunct w:val="0"/>
        <w:bidi w:val="0"/>
        <w:outlineLvl w:val="9"/>
        <w:rPr>
          <w:rFonts w:hint="eastAsia" w:ascii="仿宋_GB2312" w:hAnsi="仿宋_GB2312" w:eastAsia="仿宋_GB2312" w:cs="仿宋_GB2312"/>
          <w:b/>
          <w:i w:val="0"/>
          <w:caps w:val="0"/>
          <w:spacing w:val="0"/>
          <w:w w:val="100"/>
          <w:kern w:val="0"/>
          <w:sz w:val="44"/>
          <w:szCs w:val="44"/>
        </w:rPr>
      </w:pPr>
      <w:r>
        <w:rPr>
          <w:rFonts w:hint="eastAsia" w:ascii="宋体" w:hAnsi="宋体" w:cs="宋体"/>
          <w:sz w:val="24"/>
        </w:rPr>
        <w:t xml:space="preserve">                                                   年     月      日</w:t>
      </w:r>
    </w:p>
    <w:bookmarkEnd w:id="0"/>
    <w:bookmarkEnd w:id="1"/>
    <w:bookmarkEnd w:id="2"/>
    <w:bookmarkEnd w:id="3"/>
    <w:bookmarkEnd w:id="4"/>
    <w:bookmarkEnd w:id="5"/>
    <w:bookmarkEnd w:id="6"/>
    <w:bookmarkEnd w:id="7"/>
    <w:bookmarkEnd w:id="8"/>
    <w:p w14:paraId="4F07165B">
      <w:pPr>
        <w:pStyle w:val="3"/>
        <w:tabs>
          <w:tab w:val="left" w:pos="0"/>
        </w:tabs>
        <w:snapToGrid/>
        <w:spacing w:before="0" w:beforeAutospacing="0" w:after="0" w:afterAutospacing="0" w:line="240" w:lineRule="atLeast"/>
        <w:jc w:val="center"/>
        <w:textAlignment w:val="baseline"/>
        <w:rPr>
          <w:b w:val="0"/>
          <w:i w:val="0"/>
          <w:caps w:val="0"/>
          <w:spacing w:val="0"/>
          <w:w w:val="100"/>
          <w:sz w:val="20"/>
        </w:rPr>
      </w:pPr>
      <w:bookmarkStart w:id="645" w:name="_Toc2603"/>
      <w:bookmarkStart w:id="646" w:name="_Toc8096"/>
      <w:bookmarkStart w:id="647" w:name="_Toc1405"/>
      <w:bookmarkStart w:id="648" w:name="_Toc507399903"/>
      <w:bookmarkStart w:id="649" w:name="_Toc216582823"/>
      <w:bookmarkStart w:id="650" w:name="_Toc512937850"/>
      <w:bookmarkStart w:id="651" w:name="_Toc515647830"/>
      <w:bookmarkStart w:id="652" w:name="_Toc20439"/>
      <w:bookmarkStart w:id="653" w:name="_Toc10488"/>
      <w:bookmarkStart w:id="654" w:name="_Toc31583"/>
      <w:r>
        <w:rPr>
          <w:rFonts w:hint="eastAsia" w:ascii="仿宋_GB2312" w:hAnsi="仿宋_GB2312" w:eastAsia="仿宋_GB2312" w:cs="仿宋_GB2312"/>
          <w:b/>
          <w:i w:val="0"/>
          <w:caps w:val="0"/>
          <w:spacing w:val="0"/>
          <w:w w:val="100"/>
          <w:kern w:val="0"/>
          <w:sz w:val="44"/>
          <w:szCs w:val="44"/>
        </w:rPr>
        <w:t>第二章</w:t>
      </w:r>
      <w:r>
        <w:rPr>
          <w:rFonts w:hint="eastAsia" w:ascii="仿宋_GB2312" w:hAnsi="仿宋_GB2312" w:eastAsia="仿宋_GB2312" w:cs="仿宋_GB2312"/>
          <w:b/>
          <w:i w:val="0"/>
          <w:caps w:val="0"/>
          <w:spacing w:val="0"/>
          <w:w w:val="100"/>
          <w:sz w:val="44"/>
          <w:szCs w:val="44"/>
        </w:rPr>
        <w:t xml:space="preserve">  投标文件格式</w:t>
      </w:r>
      <w:bookmarkEnd w:id="645"/>
      <w:bookmarkEnd w:id="646"/>
    </w:p>
    <w:p w14:paraId="777C9EA8">
      <w:pPr>
        <w:pStyle w:val="4"/>
        <w:snapToGrid/>
        <w:spacing w:before="0" w:beforeAutospacing="0" w:after="0" w:afterAutospacing="0" w:line="240" w:lineRule="atLeast"/>
        <w:ind w:left="1079" w:leftChars="257" w:hanging="540"/>
        <w:jc w:val="center"/>
        <w:textAlignment w:val="baseline"/>
        <w:rPr>
          <w:rFonts w:ascii="仿宋_GB2312" w:hAnsi="宋体" w:eastAsia="仿宋_GB2312"/>
          <w:b/>
          <w:i w:val="0"/>
          <w:caps w:val="0"/>
          <w:spacing w:val="0"/>
          <w:w w:val="100"/>
          <w:sz w:val="24"/>
        </w:rPr>
      </w:pPr>
      <w:bookmarkStart w:id="655" w:name="_Toc15142"/>
      <w:bookmarkStart w:id="656" w:name="_Toc518923107"/>
    </w:p>
    <w:p w14:paraId="0AFAD799">
      <w:pPr>
        <w:pStyle w:val="4"/>
        <w:snapToGrid/>
        <w:spacing w:before="0" w:beforeAutospacing="0" w:after="0" w:afterAutospacing="0" w:line="240" w:lineRule="atLeast"/>
        <w:ind w:left="1079" w:leftChars="257" w:hanging="540"/>
        <w:jc w:val="center"/>
        <w:textAlignment w:val="baseline"/>
        <w:rPr>
          <w:rFonts w:ascii="仿宋_GB2312" w:hAnsi="仿宋_GB2312" w:eastAsia="仿宋_GB2312" w:cs="仿宋_GB2312"/>
          <w:b w:val="0"/>
          <w:i w:val="0"/>
          <w:caps w:val="0"/>
          <w:spacing w:val="0"/>
          <w:w w:val="100"/>
          <w:sz w:val="24"/>
        </w:rPr>
      </w:pPr>
      <w:bookmarkStart w:id="657" w:name="_Toc24822"/>
      <w:bookmarkStart w:id="658" w:name="_Toc11730"/>
      <w:bookmarkStart w:id="659" w:name="_Toc21312"/>
      <w:bookmarkStart w:id="660" w:name="_Toc13309"/>
      <w:bookmarkStart w:id="661" w:name="_Toc10047"/>
      <w:bookmarkStart w:id="662" w:name="_Toc11201"/>
      <w:bookmarkStart w:id="663" w:name="_Toc8875"/>
      <w:bookmarkStart w:id="664" w:name="_Toc7162"/>
      <w:bookmarkStart w:id="665" w:name="_Toc13868"/>
      <w:bookmarkStart w:id="666" w:name="_Toc14363"/>
      <w:bookmarkStart w:id="667" w:name="_Toc15435"/>
      <w:r>
        <w:rPr>
          <w:rFonts w:ascii="仿宋_GB2312" w:hAnsi="宋体" w:eastAsia="仿宋_GB2312"/>
          <w:b/>
          <w:i w:val="0"/>
          <w:caps w:val="0"/>
          <w:spacing w:val="0"/>
          <w:w w:val="100"/>
          <w:sz w:val="24"/>
        </w:rPr>
        <w:t>第一部分</w:t>
      </w:r>
      <w:r>
        <w:rPr>
          <w:rFonts w:hint="eastAsia" w:ascii="仿宋_GB2312" w:hAnsi="宋体" w:eastAsia="仿宋_GB2312"/>
          <w:b/>
          <w:i w:val="0"/>
          <w:caps w:val="0"/>
          <w:spacing w:val="0"/>
          <w:w w:val="100"/>
          <w:sz w:val="24"/>
        </w:rPr>
        <w:t xml:space="preserve"> 开标一览表及资格证明文件</w:t>
      </w:r>
      <w:bookmarkEnd w:id="655"/>
      <w:bookmarkEnd w:id="656"/>
      <w:bookmarkEnd w:id="657"/>
      <w:bookmarkEnd w:id="658"/>
      <w:bookmarkEnd w:id="659"/>
      <w:bookmarkEnd w:id="660"/>
      <w:bookmarkEnd w:id="661"/>
      <w:bookmarkEnd w:id="662"/>
      <w:bookmarkEnd w:id="663"/>
      <w:bookmarkEnd w:id="664"/>
      <w:bookmarkEnd w:id="665"/>
      <w:bookmarkEnd w:id="666"/>
      <w:bookmarkEnd w:id="667"/>
    </w:p>
    <w:p w14:paraId="348CEC52">
      <w:pPr>
        <w:snapToGrid/>
        <w:spacing w:before="0" w:beforeAutospacing="0" w:after="0" w:afterAutospacing="0" w:line="240" w:lineRule="atLeast"/>
        <w:ind w:hangingChars="295"/>
        <w:jc w:val="center"/>
        <w:textAlignment w:val="baseline"/>
        <w:rPr>
          <w:rFonts w:ascii="仿宋_GB2312" w:hAnsi="宋体" w:eastAsia="仿宋_GB2312"/>
          <w:b w:val="0"/>
          <w:i w:val="0"/>
          <w:caps w:val="0"/>
          <w:spacing w:val="0"/>
          <w:w w:val="100"/>
          <w:sz w:val="24"/>
        </w:rPr>
      </w:pPr>
    </w:p>
    <w:p w14:paraId="2E9C62C1">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1、开标一览表</w:t>
      </w:r>
    </w:p>
    <w:p w14:paraId="0F5E5149">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2、法人或者非法人组织的营业执照等证明文件</w:t>
      </w:r>
    </w:p>
    <w:p w14:paraId="32D08384">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3、法定代表人身份证明</w:t>
      </w:r>
    </w:p>
    <w:p w14:paraId="48E8140B">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4、法定代表人授权委托书</w:t>
      </w:r>
    </w:p>
    <w:p w14:paraId="1DBB5935">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5、投标保证金缴纳收据复印件</w:t>
      </w:r>
      <w:r>
        <w:rPr>
          <w:rFonts w:hint="eastAsia" w:ascii="仿宋_GB2312" w:hAnsi="仿宋" w:eastAsia="仿宋_GB2312"/>
          <w:b w:val="0"/>
          <w:i w:val="0"/>
          <w:caps w:val="0"/>
          <w:spacing w:val="0"/>
          <w:w w:val="100"/>
          <w:sz w:val="24"/>
        </w:rPr>
        <w:t>或银行保函复印件</w:t>
      </w:r>
    </w:p>
    <w:p w14:paraId="15D964D8">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6、社会保障资金的缴纳记录</w:t>
      </w:r>
    </w:p>
    <w:p w14:paraId="5DCCA3FF">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7、良好的商业信誉和健全的财务会计制度证明材料</w:t>
      </w:r>
    </w:p>
    <w:p w14:paraId="6BB5FCF3">
      <w:pPr>
        <w:pStyle w:val="15"/>
        <w:snapToGrid/>
        <w:spacing w:before="0" w:beforeAutospacing="0" w:after="0" w:afterAutospacing="0" w:line="288" w:lineRule="auto"/>
        <w:ind w:firstLine="480" w:firstLineChars="200"/>
        <w:jc w:val="left"/>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8、依法缴纳税收的证明</w:t>
      </w:r>
    </w:p>
    <w:p w14:paraId="6544688D">
      <w:pPr>
        <w:pStyle w:val="15"/>
        <w:snapToGrid/>
        <w:spacing w:before="0" w:beforeAutospacing="0" w:after="0" w:afterAutospacing="0" w:line="288" w:lineRule="auto"/>
        <w:ind w:firstLine="480" w:firstLineChars="200"/>
        <w:jc w:val="left"/>
        <w:textAlignment w:val="baseline"/>
        <w:rPr>
          <w:rFonts w:hint="eastAsia" w:ascii="仿宋_GB2312" w:hAnsi="仿宋_GB2312" w:eastAsia="仿宋_GB2312" w:cs="仿宋_GB2312"/>
          <w:b w:val="0"/>
          <w:i w:val="0"/>
          <w:caps w:val="0"/>
          <w:spacing w:val="0"/>
          <w:w w:val="100"/>
          <w:sz w:val="24"/>
          <w:lang w:val="en-US" w:eastAsia="zh-CN"/>
        </w:rPr>
      </w:pPr>
      <w:r>
        <w:rPr>
          <w:rFonts w:hint="eastAsia" w:ascii="仿宋_GB2312" w:hAnsi="仿宋_GB2312" w:eastAsia="仿宋_GB2312" w:cs="仿宋_GB2312"/>
          <w:b w:val="0"/>
          <w:i w:val="0"/>
          <w:caps w:val="0"/>
          <w:spacing w:val="0"/>
          <w:w w:val="100"/>
          <w:sz w:val="24"/>
          <w:lang w:val="en-US" w:eastAsia="zh-CN"/>
        </w:rPr>
        <w:t>9、参与政府采购活动前3年内未被列入失信、重大税收违法案件、财政部门禁止参加政府采购活动的承诺书</w:t>
      </w:r>
      <w:r>
        <w:rPr>
          <w:rFonts w:hint="eastAsia" w:ascii="仿宋_GB2312" w:hAnsi="仿宋_GB2312" w:eastAsia="仿宋_GB2312" w:cs="仿宋_GB2312"/>
          <w:b w:val="0"/>
          <w:i w:val="0"/>
          <w:caps w:val="0"/>
          <w:spacing w:val="0"/>
          <w:w w:val="100"/>
          <w:sz w:val="24"/>
        </w:rPr>
        <w:t>及反商业受贿承诺</w:t>
      </w:r>
    </w:p>
    <w:p w14:paraId="2A790BB5">
      <w:pPr>
        <w:pStyle w:val="15"/>
        <w:snapToGrid/>
        <w:spacing w:before="0" w:beforeAutospacing="0" w:after="0" w:afterAutospacing="0" w:line="288" w:lineRule="auto"/>
        <w:ind w:firstLine="480" w:firstLineChars="200"/>
        <w:jc w:val="left"/>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lang w:val="en-US" w:eastAsia="zh-CN"/>
        </w:rPr>
        <w:t>10</w:t>
      </w:r>
      <w:r>
        <w:rPr>
          <w:rFonts w:hint="eastAsia" w:ascii="仿宋_GB2312" w:hAnsi="仿宋_GB2312" w:eastAsia="仿宋_GB2312" w:cs="仿宋_GB2312"/>
          <w:b w:val="0"/>
          <w:i w:val="0"/>
          <w:caps w:val="0"/>
          <w:spacing w:val="0"/>
          <w:w w:val="100"/>
          <w:sz w:val="24"/>
        </w:rPr>
        <w:t>、</w:t>
      </w:r>
      <w:r>
        <w:rPr>
          <w:rFonts w:hint="eastAsia" w:ascii="仿宋_GB2312" w:hAnsi="仿宋_GB2312" w:eastAsia="仿宋_GB2312" w:cs="仿宋_GB2312"/>
          <w:b w:val="0"/>
          <w:i w:val="0"/>
          <w:caps w:val="0"/>
          <w:spacing w:val="0"/>
          <w:w w:val="100"/>
          <w:sz w:val="24"/>
          <w:lang w:val="en-US" w:eastAsia="zh-CN"/>
        </w:rPr>
        <w:t>履行合同所必需的设备和专业技术能力的证明材料（提供承诺函）</w:t>
      </w:r>
    </w:p>
    <w:p w14:paraId="7759CF09">
      <w:pPr>
        <w:pStyle w:val="15"/>
        <w:snapToGrid/>
        <w:spacing w:before="0" w:beforeAutospacing="0" w:after="0" w:afterAutospacing="0" w:line="288" w:lineRule="auto"/>
        <w:ind w:firstLine="480" w:firstLineChars="200"/>
        <w:jc w:val="left"/>
        <w:textAlignment w:val="baseline"/>
        <w:rPr>
          <w:rFonts w:ascii="仿宋_GB2312" w:hAnsi="仿宋_GB2312" w:eastAsia="仿宋_GB2312" w:cs="仿宋_GB2312"/>
          <w:sz w:val="24"/>
        </w:rPr>
      </w:pPr>
      <w:r>
        <w:rPr>
          <w:rFonts w:hint="eastAsia" w:ascii="仿宋_GB2312" w:hAnsi="仿宋_GB2312" w:eastAsia="仿宋_GB2312" w:cs="仿宋_GB2312"/>
          <w:b w:val="0"/>
          <w:i w:val="0"/>
          <w:caps w:val="0"/>
          <w:spacing w:val="0"/>
          <w:w w:val="100"/>
          <w:sz w:val="24"/>
          <w:lang w:val="en-US" w:eastAsia="zh-CN"/>
        </w:rPr>
        <w:t>11、</w:t>
      </w:r>
      <w:r>
        <w:rPr>
          <w:rFonts w:hint="eastAsia" w:ascii="仿宋_GB2312" w:hAnsi="仿宋_GB2312" w:eastAsia="仿宋_GB2312" w:cs="仿宋_GB2312"/>
          <w:b w:val="0"/>
          <w:i w:val="0"/>
          <w:caps w:val="0"/>
          <w:spacing w:val="0"/>
          <w:w w:val="100"/>
          <w:sz w:val="24"/>
        </w:rPr>
        <w:t>投标人须知资料表要求的其他资格证明文件</w:t>
      </w:r>
    </w:p>
    <w:p w14:paraId="09960436">
      <w:pPr>
        <w:rPr>
          <w:rFonts w:hint="default" w:eastAsia="仿宋_GB2312"/>
          <w:lang w:val="en-US" w:eastAsia="zh-CN"/>
        </w:rPr>
      </w:pPr>
    </w:p>
    <w:p w14:paraId="3FEFA5CA">
      <w:pPr>
        <w:pStyle w:val="24"/>
        <w:rPr>
          <w:rFonts w:ascii="仿宋_GB2312" w:hAnsi="仿宋_GB2312" w:eastAsia="仿宋_GB2312" w:cs="仿宋_GB2312"/>
          <w:sz w:val="24"/>
        </w:rPr>
      </w:pPr>
    </w:p>
    <w:p w14:paraId="0CEE6FF5">
      <w:pPr>
        <w:pStyle w:val="24"/>
        <w:rPr>
          <w:rFonts w:ascii="仿宋_GB2312" w:hAnsi="仿宋_GB2312" w:eastAsia="仿宋_GB2312" w:cs="仿宋_GB2312"/>
          <w:sz w:val="24"/>
        </w:rPr>
      </w:pPr>
    </w:p>
    <w:p w14:paraId="6059A539">
      <w:pPr>
        <w:pStyle w:val="24"/>
        <w:rPr>
          <w:rFonts w:ascii="仿宋_GB2312" w:hAnsi="仿宋_GB2312" w:eastAsia="仿宋_GB2312" w:cs="仿宋_GB2312"/>
          <w:sz w:val="24"/>
        </w:rPr>
      </w:pPr>
    </w:p>
    <w:p w14:paraId="03990AE4">
      <w:pPr>
        <w:pStyle w:val="24"/>
        <w:rPr>
          <w:rFonts w:ascii="仿宋_GB2312" w:hAnsi="仿宋_GB2312" w:eastAsia="仿宋_GB2312" w:cs="仿宋_GB2312"/>
          <w:sz w:val="24"/>
        </w:rPr>
      </w:pPr>
    </w:p>
    <w:p w14:paraId="6CC55665">
      <w:pPr>
        <w:pStyle w:val="24"/>
        <w:rPr>
          <w:rFonts w:ascii="仿宋_GB2312" w:hAnsi="仿宋_GB2312" w:eastAsia="仿宋_GB2312" w:cs="仿宋_GB2312"/>
          <w:sz w:val="24"/>
        </w:rPr>
      </w:pPr>
    </w:p>
    <w:p w14:paraId="46DF988B">
      <w:pPr>
        <w:pStyle w:val="24"/>
        <w:rPr>
          <w:rFonts w:ascii="仿宋_GB2312" w:hAnsi="仿宋_GB2312" w:eastAsia="仿宋_GB2312" w:cs="仿宋_GB2312"/>
          <w:sz w:val="24"/>
        </w:rPr>
      </w:pPr>
    </w:p>
    <w:p w14:paraId="17F25701">
      <w:pPr>
        <w:pStyle w:val="10"/>
        <w:rPr>
          <w:rFonts w:ascii="仿宋_GB2312" w:hAnsi="仿宋_GB2312" w:eastAsia="仿宋_GB2312" w:cs="仿宋_GB2312"/>
          <w:sz w:val="24"/>
        </w:rPr>
      </w:pPr>
    </w:p>
    <w:p w14:paraId="7DA6F5E6">
      <w:pPr>
        <w:pStyle w:val="34"/>
        <w:rPr>
          <w:rFonts w:ascii="仿宋_GB2312" w:hAnsi="仿宋_GB2312" w:eastAsia="仿宋_GB2312" w:cs="仿宋_GB2312"/>
          <w:sz w:val="24"/>
        </w:rPr>
      </w:pPr>
    </w:p>
    <w:p w14:paraId="036A210E"/>
    <w:p w14:paraId="2EBFB483">
      <w:pPr>
        <w:pStyle w:val="24"/>
        <w:rPr>
          <w:rFonts w:ascii="仿宋_GB2312" w:hAnsi="仿宋_GB2312" w:eastAsia="仿宋_GB2312" w:cs="仿宋_GB2312"/>
          <w:sz w:val="24"/>
        </w:rPr>
      </w:pPr>
    </w:p>
    <w:p w14:paraId="639BEE43">
      <w:pPr>
        <w:pStyle w:val="24"/>
        <w:rPr>
          <w:rFonts w:ascii="仿宋_GB2312" w:hAnsi="仿宋_GB2312" w:eastAsia="仿宋_GB2312" w:cs="仿宋_GB2312"/>
          <w:sz w:val="24"/>
        </w:rPr>
      </w:pPr>
    </w:p>
    <w:p w14:paraId="380087EC">
      <w:pPr>
        <w:pStyle w:val="24"/>
        <w:rPr>
          <w:rFonts w:ascii="仿宋_GB2312" w:hAnsi="仿宋_GB2312" w:eastAsia="仿宋_GB2312" w:cs="仿宋_GB2312"/>
          <w:sz w:val="24"/>
        </w:rPr>
      </w:pPr>
    </w:p>
    <w:p w14:paraId="73A71F3B">
      <w:pPr>
        <w:pStyle w:val="24"/>
        <w:rPr>
          <w:rFonts w:ascii="仿宋_GB2312" w:hAnsi="仿宋_GB2312" w:eastAsia="仿宋_GB2312" w:cs="仿宋_GB2312"/>
          <w:sz w:val="24"/>
        </w:rPr>
      </w:pPr>
    </w:p>
    <w:p w14:paraId="7570B2A9">
      <w:pPr>
        <w:pStyle w:val="24"/>
        <w:rPr>
          <w:rFonts w:ascii="仿宋_GB2312" w:hAnsi="仿宋_GB2312" w:eastAsia="仿宋_GB2312" w:cs="仿宋_GB2312"/>
          <w:sz w:val="24"/>
        </w:rPr>
      </w:pPr>
    </w:p>
    <w:p w14:paraId="782D3F65">
      <w:pPr>
        <w:pStyle w:val="24"/>
        <w:rPr>
          <w:rFonts w:ascii="仿宋_GB2312" w:hAnsi="仿宋_GB2312" w:eastAsia="仿宋_GB2312" w:cs="仿宋_GB2312"/>
          <w:sz w:val="24"/>
        </w:rPr>
      </w:pPr>
    </w:p>
    <w:p w14:paraId="7EA8A534">
      <w:pPr>
        <w:pStyle w:val="24"/>
        <w:rPr>
          <w:rFonts w:ascii="仿宋_GB2312" w:hAnsi="仿宋_GB2312" w:eastAsia="仿宋_GB2312" w:cs="仿宋_GB2312"/>
          <w:sz w:val="24"/>
        </w:rPr>
      </w:pPr>
    </w:p>
    <w:p w14:paraId="2463E833">
      <w:pPr>
        <w:pStyle w:val="24"/>
        <w:rPr>
          <w:rFonts w:ascii="仿宋_GB2312" w:hAnsi="仿宋_GB2312" w:eastAsia="仿宋_GB2312" w:cs="仿宋_GB2312"/>
          <w:sz w:val="24"/>
        </w:rPr>
      </w:pPr>
    </w:p>
    <w:p w14:paraId="79F86886">
      <w:pPr>
        <w:pStyle w:val="24"/>
        <w:rPr>
          <w:rFonts w:ascii="仿宋_GB2312" w:hAnsi="仿宋_GB2312" w:eastAsia="仿宋_GB2312" w:cs="仿宋_GB2312"/>
          <w:sz w:val="24"/>
        </w:rPr>
      </w:pPr>
    </w:p>
    <w:p w14:paraId="7FF627A9">
      <w:pPr>
        <w:pStyle w:val="24"/>
        <w:rPr>
          <w:rFonts w:ascii="仿宋_GB2312" w:hAnsi="仿宋_GB2312" w:eastAsia="仿宋_GB2312" w:cs="仿宋_GB2312"/>
          <w:sz w:val="24"/>
        </w:rPr>
      </w:pPr>
    </w:p>
    <w:p w14:paraId="768ED797">
      <w:pPr>
        <w:pStyle w:val="24"/>
        <w:rPr>
          <w:rFonts w:ascii="仿宋_GB2312" w:hAnsi="仿宋_GB2312" w:eastAsia="仿宋_GB2312" w:cs="仿宋_GB2312"/>
          <w:sz w:val="24"/>
        </w:rPr>
      </w:pPr>
    </w:p>
    <w:p w14:paraId="5E0EFF4C">
      <w:pPr>
        <w:pStyle w:val="10"/>
        <w:rPr>
          <w:rFonts w:ascii="仿宋_GB2312" w:hAnsi="仿宋_GB2312" w:eastAsia="仿宋_GB2312" w:cs="仿宋_GB2312"/>
          <w:sz w:val="24"/>
        </w:rPr>
      </w:pPr>
    </w:p>
    <w:p w14:paraId="7B786592">
      <w:pPr>
        <w:pStyle w:val="23"/>
      </w:pPr>
    </w:p>
    <w:p w14:paraId="3EF2C946">
      <w:pPr>
        <w:pStyle w:val="24"/>
        <w:rPr>
          <w:rFonts w:ascii="仿宋_GB2312" w:hAnsi="仿宋_GB2312" w:eastAsia="仿宋_GB2312" w:cs="仿宋_GB2312"/>
          <w:sz w:val="24"/>
        </w:rPr>
      </w:pPr>
    </w:p>
    <w:p w14:paraId="7380F9B1">
      <w:pPr>
        <w:pStyle w:val="4"/>
        <w:bidi w:val="0"/>
        <w:rPr>
          <w:rFonts w:hint="eastAsia" w:ascii="仿宋_GB2312" w:hAnsi="仿宋_GB2312" w:eastAsia="仿宋_GB2312" w:cs="仿宋_GB2312"/>
          <w:b/>
          <w:sz w:val="24"/>
          <w:szCs w:val="24"/>
          <w:lang w:val="en-US" w:eastAsia="zh-CN"/>
        </w:rPr>
      </w:pPr>
      <w:bookmarkStart w:id="668" w:name="_Toc18565"/>
      <w:bookmarkStart w:id="669" w:name="_Toc28685"/>
      <w:bookmarkStart w:id="670" w:name="_Toc14603"/>
      <w:bookmarkStart w:id="671" w:name="_Toc16568"/>
      <w:bookmarkStart w:id="672" w:name="_Toc515647804"/>
      <w:bookmarkStart w:id="673" w:name="_Toc12481"/>
      <w:bookmarkStart w:id="674" w:name="_Toc24557"/>
      <w:bookmarkStart w:id="675" w:name="_Toc29905"/>
      <w:bookmarkStart w:id="676" w:name="_Toc2776"/>
      <w:bookmarkStart w:id="677" w:name="_Toc19180"/>
      <w:bookmarkStart w:id="678" w:name="_Toc2495"/>
      <w:bookmarkStart w:id="679" w:name="_Toc20950"/>
      <w:bookmarkStart w:id="680" w:name="_Toc9159"/>
      <w:bookmarkStart w:id="681" w:name="_Toc14309"/>
      <w:bookmarkStart w:id="682" w:name="_Toc30524"/>
      <w:bookmarkStart w:id="683" w:name="_Toc24755"/>
      <w:bookmarkStart w:id="684" w:name="_Toc32488"/>
      <w:bookmarkStart w:id="685" w:name="_Toc6223"/>
      <w:bookmarkStart w:id="686" w:name="_Toc21856"/>
      <w:bookmarkStart w:id="687" w:name="_Toc7038"/>
      <w:bookmarkStart w:id="688" w:name="_Toc4959"/>
      <w:bookmarkStart w:id="689" w:name="_Toc9428"/>
      <w:r>
        <w:rPr>
          <w:rFonts w:hint="eastAsia" w:ascii="仿宋_GB2312" w:hAnsi="仿宋_GB2312" w:eastAsia="仿宋_GB2312" w:cs="仿宋_GB2312"/>
          <w:b/>
          <w:sz w:val="24"/>
          <w:szCs w:val="24"/>
          <w:lang w:val="en-US" w:eastAsia="zh-CN"/>
        </w:rPr>
        <w:t>1  开标一览表</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1074E122">
      <w:pPr>
        <w:pStyle w:val="24"/>
        <w:snapToGrid w:val="0"/>
        <w:spacing w:before="0" w:beforeAutospacing="0" w:after="0" w:afterAutospacing="0" w:line="288" w:lineRule="auto"/>
        <w:jc w:val="left"/>
        <w:textAlignment w:val="baseline"/>
        <w:rPr>
          <w:rFonts w:ascii="Times New Roman" w:hAnsi="Times New Roman" w:eastAsia="宋体"/>
          <w:b w:val="0"/>
          <w:i w:val="0"/>
          <w:caps w:val="0"/>
          <w:spacing w:val="0"/>
          <w:w w:val="100"/>
          <w:sz w:val="24"/>
        </w:rPr>
      </w:pPr>
      <w:r>
        <w:rPr>
          <w:rFonts w:hint="eastAsia"/>
          <w:b w:val="0"/>
          <w:i w:val="0"/>
          <w:caps w:val="0"/>
          <w:spacing w:val="0"/>
          <w:w w:val="100"/>
          <w:sz w:val="24"/>
        </w:rPr>
        <w:t>项目名称：</w:t>
      </w:r>
    </w:p>
    <w:p w14:paraId="541B77B5">
      <w:pPr>
        <w:pStyle w:val="24"/>
        <w:snapToGrid w:val="0"/>
        <w:spacing w:before="0" w:beforeAutospacing="0" w:after="0" w:afterAutospacing="0" w:line="288" w:lineRule="auto"/>
        <w:jc w:val="left"/>
        <w:textAlignment w:val="baseline"/>
        <w:rPr>
          <w:rFonts w:hint="eastAsia"/>
          <w:b w:val="0"/>
          <w:i w:val="0"/>
          <w:caps w:val="0"/>
          <w:spacing w:val="0"/>
          <w:w w:val="100"/>
          <w:sz w:val="24"/>
        </w:rPr>
      </w:pPr>
      <w:r>
        <w:rPr>
          <w:rFonts w:hint="eastAsia"/>
          <w:b w:val="0"/>
          <w:i w:val="0"/>
          <w:caps w:val="0"/>
          <w:spacing w:val="0"/>
          <w:w w:val="100"/>
          <w:sz w:val="24"/>
        </w:rPr>
        <w:t>项目编号：</w:t>
      </w:r>
    </w:p>
    <w:p w14:paraId="64043EC5">
      <w:pPr>
        <w:pStyle w:val="24"/>
        <w:snapToGrid w:val="0"/>
        <w:spacing w:before="0" w:beforeAutospacing="0" w:after="0" w:afterAutospacing="0" w:line="288" w:lineRule="auto"/>
        <w:jc w:val="left"/>
        <w:textAlignment w:val="baseline"/>
        <w:rPr>
          <w:rFonts w:ascii="Times New Roman" w:hAnsi="Times New Roman" w:eastAsia="宋体"/>
          <w:b w:val="0"/>
          <w:i w:val="0"/>
          <w:caps w:val="0"/>
          <w:spacing w:val="0"/>
          <w:w w:val="100"/>
          <w:sz w:val="18"/>
        </w:rPr>
      </w:pPr>
      <w:r>
        <w:rPr>
          <w:rFonts w:hint="eastAsia" w:ascii="Times New Roman" w:hAnsi="Times New Roman" w:eastAsia="宋体" w:cs="Times New Roman"/>
          <w:b w:val="0"/>
          <w:i w:val="0"/>
          <w:caps w:val="0"/>
          <w:spacing w:val="0"/>
          <w:w w:val="100"/>
          <w:sz w:val="24"/>
        </w:rPr>
        <w:t xml:space="preserve">标    段: </w:t>
      </w:r>
      <w:r>
        <w:rPr>
          <w:rFonts w:hint="eastAsia"/>
          <w:b w:val="0"/>
          <w:i w:val="0"/>
          <w:caps w:val="0"/>
          <w:spacing w:val="0"/>
          <w:w w:val="100"/>
          <w:sz w:val="18"/>
          <w:lang w:val="en-US" w:eastAsia="zh-CN"/>
        </w:rPr>
        <w:t xml:space="preserve">                                                             </w:t>
      </w:r>
      <w:r>
        <w:rPr>
          <w:rFonts w:hint="eastAsia" w:ascii="Times New Roman" w:hAnsi="Times New Roman" w:eastAsia="宋体" w:cs="Times New Roman"/>
          <w:b w:val="0"/>
          <w:i w:val="0"/>
          <w:caps w:val="0"/>
          <w:spacing w:val="0"/>
          <w:w w:val="100"/>
          <w:sz w:val="24"/>
          <w:lang w:val="en-US" w:eastAsia="zh-CN"/>
        </w:rPr>
        <w:t>单位：人民币元</w:t>
      </w:r>
    </w:p>
    <w:tbl>
      <w:tblPr>
        <w:tblStyle w:val="36"/>
        <w:tblpPr w:leftFromText="180" w:rightFromText="180" w:vertAnchor="text" w:horzAnchor="page" w:tblpX="1170" w:tblpY="82"/>
        <w:tblOverlap w:val="never"/>
        <w:tblW w:w="9278" w:type="dxa"/>
        <w:tblInd w:w="0" w:type="dxa"/>
        <w:tblLayout w:type="fixed"/>
        <w:tblCellMar>
          <w:top w:w="15" w:type="dxa"/>
          <w:left w:w="15" w:type="dxa"/>
          <w:bottom w:w="15" w:type="dxa"/>
          <w:right w:w="15" w:type="dxa"/>
        </w:tblCellMar>
      </w:tblPr>
      <w:tblGrid>
        <w:gridCol w:w="2094"/>
        <w:gridCol w:w="2291"/>
        <w:gridCol w:w="1413"/>
        <w:gridCol w:w="823"/>
        <w:gridCol w:w="1512"/>
        <w:gridCol w:w="1145"/>
      </w:tblGrid>
      <w:tr w14:paraId="010A45A5">
        <w:tblPrEx>
          <w:tblCellMar>
            <w:top w:w="15" w:type="dxa"/>
            <w:left w:w="15" w:type="dxa"/>
            <w:bottom w:w="15" w:type="dxa"/>
            <w:right w:w="15" w:type="dxa"/>
          </w:tblCellMar>
        </w:tblPrEx>
        <w:trPr>
          <w:trHeight w:val="711" w:hRule="atLeast"/>
        </w:trPr>
        <w:tc>
          <w:tcPr>
            <w:tcW w:w="2094" w:type="dxa"/>
            <w:tcBorders>
              <w:top w:val="single" w:color="auto" w:sz="4" w:space="0"/>
              <w:left w:val="single" w:color="auto" w:sz="4" w:space="0"/>
              <w:bottom w:val="single" w:color="auto" w:sz="4" w:space="0"/>
              <w:right w:val="single" w:color="auto" w:sz="4" w:space="0"/>
            </w:tcBorders>
            <w:noWrap w:val="0"/>
            <w:vAlign w:val="center"/>
          </w:tcPr>
          <w:p w14:paraId="70A67814">
            <w:pPr>
              <w:keepNext w:val="0"/>
              <w:keepLines w:val="0"/>
              <w:suppressLineNumbers w:val="0"/>
              <w:tabs>
                <w:tab w:val="left" w:pos="5580"/>
              </w:tabs>
              <w:spacing w:before="0" w:beforeAutospacing="0" w:after="0" w:afterAutospacing="0" w:line="240" w:lineRule="atLeast"/>
              <w:ind w:left="0" w:right="-199" w:rightChars="0" w:firstLine="480" w:firstLineChars="200"/>
              <w:jc w:val="both"/>
              <w:rPr>
                <w:rFonts w:hint="default" w:ascii="宋体" w:hAnsi="宋体" w:eastAsia="宋体" w:cs="宋体"/>
                <w:b w:val="0"/>
                <w:i w:val="0"/>
                <w:caps w:val="0"/>
                <w:spacing w:val="0"/>
                <w:w w:val="100"/>
                <w:sz w:val="24"/>
                <w:highlight w:val="none"/>
                <w:lang w:val="en-US" w:eastAsia="zh-CN"/>
              </w:rPr>
            </w:pPr>
            <w:r>
              <w:rPr>
                <w:rFonts w:hint="eastAsia" w:ascii="仿宋_GB2312" w:hAnsi="宋体" w:eastAsia="仿宋_GB2312"/>
                <w:sz w:val="24"/>
                <w:highlight w:val="none"/>
                <w:lang w:eastAsia="zh-CN"/>
              </w:rPr>
              <w:t>项目</w:t>
            </w:r>
            <w:r>
              <w:rPr>
                <w:rFonts w:hint="eastAsia" w:ascii="仿宋_GB2312" w:hAnsi="宋体" w:eastAsia="仿宋_GB2312"/>
                <w:sz w:val="24"/>
                <w:highlight w:val="none"/>
              </w:rPr>
              <w:t>名称</w:t>
            </w:r>
          </w:p>
        </w:tc>
        <w:tc>
          <w:tcPr>
            <w:tcW w:w="2291" w:type="dxa"/>
            <w:tcBorders>
              <w:top w:val="single" w:color="auto" w:sz="4" w:space="0"/>
              <w:left w:val="single" w:color="auto" w:sz="4" w:space="0"/>
              <w:bottom w:val="single" w:color="auto" w:sz="4" w:space="0"/>
              <w:right w:val="single" w:color="auto" w:sz="4" w:space="0"/>
            </w:tcBorders>
            <w:noWrap w:val="0"/>
            <w:vAlign w:val="center"/>
          </w:tcPr>
          <w:p w14:paraId="1EF7AD25">
            <w:pPr>
              <w:keepNext w:val="0"/>
              <w:keepLines w:val="0"/>
              <w:suppressLineNumbers w:val="0"/>
              <w:tabs>
                <w:tab w:val="left" w:pos="5580"/>
              </w:tabs>
              <w:spacing w:before="0" w:beforeAutospacing="0" w:after="0" w:afterAutospacing="0" w:line="240" w:lineRule="atLeast"/>
              <w:ind w:left="0" w:right="-199" w:rightChars="0" w:firstLine="480" w:firstLineChars="200"/>
              <w:jc w:val="both"/>
              <w:rPr>
                <w:rFonts w:hint="eastAsia" w:ascii="仿宋_GB2312" w:hAnsi="宋体" w:eastAsia="仿宋_GB2312" w:cs="Times New Roman"/>
                <w:sz w:val="24"/>
                <w:highlight w:val="none"/>
                <w:lang w:eastAsia="zh-CN"/>
              </w:rPr>
            </w:pPr>
            <w:r>
              <w:rPr>
                <w:rFonts w:hint="eastAsia" w:ascii="仿宋_GB2312" w:hAnsi="宋体" w:eastAsia="仿宋_GB2312" w:cs="Times New Roman"/>
                <w:sz w:val="24"/>
                <w:highlight w:val="none"/>
                <w:lang w:eastAsia="zh-CN"/>
              </w:rPr>
              <w:t>投标报价</w:t>
            </w:r>
            <w:r>
              <w:rPr>
                <w:rFonts w:hint="eastAsia" w:ascii="仿宋_GB2312" w:hAnsi="宋体" w:eastAsia="仿宋_GB2312" w:cs="Times New Roman"/>
                <w:sz w:val="24"/>
                <w:highlight w:val="none"/>
                <w:lang w:eastAsia="zh-CN"/>
              </w:rPr>
              <w:tab/>
            </w:r>
          </w:p>
          <w:p w14:paraId="1EB4A757">
            <w:pPr>
              <w:keepNext w:val="0"/>
              <w:keepLines w:val="0"/>
              <w:suppressLineNumbers w:val="0"/>
              <w:tabs>
                <w:tab w:val="center" w:pos="1130"/>
              </w:tabs>
              <w:spacing w:before="0" w:beforeAutospacing="0" w:after="0" w:afterAutospacing="0" w:line="240" w:lineRule="atLeast"/>
              <w:ind w:left="0" w:right="-199" w:rightChars="0" w:firstLine="480" w:firstLineChars="200"/>
              <w:jc w:val="both"/>
              <w:rPr>
                <w:rFonts w:hint="eastAsia" w:ascii="宋体" w:hAnsi="宋体" w:eastAsia="仿宋_GB2312" w:cs="宋体"/>
                <w:b w:val="0"/>
                <w:i w:val="0"/>
                <w:caps w:val="0"/>
                <w:spacing w:val="0"/>
                <w:w w:val="100"/>
                <w:kern w:val="0"/>
                <w:sz w:val="24"/>
                <w:highlight w:val="none"/>
                <w:lang w:eastAsia="zh-CN"/>
              </w:rPr>
            </w:pPr>
          </w:p>
        </w:tc>
        <w:tc>
          <w:tcPr>
            <w:tcW w:w="1413" w:type="dxa"/>
            <w:tcBorders>
              <w:top w:val="single" w:color="auto" w:sz="4" w:space="0"/>
              <w:left w:val="single" w:color="auto" w:sz="4" w:space="0"/>
              <w:bottom w:val="single" w:color="auto" w:sz="4" w:space="0"/>
              <w:right w:val="single" w:color="auto" w:sz="4" w:space="0"/>
            </w:tcBorders>
            <w:noWrap w:val="0"/>
            <w:vAlign w:val="center"/>
          </w:tcPr>
          <w:p w14:paraId="1CCF5868">
            <w:pPr>
              <w:keepNext w:val="0"/>
              <w:keepLines w:val="0"/>
              <w:suppressLineNumbers w:val="0"/>
              <w:tabs>
                <w:tab w:val="left" w:pos="5580"/>
              </w:tabs>
              <w:spacing w:before="0" w:beforeAutospacing="0" w:after="0" w:afterAutospacing="0" w:line="240" w:lineRule="atLeast"/>
              <w:ind w:left="0" w:right="-199" w:rightChars="0"/>
              <w:jc w:val="both"/>
              <w:rPr>
                <w:rFonts w:hint="default" w:ascii="宋体" w:hAnsi="宋体" w:cs="宋体"/>
                <w:b w:val="0"/>
                <w:i w:val="0"/>
                <w:caps w:val="0"/>
                <w:spacing w:val="0"/>
                <w:w w:val="100"/>
                <w:sz w:val="24"/>
                <w:highlight w:val="none"/>
              </w:rPr>
            </w:pPr>
            <w:r>
              <w:rPr>
                <w:rFonts w:hint="eastAsia" w:ascii="仿宋_GB2312" w:hAnsi="宋体" w:eastAsia="仿宋_GB2312" w:cs="Times New Roman"/>
                <w:sz w:val="24"/>
                <w:highlight w:val="none"/>
              </w:rPr>
              <w:t>投标保证金</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4C4E8548">
            <w:pPr>
              <w:keepNext w:val="0"/>
              <w:keepLines w:val="0"/>
              <w:suppressLineNumbers w:val="0"/>
              <w:tabs>
                <w:tab w:val="left" w:pos="5580"/>
              </w:tabs>
              <w:spacing w:before="0" w:beforeAutospacing="0" w:after="0" w:afterAutospacing="0" w:line="240" w:lineRule="atLeast"/>
              <w:ind w:left="0" w:right="0"/>
              <w:jc w:val="center"/>
              <w:rPr>
                <w:rFonts w:hint="default" w:ascii="宋体" w:hAnsi="宋体" w:cs="宋体"/>
                <w:b w:val="0"/>
                <w:i w:val="0"/>
                <w:caps w:val="0"/>
                <w:spacing w:val="0"/>
                <w:w w:val="100"/>
                <w:kern w:val="0"/>
                <w:sz w:val="24"/>
                <w:highlight w:val="none"/>
              </w:rPr>
            </w:pPr>
            <w:r>
              <w:rPr>
                <w:rFonts w:hint="eastAsia" w:ascii="仿宋_GB2312" w:hAnsi="宋体" w:eastAsia="仿宋_GB2312" w:cs="Times New Roman"/>
                <w:sz w:val="24"/>
                <w:highlight w:val="none"/>
                <w:lang w:val="en-US" w:eastAsia="zh-CN"/>
              </w:rPr>
              <w:t>质保</w:t>
            </w:r>
            <w:r>
              <w:rPr>
                <w:rFonts w:hint="eastAsia" w:ascii="仿宋_GB2312" w:hAnsi="宋体" w:eastAsia="仿宋_GB2312" w:cs="Times New Roman"/>
                <w:sz w:val="24"/>
                <w:highlight w:val="none"/>
              </w:rPr>
              <w:t>期</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874D053">
            <w:pPr>
              <w:keepNext w:val="0"/>
              <w:keepLines w:val="0"/>
              <w:suppressLineNumbers w:val="0"/>
              <w:tabs>
                <w:tab w:val="left" w:pos="5580"/>
              </w:tabs>
              <w:spacing w:before="0" w:beforeAutospacing="0" w:after="0" w:afterAutospacing="0" w:line="240" w:lineRule="atLeast"/>
              <w:ind w:left="0" w:right="0" w:firstLine="240" w:firstLineChars="100"/>
              <w:jc w:val="both"/>
              <w:rPr>
                <w:rFonts w:hint="default" w:ascii="宋体" w:hAnsi="宋体" w:cs="宋体"/>
                <w:b w:val="0"/>
                <w:i w:val="0"/>
                <w:caps w:val="0"/>
                <w:spacing w:val="0"/>
                <w:w w:val="100"/>
                <w:sz w:val="24"/>
                <w:highlight w:val="none"/>
              </w:rPr>
            </w:pPr>
            <w:r>
              <w:rPr>
                <w:rFonts w:hint="eastAsia" w:ascii="仿宋_GB2312" w:hAnsi="宋体" w:eastAsia="仿宋_GB2312" w:cs="Times New Roman"/>
                <w:sz w:val="24"/>
                <w:highlight w:val="none"/>
                <w:lang w:val="en-US" w:eastAsia="zh-CN"/>
              </w:rPr>
              <w:t>交货</w:t>
            </w:r>
            <w:r>
              <w:rPr>
                <w:rFonts w:hint="eastAsia" w:ascii="仿宋_GB2312" w:hAnsi="宋体" w:eastAsia="仿宋_GB2312" w:cs="Times New Roman"/>
                <w:sz w:val="24"/>
                <w:highlight w:val="none"/>
              </w:rPr>
              <w:t>地点</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F8B0BEA">
            <w:pPr>
              <w:keepNext w:val="0"/>
              <w:keepLines w:val="0"/>
              <w:suppressLineNumbers w:val="0"/>
              <w:tabs>
                <w:tab w:val="left" w:pos="5580"/>
              </w:tabs>
              <w:spacing w:before="0" w:beforeAutospacing="0" w:after="0" w:afterAutospacing="0" w:line="240" w:lineRule="atLeast"/>
              <w:ind w:left="0" w:right="0" w:firstLine="240" w:firstLineChars="100"/>
              <w:jc w:val="both"/>
              <w:rPr>
                <w:rFonts w:hint="default" w:ascii="宋体" w:hAnsi="宋体" w:cs="宋体"/>
                <w:b w:val="0"/>
                <w:i w:val="0"/>
                <w:caps w:val="0"/>
                <w:spacing w:val="0"/>
                <w:w w:val="100"/>
                <w:sz w:val="24"/>
                <w:highlight w:val="none"/>
              </w:rPr>
            </w:pPr>
            <w:r>
              <w:rPr>
                <w:rFonts w:hint="eastAsia" w:ascii="仿宋_GB2312" w:hAnsi="宋体" w:eastAsia="仿宋_GB2312"/>
                <w:sz w:val="24"/>
                <w:highlight w:val="none"/>
              </w:rPr>
              <w:t>备注</w:t>
            </w:r>
          </w:p>
        </w:tc>
      </w:tr>
      <w:tr w14:paraId="5EBB2878">
        <w:tblPrEx>
          <w:tblCellMar>
            <w:top w:w="15" w:type="dxa"/>
            <w:left w:w="15" w:type="dxa"/>
            <w:bottom w:w="15" w:type="dxa"/>
            <w:right w:w="15" w:type="dxa"/>
          </w:tblCellMar>
        </w:tblPrEx>
        <w:trPr>
          <w:trHeight w:val="817" w:hRule="atLeast"/>
        </w:trPr>
        <w:tc>
          <w:tcPr>
            <w:tcW w:w="2094" w:type="dxa"/>
            <w:tcBorders>
              <w:top w:val="single" w:color="auto" w:sz="4" w:space="0"/>
              <w:left w:val="single" w:color="auto" w:sz="4" w:space="0"/>
              <w:bottom w:val="single" w:color="auto" w:sz="4" w:space="0"/>
              <w:right w:val="single" w:color="auto" w:sz="4" w:space="0"/>
            </w:tcBorders>
            <w:noWrap w:val="0"/>
            <w:vAlign w:val="center"/>
          </w:tcPr>
          <w:p w14:paraId="174A508D">
            <w:pPr>
              <w:keepNext w:val="0"/>
              <w:keepLines w:val="0"/>
              <w:suppressLineNumbers w:val="0"/>
              <w:tabs>
                <w:tab w:val="left" w:pos="5580"/>
              </w:tabs>
              <w:spacing w:before="0" w:beforeAutospacing="0" w:after="0" w:afterAutospacing="0" w:line="240" w:lineRule="atLeast"/>
              <w:ind w:left="0" w:right="0"/>
              <w:jc w:val="both"/>
              <w:rPr>
                <w:rFonts w:hint="default" w:ascii="Times New Roman" w:hAnsi="Times New Roman" w:eastAsia="宋体"/>
                <w:b w:val="0"/>
                <w:i w:val="0"/>
                <w:caps w:val="0"/>
                <w:spacing w:val="0"/>
                <w:w w:val="100"/>
                <w:sz w:val="18"/>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center"/>
          </w:tcPr>
          <w:p w14:paraId="3001089B">
            <w:pPr>
              <w:keepNext w:val="0"/>
              <w:keepLines w:val="0"/>
              <w:suppressLineNumbers w:val="0"/>
              <w:tabs>
                <w:tab w:val="left" w:pos="5580"/>
              </w:tabs>
              <w:spacing w:before="0" w:beforeAutospacing="0" w:after="0" w:afterAutospacing="0" w:line="240" w:lineRule="atLeast"/>
              <w:ind w:left="0" w:right="0"/>
              <w:jc w:val="left"/>
              <w:rPr>
                <w:rFonts w:hint="default" w:ascii="宋体" w:hAnsi="宋体" w:eastAsia="宋体" w:cs="宋体"/>
                <w:highlight w:val="none"/>
              </w:rPr>
            </w:pPr>
            <w:r>
              <w:rPr>
                <w:rFonts w:hint="eastAsia" w:ascii="宋体" w:hAnsi="宋体" w:eastAsia="宋体" w:cs="宋体"/>
                <w:highlight w:val="none"/>
              </w:rPr>
              <w:t>大写：</w:t>
            </w:r>
          </w:p>
          <w:p w14:paraId="0B6D7F67">
            <w:pPr>
              <w:pStyle w:val="24"/>
              <w:keepNext w:val="0"/>
              <w:keepLines w:val="0"/>
              <w:suppressLineNumbers w:val="0"/>
              <w:spacing w:before="0" w:beforeAutospacing="0" w:after="0" w:afterAutospacing="0"/>
              <w:ind w:left="0" w:right="0"/>
              <w:rPr>
                <w:rFonts w:hint="default"/>
                <w:highlight w:val="none"/>
              </w:rPr>
            </w:pPr>
          </w:p>
          <w:p w14:paraId="4B53FAC8">
            <w:pPr>
              <w:keepNext w:val="0"/>
              <w:keepLines w:val="0"/>
              <w:suppressLineNumbers w:val="0"/>
              <w:tabs>
                <w:tab w:val="left" w:pos="5580"/>
              </w:tabs>
              <w:spacing w:before="0" w:beforeAutospacing="0" w:after="0" w:afterAutospacing="0" w:line="240" w:lineRule="atLeast"/>
              <w:ind w:left="0" w:right="0"/>
              <w:jc w:val="left"/>
              <w:rPr>
                <w:rFonts w:hint="default" w:ascii="宋体" w:hAnsi="宋体" w:cs="宋体"/>
                <w:b w:val="0"/>
                <w:i w:val="0"/>
                <w:caps w:val="0"/>
                <w:spacing w:val="0"/>
                <w:w w:val="100"/>
                <w:kern w:val="0"/>
                <w:sz w:val="24"/>
                <w:highlight w:val="none"/>
              </w:rPr>
            </w:pPr>
            <w:r>
              <w:rPr>
                <w:rFonts w:hint="eastAsia" w:ascii="宋体" w:hAnsi="宋体" w:eastAsia="宋体" w:cs="宋体"/>
                <w:highlight w:val="none"/>
              </w:rPr>
              <w:t>小写：</w:t>
            </w:r>
          </w:p>
        </w:tc>
        <w:tc>
          <w:tcPr>
            <w:tcW w:w="1413" w:type="dxa"/>
            <w:tcBorders>
              <w:top w:val="single" w:color="auto" w:sz="4" w:space="0"/>
              <w:left w:val="single" w:color="auto" w:sz="4" w:space="0"/>
              <w:bottom w:val="single" w:color="auto" w:sz="4" w:space="0"/>
              <w:right w:val="single" w:color="auto" w:sz="4" w:space="0"/>
            </w:tcBorders>
            <w:noWrap w:val="0"/>
            <w:vAlign w:val="center"/>
          </w:tcPr>
          <w:p w14:paraId="00F9EA99">
            <w:pPr>
              <w:keepNext w:val="0"/>
              <w:keepLines w:val="0"/>
              <w:suppressLineNumbers w:val="0"/>
              <w:tabs>
                <w:tab w:val="left" w:pos="5580"/>
              </w:tabs>
              <w:spacing w:before="0" w:beforeAutospacing="0" w:after="0" w:afterAutospacing="0" w:line="240" w:lineRule="atLeast"/>
              <w:ind w:left="1079" w:leftChars="257" w:right="0" w:hanging="540" w:firstLineChars="0"/>
              <w:jc w:val="center"/>
              <w:rPr>
                <w:rFonts w:hint="default" w:ascii="宋体" w:hAnsi="宋体" w:cs="宋体"/>
                <w:b w:val="0"/>
                <w:i w:val="0"/>
                <w:caps w:val="0"/>
                <w:spacing w:val="0"/>
                <w:w w:val="100"/>
                <w:kern w:val="0"/>
                <w:sz w:val="24"/>
                <w:highlight w:val="none"/>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2CE117D8">
            <w:pPr>
              <w:keepNext w:val="0"/>
              <w:keepLines w:val="0"/>
              <w:suppressLineNumbers w:val="0"/>
              <w:tabs>
                <w:tab w:val="left" w:pos="5580"/>
              </w:tabs>
              <w:spacing w:before="0" w:beforeAutospacing="0" w:after="0" w:afterAutospacing="0" w:line="240" w:lineRule="atLeast"/>
              <w:ind w:left="0" w:right="0"/>
              <w:jc w:val="both"/>
              <w:rPr>
                <w:rFonts w:hint="default" w:ascii="宋体" w:hAnsi="宋体" w:cs="宋体"/>
                <w:b w:val="0"/>
                <w:i w:val="0"/>
                <w:caps w:val="0"/>
                <w:spacing w:val="0"/>
                <w:w w:val="100"/>
                <w:kern w:val="0"/>
                <w:sz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AC3A84E">
            <w:pPr>
              <w:keepNext w:val="0"/>
              <w:keepLines w:val="0"/>
              <w:suppressLineNumbers w:val="0"/>
              <w:tabs>
                <w:tab w:val="left" w:pos="5580"/>
              </w:tabs>
              <w:spacing w:before="0" w:beforeAutospacing="0" w:after="0" w:afterAutospacing="0" w:line="240" w:lineRule="atLeast"/>
              <w:ind w:left="0" w:right="0"/>
              <w:jc w:val="both"/>
              <w:rPr>
                <w:rFonts w:hint="default" w:ascii="宋体" w:hAnsi="宋体" w:cs="宋体"/>
                <w:b w:val="0"/>
                <w:i w:val="0"/>
                <w:caps w:val="0"/>
                <w:spacing w:val="0"/>
                <w:w w:val="100"/>
                <w:kern w:val="0"/>
                <w:sz w:val="24"/>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510C000">
            <w:pPr>
              <w:keepNext w:val="0"/>
              <w:keepLines w:val="0"/>
              <w:suppressLineNumbers w:val="0"/>
              <w:tabs>
                <w:tab w:val="left" w:pos="5580"/>
              </w:tabs>
              <w:spacing w:before="0" w:beforeAutospacing="0" w:after="0" w:afterAutospacing="0" w:line="240" w:lineRule="atLeast"/>
              <w:ind w:left="0" w:right="0"/>
              <w:jc w:val="both"/>
              <w:rPr>
                <w:rFonts w:hint="default" w:ascii="宋体" w:hAnsi="宋体" w:cs="宋体"/>
                <w:b w:val="0"/>
                <w:i w:val="0"/>
                <w:caps w:val="0"/>
                <w:spacing w:val="0"/>
                <w:w w:val="100"/>
                <w:kern w:val="0"/>
                <w:sz w:val="24"/>
                <w:highlight w:val="none"/>
              </w:rPr>
            </w:pPr>
          </w:p>
        </w:tc>
      </w:tr>
    </w:tbl>
    <w:p w14:paraId="73ED910B">
      <w:pPr>
        <w:pStyle w:val="24"/>
        <w:snapToGrid w:val="0"/>
        <w:spacing w:before="0" w:beforeAutospacing="0" w:after="0" w:afterAutospacing="0" w:line="240" w:lineRule="auto"/>
        <w:jc w:val="both"/>
        <w:textAlignment w:val="baseline"/>
        <w:rPr>
          <w:rFonts w:ascii="宋体"/>
          <w:b w:val="0"/>
          <w:i w:val="0"/>
          <w:caps w:val="0"/>
          <w:spacing w:val="0"/>
          <w:w w:val="100"/>
          <w:sz w:val="24"/>
        </w:rPr>
      </w:pPr>
      <w:r>
        <w:rPr>
          <w:rFonts w:hint="eastAsia" w:ascii="宋体"/>
          <w:b w:val="0"/>
          <w:i w:val="0"/>
          <w:caps w:val="0"/>
          <w:spacing w:val="0"/>
          <w:w w:val="100"/>
          <w:sz w:val="24"/>
        </w:rPr>
        <w:t>注：</w:t>
      </w:r>
    </w:p>
    <w:p w14:paraId="43730607">
      <w:pPr>
        <w:pStyle w:val="24"/>
        <w:snapToGrid w:val="0"/>
        <w:spacing w:before="0" w:beforeAutospacing="0" w:after="0" w:afterAutospacing="0" w:line="360" w:lineRule="auto"/>
        <w:ind w:firstLine="480" w:firstLineChars="200"/>
        <w:jc w:val="left"/>
        <w:textAlignment w:val="baseline"/>
        <w:rPr>
          <w:rFonts w:ascii="宋体"/>
          <w:b w:val="0"/>
          <w:i w:val="0"/>
          <w:caps w:val="0"/>
          <w:spacing w:val="0"/>
          <w:w w:val="100"/>
          <w:sz w:val="24"/>
        </w:rPr>
      </w:pPr>
      <w:r>
        <w:rPr>
          <w:rFonts w:hint="eastAsia" w:ascii="宋体"/>
          <w:b w:val="0"/>
          <w:i w:val="0"/>
          <w:caps w:val="0"/>
          <w:spacing w:val="0"/>
          <w:w w:val="100"/>
          <w:sz w:val="24"/>
        </w:rPr>
        <w:t xml:space="preserve">1. </w:t>
      </w:r>
      <w:r>
        <w:rPr>
          <w:rFonts w:hint="eastAsia" w:hAnsi="宋体"/>
          <w:b w:val="0"/>
          <w:i w:val="0"/>
          <w:caps w:val="0"/>
          <w:spacing w:val="0"/>
          <w:w w:val="100"/>
          <w:sz w:val="24"/>
        </w:rPr>
        <w:t>“开标一览表”中的报价包含招标文件中规定的所有采购货物且数量一致，</w:t>
      </w:r>
      <w:r>
        <w:rPr>
          <w:rFonts w:hint="eastAsia" w:ascii="宋体"/>
          <w:b w:val="0"/>
          <w:i w:val="0"/>
          <w:caps w:val="0"/>
          <w:spacing w:val="0"/>
          <w:w w:val="100"/>
          <w:sz w:val="24"/>
        </w:rPr>
        <w:t xml:space="preserve">报价应是最终用户验收合格后的总价，包括货物运输、保险、代理、安装调试、培训、税费及提供服务产生的一切费用等与本项目有关的一切费用。 </w:t>
      </w:r>
    </w:p>
    <w:p w14:paraId="33080042">
      <w:pPr>
        <w:snapToGrid/>
        <w:spacing w:before="0" w:beforeAutospacing="0" w:after="0" w:afterAutospacing="0" w:line="360" w:lineRule="auto"/>
        <w:ind w:firstLine="470" w:firstLineChars="196"/>
        <w:jc w:val="left"/>
        <w:textAlignment w:val="baseline"/>
        <w:rPr>
          <w:rFonts w:hint="eastAsia" w:ascii="宋体"/>
          <w:b w:val="0"/>
          <w:i w:val="0"/>
          <w:caps w:val="0"/>
          <w:spacing w:val="0"/>
          <w:w w:val="100"/>
          <w:sz w:val="24"/>
        </w:rPr>
      </w:pPr>
      <w:r>
        <w:rPr>
          <w:rFonts w:hint="eastAsia" w:ascii="宋体"/>
          <w:b w:val="0"/>
          <w:i w:val="0"/>
          <w:caps w:val="0"/>
          <w:spacing w:val="0"/>
          <w:w w:val="100"/>
          <w:sz w:val="24"/>
        </w:rPr>
        <w:t>2.“开标一览表”为多页的，每页均需加盖投标人公章。</w:t>
      </w:r>
    </w:p>
    <w:p w14:paraId="75FE2560">
      <w:pPr>
        <w:snapToGrid/>
        <w:spacing w:before="0" w:beforeAutospacing="0" w:after="0" w:afterAutospacing="0" w:line="360" w:lineRule="auto"/>
        <w:ind w:firstLine="470" w:firstLineChars="196"/>
        <w:jc w:val="left"/>
        <w:textAlignment w:val="baseline"/>
        <w:rPr>
          <w:rFonts w:ascii="宋体"/>
          <w:b w:val="0"/>
          <w:i w:val="0"/>
          <w:caps w:val="0"/>
          <w:spacing w:val="0"/>
          <w:w w:val="100"/>
          <w:sz w:val="24"/>
        </w:rPr>
      </w:pPr>
      <w:r>
        <w:rPr>
          <w:rFonts w:hint="eastAsia" w:ascii="宋体"/>
          <w:b w:val="0"/>
          <w:i w:val="0"/>
          <w:caps w:val="0"/>
          <w:spacing w:val="0"/>
          <w:w w:val="100"/>
          <w:sz w:val="24"/>
        </w:rPr>
        <w:t>投标人名称：XXXX（单位公章）</w:t>
      </w:r>
    </w:p>
    <w:p w14:paraId="669C6D07">
      <w:pPr>
        <w:snapToGrid/>
        <w:spacing w:before="0" w:beforeAutospacing="0" w:after="0" w:afterAutospacing="0" w:line="360" w:lineRule="auto"/>
        <w:ind w:firstLine="470" w:firstLineChars="196"/>
        <w:jc w:val="left"/>
        <w:textAlignment w:val="baseline"/>
        <w:rPr>
          <w:rFonts w:ascii="宋体"/>
          <w:b w:val="0"/>
          <w:i w:val="0"/>
          <w:caps w:val="0"/>
          <w:spacing w:val="0"/>
          <w:w w:val="100"/>
          <w:sz w:val="24"/>
        </w:rPr>
      </w:pPr>
      <w:r>
        <w:rPr>
          <w:rFonts w:hint="eastAsia" w:ascii="宋体"/>
          <w:b w:val="0"/>
          <w:i w:val="0"/>
          <w:caps w:val="0"/>
          <w:spacing w:val="0"/>
          <w:w w:val="100"/>
          <w:sz w:val="24"/>
        </w:rPr>
        <w:t>法定代表人或授权代表（签字或</w:t>
      </w:r>
      <w:r>
        <w:rPr>
          <w:rFonts w:hint="eastAsia" w:ascii="宋体"/>
          <w:b w:val="0"/>
          <w:i w:val="0"/>
          <w:caps w:val="0"/>
          <w:spacing w:val="0"/>
          <w:w w:val="100"/>
          <w:sz w:val="24"/>
          <w:lang w:val="en-US" w:eastAsia="zh-CN"/>
        </w:rPr>
        <w:t>签</w:t>
      </w:r>
      <w:r>
        <w:rPr>
          <w:rFonts w:hint="eastAsia" w:ascii="宋体"/>
          <w:b w:val="0"/>
          <w:i w:val="0"/>
          <w:caps w:val="0"/>
          <w:spacing w:val="0"/>
          <w:w w:val="100"/>
          <w:sz w:val="24"/>
        </w:rPr>
        <w:t>章）：XXXX</w:t>
      </w:r>
    </w:p>
    <w:p w14:paraId="238D8D0B">
      <w:pPr>
        <w:snapToGrid/>
        <w:spacing w:before="0" w:beforeAutospacing="0" w:after="0" w:afterAutospacing="0" w:line="360" w:lineRule="auto"/>
        <w:ind w:firstLine="470" w:firstLineChars="196"/>
        <w:jc w:val="left"/>
        <w:textAlignment w:val="baseline"/>
        <w:rPr>
          <w:b w:val="0"/>
          <w:i w:val="0"/>
          <w:caps w:val="0"/>
          <w:spacing w:val="0"/>
          <w:w w:val="100"/>
          <w:sz w:val="20"/>
        </w:rPr>
      </w:pPr>
      <w:r>
        <w:rPr>
          <w:rFonts w:hint="eastAsia" w:ascii="宋体"/>
          <w:b w:val="0"/>
          <w:i w:val="0"/>
          <w:caps w:val="0"/>
          <w:spacing w:val="0"/>
          <w:w w:val="100"/>
          <w:sz w:val="24"/>
        </w:rPr>
        <w:t>投标日期：XXXX年XXXX月XXXX日</w:t>
      </w:r>
    </w:p>
    <w:p w14:paraId="1CF2FBA5"/>
    <w:p w14:paraId="4CB3CBDE">
      <w:pPr>
        <w:pStyle w:val="4"/>
        <w:bidi w:val="0"/>
        <w:rPr>
          <w:rFonts w:ascii="仿宋_GB2312" w:hAnsi="仿宋_GB2312" w:eastAsia="仿宋_GB2312" w:cs="仿宋_GB2312"/>
          <w:b/>
          <w:i w:val="0"/>
          <w:caps w:val="0"/>
          <w:spacing w:val="0"/>
          <w:w w:val="100"/>
          <w:sz w:val="24"/>
        </w:rPr>
      </w:pPr>
      <w:bookmarkStart w:id="690" w:name="_Toc13315"/>
      <w:bookmarkStart w:id="691" w:name="_Toc28853"/>
      <w:bookmarkStart w:id="692" w:name="_Toc17541"/>
      <w:bookmarkStart w:id="693" w:name="_Toc18942"/>
      <w:bookmarkStart w:id="694" w:name="_Toc5683"/>
      <w:bookmarkStart w:id="695" w:name="_Toc6477"/>
      <w:bookmarkStart w:id="696" w:name="_Toc19495"/>
      <w:bookmarkStart w:id="697" w:name="_Toc9524"/>
      <w:bookmarkStart w:id="698" w:name="_Toc29762"/>
      <w:bookmarkStart w:id="699" w:name="_Toc3097"/>
      <w:bookmarkStart w:id="700" w:name="_Toc12928"/>
      <w:bookmarkStart w:id="701" w:name="_Toc32172"/>
      <w:bookmarkStart w:id="702" w:name="_Toc29899"/>
      <w:bookmarkStart w:id="703" w:name="_Toc17577"/>
      <w:bookmarkStart w:id="704" w:name="_Toc15059"/>
      <w:bookmarkStart w:id="705" w:name="_Toc608"/>
      <w:bookmarkStart w:id="706" w:name="_Toc515647805"/>
      <w:bookmarkStart w:id="707" w:name="_Toc14381"/>
      <w:bookmarkStart w:id="708" w:name="_Toc22243"/>
      <w:bookmarkStart w:id="709" w:name="_Toc2685"/>
      <w:bookmarkStart w:id="710" w:name="_Toc18028"/>
      <w:bookmarkStart w:id="711" w:name="_Toc7771"/>
      <w:r>
        <w:rPr>
          <w:rFonts w:hint="eastAsia" w:ascii="仿宋_GB2312" w:hAnsi="仿宋_GB2312" w:eastAsia="仿宋_GB2312" w:cs="仿宋_GB2312"/>
          <w:b/>
          <w:sz w:val="24"/>
          <w:szCs w:val="24"/>
          <w:lang w:val="en-US" w:eastAsia="zh-CN"/>
        </w:rPr>
        <w:t>2  法人或者非法人组织的营业执照等证明文件</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3ABD9B53">
      <w:pPr>
        <w:pStyle w:val="15"/>
        <w:tabs>
          <w:tab w:val="left" w:pos="5580"/>
        </w:tabs>
        <w:snapToGrid/>
        <w:spacing w:before="0" w:beforeAutospacing="0" w:after="0" w:afterAutospacing="0" w:line="288" w:lineRule="auto"/>
        <w:jc w:val="both"/>
        <w:textAlignment w:val="baseline"/>
        <w:rPr>
          <w:rFonts w:ascii="仿宋_GB2312" w:hAnsi="仿宋_GB2312" w:eastAsia="仿宋_GB2312" w:cs="仿宋_GB2312"/>
          <w:b/>
          <w:i w:val="0"/>
          <w:caps w:val="0"/>
          <w:spacing w:val="0"/>
          <w:w w:val="100"/>
          <w:sz w:val="24"/>
        </w:rPr>
      </w:pPr>
    </w:p>
    <w:p w14:paraId="0A2C64EA">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仿宋_GB2312" w:eastAsia="仿宋_GB2312" w:cs="仿宋_GB2312"/>
          <w:b w:val="0"/>
          <w:i w:val="0"/>
          <w:caps w:val="0"/>
          <w:spacing w:val="0"/>
          <w:w w:val="100"/>
          <w:sz w:val="24"/>
        </w:rPr>
        <w:t>说明：</w:t>
      </w:r>
      <w:r>
        <w:rPr>
          <w:rFonts w:hint="eastAsia" w:ascii="仿宋_GB2312" w:hAnsi="宋体" w:eastAsia="仿宋_GB2312"/>
          <w:sz w:val="24"/>
        </w:rPr>
        <w:t>1.提供有效的营业执照等证明文件复印件，复印件上应加盖本单位章。</w:t>
      </w:r>
    </w:p>
    <w:p w14:paraId="6FFE42AE">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 投标人为自然人的，应提供身份证明的复印件。</w:t>
      </w:r>
    </w:p>
    <w:p w14:paraId="50E5B3FD">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3.联合体投标应提供联合体各方满足以上要求的证明文件。</w:t>
      </w:r>
    </w:p>
    <w:p w14:paraId="1361A702">
      <w:pPr>
        <w:pStyle w:val="4"/>
        <w:bidi w:val="0"/>
        <w:jc w:val="both"/>
        <w:rPr>
          <w:rFonts w:hint="eastAsia" w:ascii="仿宋_GB2312" w:hAnsi="仿宋_GB2312" w:eastAsia="仿宋_GB2312" w:cs="仿宋_GB2312"/>
          <w:b/>
          <w:sz w:val="24"/>
          <w:szCs w:val="24"/>
          <w:lang w:val="en-US" w:eastAsia="zh-CN"/>
        </w:rPr>
      </w:pPr>
      <w:bookmarkStart w:id="712" w:name="_Toc29706"/>
      <w:bookmarkStart w:id="713" w:name="_Toc16857"/>
      <w:bookmarkStart w:id="714" w:name="_Toc23004_WPSOffice_Level2"/>
      <w:bookmarkStart w:id="715" w:name="_Toc12767"/>
      <w:bookmarkStart w:id="716" w:name="_Toc9998"/>
      <w:bookmarkStart w:id="717" w:name="_Toc14172"/>
      <w:bookmarkStart w:id="718" w:name="_Toc31591"/>
      <w:bookmarkStart w:id="719" w:name="_Toc25159"/>
      <w:bookmarkStart w:id="720" w:name="_Toc7999"/>
      <w:bookmarkStart w:id="721" w:name="_Toc9638"/>
      <w:bookmarkStart w:id="722" w:name="_Toc13066"/>
      <w:bookmarkStart w:id="723" w:name="_Toc3865"/>
      <w:bookmarkStart w:id="724" w:name="_Toc8196"/>
      <w:bookmarkStart w:id="725" w:name="_Toc3498"/>
      <w:bookmarkStart w:id="726" w:name="_Toc26259"/>
      <w:bookmarkStart w:id="727" w:name="_Toc21673"/>
      <w:bookmarkStart w:id="728" w:name="_Toc26563"/>
      <w:bookmarkStart w:id="729" w:name="_Toc1578"/>
      <w:bookmarkStart w:id="730" w:name="_Toc15096"/>
      <w:bookmarkStart w:id="731" w:name="_Toc29158"/>
    </w:p>
    <w:p w14:paraId="4721B2DC">
      <w:pPr>
        <w:pStyle w:val="4"/>
        <w:bidi w:val="0"/>
        <w:rPr>
          <w:rFonts w:hint="eastAsia" w:ascii="仿宋_GB2312" w:hAnsi="仿宋_GB2312" w:eastAsia="仿宋_GB2312" w:cs="仿宋_GB2312"/>
          <w:b/>
          <w:sz w:val="24"/>
          <w:szCs w:val="24"/>
          <w:lang w:val="en-US" w:eastAsia="zh-CN"/>
        </w:rPr>
      </w:pPr>
      <w:bookmarkStart w:id="732" w:name="_Toc7609"/>
      <w:r>
        <w:rPr>
          <w:rFonts w:hint="eastAsia" w:ascii="仿宋_GB2312" w:hAnsi="仿宋_GB2312" w:eastAsia="仿宋_GB2312" w:cs="仿宋_GB2312"/>
          <w:b/>
          <w:sz w:val="24"/>
          <w:szCs w:val="24"/>
          <w:lang w:val="en-US" w:eastAsia="zh-CN"/>
        </w:rPr>
        <w:t>3  法定代表人身份证明</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4CC77032">
      <w:pPr>
        <w:pStyle w:val="4"/>
        <w:snapToGrid/>
        <w:spacing w:before="0" w:beforeAutospacing="0" w:after="0" w:afterAutospacing="0" w:line="288" w:lineRule="auto"/>
        <w:jc w:val="both"/>
        <w:textAlignment w:val="baseline"/>
        <w:rPr>
          <w:rFonts w:ascii="仿宋_GB2312" w:hAnsi="仿宋_GB2312" w:eastAsia="仿宋_GB2312" w:cs="仿宋_GB2312"/>
          <w:b/>
          <w:i w:val="0"/>
          <w:caps w:val="0"/>
          <w:spacing w:val="0"/>
          <w:w w:val="100"/>
          <w:sz w:val="24"/>
        </w:rPr>
      </w:pPr>
    </w:p>
    <w:p w14:paraId="2FA3B19A">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 xml:space="preserve"> </w:t>
      </w:r>
      <w:r>
        <w:rPr>
          <w:rFonts w:hint="eastAsia" w:ascii="仿宋_GB2312" w:hAnsi="仿宋_GB2312" w:eastAsia="仿宋_GB2312" w:cs="仿宋_GB2312"/>
          <w:b w:val="0"/>
          <w:i w:val="0"/>
          <w:caps w:val="0"/>
          <w:spacing w:val="0"/>
          <w:w w:val="100"/>
          <w:sz w:val="24"/>
          <w:szCs w:val="20"/>
          <w:u w:val="single" w:color="000000"/>
        </w:rPr>
        <w:t xml:space="preserve">      </w:t>
      </w:r>
      <w:r>
        <w:rPr>
          <w:rFonts w:hint="eastAsia" w:ascii="仿宋_GB2312" w:hAnsi="仿宋_GB2312" w:eastAsia="仿宋_GB2312" w:cs="仿宋_GB2312"/>
          <w:b w:val="0"/>
          <w:i w:val="0"/>
          <w:caps w:val="0"/>
          <w:spacing w:val="0"/>
          <w:w w:val="100"/>
          <w:sz w:val="24"/>
          <w:szCs w:val="20"/>
        </w:rPr>
        <w:t>同志，现任我单位</w:t>
      </w:r>
      <w:r>
        <w:rPr>
          <w:rFonts w:hint="eastAsia" w:ascii="仿宋_GB2312" w:hAnsi="仿宋_GB2312" w:eastAsia="仿宋_GB2312" w:cs="仿宋_GB2312"/>
          <w:b w:val="0"/>
          <w:i w:val="0"/>
          <w:caps w:val="0"/>
          <w:spacing w:val="0"/>
          <w:w w:val="100"/>
          <w:sz w:val="24"/>
          <w:szCs w:val="20"/>
          <w:u w:val="single" w:color="000000"/>
        </w:rPr>
        <w:t xml:space="preserve">          职</w:t>
      </w:r>
      <w:r>
        <w:rPr>
          <w:rFonts w:hint="eastAsia" w:ascii="仿宋_GB2312" w:hAnsi="仿宋_GB2312" w:eastAsia="仿宋_GB2312" w:cs="仿宋_GB2312"/>
          <w:b w:val="0"/>
          <w:i w:val="0"/>
          <w:caps w:val="0"/>
          <w:spacing w:val="0"/>
          <w:w w:val="100"/>
          <w:sz w:val="24"/>
          <w:szCs w:val="20"/>
        </w:rPr>
        <w:t>务，为法定代表人，特此证明。</w:t>
      </w:r>
    </w:p>
    <w:p w14:paraId="6C672B39">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 xml:space="preserve">签发日期：                  单位：          </w:t>
      </w:r>
    </w:p>
    <w:p w14:paraId="36EC1E20">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附：代表人性别：            年龄：           身份证号码：</w:t>
      </w:r>
    </w:p>
    <w:p w14:paraId="7CA6A6C0">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联系电话：</w:t>
      </w:r>
    </w:p>
    <w:p w14:paraId="509E1C60">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营业执照号码：              经济性质：</w:t>
      </w:r>
    </w:p>
    <w:p w14:paraId="3908C3B4">
      <w:pPr>
        <w:snapToGrid/>
        <w:spacing w:before="0" w:beforeAutospacing="0" w:after="0" w:afterAutospacing="0" w:line="360" w:lineRule="auto"/>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说明：</w:t>
      </w:r>
    </w:p>
    <w:p w14:paraId="1AFC7A98">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1、法定代表人为企业事业单位、国家机关、社会团体的主要行政负责人。</w:t>
      </w:r>
    </w:p>
    <w:p w14:paraId="419C4BAA">
      <w:pPr>
        <w:snapToGrid/>
        <w:spacing w:before="0" w:beforeAutospacing="0" w:after="0" w:afterAutospacing="0" w:line="360" w:lineRule="auto"/>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 xml:space="preserve">  2、内容必须填写真实、清楚、涂改无效，不得转让。</w:t>
      </w:r>
    </w:p>
    <w:p w14:paraId="14B2AAE0">
      <w:pPr>
        <w:snapToGrid/>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3、将此证明书原件提交采购代理机构作为响应文件附件。</w:t>
      </w:r>
    </w:p>
    <w:p w14:paraId="762CC616">
      <w:pPr>
        <w:snapToGrid/>
        <w:spacing w:before="0" w:beforeAutospacing="0" w:after="0" w:afterAutospacing="0" w:line="360" w:lineRule="auto"/>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 xml:space="preserve">  (为避免废标，请供应商务必提供本附件)</w:t>
      </w:r>
    </w:p>
    <w:p w14:paraId="50EEB698">
      <w:pPr>
        <w:snapToGrid/>
        <w:spacing w:before="0" w:beforeAutospacing="0" w:after="0" w:afterAutospacing="0" w:line="360" w:lineRule="auto"/>
        <w:jc w:val="both"/>
        <w:textAlignment w:val="baseline"/>
        <w:rPr>
          <w:rFonts w:ascii="仿宋_GB2312" w:hAnsi="仿宋_GB2312" w:eastAsia="仿宋_GB2312" w:cs="仿宋_GB2312"/>
          <w:b w:val="0"/>
          <w:i w:val="0"/>
          <w:caps w:val="0"/>
          <w:spacing w:val="0"/>
          <w:w w:val="100"/>
          <w:sz w:val="24"/>
          <w:szCs w:val="20"/>
        </w:rPr>
      </w:pPr>
      <w:r>
        <w:rPr>
          <w:rFonts w:ascii="仿宋_GB2312" w:hAnsi="仿宋_GB2312" w:eastAsia="仿宋_GB2312" w:cs="仿宋_GB2312"/>
          <w:b w:val="0"/>
          <w:i w:val="0"/>
          <w:caps w:val="0"/>
          <w:spacing w:val="0"/>
          <w:w w:val="100"/>
          <w:sz w:val="24"/>
          <w:szCs w:val="20"/>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10795</wp:posOffset>
                </wp:positionV>
                <wp:extent cx="2333625" cy="1108075"/>
                <wp:effectExtent l="4445" t="5080" r="5080" b="10795"/>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C2E03F2">
                            <w:pPr>
                              <w:jc w:val="center"/>
                              <w:rPr>
                                <w:rFonts w:hAnsi="宋体"/>
                                <w:szCs w:val="21"/>
                              </w:rPr>
                            </w:pPr>
                          </w:p>
                          <w:p w14:paraId="277BC5EA">
                            <w:pPr>
                              <w:jc w:val="center"/>
                              <w:rPr>
                                <w:rFonts w:hAnsi="宋体"/>
                                <w:szCs w:val="21"/>
                              </w:rPr>
                            </w:pPr>
                          </w:p>
                          <w:p w14:paraId="08035468">
                            <w:pPr>
                              <w:jc w:val="center"/>
                              <w:rPr>
                                <w:rFonts w:hAnsi="宋体"/>
                                <w:szCs w:val="21"/>
                              </w:rPr>
                            </w:pPr>
                          </w:p>
                          <w:p w14:paraId="26072006">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2.15pt;margin-top:0.85pt;height:87.25pt;width:183.75pt;z-index:251659264;mso-width-relative:page;mso-height-relative:page;" fillcolor="#FFFFFF" filled="t" stroked="t" coordsize="21600,21600" o:gfxdata="UEsDBAoAAAAAAIdO4kAAAAAAAAAAAAAAAAAEAAAAZHJzL1BLAwQUAAAACACHTuJA11PCydYAAAAI&#10;AQAADwAAAGRycy9kb3ducmV2LnhtbE2PzU7DMBCE70i8g7VI3Kjzg9I2xKkQCE5cCJW4OvGSRMTr&#10;KHbSwNOzPdHj7IxmvykOqx3EgpPvHSmINxEIpMaZnloFx4+Xux0IHzQZPThCBT/o4VBeXxU6N+5E&#10;77hUoRVcQj7XCroQxlxK33Rotd+4EYm9LzdZHVhOrTSTPnG5HWQSRZm0uif+0OkRnzpsvqvZKljf&#10;fuv9/Bo3Veh22fYzXZ4fj1Kp25s4egARcA3/YTjjMzqUzFS7mYwXg4LkPuUk37cg2E73MS+pzzpL&#10;QJaFvBxQ/gFQSwMEFAAAAAgAh07iQIE+ZEMvAgAAYAQAAA4AAABkcnMvZTJvRG9jLnhtbK1UzY7T&#10;MBC+I/EOlu80/dmulqjpCm0pFwSVFh7AdSaJJf/Jdpv2BieEOPAAvAA3TlzhaZaft2DshNJdOPRA&#10;DsmMPfPNfJ/HmV3ulCRbcF4YXdDRYEgJaG5KoeuCvnyxfHBBiQ9Ml0waDQXdg6eX8/v3Zq3NYWwa&#10;I0twBEG0z1tb0CYEm2eZ5w0o5gfGgsbNyjjFArquzkrHWkRXMhsPh+dZa1xpneHgPa4uuk3aI7pT&#10;AE1VCQ4LwzcKdOhQHUgWkJJvhPV0nrqtKuDheVV5CEQWFJmG9MYiaK/jO5vPWF47ZhvB+xbYKS3c&#10;4aSY0Fj0ALVggZGNE39BKcGd8aYKA25U1hFJiiCL0fCONtcNs5C4oNTeHkT3/w+WP9uuHBElTsIZ&#10;JZopPPFvn19///ju5sOXnNy8//Tz1dsfX9/gAsEIlKu1Psesa7tyvefRjNx3lVPxi6zILkm8P0gM&#10;u0A4Lo4nk8n5eEoJx73R9OJsgg7iZH/SrfPhCRhFolHQSpr2qmEuPJIBnGYBVt3wJL3Z9qkPXf7v&#10;vNiCN1KUSyFlcly9vpKObBkOwTI9fclbYVKTtqAPp6k7hpNd4URho8qiOl7Xqd6tDH8MPEzPv4Bj&#10;Ywvmm66BhBDDWK4EMkpWA6x8rEsS9hYPQOPFo7EZBSUlEvCeRitFBibkKZEoqNSxCKRb0KsUD687&#10;rmiF3XqHoNFcm3KPg7CxTtQNqj5KROIODl46nv6SxMk+9tE+/jH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U8LJ1gAAAAgBAAAPAAAAAAAAAAEAIAAAACIAAABkcnMvZG93bnJldi54bWxQSwEC&#10;FAAUAAAACACHTuJAgT5kQy8CAABgBAAADgAAAAAAAAABACAAAAAlAQAAZHJzL2Uyb0RvYy54bWxQ&#10;SwUGAAAAAAYABgBZAQAAxgUAAAAA&#10;">
                <v:fill on="t" focussize="0,0"/>
                <v:stroke color="#000000" joinstyle="miter"/>
                <v:imagedata o:title=""/>
                <o:lock v:ext="edit" aspectratio="f"/>
                <v:textbox>
                  <w:txbxContent>
                    <w:p w14:paraId="2C2E03F2">
                      <w:pPr>
                        <w:jc w:val="center"/>
                        <w:rPr>
                          <w:rFonts w:hAnsi="宋体"/>
                          <w:szCs w:val="21"/>
                        </w:rPr>
                      </w:pPr>
                    </w:p>
                    <w:p w14:paraId="277BC5EA">
                      <w:pPr>
                        <w:jc w:val="center"/>
                        <w:rPr>
                          <w:rFonts w:hAnsi="宋体"/>
                          <w:szCs w:val="21"/>
                        </w:rPr>
                      </w:pPr>
                    </w:p>
                    <w:p w14:paraId="08035468">
                      <w:pPr>
                        <w:jc w:val="center"/>
                        <w:rPr>
                          <w:rFonts w:hAnsi="宋体"/>
                          <w:szCs w:val="21"/>
                        </w:rPr>
                      </w:pPr>
                    </w:p>
                    <w:p w14:paraId="26072006">
                      <w:pPr>
                        <w:jc w:val="center"/>
                        <w:rPr>
                          <w:szCs w:val="21"/>
                        </w:rPr>
                      </w:pPr>
                      <w:r>
                        <w:rPr>
                          <w:rFonts w:hint="eastAsia" w:hAnsi="宋体"/>
                          <w:szCs w:val="21"/>
                        </w:rPr>
                        <w:t>法定代表人身份证复印件</w:t>
                      </w:r>
                    </w:p>
                  </w:txbxContent>
                </v:textbox>
              </v:shape>
            </w:pict>
          </mc:Fallback>
        </mc:AlternateContent>
      </w:r>
      <w:r>
        <w:rPr>
          <w:rFonts w:ascii="仿宋_GB2312" w:hAnsi="仿宋_GB2312" w:eastAsia="仿宋_GB2312" w:cs="仿宋_GB2312"/>
          <w:b w:val="0"/>
          <w:i w:val="0"/>
          <w:caps w:val="0"/>
          <w:spacing w:val="0"/>
          <w:w w:val="100"/>
          <w:sz w:val="24"/>
          <w:szCs w:val="20"/>
        </w:rPr>
        <mc:AlternateContent>
          <mc:Choice Requires="wps">
            <w:drawing>
              <wp:anchor distT="0" distB="0" distL="114300" distR="114300" simplePos="0" relativeHeight="251660288" behindDoc="0" locked="0" layoutInCell="1" allowOverlap="1">
                <wp:simplePos x="0" y="0"/>
                <wp:positionH relativeFrom="column">
                  <wp:posOffset>2918460</wp:posOffset>
                </wp:positionH>
                <wp:positionV relativeFrom="paragraph">
                  <wp:posOffset>28575</wp:posOffset>
                </wp:positionV>
                <wp:extent cx="2609850" cy="1193800"/>
                <wp:effectExtent l="7620" t="7620" r="11430" b="17780"/>
                <wp:wrapNone/>
                <wp:docPr id="15" name="圆角矩形 15"/>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5496D88B">
                            <w:pPr>
                              <w:jc w:val="center"/>
                              <w:rPr>
                                <w:rFonts w:hAnsi="宋体"/>
                                <w:szCs w:val="21"/>
                              </w:rPr>
                            </w:pPr>
                          </w:p>
                          <w:p w14:paraId="0C0D7835">
                            <w:pPr>
                              <w:jc w:val="center"/>
                              <w:rPr>
                                <w:rFonts w:hAnsi="宋体"/>
                                <w:szCs w:val="21"/>
                              </w:rPr>
                            </w:pPr>
                          </w:p>
                          <w:p w14:paraId="2DBBC8BF">
                            <w:pPr>
                              <w:jc w:val="center"/>
                              <w:rPr>
                                <w:rFonts w:hAnsi="宋体"/>
                                <w:szCs w:val="21"/>
                              </w:rPr>
                            </w:pPr>
                          </w:p>
                          <w:p w14:paraId="7F734106">
                            <w:pPr>
                              <w:jc w:val="center"/>
                              <w:rPr>
                                <w:szCs w:val="21"/>
                              </w:rPr>
                            </w:pPr>
                            <w:r>
                              <w:rPr>
                                <w:rFonts w:hint="eastAsia" w:hAnsi="宋体"/>
                                <w:szCs w:val="21"/>
                              </w:rPr>
                              <w:t>法人身份证复印件反面</w:t>
                            </w:r>
                          </w:p>
                          <w:p w14:paraId="57EE2EA1"/>
                          <w:p w14:paraId="6CBA90E2">
                            <w:pPr>
                              <w:pStyle w:val="6"/>
                            </w:pPr>
                          </w:p>
                          <w:p w14:paraId="539E7DE7">
                            <w:pPr>
                              <w:pStyle w:val="6"/>
                            </w:pPr>
                          </w:p>
                          <w:p w14:paraId="146853BE">
                            <w:pPr>
                              <w:pStyle w:val="6"/>
                            </w:pPr>
                          </w:p>
                          <w:p w14:paraId="2DD2A02B">
                            <w:pPr>
                              <w:pStyle w:val="6"/>
                            </w:pPr>
                          </w:p>
                        </w:txbxContent>
                      </wps:txbx>
                      <wps:bodyPr upright="1"/>
                    </wps:wsp>
                  </a:graphicData>
                </a:graphic>
              </wp:anchor>
            </w:drawing>
          </mc:Choice>
          <mc:Fallback>
            <w:pict>
              <v:roundrect id="_x0000_s1026" o:spid="_x0000_s1026" o:spt="2" style="position:absolute;left:0pt;margin-left:229.8pt;margin-top:2.25pt;height:94pt;width:205.5pt;z-index:251660288;mso-width-relative:page;mso-height-relative:page;" fillcolor="#FFFFFF" filled="t" stroked="t" coordsize="21600,21600" arcsize="0.166666666666667" o:gfxdata="UEsDBAoAAAAAAIdO4kAAAAAAAAAAAAAAAAAEAAAAZHJzL1BLAwQUAAAACACHTuJAFZEMiNkAAAAJ&#10;AQAADwAAAGRycy9kb3ducmV2LnhtbE2PwU7DMBBE70j8g7VI3KjdQps2xKkQEkggDm3KhZsbL0nU&#10;eB3FbtPw9WxPcNvRPM3OZOuza8UJ+9B40jCdKBBIpbcNVRo+dy93SxAhGrKm9YQaRgywzq+vMpNa&#10;P9AWT0WsBIdQSI2GOsYulTKUNToTJr5DYu/b985Eln0lbW8GDnetnCm1kM40xB9q0+FzjeWhODoN&#10;w894eP1I8P5dbd+eil0ybr42jda3N1P1CCLiOf7BcKnP1SHnTnt/JBtEq+FhvlowejlAsL9MFOs9&#10;g6vZHGSeyf8L8l9QSwMEFAAAAAgAh07iQIvZk0ctAgAAaAQAAA4AAABkcnMvZTJvRG9jLnhtbK1U&#10;S44TMRDdI3EHy3vSnUj50EpnFoSwQTBi4ACOP91G/sl20p0LcADWSEhsEIeY44zgGFN2ejIfWGRB&#10;t+Qu21XPr16Ve3nRa4X23AdpTY3HoxIjbqhl0jQ1/vRx82KBUYjEMKKs4TU+8IAvVs+fLTtX8Ylt&#10;rWLcIwAxoepcjdsYXVUUgbZckzCyjhvYFNZrEmHqm4J50gG6VsWkLGdFZz1z3lIeAqyuj5t4QPTn&#10;AFohJOVrS3eam3hE9VyRCCmFVrqAV5mtEJzG90IEHpGqMWQa8wiHgL1NY7FakqrxxLWSDhTIORSe&#10;5KSJNHDoCWpNIkE7L/+C0pJ6G6yII2p1cUwkKwJZjMsn2ly1xPGcC0gd3En08P9g6bv9pUeSQSdM&#10;MTJEQ8Vvvn358/Pr7++/bq5/IFgGjToXKnC9cpd+mAUwU8K98Dp9IRXUZ10PJ115HxGFxcmsfLmY&#10;guQU9sbT6bycZOWL+3DnQ3zDrUbJqLG3O8M+QPWyqGT/NsSsLhsoEvYZI6EV1GpPFBrPZrN54gmI&#10;gzNYd5gpMlgl2UYqlSe+2b5SHkFojTf5GYIfuSmDusR3MQdpKIFeF9BjYGoHegXTZHKPQsJD5EWZ&#10;3n8hJ2ZrEtojg4yQ3EjVcsJeG4biwUEhDFxAnDhozjBSHO5rsrJnJFKd4wk6KJOgeb4NIGSSKdXz&#10;WMFkxX7bw2oyt5YdoCF2zsumhUKMM/20Aw2Y9R0uS+rwh/MMev+DWN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EMiNkAAAAJAQAADwAAAAAAAAABACAAAAAiAAAAZHJzL2Rvd25yZXYueG1sUEsB&#10;AhQAFAAAAAgAh07iQIvZk0ctAgAAaAQAAA4AAAAAAAAAAQAgAAAAKAEAAGRycy9lMm9Eb2MueG1s&#10;UEsFBgAAAAAGAAYAWQEAAMcFAAAAAA==&#10;">
                <v:fill on="t" focussize="0,0"/>
                <v:stroke weight="1.25pt" color="#808080" joinstyle="round"/>
                <v:imagedata o:title=""/>
                <o:lock v:ext="edit" aspectratio="f"/>
                <v:textbox>
                  <w:txbxContent>
                    <w:p w14:paraId="5496D88B">
                      <w:pPr>
                        <w:jc w:val="center"/>
                        <w:rPr>
                          <w:rFonts w:hAnsi="宋体"/>
                          <w:szCs w:val="21"/>
                        </w:rPr>
                      </w:pPr>
                    </w:p>
                    <w:p w14:paraId="0C0D7835">
                      <w:pPr>
                        <w:jc w:val="center"/>
                        <w:rPr>
                          <w:rFonts w:hAnsi="宋体"/>
                          <w:szCs w:val="21"/>
                        </w:rPr>
                      </w:pPr>
                    </w:p>
                    <w:p w14:paraId="2DBBC8BF">
                      <w:pPr>
                        <w:jc w:val="center"/>
                        <w:rPr>
                          <w:rFonts w:hAnsi="宋体"/>
                          <w:szCs w:val="21"/>
                        </w:rPr>
                      </w:pPr>
                    </w:p>
                    <w:p w14:paraId="7F734106">
                      <w:pPr>
                        <w:jc w:val="center"/>
                        <w:rPr>
                          <w:szCs w:val="21"/>
                        </w:rPr>
                      </w:pPr>
                      <w:r>
                        <w:rPr>
                          <w:rFonts w:hint="eastAsia" w:hAnsi="宋体"/>
                          <w:szCs w:val="21"/>
                        </w:rPr>
                        <w:t>法人身份证复印件反面</w:t>
                      </w:r>
                    </w:p>
                    <w:p w14:paraId="57EE2EA1"/>
                    <w:p w14:paraId="6CBA90E2">
                      <w:pPr>
                        <w:pStyle w:val="6"/>
                      </w:pPr>
                    </w:p>
                    <w:p w14:paraId="539E7DE7">
                      <w:pPr>
                        <w:pStyle w:val="6"/>
                      </w:pPr>
                    </w:p>
                    <w:p w14:paraId="146853BE">
                      <w:pPr>
                        <w:pStyle w:val="6"/>
                      </w:pPr>
                    </w:p>
                    <w:p w14:paraId="2DD2A02B">
                      <w:pPr>
                        <w:pStyle w:val="6"/>
                      </w:pPr>
                    </w:p>
                  </w:txbxContent>
                </v:textbox>
              </v:roundrect>
            </w:pict>
          </mc:Fallback>
        </mc:AlternateContent>
      </w:r>
    </w:p>
    <w:p w14:paraId="17620DD7">
      <w:pPr>
        <w:snapToGrid/>
        <w:spacing w:before="0" w:beforeAutospacing="0" w:after="0" w:afterAutospacing="0" w:line="360" w:lineRule="auto"/>
        <w:jc w:val="both"/>
        <w:textAlignment w:val="baseline"/>
        <w:rPr>
          <w:rFonts w:ascii="仿宋_GB2312" w:hAnsi="仿宋_GB2312" w:eastAsia="仿宋_GB2312" w:cs="仿宋_GB2312"/>
          <w:b w:val="0"/>
          <w:i w:val="0"/>
          <w:caps w:val="0"/>
          <w:spacing w:val="0"/>
          <w:w w:val="100"/>
          <w:sz w:val="24"/>
          <w:szCs w:val="20"/>
        </w:rPr>
      </w:pPr>
    </w:p>
    <w:p w14:paraId="21E779AA">
      <w:pPr>
        <w:snapToGrid/>
        <w:spacing w:before="0" w:beforeAutospacing="0" w:after="0" w:afterAutospacing="0" w:line="360" w:lineRule="auto"/>
        <w:jc w:val="both"/>
        <w:textAlignment w:val="baseline"/>
        <w:rPr>
          <w:rFonts w:ascii="仿宋_GB2312" w:hAnsi="仿宋_GB2312" w:eastAsia="仿宋_GB2312" w:cs="仿宋_GB2312"/>
          <w:b w:val="0"/>
          <w:i w:val="0"/>
          <w:caps w:val="0"/>
          <w:spacing w:val="0"/>
          <w:w w:val="100"/>
          <w:sz w:val="24"/>
          <w:szCs w:val="20"/>
        </w:rPr>
      </w:pPr>
    </w:p>
    <w:p w14:paraId="4F3B373F">
      <w:pPr>
        <w:snapToGrid/>
        <w:spacing w:before="0" w:beforeAutospacing="0" w:after="0" w:afterAutospacing="0" w:line="360" w:lineRule="auto"/>
        <w:ind w:right="246"/>
        <w:jc w:val="both"/>
        <w:textAlignment w:val="baseline"/>
        <w:rPr>
          <w:rFonts w:ascii="仿宋_GB2312" w:hAnsi="仿宋_GB2312" w:eastAsia="仿宋_GB2312" w:cs="仿宋_GB2312"/>
          <w:b w:val="0"/>
          <w:i w:val="0"/>
          <w:caps w:val="0"/>
          <w:spacing w:val="0"/>
          <w:w w:val="100"/>
          <w:sz w:val="24"/>
          <w:szCs w:val="20"/>
        </w:rPr>
      </w:pPr>
    </w:p>
    <w:p w14:paraId="121DAB21">
      <w:pPr>
        <w:snapToGrid/>
        <w:spacing w:before="0" w:beforeAutospacing="0" w:after="0" w:afterAutospacing="0" w:line="360" w:lineRule="auto"/>
        <w:ind w:right="246" w:firstLine="784" w:firstLineChars="327"/>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 xml:space="preserve">供应商（盖章）：                              </w:t>
      </w:r>
    </w:p>
    <w:p w14:paraId="5733FF40">
      <w:pPr>
        <w:snapToGrid w:val="0"/>
        <w:spacing w:before="0" w:beforeAutospacing="0" w:after="0" w:afterAutospacing="0" w:line="360" w:lineRule="auto"/>
        <w:ind w:firstLine="784" w:firstLineChars="327"/>
        <w:jc w:val="both"/>
        <w:textAlignment w:val="baseline"/>
        <w:rPr>
          <w:rFonts w:ascii="仿宋_GB2312" w:hAnsi="仿宋_GB2312" w:eastAsia="仿宋_GB2312" w:cs="仿宋_GB2312"/>
          <w:b w:val="0"/>
          <w:i w:val="0"/>
          <w:caps w:val="0"/>
          <w:spacing w:val="0"/>
          <w:w w:val="100"/>
          <w:sz w:val="24"/>
          <w:szCs w:val="20"/>
        </w:rPr>
      </w:pPr>
      <w:r>
        <w:rPr>
          <w:rFonts w:hint="eastAsia" w:ascii="仿宋_GB2312" w:hAnsi="仿宋_GB2312" w:eastAsia="仿宋_GB2312" w:cs="仿宋_GB2312"/>
          <w:b w:val="0"/>
          <w:i w:val="0"/>
          <w:caps w:val="0"/>
          <w:spacing w:val="0"/>
          <w:w w:val="100"/>
          <w:sz w:val="24"/>
          <w:szCs w:val="20"/>
        </w:rPr>
        <w:t xml:space="preserve">法定代表人签字或签章：                    </w:t>
      </w:r>
    </w:p>
    <w:p w14:paraId="26900541">
      <w:pPr>
        <w:snapToGrid w:val="0"/>
        <w:spacing w:before="0" w:beforeAutospacing="0" w:after="0" w:afterAutospacing="0" w:line="360" w:lineRule="auto"/>
        <w:ind w:firstLine="784" w:firstLineChars="327"/>
        <w:jc w:val="both"/>
        <w:textAlignment w:val="baseline"/>
        <w:rPr>
          <w:rFonts w:hint="eastAsia" w:ascii="仿宋_GB2312" w:hAnsi="仿宋_GB2312" w:eastAsia="仿宋_GB2312" w:cs="仿宋_GB2312"/>
          <w:b/>
          <w:i w:val="0"/>
          <w:caps w:val="0"/>
          <w:spacing w:val="0"/>
          <w:w w:val="100"/>
          <w:sz w:val="24"/>
          <w:u w:val="none"/>
        </w:rPr>
      </w:pPr>
      <w:r>
        <w:rPr>
          <w:rFonts w:hint="eastAsia" w:ascii="仿宋_GB2312" w:hAnsi="仿宋_GB2312" w:eastAsia="仿宋_GB2312" w:cs="仿宋_GB2312"/>
          <w:b w:val="0"/>
          <w:i w:val="0"/>
          <w:caps w:val="0"/>
          <w:spacing w:val="0"/>
          <w:w w:val="100"/>
          <w:sz w:val="24"/>
          <w:szCs w:val="20"/>
        </w:rPr>
        <w:t xml:space="preserve">日期：                                       </w:t>
      </w:r>
      <w:bookmarkStart w:id="733" w:name="_Toc6725"/>
      <w:bookmarkStart w:id="734" w:name="_Toc30696"/>
      <w:bookmarkStart w:id="735" w:name="_Toc19476"/>
      <w:bookmarkStart w:id="736" w:name="_Toc28191"/>
      <w:bookmarkStart w:id="737" w:name="_Toc6391"/>
      <w:bookmarkStart w:id="738" w:name="_Toc1302"/>
    </w:p>
    <w:p w14:paraId="2088E93A">
      <w:pPr>
        <w:pStyle w:val="4"/>
        <w:bidi w:val="0"/>
        <w:rPr>
          <w:rFonts w:hint="eastAsia" w:ascii="仿宋_GB2312" w:hAnsi="仿宋_GB2312" w:eastAsia="仿宋_GB2312" w:cs="仿宋_GB2312"/>
          <w:b/>
          <w:sz w:val="24"/>
          <w:szCs w:val="24"/>
          <w:lang w:val="en-US" w:eastAsia="zh-CN"/>
        </w:rPr>
      </w:pPr>
      <w:bookmarkStart w:id="739" w:name="_Toc24489"/>
      <w:bookmarkStart w:id="740" w:name="_Toc22439"/>
      <w:bookmarkStart w:id="741" w:name="_Toc5205"/>
      <w:bookmarkStart w:id="742" w:name="_Toc31796"/>
      <w:bookmarkStart w:id="743" w:name="_Toc52"/>
      <w:r>
        <w:rPr>
          <w:rFonts w:hint="eastAsia" w:ascii="仿宋_GB2312" w:hAnsi="仿宋_GB2312" w:eastAsia="仿宋_GB2312" w:cs="仿宋_GB2312"/>
          <w:b/>
          <w:sz w:val="24"/>
          <w:szCs w:val="24"/>
          <w:lang w:val="en-US" w:eastAsia="zh-CN"/>
        </w:rPr>
        <w:t>4  法定代表人授权委托书</w:t>
      </w:r>
      <w:bookmarkEnd w:id="733"/>
      <w:bookmarkEnd w:id="734"/>
      <w:bookmarkEnd w:id="735"/>
      <w:bookmarkEnd w:id="736"/>
      <w:bookmarkEnd w:id="737"/>
      <w:bookmarkEnd w:id="738"/>
      <w:bookmarkEnd w:id="739"/>
      <w:bookmarkEnd w:id="740"/>
      <w:bookmarkEnd w:id="741"/>
      <w:bookmarkEnd w:id="742"/>
      <w:bookmarkEnd w:id="743"/>
    </w:p>
    <w:p w14:paraId="4F8652CF">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ascii="Times New Roman" w:hAnsi="Times New Roman"/>
          <w:b w:val="0"/>
          <w:i w:val="0"/>
          <w:caps w:val="0"/>
          <w:spacing w:val="0"/>
          <w:w w:val="100"/>
          <w:sz w:val="24"/>
        </w:rPr>
        <w:cr/>
      </w:r>
      <w:r>
        <w:rPr>
          <w:rFonts w:hint="eastAsia" w:ascii="仿宋_GB2312" w:hAnsi="仿宋_GB2312" w:eastAsia="仿宋_GB2312" w:cs="仿宋_GB2312"/>
          <w:b w:val="0"/>
          <w:i w:val="0"/>
          <w:caps w:val="0"/>
          <w:spacing w:val="0"/>
          <w:w w:val="100"/>
          <w:sz w:val="24"/>
        </w:rPr>
        <w:t xml:space="preserve"> </w:t>
      </w:r>
      <w:r>
        <w:rPr>
          <w:rFonts w:hint="eastAsia" w:ascii="仿宋_GB2312" w:hAnsi="仿宋_GB2312" w:eastAsia="仿宋_GB2312" w:cs="仿宋_GB2312"/>
          <w:b w:val="0"/>
          <w:i w:val="0"/>
          <w:caps w:val="0"/>
          <w:spacing w:val="0"/>
          <w:w w:val="100"/>
          <w:sz w:val="24"/>
          <w:lang w:val="en-US" w:eastAsia="zh-CN"/>
        </w:rPr>
        <w:t xml:space="preserve">   </w:t>
      </w:r>
      <w:r>
        <w:rPr>
          <w:rFonts w:hint="eastAsia" w:ascii="仿宋_GB2312" w:hAnsi="仿宋_GB2312" w:eastAsia="仿宋_GB2312" w:cs="仿宋_GB2312"/>
          <w:b w:val="0"/>
          <w:i w:val="0"/>
          <w:caps w:val="0"/>
          <w:spacing w:val="0"/>
          <w:w w:val="100"/>
          <w:sz w:val="24"/>
        </w:rPr>
        <w:t>本授权书声明：注册于（国家或地区的名称）的（供应商）的在下面签字的（法人代表姓名、职务）代表我单位授权（单位名称）的在下面签字的（被授权人的姓名、职务）为我单位的合法代理人，就</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spacing w:val="0"/>
          <w:w w:val="100"/>
          <w:sz w:val="24"/>
        </w:rPr>
        <w:t>项目名称</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spacing w:val="0"/>
          <w:w w:val="100"/>
          <w:sz w:val="24"/>
        </w:rPr>
        <w:t>项目编号</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spacing w:val="0"/>
          <w:w w:val="100"/>
          <w:sz w:val="24"/>
        </w:rPr>
        <w:t>公开招标，以我单位名义处理一切与之有关的事务。　　</w:t>
      </w:r>
    </w:p>
    <w:p w14:paraId="6DDE83A0">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本授权书于           年     月     日签字生效,特此声明。</w:t>
      </w:r>
      <w:r>
        <w:rPr>
          <w:rFonts w:hint="eastAsia" w:ascii="仿宋_GB2312" w:hAnsi="仿宋_GB2312" w:eastAsia="仿宋_GB2312" w:cs="仿宋_GB2312"/>
          <w:b w:val="0"/>
          <w:i w:val="0"/>
          <w:caps w:val="0"/>
          <w:spacing w:val="0"/>
          <w:w w:val="100"/>
          <w:sz w:val="24"/>
        </w:rPr>
        <w:cr/>
      </w:r>
    </w:p>
    <w:p w14:paraId="3C492FA4">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mc:AlternateContent>
          <mc:Choice Requires="wps">
            <w:drawing>
              <wp:anchor distT="0" distB="0" distL="114300" distR="114300" simplePos="0" relativeHeight="251662336" behindDoc="0" locked="0" layoutInCell="1" allowOverlap="1">
                <wp:simplePos x="0" y="0"/>
                <wp:positionH relativeFrom="column">
                  <wp:posOffset>2810510</wp:posOffset>
                </wp:positionH>
                <wp:positionV relativeFrom="paragraph">
                  <wp:posOffset>15875</wp:posOffset>
                </wp:positionV>
                <wp:extent cx="2478405" cy="1158240"/>
                <wp:effectExtent l="7620" t="7620" r="9525" b="15240"/>
                <wp:wrapNone/>
                <wp:docPr id="2" name="圆角矩形 2"/>
                <wp:cNvGraphicFramePr/>
                <a:graphic xmlns:a="http://schemas.openxmlformats.org/drawingml/2006/main">
                  <a:graphicData uri="http://schemas.microsoft.com/office/word/2010/wordprocessingShape">
                    <wps:wsp>
                      <wps:cNvSpPr/>
                      <wps:spPr>
                        <a:xfrm>
                          <a:off x="0" y="0"/>
                          <a:ext cx="2478405" cy="115824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C9D2C77">
                            <w:pPr>
                              <w:rPr>
                                <w:rFonts w:hAnsi="宋体"/>
                              </w:rPr>
                            </w:pPr>
                          </w:p>
                          <w:p w14:paraId="524E79ED">
                            <w:pPr>
                              <w:rPr>
                                <w:rFonts w:hAnsi="宋体"/>
                              </w:rPr>
                            </w:pPr>
                          </w:p>
                          <w:p w14:paraId="76DA526A">
                            <w:r>
                              <w:rPr>
                                <w:rFonts w:hint="eastAsia" w:hAnsi="宋体"/>
                              </w:rPr>
                              <w:t>授权委托人身份证复印件反面</w:t>
                            </w:r>
                          </w:p>
                          <w:p w14:paraId="1EC8FD1A"/>
                        </w:txbxContent>
                      </wps:txbx>
                      <wps:bodyPr upright="1"/>
                    </wps:wsp>
                  </a:graphicData>
                </a:graphic>
              </wp:anchor>
            </w:drawing>
          </mc:Choice>
          <mc:Fallback>
            <w:pict>
              <v:roundrect id="_x0000_s1026" o:spid="_x0000_s1026" o:spt="2" style="position:absolute;left:0pt;margin-left:221.3pt;margin-top:1.25pt;height:91.2pt;width:195.15pt;z-index:251662336;mso-width-relative:page;mso-height-relative:page;" fillcolor="#FFFFFF" filled="t" stroked="t" coordsize="21600,21600" arcsize="0.166666666666667" o:gfxdata="UEsDBAoAAAAAAIdO4kAAAAAAAAAAAAAAAAAEAAAAZHJzL1BLAwQUAAAACACHTuJAhQ4iitsAAAAJ&#10;AQAADwAAAGRycy9kb3ducmV2LnhtbE2PQU+DQBCF7yb+h82YeLO7pdhSZGmMiSYaDy314m0LI5Cy&#10;s4TdluKvdzzpcfK+vPdNtrnYTpxx8K0jDfOZAoFUuqqlWsPH/vkuAeGDocp0jlDDhB42+fVVZtLK&#10;jbTDcxFqwSXkU6OhCaFPpfRlg9b4meuROPtygzWBz6GW1WBGLredjJRaSmta4oXG9PjUYHksTlbD&#10;+D0dX95XuHhTu9fHYr+atp/bVuvbm7l6ABHwEv5g+NVndcjZ6eBOVHnRaYjjaMmohugeBOfJIlqD&#10;ODCYxGuQeSb/f5D/AFBLAwQUAAAACACHTuJAIQigZSsCAABm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JUaaKCj47eePv759+vnl++2Pr6iMCvXWV+B4Y6/dOPNgxnSHxqn4hUTQkFQ9nlXlQ0AUFsvpYjnN&#10;ZxhR2CuK2bKcJt2zu3DrfHjJjULRqLEze83eQu2SpOTwyoekLRsZEvYBo0ZJqNSBSFTM5/NF5AmI&#10;ozNYfzBjpDdSsK2QMk1cu3suHYLQGm/TMwY/cJMa9cB3tlxE6gQ6vYEOA1NZUMvrNpF7EOLvIy/z&#10;+P4LOTLbEN+dGCSE6EaqjhP2QjMUjhbqoOH64chBcYaR5HBbo5U8AxHyEk/QQeoIzdNdACGjTLGe&#10;pwpGKwy7AVajuTPsCO2wt060HRSiSPTjDrRf0ne8KrG/788T6N3vY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Q4iitsAAAAJAQAADwAAAAAAAAABACAAAAAiAAAAZHJzL2Rvd25yZXYueG1sUEsB&#10;AhQAFAAAAAgAh07iQCEIoGUrAgAAZgQAAA4AAAAAAAAAAQAgAAAAKgEAAGRycy9lMm9Eb2MueG1s&#10;UEsFBgAAAAAGAAYAWQEAAMcFAAAAAA==&#10;">
                <v:fill on="t" focussize="0,0"/>
                <v:stroke weight="1.25pt" color="#808080" joinstyle="round"/>
                <v:imagedata o:title=""/>
                <o:lock v:ext="edit" aspectratio="f"/>
                <v:textbox>
                  <w:txbxContent>
                    <w:p w14:paraId="0C9D2C77">
                      <w:pPr>
                        <w:rPr>
                          <w:rFonts w:hAnsi="宋体"/>
                        </w:rPr>
                      </w:pPr>
                    </w:p>
                    <w:p w14:paraId="524E79ED">
                      <w:pPr>
                        <w:rPr>
                          <w:rFonts w:hAnsi="宋体"/>
                        </w:rPr>
                      </w:pPr>
                    </w:p>
                    <w:p w14:paraId="76DA526A">
                      <w:r>
                        <w:rPr>
                          <w:rFonts w:hint="eastAsia" w:hAnsi="宋体"/>
                        </w:rPr>
                        <w:t>授权委托人身份证复印件反面</w:t>
                      </w:r>
                    </w:p>
                    <w:p w14:paraId="1EC8FD1A"/>
                  </w:txbxContent>
                </v:textbox>
              </v:roundrect>
            </w:pict>
          </mc:Fallback>
        </mc:AlternateContent>
      </w:r>
      <w:r>
        <w:rPr>
          <w:rFonts w:ascii="仿宋_GB2312" w:hAnsi="仿宋_GB2312" w:eastAsia="仿宋_GB2312" w:cs="仿宋_GB2312"/>
          <w:b w:val="0"/>
          <w:i w:val="0"/>
          <w:caps w:val="0"/>
          <w:spacing w:val="0"/>
          <w:w w:val="100"/>
          <w:sz w:val="24"/>
        </w:rPr>
        <mc:AlternateContent>
          <mc:Choice Requires="wps">
            <w:drawing>
              <wp:anchor distT="0" distB="0" distL="114300" distR="114300" simplePos="0" relativeHeight="251661312" behindDoc="0" locked="0" layoutInCell="1" allowOverlap="1">
                <wp:simplePos x="0" y="0"/>
                <wp:positionH relativeFrom="column">
                  <wp:posOffset>241935</wp:posOffset>
                </wp:positionH>
                <wp:positionV relativeFrom="paragraph">
                  <wp:posOffset>6350</wp:posOffset>
                </wp:positionV>
                <wp:extent cx="2317750" cy="1143000"/>
                <wp:effectExtent l="4445" t="5080" r="20955" b="13970"/>
                <wp:wrapNone/>
                <wp:docPr id="8" name="流程图: 可选过程 8"/>
                <wp:cNvGraphicFramePr/>
                <a:graphic xmlns:a="http://schemas.openxmlformats.org/drawingml/2006/main">
                  <a:graphicData uri="http://schemas.microsoft.com/office/word/2010/wordprocessingShape">
                    <wps:wsp>
                      <wps:cNvSpPr/>
                      <wps:spPr>
                        <a:xfrm>
                          <a:off x="0" y="0"/>
                          <a:ext cx="2317750"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96C50B3">
                            <w:pPr>
                              <w:jc w:val="center"/>
                              <w:rPr>
                                <w:rFonts w:hAnsi="宋体"/>
                              </w:rPr>
                            </w:pPr>
                          </w:p>
                          <w:p w14:paraId="38D5C9E9">
                            <w:pPr>
                              <w:jc w:val="center"/>
                              <w:rPr>
                                <w:rFonts w:hAnsi="宋体"/>
                              </w:rPr>
                            </w:pPr>
                          </w:p>
                          <w:p w14:paraId="7C9274EC">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9.05pt;margin-top:0.5pt;height:90pt;width:182.5pt;z-index:251661312;mso-width-relative:page;mso-height-relative:page;" fillcolor="#FFFFFF" filled="t" stroked="t" coordsize="21600,21600" o:gfxdata="UEsDBAoAAAAAAIdO4kAAAAAAAAAAAAAAAAAEAAAAZHJzL1BLAwQUAAAACACHTuJAxMQVFtEAAAAI&#10;AQAADwAAAGRycy9kb3ducmV2LnhtbE1Py06EMBTdm/gPzTVx5xTEjMhQJkajKzfiJG4LvUOJ9JbQ&#10;wqBf73XlLM8j51HuVzeIBafQe1KQbhIQSK03PXUKDh8vNzmIEDUZPXhCBd8YYF9dXpS6MP5E77jU&#10;sRMcQqHQCmyMYyFlaC06HTZ+RGLt6CenI8Opk2bSJw53g7xNkq10uidusHrEJ4vtVz07BevbT/Mw&#10;v6ZtHW2+vf/MlufHg1Tq+ipNdiAirvHfDH/zeTpUvKnxM5kgBgVZnrKTeX7E8l2SMW4Y58zIqpTn&#10;B6pfUEsDBBQAAAAIAIdO4kBlxj8yMgIAAF4EAAAOAAAAZHJzL2Uyb0RvYy54bWytVMuO0zAU3SPx&#10;D5b3NEmHMkPUdISmlA2CSgMf4Dp2Yskv2W6T7mCFEAs+gB9gx4otfM3w+AuundJph00XZJFcP+7x&#10;OedeZ3rZK4k2zHlhdIWLUY4R09TUQjcVfv1q8eACIx+Irok0mlV4yzy+nN2/N+1sycamNbJmDgGI&#10;9mVnK9yGYMss87RliviRsUzDIjdOkQBD12S1Ix2gK5mN8/xR1hlXW2co8x5m58Mi3iG6UwAN54Ky&#10;uaFrxXQYUB2TJIAk3wrr8Syx5ZzR8JJzzwKSFQalIb3hEIhX8Z3NpqRsHLGtoDsK5BQKdzQpIjQc&#10;uoeak0DQ2ol/oJSgznjDw4galQ1CkiOgosjveHPdEsuSFrDa273p/v/B0hebpUOirjCUXRMFBf/x&#10;9e3Pzx9uPn0r0c3HL7/fvP/1/R1MoItoVmd9CTnXdul2Iw9hVN5zp+IXNKE+GbzdG8z6gChMjs+K&#10;8/MJeE9hrSgenuV5KkF2m26dD8+YUSgGFebSdFctceGJDMxpEthyaJ3kNtk89wF4QP7fvEjBGynq&#10;hZAyDVyzupIObQi0wCI9UQikHG2TGnUVfjwZT4Adgb7m0E8QKgveeN2k844y/CEwCLnVcrQtEpsT&#10;3w4E0tLQdUqAImBCypaR+qmuUdha8F/DtcORjGI1RpLBLY1R2hmIkKfsBHVSR2iW7sDOpVi8oVwx&#10;Cv2qB9AYrky9hTZYWyeaFlwvkkNxBdouebW7IrGvD8cQH/4WZ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MQVFtEAAAAIAQAADwAAAAAAAAABACAAAAAiAAAAZHJzL2Rvd25yZXYueG1sUEsBAhQA&#10;FAAAAAgAh07iQGXGPzIyAgAAXgQAAA4AAAAAAAAAAQAgAAAAIAEAAGRycy9lMm9Eb2MueG1sUEsF&#10;BgAAAAAGAAYAWQEAAMQFAAAAAA==&#10;">
                <v:fill on="t" focussize="0,0"/>
                <v:stroke color="#000000" joinstyle="miter"/>
                <v:imagedata o:title=""/>
                <o:lock v:ext="edit" aspectratio="f"/>
                <v:textbox>
                  <w:txbxContent>
                    <w:p w14:paraId="196C50B3">
                      <w:pPr>
                        <w:jc w:val="center"/>
                        <w:rPr>
                          <w:rFonts w:hAnsi="宋体"/>
                        </w:rPr>
                      </w:pPr>
                    </w:p>
                    <w:p w14:paraId="38D5C9E9">
                      <w:pPr>
                        <w:jc w:val="center"/>
                        <w:rPr>
                          <w:rFonts w:hAnsi="宋体"/>
                        </w:rPr>
                      </w:pPr>
                    </w:p>
                    <w:p w14:paraId="7C9274EC">
                      <w:r>
                        <w:rPr>
                          <w:rFonts w:hint="eastAsia" w:hAnsi="宋体"/>
                        </w:rPr>
                        <w:t>授权委托人身份证复印件正面</w:t>
                      </w:r>
                    </w:p>
                  </w:txbxContent>
                </v:textbox>
              </v:shape>
            </w:pict>
          </mc:Fallback>
        </mc:AlternateContent>
      </w:r>
    </w:p>
    <w:p w14:paraId="3CDD8C2E">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6A87CDCE">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17B8054C">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22B7F4F5">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7FAB29E6">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mc:AlternateContent>
          <mc:Choice Requires="wps">
            <w:drawing>
              <wp:anchor distT="0" distB="0" distL="114300" distR="114300" simplePos="0" relativeHeight="251663360" behindDoc="0" locked="0" layoutInCell="1" allowOverlap="1">
                <wp:simplePos x="0" y="0"/>
                <wp:positionH relativeFrom="column">
                  <wp:posOffset>283845</wp:posOffset>
                </wp:positionH>
                <wp:positionV relativeFrom="paragraph">
                  <wp:posOffset>198120</wp:posOffset>
                </wp:positionV>
                <wp:extent cx="2372995" cy="1085215"/>
                <wp:effectExtent l="7620" t="7620" r="19685" b="12065"/>
                <wp:wrapNone/>
                <wp:docPr id="5" name="圆角矩形 5"/>
                <wp:cNvGraphicFramePr/>
                <a:graphic xmlns:a="http://schemas.openxmlformats.org/drawingml/2006/main">
                  <a:graphicData uri="http://schemas.microsoft.com/office/word/2010/wordprocessingShape">
                    <wps:wsp>
                      <wps:cNvSpPr/>
                      <wps:spPr>
                        <a:xfrm>
                          <a:off x="0" y="0"/>
                          <a:ext cx="2372995" cy="108521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2F7BDB88">
                            <w:pPr>
                              <w:jc w:val="center"/>
                              <w:rPr>
                                <w:rFonts w:hAnsi="宋体"/>
                              </w:rPr>
                            </w:pPr>
                          </w:p>
                          <w:p w14:paraId="0A2A631B">
                            <w:pPr>
                              <w:jc w:val="center"/>
                              <w:rPr>
                                <w:rFonts w:hAnsi="宋体"/>
                              </w:rPr>
                            </w:pPr>
                          </w:p>
                          <w:p w14:paraId="37720DA6">
                            <w:pPr>
                              <w:ind w:firstLine="420" w:firstLineChars="200"/>
                            </w:pPr>
                            <w:r>
                              <w:rPr>
                                <w:rFonts w:hint="eastAsia" w:hAnsi="宋体"/>
                              </w:rPr>
                              <w:t>法人身份证复印件正面</w:t>
                            </w:r>
                          </w:p>
                          <w:p w14:paraId="4EC9B8E5"/>
                        </w:txbxContent>
                      </wps:txbx>
                      <wps:bodyPr upright="1"/>
                    </wps:wsp>
                  </a:graphicData>
                </a:graphic>
              </wp:anchor>
            </w:drawing>
          </mc:Choice>
          <mc:Fallback>
            <w:pict>
              <v:roundrect id="_x0000_s1026" o:spid="_x0000_s1026" o:spt="2" style="position:absolute;left:0pt;margin-left:22.35pt;margin-top:15.6pt;height:85.45pt;width:186.85pt;z-index:251663360;mso-width-relative:page;mso-height-relative:page;" fillcolor="#FFFFFF" filled="t" stroked="t" coordsize="21600,21600" arcsize="0.166666666666667" o:gfxdata="UEsDBAoAAAAAAIdO4kAAAAAAAAAAAAAAAAAEAAAAZHJzL1BLAwQUAAAACACHTuJABh+TV9oAAAAJ&#10;AQAADwAAAGRycy9kb3ducmV2LnhtbE2PMU/DMBSEdyT+g/WQ2KjtNCJVGqdCSCCBGNqUhc2NX5Oo&#10;8XMUu03Dr8dMMJ7udPddsbnanl1w9J0jBXIhgCHVznTUKPjcvzysgPmgyejeESqY0cOmvL0pdG7c&#10;RDu8VKFhsYR8rhW0IQw5575u0Wq/cANS9I5utDpEOTbcjHqK5bbniRCP3OqO4kKrB3xusT5VZ6tg&#10;+p5Prx8ZLt/F7u2p2mfz9mvbKXV/J8UaWMBr+AvDL35EhzIyHdyZjGe9gjTNYlLBUibAop/KVQrs&#10;oCARiQReFvz/g/IHUEsDBBQAAAAIAIdO4kCoG7j5KwIAAGYEAAAOAAAAZHJzL2Uyb0RvYy54bWyt&#10;VEuOEzEQ3SNxB8t70h+Uz7TSmQUhbBCMGDiAY7u7jfyT7aQ7F+AArJGQ2KA5BMcZwTEoO03mA4ss&#10;6JbcZbvq+dWrci8vByXRnjsvjK5xMckx4poaJnRb4w/vN88WGPlANCPSaF7jA/f4cvX0ybK3FS9N&#10;ZyTjDgGI9lVva9yFYKss87TjiviJsVzDZmOcIgGmrs2YIz2gK5mVeT7LeuOYdYZy72F1fdzEI6I7&#10;B9A0jaB8behOcR2OqI5LEiAl3wnr8SqxbRpOw9um8TwgWWPINKQRDgF7G8dstSRV64jtBB0pkHMo&#10;PMpJEaHh0BPUmgSCdk78BaUEdcabJkyoUdkxkaQIZFHkj7S57ojlKReQ2tuT6P7/wdI3+yuHBKvx&#10;FCNNFBT89sunX98///x6c/vjG5pGhXrrK3C8tldunHkwY7pD41T8QiJoSKoeTqryISAKi+XzeXlx&#10;AfAU9op8MS2LhJrdhVvnwytuFIpGjZ3ZafYOapckJfvXPiRt2ciQsI8YNUpCpfZEomI2m80jT0Ac&#10;ncH6gxkjvZGCbYSUaeLa7QvpEITWeJOeMfiBm9SoB77TxTxSJ9DpDXQYmMqCWl63idyDEH8feZHH&#10;91/Ikdma+O7IICFEN1J1nLCXmqFwsFAHDdcPRw6KM4wkh9sareQZiJDneIIOUkdonu4CCBllivU8&#10;VjBaYdgOsBrNrWEHaIeddaLtoBBFoh93oP2SvuNVif19f55A734P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H5NX2gAAAAkBAAAPAAAAAAAAAAEAIAAAACIAAABkcnMvZG93bnJldi54bWxQSwEC&#10;FAAUAAAACACHTuJAqBu4+SsCAABmBAAADgAAAAAAAAABACAAAAApAQAAZHJzL2Uyb0RvYy54bWxQ&#10;SwUGAAAAAAYABgBZAQAAxgUAAAAA&#10;">
                <v:fill on="t" focussize="0,0"/>
                <v:stroke weight="1.25pt" color="#808080" joinstyle="round"/>
                <v:imagedata o:title=""/>
                <o:lock v:ext="edit" aspectratio="f"/>
                <v:textbox>
                  <w:txbxContent>
                    <w:p w14:paraId="2F7BDB88">
                      <w:pPr>
                        <w:jc w:val="center"/>
                        <w:rPr>
                          <w:rFonts w:hAnsi="宋体"/>
                        </w:rPr>
                      </w:pPr>
                    </w:p>
                    <w:p w14:paraId="0A2A631B">
                      <w:pPr>
                        <w:jc w:val="center"/>
                        <w:rPr>
                          <w:rFonts w:hAnsi="宋体"/>
                        </w:rPr>
                      </w:pPr>
                    </w:p>
                    <w:p w14:paraId="37720DA6">
                      <w:pPr>
                        <w:ind w:firstLine="420" w:firstLineChars="200"/>
                      </w:pPr>
                      <w:r>
                        <w:rPr>
                          <w:rFonts w:hint="eastAsia" w:hAnsi="宋体"/>
                        </w:rPr>
                        <w:t>法人身份证复印件正面</w:t>
                      </w:r>
                    </w:p>
                    <w:p w14:paraId="4EC9B8E5"/>
                  </w:txbxContent>
                </v:textbox>
              </v:roundrect>
            </w:pict>
          </mc:Fallback>
        </mc:AlternateContent>
      </w:r>
    </w:p>
    <w:p w14:paraId="1E141EE7">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mc:AlternateContent>
          <mc:Choice Requires="wps">
            <w:drawing>
              <wp:anchor distT="0" distB="0" distL="114300" distR="114300" simplePos="0" relativeHeight="251664384" behindDoc="0" locked="0" layoutInCell="1" allowOverlap="1">
                <wp:simplePos x="0" y="0"/>
                <wp:positionH relativeFrom="column">
                  <wp:posOffset>2820035</wp:posOffset>
                </wp:positionH>
                <wp:positionV relativeFrom="paragraph">
                  <wp:posOffset>20320</wp:posOffset>
                </wp:positionV>
                <wp:extent cx="2566670" cy="1057910"/>
                <wp:effectExtent l="7620" t="7620" r="16510" b="20320"/>
                <wp:wrapNone/>
                <wp:docPr id="9" name="圆角矩形 9"/>
                <wp:cNvGraphicFramePr/>
                <a:graphic xmlns:a="http://schemas.openxmlformats.org/drawingml/2006/main">
                  <a:graphicData uri="http://schemas.microsoft.com/office/word/2010/wordprocessingShape">
                    <wps:wsp>
                      <wps:cNvSpPr/>
                      <wps:spPr>
                        <a:xfrm>
                          <a:off x="0" y="0"/>
                          <a:ext cx="2566670" cy="105791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6BBDD80C">
                            <w:pPr>
                              <w:rPr>
                                <w:rFonts w:hAnsi="宋体"/>
                              </w:rPr>
                            </w:pPr>
                          </w:p>
                          <w:p w14:paraId="010E86F6">
                            <w:pPr>
                              <w:ind w:firstLine="420" w:firstLineChars="200"/>
                              <w:rPr>
                                <w:rFonts w:hAnsi="宋体"/>
                              </w:rPr>
                            </w:pPr>
                          </w:p>
                          <w:p w14:paraId="370EC078">
                            <w:pPr>
                              <w:ind w:firstLine="420" w:firstLineChars="200"/>
                            </w:pPr>
                            <w:r>
                              <w:rPr>
                                <w:rFonts w:hint="eastAsia" w:hAnsi="宋体"/>
                              </w:rPr>
                              <w:t>法人身份证复印件反面</w:t>
                            </w:r>
                          </w:p>
                          <w:p w14:paraId="2C149073"/>
                        </w:txbxContent>
                      </wps:txbx>
                      <wps:bodyPr upright="1"/>
                    </wps:wsp>
                  </a:graphicData>
                </a:graphic>
              </wp:anchor>
            </w:drawing>
          </mc:Choice>
          <mc:Fallback>
            <w:pict>
              <v:roundrect id="_x0000_s1026" o:spid="_x0000_s1026" o:spt="2" style="position:absolute;left:0pt;margin-left:222.05pt;margin-top:1.6pt;height:83.3pt;width:202.1pt;z-index:251664384;mso-width-relative:page;mso-height-relative:page;" fillcolor="#FFFFFF" filled="t" stroked="t" coordsize="21600,21600" arcsize="0.166666666666667" o:gfxdata="UEsDBAoAAAAAAIdO4kAAAAAAAAAAAAAAAAAEAAAAZHJzL1BLAwQUAAAACACHTuJA+Yif+9oAAAAJ&#10;AQAADwAAAGRycy9kb3ducmV2LnhtbE2PQU+DQBCF7yb+h82YeLMLhbSILI0x0UTjoaVevG3ZEUjZ&#10;WcJuS/HXO570OHlf3vum2FxsL844+s6RgngRgUCqnemoUfCxf77LQPigyejeESqY0cOmvL4qdG7c&#10;RDs8V6ERXEI+1wraEIZcSl+3aLVfuAGJsy83Wh34HBtpRj1xue3lMopW0uqOeKHVAz61WB+rk1Uw&#10;fc/Hl/c1Jm/R7vWx2q/n7ee2U+r2Jo4eQAS8hD8YfvVZHUp2OrgTGS96BWmaxowqSJYgOM/SLAFx&#10;YHB1n4EsC/n/g/IHUEsDBBQAAAAIAIdO4kDemMJwKgIAAGYEAAAOAAAAZHJzL2Uyb0RvYy54bWyt&#10;VE2u0zAQ3iNxB8t7mqRS/6Kmb0EpGwRPPDiAazuJkf9ku016AQ7AGgmJDeIQHOcJjsHYCX0/sOiC&#10;RHLG9sznb74ZZ33VK4mO3HlhdIWLSY4R19QwoZsKv3+3e7bEyAeiGZFG8wqfuMdXm6dP1p0t+dS0&#10;RjLuEIBoX3a2wm0ItswyT1uuiJ8YyzVs1sYpEmDqmow50gG6ktk0z+dZZxyzzlDuPaxuh008IrpL&#10;AE1dC8q3hh4U12FAdVySACn5VliPN4ltXXMa3tS15wHJCkOmIY1wCNj7OGabNSkbR2wr6EiBXELh&#10;UU6KCA2HnqG2JBB0cOIvKCWoM97UYUKNyoZEkiKQRZE/0uamJZanXEBqb8+i+/8HS18frx0SrMIr&#10;jDRRUPDbzx9/ffv088v32x9f0Soq1FlfguONvXbjzIMZ0+1rp+IXEkF9UvV0VpX3AVFYnM7m8/kC&#10;BKewV+SzxapIumd34db58JIbhaJRYWcOmr2F2iVJyfGVD0lbNjIk7ANGtZJQqSORqIj4kScgjs5g&#10;/cGMkd5IwXZCyjRxzf65dAhCK7xLzxj8wE1q1AHf2XIxA+oEOr2GDgNTWVDL6yaRexDi7yMv8/j+&#10;Czky2xLfDgwSQnQjZcsJe6EZCicLddBw/XDkoDjDSHK4rdFKnoEIeYkn6CB1hObpLoCQUaZYz6GC&#10;0Qr9vofVaO4NO0E7HKwTTQuFKBL9uAPtl/Qdr0rs7/vzBHr3e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In/vaAAAACQEAAA8AAAAAAAAAAQAgAAAAIgAAAGRycy9kb3ducmV2LnhtbFBLAQIU&#10;ABQAAAAIAIdO4kDemMJwKgIAAGYEAAAOAAAAAAAAAAEAIAAAACkBAABkcnMvZTJvRG9jLnhtbFBL&#10;BQYAAAAABgAGAFkBAADFBQAAAAA=&#10;">
                <v:fill on="t" focussize="0,0"/>
                <v:stroke weight="1.25pt" color="#808080" joinstyle="round"/>
                <v:imagedata o:title=""/>
                <o:lock v:ext="edit" aspectratio="f"/>
                <v:textbox>
                  <w:txbxContent>
                    <w:p w14:paraId="6BBDD80C">
                      <w:pPr>
                        <w:rPr>
                          <w:rFonts w:hAnsi="宋体"/>
                        </w:rPr>
                      </w:pPr>
                    </w:p>
                    <w:p w14:paraId="010E86F6">
                      <w:pPr>
                        <w:ind w:firstLine="420" w:firstLineChars="200"/>
                        <w:rPr>
                          <w:rFonts w:hAnsi="宋体"/>
                        </w:rPr>
                      </w:pPr>
                    </w:p>
                    <w:p w14:paraId="370EC078">
                      <w:pPr>
                        <w:ind w:firstLine="420" w:firstLineChars="200"/>
                      </w:pPr>
                      <w:r>
                        <w:rPr>
                          <w:rFonts w:hint="eastAsia" w:hAnsi="宋体"/>
                        </w:rPr>
                        <w:t>法人身份证复印件反面</w:t>
                      </w:r>
                    </w:p>
                    <w:p w14:paraId="2C149073"/>
                  </w:txbxContent>
                </v:textbox>
              </v:roundrect>
            </w:pict>
          </mc:Fallback>
        </mc:AlternateContent>
      </w:r>
    </w:p>
    <w:p w14:paraId="47D202ED">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1AB4711A">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239A2B93">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322F15CB">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539A94E4">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p>
    <w:p w14:paraId="490A3B5C">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供应商（盖单位章）</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spacing w:val="0"/>
          <w:w w:val="100"/>
          <w:sz w:val="24"/>
        </w:rPr>
        <w:t xml:space="preserve">                          </w:t>
      </w:r>
    </w:p>
    <w:p w14:paraId="5601B86D">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u w:val="single"/>
        </w:rPr>
      </w:pPr>
      <w:r>
        <w:rPr>
          <w:rFonts w:hint="eastAsia" w:ascii="仿宋_GB2312" w:hAnsi="仿宋_GB2312" w:eastAsia="仿宋_GB2312" w:cs="仿宋_GB2312"/>
          <w:b w:val="0"/>
          <w:i w:val="0"/>
          <w:caps w:val="0"/>
          <w:spacing w:val="0"/>
          <w:w w:val="100"/>
          <w:sz w:val="24"/>
        </w:rPr>
        <w:t>法定代表人（签字或签章）：</w:t>
      </w:r>
    </w:p>
    <w:p w14:paraId="03504F6D">
      <w:pPr>
        <w:pStyle w:val="15"/>
        <w:tabs>
          <w:tab w:val="left" w:pos="5580"/>
        </w:tabs>
        <w:snapToGrid/>
        <w:spacing w:before="0" w:beforeAutospacing="0" w:after="0" w:afterAutospacing="0" w:line="240" w:lineRule="atLeast"/>
        <w:ind w:left="1079" w:leftChars="257" w:hanging="540"/>
        <w:jc w:val="both"/>
        <w:textAlignment w:val="baseline"/>
        <w:rPr>
          <w:rFonts w:hint="eastAsia"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身份证号码：</w:t>
      </w:r>
    </w:p>
    <w:p w14:paraId="2E752F77">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委托代理人：</w:t>
      </w:r>
    </w:p>
    <w:p w14:paraId="1F00E194">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身份证号码：</w:t>
      </w:r>
    </w:p>
    <w:p w14:paraId="11DC5007">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详细通讯地址：</w:t>
      </w:r>
    </w:p>
    <w:p w14:paraId="4F5A1BC0">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邮 政 编 码 ：</w:t>
      </w:r>
    </w:p>
    <w:p w14:paraId="47776DC5">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传　　　</w:t>
      </w:r>
      <w:r>
        <w:rPr>
          <w:rFonts w:hint="eastAsia" w:ascii="仿宋_GB2312" w:hAnsi="仿宋_GB2312" w:eastAsia="仿宋_GB2312" w:cs="仿宋_GB2312"/>
          <w:b w:val="0"/>
          <w:i w:val="0"/>
          <w:caps w:val="0"/>
          <w:spacing w:val="0"/>
          <w:w w:val="100"/>
          <w:sz w:val="24"/>
          <w:lang w:val="en-US" w:eastAsia="zh-CN"/>
        </w:rPr>
        <w:t xml:space="preserve">  </w:t>
      </w:r>
      <w:r>
        <w:rPr>
          <w:rFonts w:hint="eastAsia" w:ascii="仿宋_GB2312" w:hAnsi="仿宋_GB2312" w:eastAsia="仿宋_GB2312" w:cs="仿宋_GB2312"/>
          <w:b w:val="0"/>
          <w:i w:val="0"/>
          <w:caps w:val="0"/>
          <w:spacing w:val="0"/>
          <w:w w:val="100"/>
          <w:sz w:val="24"/>
        </w:rPr>
        <w:t>真：</w:t>
      </w:r>
    </w:p>
    <w:p w14:paraId="6FE9ACE7">
      <w:pPr>
        <w:pStyle w:val="15"/>
        <w:tabs>
          <w:tab w:val="left" w:pos="5580"/>
        </w:tabs>
        <w:snapToGrid/>
        <w:spacing w:before="0" w:beforeAutospacing="0" w:after="0" w:afterAutospacing="0" w:line="240" w:lineRule="atLeast"/>
        <w:ind w:left="1079" w:leftChars="257" w:hanging="54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电　　　　话：</w:t>
      </w:r>
    </w:p>
    <w:p w14:paraId="71304954">
      <w:pPr>
        <w:pStyle w:val="15"/>
        <w:tabs>
          <w:tab w:val="left" w:pos="5580"/>
        </w:tabs>
        <w:snapToGrid/>
        <w:spacing w:before="0" w:beforeAutospacing="0" w:after="0" w:afterAutospacing="0" w:line="288" w:lineRule="auto"/>
        <w:ind w:firstLine="480" w:firstLineChars="200"/>
        <w:jc w:val="both"/>
        <w:textAlignment w:val="baseline"/>
        <w:rPr>
          <w:rFonts w:ascii="仿宋_GB2312" w:hAnsi="仿宋_GB2312" w:eastAsia="仿宋_GB2312" w:cs="仿宋_GB2312"/>
          <w:b w:val="0"/>
          <w:i w:val="0"/>
          <w:caps w:val="0"/>
          <w:spacing w:val="0"/>
          <w:w w:val="100"/>
          <w:sz w:val="24"/>
          <w:u w:val="single" w:color="FFFFFF"/>
        </w:rPr>
      </w:pPr>
    </w:p>
    <w:p w14:paraId="59AAF4B1">
      <w:pPr>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both"/>
        <w:textAlignment w:val="baseline"/>
        <w:outlineLvl w:val="2"/>
        <w:rPr>
          <w:rFonts w:hint="eastAsia" w:ascii="仿宋_GB2312" w:hAnsi="仿宋_GB2312" w:eastAsia="仿宋_GB2312" w:cs="仿宋_GB2312"/>
          <w:b/>
          <w:i w:val="0"/>
          <w:caps w:val="0"/>
          <w:spacing w:val="0"/>
          <w:w w:val="100"/>
          <w:kern w:val="0"/>
          <w:sz w:val="24"/>
          <w:szCs w:val="20"/>
          <w:u w:val="none"/>
          <w:lang w:val="en-US" w:eastAsia="zh-CN" w:bidi="ar-SA"/>
        </w:rPr>
      </w:pPr>
      <w:bookmarkStart w:id="744" w:name="_Toc32520"/>
      <w:bookmarkEnd w:id="744"/>
      <w:bookmarkStart w:id="745" w:name="_Toc18130"/>
      <w:bookmarkEnd w:id="745"/>
      <w:bookmarkStart w:id="746" w:name="_Toc7039"/>
      <w:bookmarkEnd w:id="746"/>
      <w:bookmarkStart w:id="747" w:name="_Toc515647808"/>
      <w:bookmarkEnd w:id="747"/>
    </w:p>
    <w:p w14:paraId="6DBCBBA6">
      <w:pPr>
        <w:pStyle w:val="4"/>
        <w:bidi w:val="0"/>
        <w:rPr>
          <w:rFonts w:hint="eastAsia" w:ascii="仿宋_GB2312" w:hAnsi="仿宋_GB2312" w:eastAsia="仿宋_GB2312" w:cs="仿宋_GB2312"/>
          <w:b/>
          <w:sz w:val="24"/>
          <w:szCs w:val="24"/>
          <w:lang w:val="en-US" w:eastAsia="zh-CN"/>
        </w:rPr>
      </w:pPr>
      <w:bookmarkStart w:id="748" w:name="_Toc11495"/>
      <w:bookmarkStart w:id="749" w:name="_Toc28642"/>
      <w:bookmarkStart w:id="750" w:name="_Toc10508"/>
      <w:bookmarkStart w:id="751" w:name="_Toc29966"/>
      <w:bookmarkStart w:id="752" w:name="_Toc3711"/>
      <w:bookmarkStart w:id="753" w:name="_Toc30365"/>
      <w:bookmarkStart w:id="754" w:name="_Toc23280"/>
      <w:bookmarkStart w:id="755" w:name="_Toc19958"/>
    </w:p>
    <w:p w14:paraId="3AF72DD5">
      <w:pPr>
        <w:pStyle w:val="4"/>
        <w:bidi w:val="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5  投标保证金缴纳凭证</w:t>
      </w:r>
      <w:bookmarkEnd w:id="748"/>
      <w:bookmarkEnd w:id="749"/>
      <w:bookmarkEnd w:id="750"/>
      <w:bookmarkEnd w:id="751"/>
      <w:bookmarkEnd w:id="752"/>
      <w:bookmarkEnd w:id="753"/>
      <w:bookmarkEnd w:id="754"/>
      <w:bookmarkEnd w:id="755"/>
    </w:p>
    <w:p w14:paraId="462F460C">
      <w:pPr>
        <w:pStyle w:val="29"/>
        <w:keepNext w:val="0"/>
        <w:keepLines w:val="0"/>
        <w:pageBreakBefore w:val="0"/>
        <w:widowControl/>
        <w:kinsoku/>
        <w:wordWrap/>
        <w:overflowPunct/>
        <w:topLinePunct w:val="0"/>
        <w:autoSpaceDE/>
        <w:autoSpaceDN/>
        <w:bidi w:val="0"/>
        <w:adjustRightInd/>
        <w:snapToGrid/>
        <w:spacing w:beforeAutospacing="0" w:afterAutospacing="0" w:line="360" w:lineRule="auto"/>
        <w:ind w:left="147" w:firstLine="480" w:firstLineChars="200"/>
        <w:textAlignment w:val="auto"/>
        <w:rPr>
          <w:rFonts w:hint="eastAsia"/>
        </w:rPr>
      </w:pPr>
      <w:r>
        <w:rPr>
          <w:rFonts w:hint="eastAsia" w:ascii="仿宋" w:hAnsi="仿宋" w:eastAsia="仿宋" w:cs="Times New Roman"/>
          <w:lang w:val="en-US" w:eastAsia="zh-CN"/>
        </w:rPr>
        <w:t>投标保证金应当以支票、汇票、本票或者金融机构、担保机构出具的保函等非现金形式提交。投标人未按照招标文件要求提交投标保证金的，投标无效。</w:t>
      </w:r>
      <w:bookmarkStart w:id="756" w:name="_Toc494296991"/>
      <w:bookmarkStart w:id="757" w:name="_Toc494296665"/>
      <w:r>
        <w:rPr>
          <w:rFonts w:hint="eastAsia" w:ascii="仿宋" w:hAnsi="仿宋" w:eastAsia="仿宋" w:cs="Times New Roman"/>
        </w:rPr>
        <w:t>投</w:t>
      </w:r>
      <w:r>
        <w:rPr>
          <w:rFonts w:hint="eastAsia" w:ascii="仿宋" w:hAnsi="仿宋" w:eastAsia="仿宋"/>
        </w:rPr>
        <w:t>标人可将本项目</w:t>
      </w:r>
      <w:r>
        <w:rPr>
          <w:rFonts w:ascii="仿宋" w:hAnsi="仿宋" w:eastAsia="仿宋"/>
        </w:rPr>
        <w:t>保证金</w:t>
      </w:r>
      <w:r>
        <w:rPr>
          <w:rFonts w:hint="eastAsia" w:ascii="仿宋" w:hAnsi="仿宋" w:eastAsia="仿宋"/>
        </w:rPr>
        <w:t>缴纳凭证</w:t>
      </w:r>
      <w:r>
        <w:rPr>
          <w:rFonts w:hint="eastAsia" w:ascii="仿宋" w:hAnsi="仿宋" w:eastAsia="仿宋"/>
          <w:lang w:eastAsia="zh-CN"/>
        </w:rPr>
        <w:t>体现</w:t>
      </w:r>
      <w:r>
        <w:rPr>
          <w:rFonts w:hint="eastAsia" w:ascii="仿宋" w:hAnsi="仿宋" w:eastAsia="仿宋"/>
        </w:rPr>
        <w:t>在本部分</w:t>
      </w:r>
      <w:r>
        <w:rPr>
          <w:rFonts w:hint="eastAsia" w:ascii="仿宋" w:hAnsi="仿宋" w:eastAsia="仿宋"/>
          <w:lang w:eastAsia="zh-CN"/>
        </w:rPr>
        <w:t>中</w:t>
      </w:r>
      <w:r>
        <w:rPr>
          <w:rFonts w:hint="eastAsia" w:ascii="仿宋" w:hAnsi="仿宋" w:eastAsia="仿宋"/>
        </w:rPr>
        <w:t>，复印件上应加盖本单位章；使用</w:t>
      </w:r>
      <w:r>
        <w:rPr>
          <w:rFonts w:ascii="仿宋" w:hAnsi="仿宋" w:eastAsia="仿宋"/>
        </w:rPr>
        <w:t>银行保函</w:t>
      </w:r>
      <w:r>
        <w:rPr>
          <w:rFonts w:hint="eastAsia" w:ascii="仿宋" w:hAnsi="仿宋" w:eastAsia="仿宋"/>
        </w:rPr>
        <w:t>等其他投标</w:t>
      </w:r>
      <w:r>
        <w:rPr>
          <w:rFonts w:ascii="仿宋" w:hAnsi="仿宋" w:eastAsia="仿宋"/>
        </w:rPr>
        <w:t>担保函的，</w:t>
      </w:r>
      <w:r>
        <w:rPr>
          <w:rFonts w:hint="eastAsia" w:ascii="仿宋" w:hAnsi="仿宋" w:eastAsia="仿宋"/>
        </w:rPr>
        <w:t>应将</w:t>
      </w:r>
      <w:r>
        <w:rPr>
          <w:rFonts w:ascii="仿宋" w:hAnsi="仿宋" w:eastAsia="仿宋"/>
        </w:rPr>
        <w:t>担保函</w:t>
      </w:r>
      <w:r>
        <w:rPr>
          <w:rFonts w:hint="eastAsia" w:ascii="仿宋" w:hAnsi="仿宋" w:eastAsia="仿宋"/>
          <w:lang w:eastAsia="zh-CN"/>
        </w:rPr>
        <w:t>复印件</w:t>
      </w:r>
      <w:r>
        <w:rPr>
          <w:rFonts w:hint="eastAsia" w:ascii="仿宋" w:hAnsi="仿宋" w:eastAsia="仿宋"/>
        </w:rPr>
        <w:t>，</w:t>
      </w:r>
      <w:r>
        <w:rPr>
          <w:rFonts w:hint="eastAsia" w:ascii="仿宋" w:hAnsi="仿宋" w:eastAsia="仿宋"/>
          <w:lang w:eastAsia="zh-CN"/>
        </w:rPr>
        <w:t>体现</w:t>
      </w:r>
      <w:r>
        <w:rPr>
          <w:rFonts w:hint="eastAsia" w:ascii="仿宋" w:hAnsi="仿宋" w:eastAsia="仿宋"/>
        </w:rPr>
        <w:t>在本部分</w:t>
      </w:r>
      <w:r>
        <w:rPr>
          <w:rFonts w:ascii="仿宋" w:hAnsi="仿宋" w:eastAsia="仿宋"/>
        </w:rPr>
        <w:t>中；</w:t>
      </w:r>
      <w:r>
        <w:rPr>
          <w:rFonts w:hint="eastAsia" w:ascii="仿宋" w:hAnsi="仿宋" w:eastAsia="仿宋"/>
        </w:rPr>
        <w:t>如采用政府采购信用担保形式的，</w:t>
      </w:r>
      <w:r>
        <w:rPr>
          <w:rFonts w:ascii="仿宋" w:hAnsi="仿宋" w:eastAsia="仿宋"/>
        </w:rPr>
        <w:t>应使用</w:t>
      </w:r>
      <w:r>
        <w:rPr>
          <w:rFonts w:hint="eastAsia" w:ascii="仿宋" w:hAnsi="仿宋" w:eastAsia="仿宋"/>
          <w:lang w:eastAsia="zh-CN"/>
        </w:rPr>
        <w:t>以下模板</w:t>
      </w:r>
      <w:r>
        <w:rPr>
          <w:rFonts w:hint="eastAsia" w:ascii="仿宋" w:hAnsi="仿宋" w:eastAsia="仿宋"/>
        </w:rPr>
        <w:t>,将</w:t>
      </w:r>
      <w:r>
        <w:rPr>
          <w:rFonts w:hint="eastAsia" w:ascii="仿宋" w:hAnsi="仿宋" w:eastAsia="仿宋"/>
          <w:lang w:eastAsia="zh-CN"/>
        </w:rPr>
        <w:t>复印件体现</w:t>
      </w:r>
      <w:r>
        <w:rPr>
          <w:rFonts w:ascii="仿宋" w:hAnsi="仿宋" w:eastAsia="仿宋"/>
        </w:rPr>
        <w:t>在本部分中</w:t>
      </w:r>
      <w:r>
        <w:rPr>
          <w:rFonts w:hint="eastAsia" w:ascii="仿宋" w:hAnsi="仿宋" w:eastAsia="仿宋"/>
        </w:rPr>
        <w:t>。</w:t>
      </w:r>
      <w:bookmarkEnd w:id="756"/>
      <w:bookmarkEnd w:id="757"/>
    </w:p>
    <w:p w14:paraId="2049F622">
      <w:pPr>
        <w:jc w:val="center"/>
        <w:rPr>
          <w:rFonts w:hint="eastAsia" w:ascii="仿宋" w:hAnsi="仿宋" w:eastAsia="仿宋"/>
          <w:sz w:val="28"/>
          <w:szCs w:val="28"/>
        </w:rPr>
      </w:pPr>
    </w:p>
    <w:p w14:paraId="51151B37">
      <w:pPr>
        <w:jc w:val="center"/>
        <w:rPr>
          <w:rFonts w:hint="eastAsia" w:ascii="仿宋" w:hAnsi="仿宋" w:eastAsia="仿宋"/>
          <w:sz w:val="28"/>
          <w:szCs w:val="28"/>
        </w:rPr>
      </w:pPr>
      <w:r>
        <w:rPr>
          <w:rFonts w:hint="eastAsia" w:ascii="仿宋" w:hAnsi="仿宋" w:eastAsia="仿宋"/>
          <w:sz w:val="28"/>
          <w:szCs w:val="28"/>
        </w:rPr>
        <w:t>政府采购投标担保函 （项目用）</w:t>
      </w:r>
    </w:p>
    <w:p w14:paraId="3F3CA376">
      <w:pPr>
        <w:ind w:firstLine="6720" w:firstLineChars="3200"/>
        <w:rPr>
          <w:rFonts w:ascii="仿宋" w:hAnsi="仿宋" w:eastAsia="仿宋"/>
        </w:rPr>
      </w:pPr>
      <w:r>
        <w:rPr>
          <w:rFonts w:hint="eastAsia" w:ascii="仿宋" w:hAnsi="仿宋" w:eastAsia="仿宋"/>
        </w:rPr>
        <w:t>编号：</w:t>
      </w:r>
    </w:p>
    <w:p w14:paraId="54BE642C">
      <w:pPr>
        <w:tabs>
          <w:tab w:val="left" w:pos="6669"/>
        </w:tabs>
        <w:rPr>
          <w:rFonts w:ascii="仿宋" w:hAnsi="仿宋" w:eastAsia="仿宋"/>
        </w:rPr>
      </w:pPr>
      <w:r>
        <w:rPr>
          <w:rFonts w:hint="eastAsia" w:ascii="仿宋" w:hAnsi="仿宋" w:eastAsia="仿宋"/>
          <w:u w:val="single"/>
        </w:rPr>
        <w:t xml:space="preserve">                  </w:t>
      </w:r>
      <w:r>
        <w:rPr>
          <w:rFonts w:hint="eastAsia" w:ascii="仿宋" w:hAnsi="仿宋" w:eastAsia="仿宋"/>
        </w:rPr>
        <w:t>（采购人或采购代理机构）：</w:t>
      </w:r>
      <w:r>
        <w:rPr>
          <w:rFonts w:hint="eastAsia" w:ascii="仿宋" w:hAnsi="仿宋" w:eastAsia="仿宋"/>
          <w:lang w:eastAsia="zh-CN"/>
        </w:rPr>
        <w:tab/>
      </w:r>
    </w:p>
    <w:p w14:paraId="21C7A7DA">
      <w:pPr>
        <w:ind w:firstLine="420" w:firstLineChars="200"/>
        <w:rPr>
          <w:rFonts w:hint="eastAsia" w:ascii="仿宋" w:hAnsi="仿宋" w:eastAsia="仿宋"/>
        </w:rPr>
      </w:pPr>
      <w:r>
        <w:rPr>
          <w:rFonts w:hint="eastAsia" w:ascii="仿宋" w:hAnsi="仿宋" w:eastAsia="仿宋"/>
        </w:rPr>
        <w:t>鉴于</w:t>
      </w:r>
      <w:r>
        <w:rPr>
          <w:rFonts w:hint="eastAsia" w:ascii="仿宋" w:hAnsi="仿宋" w:eastAsia="仿宋"/>
          <w:u w:val="single"/>
        </w:rPr>
        <w:t xml:space="preserve">               </w:t>
      </w:r>
      <w:r>
        <w:rPr>
          <w:rFonts w:hint="eastAsia" w:ascii="仿宋" w:hAnsi="仿宋" w:eastAsia="仿宋"/>
        </w:rPr>
        <w:t>（以下简称“投标人”）拟参加编号为</w:t>
      </w:r>
      <w:r>
        <w:rPr>
          <w:rFonts w:hint="eastAsia" w:ascii="仿宋" w:hAnsi="仿宋" w:eastAsia="仿宋"/>
          <w:u w:val="single"/>
        </w:rPr>
        <w:t xml:space="preserve">            </w:t>
      </w:r>
      <w:r>
        <w:rPr>
          <w:rFonts w:hint="eastAsia" w:ascii="仿宋" w:hAnsi="仿宋" w:eastAsia="仿宋"/>
        </w:rPr>
        <w:t>的</w:t>
      </w:r>
      <w:r>
        <w:rPr>
          <w:rFonts w:hint="eastAsia" w:ascii="仿宋" w:hAnsi="仿宋" w:eastAsia="仿宋"/>
          <w:u w:val="single"/>
        </w:rPr>
        <w:t xml:space="preserve">           </w:t>
      </w:r>
      <w:r>
        <w:rPr>
          <w:rFonts w:hint="eastAsia" w:ascii="仿宋" w:hAnsi="仿宋" w:eastAsia="仿宋"/>
        </w:rPr>
        <w:t xml:space="preserve">                            </w:t>
      </w:r>
    </w:p>
    <w:p w14:paraId="7F1CC268">
      <w:pPr>
        <w:rPr>
          <w:rFonts w:hint="eastAsia" w:ascii="仿宋" w:hAnsi="仿宋" w:eastAsia="仿宋"/>
        </w:rPr>
      </w:pP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097722A5">
      <w:pPr>
        <w:ind w:firstLine="420" w:firstLineChars="200"/>
        <w:rPr>
          <w:rFonts w:hint="eastAsia" w:ascii="仿宋" w:hAnsi="仿宋" w:eastAsia="仿宋"/>
        </w:rPr>
      </w:pPr>
      <w:r>
        <w:rPr>
          <w:rFonts w:hint="eastAsia" w:ascii="仿宋" w:hAnsi="仿宋" w:eastAsia="仿宋"/>
        </w:rPr>
        <w:t>一、保证责任的情形及保证金额</w:t>
      </w:r>
    </w:p>
    <w:p w14:paraId="630D38A2">
      <w:pPr>
        <w:ind w:firstLine="210" w:firstLineChars="100"/>
        <w:rPr>
          <w:rFonts w:hint="eastAsia" w:ascii="仿宋" w:hAnsi="仿宋" w:eastAsia="仿宋"/>
        </w:rPr>
      </w:pPr>
      <w:r>
        <w:rPr>
          <w:rFonts w:hint="eastAsia" w:ascii="仿宋" w:hAnsi="仿宋" w:eastAsia="仿宋"/>
        </w:rPr>
        <w:t>（一）在投标人出现下列情形之一时，我方承担保证责任：</w:t>
      </w:r>
    </w:p>
    <w:p w14:paraId="15CD3FDB">
      <w:pPr>
        <w:ind w:firstLine="42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14:paraId="244C8B58">
      <w:pPr>
        <w:ind w:firstLine="420" w:firstLineChars="200"/>
        <w:rPr>
          <w:rFonts w:hint="eastAsia" w:ascii="仿宋" w:hAnsi="仿宋" w:eastAsia="仿宋"/>
        </w:rPr>
      </w:pPr>
      <w:r>
        <w:rPr>
          <w:rFonts w:hint="eastAsia" w:ascii="仿宋" w:hAnsi="仿宋" w:eastAsia="仿宋"/>
        </w:rPr>
        <w:t>2．招标文件规定的投标人应当缴纳保证金的其他情形。</w:t>
      </w:r>
    </w:p>
    <w:p w14:paraId="0230A573">
      <w:pPr>
        <w:ind w:firstLine="210" w:firstLineChars="100"/>
        <w:rPr>
          <w:rFonts w:hint="eastAsia" w:ascii="仿宋" w:hAnsi="仿宋" w:eastAsia="仿宋"/>
        </w:rPr>
      </w:pPr>
      <w:r>
        <w:rPr>
          <w:rFonts w:hint="eastAsia" w:ascii="仿宋" w:hAnsi="仿宋" w:eastAsia="仿宋"/>
        </w:rPr>
        <w:t>（二）我方承担保证责任的最高金额为人民币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），即本项目的投标保证金金额。</w:t>
      </w:r>
    </w:p>
    <w:p w14:paraId="17281CF9">
      <w:pPr>
        <w:ind w:firstLine="420" w:firstLineChars="200"/>
        <w:rPr>
          <w:rFonts w:hint="eastAsia" w:ascii="仿宋" w:hAnsi="仿宋" w:eastAsia="仿宋"/>
        </w:rPr>
      </w:pPr>
      <w:r>
        <w:rPr>
          <w:rFonts w:hint="eastAsia" w:ascii="仿宋" w:hAnsi="仿宋" w:eastAsia="仿宋"/>
        </w:rPr>
        <w:t>二、保证的方式及保证期间</w:t>
      </w:r>
    </w:p>
    <w:p w14:paraId="0FC4AF47">
      <w:pPr>
        <w:ind w:firstLine="420" w:firstLineChars="200"/>
        <w:rPr>
          <w:rFonts w:hint="eastAsia" w:ascii="仿宋" w:hAnsi="仿宋" w:eastAsia="仿宋"/>
        </w:rPr>
      </w:pPr>
      <w:r>
        <w:rPr>
          <w:rFonts w:hint="eastAsia" w:ascii="仿宋" w:hAnsi="仿宋" w:eastAsia="仿宋"/>
        </w:rPr>
        <w:t>我方保证的方式为：连带责任保证。</w:t>
      </w:r>
    </w:p>
    <w:p w14:paraId="5F6F7453">
      <w:pPr>
        <w:ind w:firstLine="42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14:paraId="6F73352C">
      <w:pPr>
        <w:ind w:firstLine="420" w:firstLineChars="200"/>
        <w:rPr>
          <w:rFonts w:hint="eastAsia" w:ascii="仿宋" w:hAnsi="仿宋" w:eastAsia="仿宋"/>
        </w:rPr>
      </w:pPr>
      <w:r>
        <w:rPr>
          <w:rFonts w:hint="eastAsia" w:ascii="仿宋" w:hAnsi="仿宋" w:eastAsia="仿宋"/>
        </w:rPr>
        <w:t>三、承担保证责任的程序</w:t>
      </w:r>
    </w:p>
    <w:p w14:paraId="14C2275C">
      <w:pPr>
        <w:ind w:firstLine="42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1E4C0B29">
      <w:pPr>
        <w:ind w:firstLine="42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14:paraId="2F9C5954">
      <w:pPr>
        <w:ind w:firstLine="420" w:firstLineChars="200"/>
        <w:rPr>
          <w:rFonts w:hint="eastAsia" w:ascii="仿宋" w:hAnsi="仿宋" w:eastAsia="仿宋"/>
        </w:rPr>
      </w:pPr>
      <w:r>
        <w:rPr>
          <w:rFonts w:hint="eastAsia" w:ascii="仿宋" w:hAnsi="仿宋" w:eastAsia="仿宋"/>
        </w:rPr>
        <w:t>四、保证责任的终止</w:t>
      </w:r>
    </w:p>
    <w:p w14:paraId="3420DEDF">
      <w:pPr>
        <w:ind w:firstLine="42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14:paraId="6A40FA2A">
      <w:pPr>
        <w:ind w:firstLine="42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14:paraId="39B53906">
      <w:pPr>
        <w:ind w:firstLine="42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14:paraId="30F94128">
      <w:pPr>
        <w:ind w:firstLine="420" w:firstLineChars="200"/>
        <w:rPr>
          <w:rFonts w:hint="eastAsia" w:ascii="仿宋" w:hAnsi="仿宋" w:eastAsia="仿宋"/>
        </w:rPr>
      </w:pPr>
      <w:r>
        <w:rPr>
          <w:rFonts w:hint="eastAsia" w:ascii="仿宋" w:hAnsi="仿宋" w:eastAsia="仿宋"/>
        </w:rPr>
        <w:t>五、免责条款</w:t>
      </w:r>
    </w:p>
    <w:p w14:paraId="441217D1">
      <w:pPr>
        <w:ind w:firstLine="42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14:paraId="053F4FE9">
      <w:pPr>
        <w:ind w:firstLine="42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14:paraId="396AEDED">
      <w:pPr>
        <w:ind w:firstLine="42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14:paraId="769D70F7">
      <w:pPr>
        <w:ind w:firstLine="42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14:paraId="58460A8E">
      <w:pPr>
        <w:ind w:firstLine="420" w:firstLineChars="200"/>
        <w:rPr>
          <w:rFonts w:hint="eastAsia" w:ascii="仿宋" w:hAnsi="仿宋" w:eastAsia="仿宋"/>
        </w:rPr>
      </w:pPr>
      <w:r>
        <w:rPr>
          <w:rFonts w:hint="eastAsia" w:ascii="仿宋" w:hAnsi="仿宋" w:eastAsia="仿宋"/>
        </w:rPr>
        <w:t>六、争议的解决</w:t>
      </w:r>
    </w:p>
    <w:p w14:paraId="1CA41898">
      <w:pPr>
        <w:ind w:firstLine="42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w:t>
      </w:r>
      <w:r>
        <w:rPr>
          <w:rFonts w:hint="eastAsia" w:ascii="仿宋" w:hAnsi="仿宋" w:eastAsia="仿宋"/>
          <w:u w:val="single"/>
        </w:rPr>
        <w:t xml:space="preserve">          </w:t>
      </w:r>
      <w:r>
        <w:rPr>
          <w:rFonts w:hint="eastAsia" w:ascii="仿宋" w:hAnsi="仿宋" w:eastAsia="仿宋"/>
        </w:rPr>
        <w:t>法院。</w:t>
      </w:r>
    </w:p>
    <w:p w14:paraId="7890C7A1">
      <w:pPr>
        <w:ind w:firstLine="420" w:firstLineChars="200"/>
        <w:rPr>
          <w:rFonts w:hint="eastAsia" w:ascii="仿宋" w:hAnsi="仿宋" w:eastAsia="仿宋"/>
        </w:rPr>
      </w:pPr>
      <w:r>
        <w:rPr>
          <w:rFonts w:hint="eastAsia" w:ascii="仿宋" w:hAnsi="仿宋" w:eastAsia="仿宋"/>
        </w:rPr>
        <w:t>七、保函的生效</w:t>
      </w:r>
    </w:p>
    <w:p w14:paraId="4E256454">
      <w:pPr>
        <w:ind w:firstLine="420" w:firstLineChars="200"/>
        <w:rPr>
          <w:rFonts w:ascii="仿宋" w:hAnsi="仿宋" w:eastAsia="仿宋"/>
        </w:rPr>
      </w:pPr>
      <w:r>
        <w:rPr>
          <w:rFonts w:hint="eastAsia" w:ascii="仿宋" w:hAnsi="仿宋" w:eastAsia="仿宋"/>
        </w:rPr>
        <w:t>本保函自我方加盖公章之日起生效。</w:t>
      </w:r>
    </w:p>
    <w:p w14:paraId="34CAB479">
      <w:pPr>
        <w:rPr>
          <w:rFonts w:ascii="仿宋" w:hAnsi="仿宋" w:eastAsia="仿宋"/>
        </w:rPr>
        <w:sectPr>
          <w:headerReference r:id="rId5" w:type="default"/>
          <w:footerReference r:id="rId6" w:type="default"/>
          <w:pgSz w:w="11906" w:h="16838"/>
          <w:pgMar w:top="1100" w:right="1060" w:bottom="1100" w:left="106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仿宋" w:hAnsi="仿宋" w:eastAsia="仿宋"/>
        </w:rPr>
        <w:t>保证人：（公章）</w:t>
      </w:r>
      <w:r>
        <w:rPr>
          <w:rFonts w:hint="eastAsia" w:ascii="仿宋" w:hAnsi="仿宋" w:eastAsia="仿宋"/>
          <w:lang w:val="en-US" w:eastAsia="zh-CN"/>
        </w:rPr>
        <w:t xml:space="preserve">        </w:t>
      </w:r>
      <w:r>
        <w:rPr>
          <w:rFonts w:hint="eastAsia" w:ascii="仿宋" w:hAnsi="仿宋" w:eastAsia="仿宋"/>
        </w:rPr>
        <w:t xml:space="preserve">年     月   </w:t>
      </w:r>
    </w:p>
    <w:p w14:paraId="524F71CC">
      <w:pPr>
        <w:pStyle w:val="4"/>
        <w:bidi w:val="0"/>
        <w:jc w:val="center"/>
        <w:rPr>
          <w:rFonts w:hint="eastAsia" w:ascii="仿宋_GB2312" w:hAnsi="仿宋_GB2312" w:eastAsia="仿宋_GB2312" w:cs="仿宋_GB2312"/>
          <w:b/>
          <w:sz w:val="24"/>
          <w:szCs w:val="24"/>
          <w:lang w:val="en-US" w:eastAsia="zh-CN"/>
        </w:rPr>
      </w:pPr>
      <w:bookmarkStart w:id="758" w:name="_Toc23980"/>
      <w:bookmarkStart w:id="759" w:name="_Toc1610"/>
      <w:bookmarkStart w:id="760" w:name="_Toc21308"/>
      <w:bookmarkStart w:id="761" w:name="_Toc15919"/>
      <w:bookmarkStart w:id="762" w:name="_Toc21047"/>
      <w:bookmarkStart w:id="763" w:name="_Toc23863"/>
      <w:bookmarkStart w:id="764" w:name="_Toc6266"/>
      <w:bookmarkStart w:id="765" w:name="_Toc11556"/>
      <w:bookmarkStart w:id="766" w:name="_Toc7329"/>
      <w:bookmarkStart w:id="767" w:name="_Toc7945"/>
      <w:bookmarkStart w:id="768" w:name="_Toc14056"/>
      <w:bookmarkStart w:id="769" w:name="_Toc22769"/>
      <w:bookmarkStart w:id="770" w:name="_Toc21576"/>
      <w:bookmarkStart w:id="771" w:name="_Toc10990"/>
      <w:bookmarkStart w:id="772" w:name="_Toc6247"/>
      <w:bookmarkStart w:id="773" w:name="_Toc29022"/>
      <w:bookmarkStart w:id="774" w:name="_Toc19756"/>
      <w:bookmarkStart w:id="775" w:name="_Toc20948"/>
      <w:r>
        <w:rPr>
          <w:rFonts w:hint="eastAsia" w:ascii="仿宋_GB2312" w:hAnsi="仿宋_GB2312" w:eastAsia="仿宋_GB2312" w:cs="仿宋_GB2312"/>
          <w:b/>
          <w:sz w:val="24"/>
          <w:szCs w:val="24"/>
          <w:lang w:val="en-US" w:eastAsia="zh-CN"/>
        </w:rPr>
        <w:t>6  社会保障资金的缴纳记录</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18570533">
      <w:pPr>
        <w:pStyle w:val="15"/>
        <w:tabs>
          <w:tab w:val="left" w:pos="5580"/>
        </w:tabs>
        <w:snapToGrid/>
        <w:spacing w:before="0" w:beforeAutospacing="0" w:after="0" w:afterAutospacing="0" w:line="288" w:lineRule="auto"/>
        <w:jc w:val="both"/>
        <w:textAlignment w:val="baseline"/>
        <w:rPr>
          <w:rFonts w:ascii="仿宋_GB2312" w:hAnsi="仿宋_GB2312" w:eastAsia="仿宋_GB2312" w:cs="仿宋_GB2312"/>
          <w:b/>
          <w:i w:val="0"/>
          <w:caps w:val="0"/>
          <w:spacing w:val="0"/>
          <w:w w:val="100"/>
          <w:sz w:val="24"/>
        </w:rPr>
      </w:pPr>
    </w:p>
    <w:p w14:paraId="544C5DCF">
      <w:pPr>
        <w:pStyle w:val="15"/>
        <w:tabs>
          <w:tab w:val="left" w:pos="5580"/>
        </w:tabs>
        <w:spacing w:line="240" w:lineRule="atLeast"/>
        <w:ind w:left="540"/>
        <w:rPr>
          <w:rFonts w:hint="eastAsia" w:ascii="仿宋_GB2312" w:hAnsi="宋体" w:eastAsia="仿宋_GB2312"/>
          <w:sz w:val="24"/>
        </w:rPr>
      </w:pPr>
      <w:r>
        <w:rPr>
          <w:rFonts w:hint="eastAsia" w:ascii="仿宋_GB2312" w:hAnsi="仿宋_GB2312" w:eastAsia="仿宋_GB2312" w:cs="仿宋_GB2312"/>
          <w:b w:val="0"/>
          <w:i w:val="0"/>
          <w:caps w:val="0"/>
          <w:spacing w:val="0"/>
          <w:w w:val="100"/>
          <w:sz w:val="24"/>
        </w:rPr>
        <w:t>说明：</w:t>
      </w:r>
      <w:r>
        <w:rPr>
          <w:rFonts w:hint="eastAsia" w:ascii="仿宋_GB2312" w:hAnsi="宋体" w:eastAsia="仿宋_GB2312"/>
          <w:sz w:val="24"/>
        </w:rPr>
        <w:t>说明：1.按照</w:t>
      </w:r>
      <w:r>
        <w:rPr>
          <w:rFonts w:hint="eastAsia" w:ascii="仿宋_GB2312" w:hAnsi="宋体" w:eastAsia="仿宋_GB2312"/>
          <w:sz w:val="24"/>
          <w:u w:val="single"/>
        </w:rPr>
        <w:t>投标人须知资料表</w:t>
      </w:r>
      <w:r>
        <w:rPr>
          <w:rFonts w:hint="eastAsia" w:ascii="仿宋_GB2312" w:hAnsi="宋体" w:eastAsia="仿宋_GB2312"/>
          <w:sz w:val="24"/>
        </w:rPr>
        <w:t>中的规定提供复印件。</w:t>
      </w:r>
    </w:p>
    <w:p w14:paraId="0DAFB92C">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2.复印件上应加盖本单位章。</w:t>
      </w:r>
    </w:p>
    <w:p w14:paraId="456A24AF">
      <w:pPr>
        <w:tabs>
          <w:tab w:val="left" w:pos="5580"/>
        </w:tabs>
        <w:spacing w:line="240" w:lineRule="atLeast"/>
        <w:ind w:left="1079" w:leftChars="257" w:hanging="540"/>
        <w:rPr>
          <w:rFonts w:ascii="Times New Roman" w:hAnsi="Times New Roman" w:eastAsia="宋体"/>
          <w:b w:val="0"/>
          <w:i w:val="0"/>
          <w:caps w:val="0"/>
          <w:spacing w:val="0"/>
          <w:w w:val="100"/>
          <w:sz w:val="18"/>
        </w:rPr>
      </w:pPr>
      <w:r>
        <w:rPr>
          <w:rFonts w:hint="eastAsia" w:ascii="仿宋_GB2312" w:hAnsi="宋体" w:eastAsia="仿宋_GB2312"/>
          <w:sz w:val="24"/>
        </w:rPr>
        <w:t xml:space="preserve">      3.</w:t>
      </w:r>
      <w:r>
        <w:rPr>
          <w:rFonts w:hint="eastAsia" w:ascii="仿宋_GB2312" w:eastAsia="仿宋_GB2312"/>
          <w:sz w:val="24"/>
        </w:rPr>
        <w:t>如果是联合体投标，联合体各方均需提供上述证明。</w:t>
      </w:r>
    </w:p>
    <w:p w14:paraId="09580D80">
      <w:pPr>
        <w:pStyle w:val="87"/>
        <w:ind w:left="0" w:leftChars="0" w:firstLine="0" w:firstLineChars="0"/>
      </w:pPr>
    </w:p>
    <w:p w14:paraId="799E233B">
      <w:pPr>
        <w:pStyle w:val="24"/>
      </w:pPr>
    </w:p>
    <w:p w14:paraId="507B3D36">
      <w:pPr>
        <w:pStyle w:val="4"/>
        <w:bidi w:val="0"/>
        <w:rPr>
          <w:rFonts w:hint="eastAsia" w:ascii="仿宋_GB2312" w:hAnsi="仿宋_GB2312" w:eastAsia="仿宋_GB2312" w:cs="仿宋_GB2312"/>
          <w:sz w:val="24"/>
          <w:szCs w:val="24"/>
          <w:lang w:val="en-US" w:eastAsia="zh-CN"/>
        </w:rPr>
      </w:pPr>
      <w:bookmarkStart w:id="776" w:name="_Toc6684"/>
      <w:bookmarkStart w:id="777" w:name="_Toc22265"/>
      <w:bookmarkStart w:id="778" w:name="_Toc29365"/>
      <w:bookmarkStart w:id="779" w:name="_Toc7767"/>
      <w:bookmarkStart w:id="780" w:name="_Toc20976"/>
      <w:bookmarkStart w:id="781" w:name="_Toc6321"/>
      <w:bookmarkStart w:id="782" w:name="_Toc28491"/>
      <w:bookmarkStart w:id="783" w:name="_Toc31547"/>
      <w:bookmarkStart w:id="784" w:name="_Toc26921"/>
      <w:bookmarkStart w:id="785" w:name="_Toc13105"/>
      <w:bookmarkStart w:id="786" w:name="_Toc3110"/>
      <w:bookmarkStart w:id="787" w:name="_Toc25337"/>
      <w:bookmarkStart w:id="788" w:name="_Toc2429"/>
      <w:bookmarkStart w:id="789" w:name="_Toc27936"/>
      <w:bookmarkStart w:id="790" w:name="_Toc23700"/>
      <w:bookmarkStart w:id="791" w:name="_Toc31615"/>
      <w:bookmarkStart w:id="792" w:name="_Toc15284"/>
      <w:bookmarkStart w:id="793" w:name="_Toc28908"/>
      <w:r>
        <w:rPr>
          <w:rFonts w:hint="eastAsia" w:ascii="仿宋_GB2312" w:hAnsi="仿宋_GB2312" w:eastAsia="仿宋_GB2312" w:cs="仿宋_GB2312"/>
          <w:sz w:val="24"/>
          <w:szCs w:val="24"/>
          <w:lang w:val="en-US" w:eastAsia="zh-CN"/>
        </w:rPr>
        <w:t>7 良好的商业信誉和健全的财务会计制度证明材料</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bookmarkEnd w:id="792"/>
    <w:bookmarkEnd w:id="793"/>
    <w:p w14:paraId="2EAD003F">
      <w:pPr>
        <w:tabs>
          <w:tab w:val="left" w:pos="5580"/>
        </w:tabs>
        <w:spacing w:line="240" w:lineRule="atLeast"/>
        <w:ind w:left="1079" w:leftChars="257" w:hanging="540"/>
        <w:rPr>
          <w:rFonts w:hint="eastAsia" w:ascii="仿宋_GB2312" w:eastAsia="仿宋_GB2312"/>
          <w:sz w:val="24"/>
        </w:rPr>
      </w:pPr>
      <w:r>
        <w:rPr>
          <w:rFonts w:hint="eastAsia" w:ascii="仿宋_GB2312" w:eastAsia="仿宋_GB2312"/>
          <w:sz w:val="24"/>
        </w:rPr>
        <w:t>说明：</w:t>
      </w:r>
    </w:p>
    <w:p w14:paraId="0642F35F">
      <w:pPr>
        <w:tabs>
          <w:tab w:val="left" w:pos="5580"/>
        </w:tabs>
        <w:spacing w:line="240" w:lineRule="atLeast"/>
        <w:ind w:left="540"/>
        <w:rPr>
          <w:rFonts w:hint="eastAsia" w:ascii="仿宋_GB2312" w:hAnsi="宋体" w:eastAsia="仿宋_GB2312"/>
          <w:bCs/>
          <w:sz w:val="24"/>
        </w:rPr>
      </w:pPr>
      <w:r>
        <w:rPr>
          <w:rFonts w:hint="eastAsia" w:ascii="仿宋_GB2312" w:eastAsia="仿宋_GB2312"/>
          <w:sz w:val="24"/>
        </w:rPr>
        <w:t>1、</w:t>
      </w:r>
      <w:r>
        <w:rPr>
          <w:rFonts w:hint="eastAsia" w:ascii="仿宋_GB2312" w:eastAsia="仿宋_GB2312"/>
          <w:sz w:val="24"/>
          <w:lang w:eastAsia="zh-CN"/>
        </w:rPr>
        <w:t>如</w:t>
      </w:r>
      <w:r>
        <w:rPr>
          <w:rFonts w:hint="eastAsia" w:ascii="仿宋_GB2312" w:eastAsia="仿宋_GB2312"/>
          <w:sz w:val="24"/>
        </w:rPr>
        <w:t>提供本单位上年度经会计师事务所出具的审计报告复印件须加盖</w:t>
      </w:r>
      <w:r>
        <w:rPr>
          <w:rFonts w:hint="eastAsia" w:ascii="仿宋_GB2312" w:hAnsi="宋体" w:eastAsia="仿宋_GB2312"/>
          <w:bCs/>
          <w:sz w:val="24"/>
        </w:rPr>
        <w:t>本单位</w:t>
      </w:r>
      <w:r>
        <w:rPr>
          <w:rFonts w:hint="eastAsia" w:ascii="仿宋_GB2312" w:eastAsia="仿宋_GB2312"/>
          <w:bCs/>
          <w:sz w:val="24"/>
        </w:rPr>
        <w:t>章。</w:t>
      </w:r>
    </w:p>
    <w:p w14:paraId="77118228">
      <w:pPr>
        <w:tabs>
          <w:tab w:val="left" w:pos="5580"/>
        </w:tabs>
        <w:spacing w:line="240" w:lineRule="atLeast"/>
        <w:ind w:left="540"/>
        <w:rPr>
          <w:rFonts w:hint="eastAsia" w:ascii="仿宋_GB2312" w:eastAsia="仿宋_GB2312"/>
          <w:sz w:val="24"/>
        </w:rPr>
      </w:pPr>
      <w:r>
        <w:rPr>
          <w:rFonts w:hint="eastAsia" w:ascii="仿宋_GB2312" w:eastAsia="仿宋_GB2312"/>
          <w:sz w:val="24"/>
        </w:rPr>
        <w:t>2、如提供</w:t>
      </w:r>
      <w:r>
        <w:rPr>
          <w:rFonts w:hint="eastAsia" w:ascii="仿宋_GB2312" w:hAnsi="宋体" w:eastAsia="仿宋_GB2312"/>
          <w:sz w:val="24"/>
        </w:rPr>
        <w:t>银行出具的证明文件。银行证明文件可提供原件，也可提供银行在开标日前三个月内开具证明文件的复印件。若提供的是复印件，招标采购单位保留审核原件的权利。</w:t>
      </w:r>
      <w:r>
        <w:rPr>
          <w:rFonts w:hint="eastAsia" w:ascii="仿宋_GB2312" w:eastAsia="仿宋_GB2312"/>
          <w:sz w:val="24"/>
        </w:rPr>
        <w:t>银行出具</w:t>
      </w:r>
      <w:r>
        <w:rPr>
          <w:rFonts w:ascii="仿宋_GB2312" w:eastAsia="仿宋_GB2312"/>
          <w:sz w:val="24"/>
        </w:rPr>
        <w:t>的</w:t>
      </w:r>
      <w:r>
        <w:rPr>
          <w:rFonts w:hint="eastAsia" w:ascii="仿宋_GB2312" w:eastAsia="仿宋_GB2312"/>
          <w:sz w:val="24"/>
        </w:rPr>
        <w:t>证明文件应能说明该投标人与银行之间业务往来正常，企业信誉良好等。</w:t>
      </w:r>
    </w:p>
    <w:p w14:paraId="05C7598A">
      <w:pPr>
        <w:tabs>
          <w:tab w:val="left" w:pos="5580"/>
        </w:tabs>
        <w:spacing w:line="240" w:lineRule="atLeast"/>
        <w:ind w:left="1079" w:leftChars="257" w:hanging="540"/>
        <w:rPr>
          <w:rFonts w:hint="eastAsia" w:ascii="仿宋_GB2312" w:eastAsia="仿宋_GB2312"/>
          <w:sz w:val="24"/>
        </w:rPr>
      </w:pPr>
      <w:r>
        <w:rPr>
          <w:rFonts w:ascii="仿宋_GB2312" w:eastAsia="仿宋_GB2312"/>
          <w:sz w:val="24"/>
        </w:rPr>
        <w:t>3</w:t>
      </w:r>
      <w:r>
        <w:rPr>
          <w:rFonts w:hint="eastAsia" w:ascii="仿宋_GB2312" w:eastAsia="仿宋_GB2312"/>
          <w:sz w:val="24"/>
        </w:rPr>
        <w:t>、如果是联合体投标，联合体各方均需提供上述证明。</w:t>
      </w:r>
    </w:p>
    <w:p w14:paraId="27764C25">
      <w:pPr>
        <w:pStyle w:val="10"/>
        <w:rPr>
          <w:rFonts w:hint="eastAsia"/>
          <w:lang w:val="en-US" w:eastAsia="zh-CN"/>
        </w:rPr>
      </w:pPr>
    </w:p>
    <w:p w14:paraId="33B30965">
      <w:pPr>
        <w:pStyle w:val="7"/>
        <w:rPr>
          <w:rFonts w:hint="eastAsia"/>
          <w:lang w:val="en-US" w:eastAsia="zh-CN"/>
        </w:rPr>
      </w:pPr>
    </w:p>
    <w:p w14:paraId="3D099DF8">
      <w:pPr>
        <w:pStyle w:val="4"/>
        <w:keepNext/>
        <w:keepLines/>
        <w:pageBreakBefore w:val="0"/>
        <w:widowControl w:val="0"/>
        <w:kinsoku/>
        <w:wordWrap/>
        <w:overflowPunct/>
        <w:topLinePunct w:val="0"/>
        <w:autoSpaceDE w:val="0"/>
        <w:autoSpaceDN w:val="0"/>
        <w:bidi w:val="0"/>
        <w:adjustRightInd w:val="0"/>
        <w:snapToGrid/>
        <w:spacing w:before="0" w:line="288" w:lineRule="auto"/>
        <w:jc w:val="center"/>
        <w:textAlignment w:val="auto"/>
        <w:rPr>
          <w:rFonts w:hint="eastAsia" w:ascii="仿宋_GB2312" w:hAnsi="仿宋_GB2312" w:eastAsia="仿宋_GB2312" w:cs="仿宋_GB2312"/>
          <w:b/>
          <w:sz w:val="24"/>
          <w:lang w:val="en-US" w:eastAsia="zh-CN"/>
        </w:rPr>
      </w:pPr>
      <w:bookmarkStart w:id="794" w:name="_Toc16690"/>
      <w:bookmarkStart w:id="795" w:name="_Toc28013"/>
      <w:bookmarkStart w:id="796" w:name="_Toc29429"/>
      <w:bookmarkStart w:id="797" w:name="_Toc30327"/>
      <w:bookmarkStart w:id="798" w:name="_Toc6051"/>
      <w:bookmarkStart w:id="799" w:name="_Toc11835"/>
      <w:bookmarkStart w:id="800" w:name="_Toc18809"/>
      <w:bookmarkStart w:id="801" w:name="_Toc22442"/>
      <w:bookmarkStart w:id="802" w:name="_Toc27458"/>
      <w:bookmarkStart w:id="803" w:name="_Toc13664"/>
      <w:bookmarkStart w:id="804" w:name="_Toc13883"/>
      <w:bookmarkStart w:id="805" w:name="_Toc49"/>
      <w:bookmarkStart w:id="806" w:name="_Toc12724"/>
      <w:bookmarkStart w:id="807" w:name="_Toc6213"/>
      <w:bookmarkStart w:id="808" w:name="_Toc21546"/>
      <w:bookmarkStart w:id="809" w:name="_Toc16284"/>
      <w:bookmarkStart w:id="810" w:name="_Toc22585"/>
      <w:bookmarkStart w:id="811" w:name="_Toc16318"/>
      <w:r>
        <w:rPr>
          <w:rFonts w:hint="eastAsia" w:ascii="仿宋_GB2312" w:hAnsi="仿宋_GB2312" w:eastAsia="仿宋_GB2312" w:cs="仿宋_GB2312"/>
          <w:b/>
          <w:sz w:val="24"/>
          <w:lang w:val="en-US" w:eastAsia="zh-CN"/>
        </w:rPr>
        <w:t>8 依法缴纳税收的证明</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4AB13D57">
      <w:pPr>
        <w:pStyle w:val="15"/>
        <w:tabs>
          <w:tab w:val="left" w:pos="5580"/>
        </w:tabs>
        <w:spacing w:line="240" w:lineRule="atLeast"/>
        <w:ind w:left="540"/>
        <w:rPr>
          <w:rFonts w:hint="eastAsia" w:ascii="仿宋_GB2312" w:hAnsi="宋体" w:eastAsia="仿宋_GB2312"/>
          <w:sz w:val="24"/>
        </w:rPr>
      </w:pPr>
      <w:r>
        <w:rPr>
          <w:rFonts w:hint="eastAsia" w:ascii="仿宋_GB2312" w:hAnsi="宋体" w:eastAsia="仿宋_GB2312"/>
          <w:sz w:val="24"/>
        </w:rPr>
        <w:t>说明：1.按照</w:t>
      </w:r>
      <w:r>
        <w:rPr>
          <w:rFonts w:hint="eastAsia" w:ascii="仿宋_GB2312" w:hAnsi="宋体" w:eastAsia="仿宋_GB2312"/>
          <w:sz w:val="24"/>
          <w:u w:val="single"/>
        </w:rPr>
        <w:t>投标人须知资料表</w:t>
      </w:r>
      <w:r>
        <w:rPr>
          <w:rFonts w:hint="eastAsia" w:ascii="仿宋_GB2312" w:hAnsi="宋体" w:eastAsia="仿宋_GB2312"/>
          <w:sz w:val="24"/>
        </w:rPr>
        <w:t>中的规定提供复印件。</w:t>
      </w:r>
    </w:p>
    <w:p w14:paraId="2A5A72B4">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2.复印件上应加盖本单位章。</w:t>
      </w:r>
    </w:p>
    <w:p w14:paraId="32CC1631">
      <w:pPr>
        <w:pStyle w:val="15"/>
        <w:tabs>
          <w:tab w:val="left" w:pos="5580"/>
        </w:tabs>
        <w:spacing w:line="288" w:lineRule="auto"/>
        <w:ind w:left="1079" w:leftChars="257" w:hanging="540"/>
        <w:rPr>
          <w:rFonts w:ascii="仿宋_GB2312" w:hAnsi="仿宋_GB2312" w:eastAsia="仿宋_GB2312" w:cs="仿宋_GB2312"/>
          <w:sz w:val="24"/>
        </w:rPr>
      </w:pPr>
      <w:r>
        <w:rPr>
          <w:rFonts w:hint="eastAsia" w:ascii="仿宋_GB2312" w:hAnsi="宋体" w:eastAsia="仿宋_GB2312"/>
          <w:sz w:val="24"/>
        </w:rPr>
        <w:t xml:space="preserve">      3.</w:t>
      </w:r>
      <w:r>
        <w:rPr>
          <w:rFonts w:hint="eastAsia" w:ascii="仿宋_GB2312" w:eastAsia="仿宋_GB2312"/>
          <w:sz w:val="24"/>
        </w:rPr>
        <w:t>如果是联合体投标，联合体各方均需提供上述证明。</w:t>
      </w:r>
    </w:p>
    <w:p w14:paraId="17DBB7B7">
      <w:pPr>
        <w:rPr>
          <w:rFonts w:hint="eastAsia"/>
          <w:lang w:val="en-US" w:eastAsia="zh-CN"/>
        </w:rPr>
      </w:pPr>
    </w:p>
    <w:p w14:paraId="5EC6CEC8">
      <w:pPr>
        <w:pStyle w:val="87"/>
        <w:rPr>
          <w:rFonts w:hint="eastAsia"/>
          <w:lang w:val="en-US" w:eastAsia="zh-CN"/>
        </w:rPr>
      </w:pPr>
    </w:p>
    <w:p w14:paraId="5E19D3B2">
      <w:pPr>
        <w:pStyle w:val="4"/>
        <w:keepNext/>
        <w:keepLines/>
        <w:pageBreakBefore w:val="0"/>
        <w:widowControl w:val="0"/>
        <w:kinsoku/>
        <w:wordWrap/>
        <w:overflowPunct/>
        <w:topLinePunct w:val="0"/>
        <w:autoSpaceDE w:val="0"/>
        <w:autoSpaceDN w:val="0"/>
        <w:bidi w:val="0"/>
        <w:adjustRightInd w:val="0"/>
        <w:snapToGrid/>
        <w:spacing w:before="0" w:line="288" w:lineRule="auto"/>
        <w:ind w:left="958" w:leftChars="228" w:hanging="480" w:hangingChars="200"/>
        <w:jc w:val="left"/>
        <w:textAlignment w:val="auto"/>
        <w:rPr>
          <w:rFonts w:hint="eastAsia" w:ascii="仿宋_GB2312" w:hAnsi="仿宋_GB2312" w:eastAsia="仿宋_GB2312" w:cs="仿宋_GB2312"/>
          <w:b/>
          <w:sz w:val="24"/>
          <w:lang w:val="en-US" w:eastAsia="zh-CN"/>
        </w:rPr>
      </w:pPr>
      <w:bookmarkStart w:id="812" w:name="_Toc16097"/>
      <w:bookmarkStart w:id="813" w:name="_Toc31910"/>
      <w:bookmarkStart w:id="814" w:name="_Toc10582"/>
      <w:bookmarkStart w:id="815" w:name="_Toc21065"/>
      <w:bookmarkStart w:id="816" w:name="_Toc24225"/>
      <w:bookmarkStart w:id="817" w:name="_Toc7086"/>
      <w:bookmarkStart w:id="818" w:name="_Toc27344"/>
      <w:bookmarkStart w:id="819" w:name="_Toc16005"/>
      <w:bookmarkStart w:id="820" w:name="_Toc9513"/>
      <w:bookmarkStart w:id="821" w:name="_Toc12156"/>
      <w:bookmarkStart w:id="822" w:name="_Toc27155"/>
      <w:r>
        <w:rPr>
          <w:rFonts w:hint="eastAsia" w:ascii="仿宋_GB2312" w:hAnsi="仿宋_GB2312" w:eastAsia="仿宋_GB2312" w:cs="仿宋_GB2312"/>
          <w:b/>
          <w:sz w:val="24"/>
          <w:lang w:val="en-US" w:eastAsia="zh-CN"/>
        </w:rPr>
        <w:t>9  参与政府采购活动前3年内未被列入失信、重大税收违法案件、财政部门禁止参加政府采购活动的承诺书及反商业受贿承诺</w:t>
      </w:r>
      <w:bookmarkEnd w:id="812"/>
      <w:bookmarkEnd w:id="813"/>
      <w:bookmarkEnd w:id="814"/>
      <w:bookmarkEnd w:id="815"/>
      <w:r>
        <w:rPr>
          <w:rFonts w:hint="eastAsia" w:ascii="仿宋_GB2312" w:hAnsi="仿宋_GB2312" w:eastAsia="仿宋_GB2312" w:cs="仿宋_GB2312"/>
          <w:b/>
          <w:sz w:val="24"/>
          <w:lang w:val="en-US" w:eastAsia="zh-CN"/>
        </w:rPr>
        <w:t>书</w:t>
      </w:r>
      <w:bookmarkEnd w:id="816"/>
      <w:bookmarkEnd w:id="817"/>
      <w:bookmarkEnd w:id="818"/>
      <w:bookmarkEnd w:id="819"/>
      <w:bookmarkEnd w:id="820"/>
      <w:bookmarkEnd w:id="821"/>
      <w:bookmarkEnd w:id="822"/>
    </w:p>
    <w:p w14:paraId="1BC3794E">
      <w:pPr>
        <w:pStyle w:val="34"/>
        <w:ind w:left="0" w:leftChars="0" w:firstLine="960" w:firstLineChars="400"/>
        <w:rPr>
          <w:rFonts w:hint="eastAsia"/>
          <w:lang w:val="en-US" w:eastAsia="zh-CN"/>
        </w:rPr>
      </w:pPr>
    </w:p>
    <w:p w14:paraId="5C4881C3">
      <w:pPr>
        <w:pStyle w:val="4"/>
        <w:keepNext/>
        <w:keepLines/>
        <w:pageBreakBefore w:val="0"/>
        <w:widowControl w:val="0"/>
        <w:kinsoku/>
        <w:wordWrap/>
        <w:overflowPunct/>
        <w:topLinePunct w:val="0"/>
        <w:autoSpaceDE w:val="0"/>
        <w:autoSpaceDN w:val="0"/>
        <w:bidi w:val="0"/>
        <w:adjustRightInd w:val="0"/>
        <w:snapToGrid/>
        <w:spacing w:before="0" w:line="288" w:lineRule="auto"/>
        <w:jc w:val="center"/>
        <w:textAlignment w:val="auto"/>
        <w:rPr>
          <w:rFonts w:hint="eastAsia" w:ascii="仿宋_GB2312" w:hAnsi="仿宋_GB2312" w:eastAsia="仿宋_GB2312" w:cs="仿宋_GB2312"/>
          <w:b/>
          <w:sz w:val="24"/>
          <w:lang w:val="en-US" w:eastAsia="zh-CN"/>
        </w:rPr>
      </w:pPr>
    </w:p>
    <w:p w14:paraId="58B0B51B">
      <w:pPr>
        <w:pStyle w:val="4"/>
        <w:keepNext/>
        <w:keepLines/>
        <w:pageBreakBefore w:val="0"/>
        <w:widowControl w:val="0"/>
        <w:kinsoku/>
        <w:wordWrap/>
        <w:overflowPunct/>
        <w:topLinePunct w:val="0"/>
        <w:autoSpaceDE w:val="0"/>
        <w:autoSpaceDN w:val="0"/>
        <w:bidi w:val="0"/>
        <w:adjustRightInd w:val="0"/>
        <w:snapToGrid/>
        <w:spacing w:before="0" w:line="288" w:lineRule="auto"/>
        <w:jc w:val="center"/>
        <w:textAlignment w:val="auto"/>
        <w:rPr>
          <w:rFonts w:hint="eastAsia" w:ascii="仿宋_GB2312" w:hAnsi="仿宋_GB2312" w:eastAsia="仿宋_GB2312" w:cs="仿宋_GB2312"/>
          <w:b/>
          <w:sz w:val="24"/>
          <w:lang w:val="en-US" w:eastAsia="zh-CN"/>
        </w:rPr>
      </w:pPr>
      <w:bookmarkStart w:id="823" w:name="_Toc31697"/>
      <w:bookmarkStart w:id="824" w:name="_Toc19805"/>
      <w:bookmarkStart w:id="825" w:name="_Toc16894"/>
      <w:bookmarkStart w:id="826" w:name="_Toc404"/>
      <w:bookmarkStart w:id="827" w:name="_Toc22235"/>
      <w:r>
        <w:rPr>
          <w:rFonts w:hint="eastAsia" w:ascii="仿宋_GB2312" w:hAnsi="仿宋_GB2312" w:eastAsia="仿宋_GB2312" w:cs="仿宋_GB2312"/>
          <w:b/>
          <w:sz w:val="24"/>
          <w:lang w:val="en-US" w:eastAsia="zh-CN"/>
        </w:rPr>
        <w:t>10   履行合同所必需的设备和专业技术能力的证明材料（提供承诺函）</w:t>
      </w:r>
      <w:bookmarkEnd w:id="823"/>
      <w:bookmarkEnd w:id="824"/>
      <w:bookmarkEnd w:id="825"/>
      <w:bookmarkEnd w:id="826"/>
      <w:bookmarkEnd w:id="827"/>
    </w:p>
    <w:p w14:paraId="4D76F833">
      <w:pPr>
        <w:pStyle w:val="4"/>
        <w:keepNext/>
        <w:keepLines/>
        <w:pageBreakBefore w:val="0"/>
        <w:widowControl w:val="0"/>
        <w:kinsoku/>
        <w:wordWrap/>
        <w:overflowPunct/>
        <w:topLinePunct w:val="0"/>
        <w:autoSpaceDE w:val="0"/>
        <w:autoSpaceDN w:val="0"/>
        <w:bidi w:val="0"/>
        <w:adjustRightInd w:val="0"/>
        <w:snapToGrid/>
        <w:spacing w:before="0" w:line="288" w:lineRule="auto"/>
        <w:jc w:val="center"/>
        <w:textAlignment w:val="auto"/>
      </w:pPr>
      <w:bookmarkStart w:id="828" w:name="_Toc11729"/>
      <w:bookmarkStart w:id="829" w:name="_Toc1717"/>
      <w:bookmarkStart w:id="830" w:name="_Toc32214"/>
      <w:bookmarkStart w:id="831" w:name="_Toc19358"/>
      <w:bookmarkStart w:id="832" w:name="_Toc3503"/>
      <w:r>
        <w:rPr>
          <w:rFonts w:hint="eastAsia" w:ascii="仿宋_GB2312" w:hAnsi="宋体" w:eastAsia="仿宋_GB2312" w:cs="Times New Roman"/>
          <w:b w:val="0"/>
          <w:kern w:val="2"/>
          <w:sz w:val="24"/>
          <w:szCs w:val="20"/>
          <w:lang w:val="en-US" w:eastAsia="zh-CN" w:bidi="ar-SA"/>
        </w:rPr>
        <w:t>（格式自拟）</w:t>
      </w:r>
      <w:bookmarkEnd w:id="828"/>
      <w:bookmarkEnd w:id="829"/>
      <w:bookmarkEnd w:id="830"/>
      <w:bookmarkEnd w:id="831"/>
      <w:bookmarkEnd w:id="832"/>
    </w:p>
    <w:p w14:paraId="69153CD2"/>
    <w:p w14:paraId="79A1F117">
      <w:pPr>
        <w:pStyle w:val="4"/>
        <w:keepNext/>
        <w:keepLines/>
        <w:pageBreakBefore w:val="0"/>
        <w:widowControl w:val="0"/>
        <w:kinsoku/>
        <w:wordWrap/>
        <w:overflowPunct/>
        <w:topLinePunct w:val="0"/>
        <w:autoSpaceDE w:val="0"/>
        <w:autoSpaceDN w:val="0"/>
        <w:bidi w:val="0"/>
        <w:adjustRightInd w:val="0"/>
        <w:snapToGrid/>
        <w:spacing w:before="0" w:line="288" w:lineRule="auto"/>
        <w:jc w:val="center"/>
        <w:textAlignment w:val="auto"/>
        <w:rPr>
          <w:rFonts w:hint="eastAsia" w:ascii="仿宋_GB2312" w:hAnsi="仿宋_GB2312" w:eastAsia="仿宋_GB2312" w:cs="仿宋_GB2312"/>
          <w:b/>
          <w:sz w:val="24"/>
          <w:lang w:val="en-US" w:eastAsia="zh-CN"/>
        </w:rPr>
      </w:pPr>
      <w:bookmarkStart w:id="833" w:name="_Toc11253"/>
      <w:bookmarkStart w:id="834" w:name="_Toc11396"/>
      <w:bookmarkStart w:id="835" w:name="_Toc29714"/>
      <w:bookmarkStart w:id="836" w:name="_Toc4689"/>
      <w:bookmarkStart w:id="837" w:name="_Toc755"/>
      <w:bookmarkStart w:id="838" w:name="_Toc29051"/>
      <w:bookmarkStart w:id="839" w:name="_Toc15586"/>
      <w:bookmarkStart w:id="840" w:name="_Toc11340"/>
      <w:bookmarkStart w:id="841" w:name="_Toc25801"/>
      <w:bookmarkStart w:id="842" w:name="_Toc22388"/>
      <w:bookmarkStart w:id="843" w:name="_Toc4680"/>
      <w:bookmarkStart w:id="844" w:name="_Toc21347"/>
      <w:bookmarkStart w:id="845" w:name="_Toc11464"/>
      <w:bookmarkStart w:id="846" w:name="_Toc3659"/>
      <w:bookmarkStart w:id="847" w:name="_Toc18306"/>
      <w:bookmarkStart w:id="848" w:name="_Toc12799"/>
      <w:bookmarkStart w:id="849" w:name="_Toc2815"/>
      <w:bookmarkStart w:id="850" w:name="_Toc2180"/>
      <w:r>
        <w:rPr>
          <w:rFonts w:hint="eastAsia" w:ascii="仿宋_GB2312" w:hAnsi="仿宋_GB2312" w:eastAsia="仿宋_GB2312" w:cs="仿宋_GB2312"/>
          <w:b/>
          <w:sz w:val="24"/>
          <w:lang w:val="en-US" w:eastAsia="zh-CN"/>
        </w:rPr>
        <w:t>11  投标人须知资料表要求的其他资格证明文件</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0835F924">
      <w:pPr>
        <w:pStyle w:val="15"/>
        <w:tabs>
          <w:tab w:val="left" w:pos="5580"/>
        </w:tabs>
        <w:spacing w:line="288" w:lineRule="auto"/>
        <w:ind w:left="1079" w:leftChars="257" w:hanging="540"/>
        <w:rPr>
          <w:rFonts w:hint="eastAsia" w:ascii="仿宋_GB2312" w:hAnsi="仿宋_GB2312" w:eastAsia="仿宋_GB2312" w:cs="仿宋_GB2312"/>
          <w:sz w:val="24"/>
        </w:rPr>
      </w:pPr>
    </w:p>
    <w:p w14:paraId="72782BD3">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说明：1.应提供</w:t>
      </w:r>
      <w:r>
        <w:rPr>
          <w:rFonts w:hint="eastAsia" w:ascii="仿宋_GB2312" w:hAnsi="宋体" w:eastAsia="仿宋_GB2312"/>
          <w:sz w:val="24"/>
          <w:u w:val="single"/>
        </w:rPr>
        <w:t>投标人须知资料表</w:t>
      </w:r>
      <w:r>
        <w:rPr>
          <w:rFonts w:hint="eastAsia" w:ascii="仿宋_GB2312" w:hAnsi="宋体" w:eastAsia="仿宋_GB2312"/>
          <w:sz w:val="24"/>
        </w:rPr>
        <w:t>要求的其他资格证明文件。</w:t>
      </w:r>
    </w:p>
    <w:p w14:paraId="045764A6">
      <w:pPr>
        <w:pStyle w:val="15"/>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2.复印件上应加盖本单位章（自然人投标的无需盖章，需要签字）。</w:t>
      </w:r>
    </w:p>
    <w:p w14:paraId="0009B203">
      <w:pPr>
        <w:pStyle w:val="15"/>
        <w:tabs>
          <w:tab w:val="left" w:pos="5580"/>
        </w:tabs>
        <w:spacing w:line="240" w:lineRule="atLeast"/>
        <w:ind w:left="1260" w:leftChars="344" w:hanging="538"/>
        <w:sectPr>
          <w:headerReference r:id="rId7" w:type="default"/>
          <w:footerReference r:id="rId8" w:type="default"/>
          <w:pgSz w:w="11906" w:h="16838"/>
          <w:pgMar w:top="1440" w:right="1797" w:bottom="1440" w:left="1797" w:header="851" w:footer="992" w:gutter="0"/>
          <w:pgNumType w:fmt="decimal"/>
          <w:cols w:space="720" w:num="1"/>
          <w:docGrid w:type="linesAndChars" w:linePitch="312" w:charSpace="0"/>
        </w:sectPr>
      </w:pPr>
      <w:r>
        <w:rPr>
          <w:rFonts w:hint="eastAsia" w:ascii="仿宋_GB2312" w:hAnsi="宋体" w:eastAsia="仿宋_GB2312"/>
          <w:sz w:val="24"/>
        </w:rPr>
        <w:t xml:space="preserve">     3.</w:t>
      </w:r>
      <w:r>
        <w:rPr>
          <w:rFonts w:hint="eastAsia" w:ascii="仿宋_GB2312" w:eastAsia="仿宋_GB2312"/>
          <w:sz w:val="24"/>
        </w:rPr>
        <w:t xml:space="preserve"> 如果是联合体投标，联合体各方需提供的满足招标文件要求的其他资格证明文件。</w:t>
      </w:r>
    </w:p>
    <w:p w14:paraId="30532233">
      <w:pPr>
        <w:pStyle w:val="15"/>
        <w:keepNext w:val="0"/>
        <w:keepLines w:val="0"/>
        <w:pageBreakBefore w:val="0"/>
        <w:widowControl w:val="0"/>
        <w:tabs>
          <w:tab w:val="left" w:pos="5580"/>
        </w:tabs>
        <w:kinsoku/>
        <w:wordWrap/>
        <w:overflowPunct/>
        <w:topLinePunct w:val="0"/>
        <w:autoSpaceDE/>
        <w:autoSpaceDN/>
        <w:bidi w:val="0"/>
        <w:adjustRightInd/>
        <w:snapToGrid w:val="0"/>
        <w:spacing w:before="0" w:beforeAutospacing="0" w:after="0" w:afterAutospacing="0" w:line="288" w:lineRule="auto"/>
        <w:jc w:val="center"/>
        <w:textAlignment w:val="baseline"/>
        <w:outlineLvl w:val="1"/>
        <w:rPr>
          <w:rFonts w:ascii="仿宋_GB2312" w:hAnsi="宋体" w:eastAsia="仿宋_GB2312" w:cs="Times New Roman"/>
          <w:b/>
          <w:i w:val="0"/>
          <w:caps w:val="0"/>
          <w:spacing w:val="0"/>
          <w:w w:val="100"/>
          <w:kern w:val="0"/>
          <w:sz w:val="24"/>
          <w:szCs w:val="20"/>
          <w:lang w:val="en-US" w:eastAsia="zh-CN" w:bidi="ar-SA"/>
        </w:rPr>
      </w:pPr>
      <w:bookmarkStart w:id="851" w:name="_Toc14404"/>
      <w:r>
        <w:rPr>
          <w:rFonts w:ascii="仿宋_GB2312" w:hAnsi="宋体" w:eastAsia="仿宋_GB2312" w:cs="Times New Roman"/>
          <w:b/>
          <w:i w:val="0"/>
          <w:caps w:val="0"/>
          <w:spacing w:val="0"/>
          <w:w w:val="100"/>
          <w:kern w:val="0"/>
          <w:sz w:val="24"/>
          <w:szCs w:val="20"/>
          <w:lang w:val="en-US" w:eastAsia="zh-CN" w:bidi="ar-SA"/>
        </w:rPr>
        <w:t>第</w:t>
      </w:r>
      <w:r>
        <w:rPr>
          <w:rFonts w:hint="eastAsia" w:ascii="仿宋_GB2312" w:hAnsi="宋体" w:eastAsia="仿宋_GB2312" w:cs="Times New Roman"/>
          <w:b/>
          <w:i w:val="0"/>
          <w:caps w:val="0"/>
          <w:spacing w:val="0"/>
          <w:w w:val="100"/>
          <w:kern w:val="0"/>
          <w:sz w:val="24"/>
          <w:szCs w:val="20"/>
          <w:lang w:val="en-US" w:eastAsia="zh-CN" w:bidi="ar-SA"/>
        </w:rPr>
        <w:t>二</w:t>
      </w:r>
      <w:r>
        <w:rPr>
          <w:rFonts w:ascii="仿宋_GB2312" w:hAnsi="宋体" w:eastAsia="仿宋_GB2312" w:cs="Times New Roman"/>
          <w:b/>
          <w:i w:val="0"/>
          <w:caps w:val="0"/>
          <w:spacing w:val="0"/>
          <w:w w:val="100"/>
          <w:kern w:val="0"/>
          <w:sz w:val="24"/>
          <w:szCs w:val="20"/>
          <w:lang w:val="en-US" w:eastAsia="zh-CN" w:bidi="ar-SA"/>
        </w:rPr>
        <w:t>部分</w:t>
      </w:r>
      <w:r>
        <w:rPr>
          <w:rFonts w:hint="eastAsia" w:ascii="仿宋_GB2312" w:hAnsi="宋体" w:eastAsia="仿宋_GB2312" w:cs="Times New Roman"/>
          <w:b/>
          <w:i w:val="0"/>
          <w:caps w:val="0"/>
          <w:spacing w:val="0"/>
          <w:w w:val="100"/>
          <w:kern w:val="0"/>
          <w:sz w:val="24"/>
          <w:szCs w:val="20"/>
          <w:lang w:val="en-US" w:eastAsia="zh-CN" w:bidi="ar-SA"/>
        </w:rPr>
        <w:t xml:space="preserve"> 商务及技术文件</w:t>
      </w:r>
      <w:bookmarkEnd w:id="851"/>
    </w:p>
    <w:p w14:paraId="51C1B575">
      <w:pPr>
        <w:pStyle w:val="24"/>
        <w:snapToGrid w:val="0"/>
        <w:spacing w:before="0" w:beforeAutospacing="0" w:after="0" w:afterAutospacing="0" w:line="240" w:lineRule="auto"/>
        <w:jc w:val="left"/>
        <w:textAlignment w:val="baseline"/>
        <w:rPr>
          <w:rFonts w:ascii="仿宋" w:hAnsi="仿宋" w:eastAsia="仿宋" w:cs="仿宋"/>
          <w:b w:val="0"/>
          <w:i w:val="0"/>
          <w:caps w:val="0"/>
          <w:spacing w:val="0"/>
          <w:w w:val="100"/>
          <w:sz w:val="24"/>
        </w:rPr>
      </w:pPr>
    </w:p>
    <w:p w14:paraId="4EB35AB2">
      <w:pPr>
        <w:pStyle w:val="15"/>
        <w:snapToGrid w:val="0"/>
        <w:spacing w:before="0" w:beforeAutospacing="0" w:after="0" w:afterAutospacing="0" w:line="288" w:lineRule="auto"/>
        <w:ind w:left="1080" w:leftChars="257" w:hanging="540"/>
        <w:jc w:val="left"/>
        <w:textAlignment w:val="baseline"/>
        <w:rPr>
          <w:rFonts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rPr>
        <w:t>1、投标书</w:t>
      </w:r>
    </w:p>
    <w:p w14:paraId="0B385965">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2</w:t>
      </w:r>
      <w:r>
        <w:rPr>
          <w:rFonts w:hint="eastAsia" w:ascii="仿宋" w:hAnsi="仿宋" w:eastAsia="仿宋" w:cs="仿宋"/>
          <w:b w:val="0"/>
          <w:i w:val="0"/>
          <w:caps w:val="0"/>
          <w:spacing w:val="0"/>
          <w:w w:val="100"/>
          <w:sz w:val="24"/>
          <w:szCs w:val="24"/>
        </w:rPr>
        <w:t>、</w:t>
      </w:r>
      <w:r>
        <w:rPr>
          <w:rFonts w:hint="eastAsia" w:ascii="仿宋" w:hAnsi="仿宋" w:eastAsia="仿宋" w:cs="仿宋"/>
          <w:b w:val="0"/>
          <w:i w:val="0"/>
          <w:caps w:val="0"/>
          <w:spacing w:val="0"/>
          <w:w w:val="100"/>
          <w:sz w:val="24"/>
          <w:szCs w:val="24"/>
          <w:lang w:val="en-US" w:eastAsia="zh-CN"/>
        </w:rPr>
        <w:t>服务需求偏离表</w:t>
      </w:r>
    </w:p>
    <w:p w14:paraId="73F555AD">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3</w:t>
      </w:r>
      <w:r>
        <w:rPr>
          <w:rFonts w:hint="eastAsia" w:ascii="仿宋" w:hAnsi="仿宋" w:eastAsia="仿宋" w:cs="仿宋"/>
          <w:b w:val="0"/>
          <w:i w:val="0"/>
          <w:caps w:val="0"/>
          <w:spacing w:val="0"/>
          <w:w w:val="100"/>
          <w:sz w:val="24"/>
          <w:szCs w:val="24"/>
        </w:rPr>
        <w:t>、商务条款偏离表</w:t>
      </w:r>
    </w:p>
    <w:p w14:paraId="70B522C2">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4</w:t>
      </w:r>
      <w:r>
        <w:rPr>
          <w:rFonts w:hint="eastAsia" w:ascii="仿宋" w:hAnsi="仿宋" w:eastAsia="仿宋" w:cs="仿宋"/>
          <w:b w:val="0"/>
          <w:i w:val="0"/>
          <w:caps w:val="0"/>
          <w:spacing w:val="0"/>
          <w:w w:val="100"/>
          <w:sz w:val="24"/>
          <w:szCs w:val="24"/>
        </w:rPr>
        <w:t>、</w:t>
      </w:r>
      <w:r>
        <w:rPr>
          <w:rFonts w:hint="eastAsia" w:ascii="仿宋" w:hAnsi="仿宋" w:eastAsia="仿宋" w:cs="仿宋"/>
          <w:b w:val="0"/>
          <w:i w:val="0"/>
          <w:caps w:val="0"/>
          <w:spacing w:val="0"/>
          <w:w w:val="100"/>
          <w:sz w:val="24"/>
          <w:szCs w:val="24"/>
          <w:lang w:val="en-US" w:eastAsia="zh-CN"/>
        </w:rPr>
        <w:t>项目负责人及实施团队人员名单简历表</w:t>
      </w:r>
    </w:p>
    <w:p w14:paraId="386C9774">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highlight w:val="none"/>
        </w:rPr>
      </w:pPr>
      <w:r>
        <w:rPr>
          <w:rFonts w:hint="eastAsia" w:ascii="仿宋" w:hAnsi="仿宋" w:eastAsia="仿宋" w:cs="仿宋"/>
          <w:b w:val="0"/>
          <w:i w:val="0"/>
          <w:caps w:val="0"/>
          <w:spacing w:val="0"/>
          <w:w w:val="100"/>
          <w:sz w:val="24"/>
          <w:szCs w:val="24"/>
          <w:highlight w:val="none"/>
          <w:lang w:val="en-US" w:eastAsia="zh-CN"/>
        </w:rPr>
        <w:t>5</w:t>
      </w:r>
      <w:r>
        <w:rPr>
          <w:rFonts w:hint="eastAsia" w:ascii="仿宋" w:hAnsi="仿宋" w:eastAsia="仿宋" w:cs="仿宋"/>
          <w:b w:val="0"/>
          <w:i w:val="0"/>
          <w:caps w:val="0"/>
          <w:spacing w:val="0"/>
          <w:w w:val="100"/>
          <w:sz w:val="24"/>
          <w:szCs w:val="24"/>
          <w:highlight w:val="none"/>
        </w:rPr>
        <w:t>-1《</w:t>
      </w:r>
      <w:r>
        <w:rPr>
          <w:rFonts w:hint="eastAsia" w:ascii="仿宋" w:hAnsi="仿宋" w:eastAsia="仿宋" w:cs="仿宋"/>
          <w:i w:val="0"/>
          <w:iCs w:val="0"/>
          <w:caps w:val="0"/>
          <w:color w:val="000000"/>
          <w:spacing w:val="0"/>
          <w:sz w:val="24"/>
          <w:szCs w:val="24"/>
          <w:highlight w:val="none"/>
          <w:u w:val="none"/>
        </w:rPr>
        <w:t>中小企业声明函</w:t>
      </w:r>
      <w:r>
        <w:rPr>
          <w:rFonts w:hint="eastAsia" w:ascii="仿宋" w:hAnsi="仿宋" w:eastAsia="仿宋" w:cs="仿宋"/>
          <w:b w:val="0"/>
          <w:i w:val="0"/>
          <w:caps w:val="0"/>
          <w:spacing w:val="0"/>
          <w:w w:val="100"/>
          <w:sz w:val="24"/>
          <w:szCs w:val="24"/>
          <w:highlight w:val="none"/>
        </w:rPr>
        <w:t>》</w:t>
      </w:r>
    </w:p>
    <w:p w14:paraId="3E6678E5">
      <w:pPr>
        <w:pStyle w:val="15"/>
        <w:snapToGrid w:val="0"/>
        <w:spacing w:before="0" w:beforeAutospacing="0" w:after="0" w:afterAutospacing="0" w:line="288" w:lineRule="auto"/>
        <w:ind w:left="1080" w:leftChars="257" w:hanging="540"/>
        <w:jc w:val="left"/>
        <w:textAlignment w:val="baseline"/>
        <w:rPr>
          <w:rFonts w:ascii="仿宋" w:hAnsi="仿宋" w:eastAsia="仿宋" w:cs="仿宋"/>
          <w:b w:val="0"/>
          <w:i w:val="0"/>
          <w:caps w:val="0"/>
          <w:spacing w:val="0"/>
          <w:w w:val="100"/>
          <w:sz w:val="24"/>
          <w:szCs w:val="24"/>
          <w:highlight w:val="none"/>
        </w:rPr>
      </w:pPr>
      <w:r>
        <w:rPr>
          <w:rFonts w:hint="eastAsia" w:ascii="仿宋" w:hAnsi="仿宋" w:eastAsia="仿宋" w:cs="仿宋"/>
          <w:b w:val="0"/>
          <w:i w:val="0"/>
          <w:caps w:val="0"/>
          <w:spacing w:val="0"/>
          <w:w w:val="100"/>
          <w:sz w:val="24"/>
          <w:szCs w:val="24"/>
          <w:highlight w:val="none"/>
          <w:lang w:val="en-US" w:eastAsia="zh-CN"/>
        </w:rPr>
        <w:t>5</w:t>
      </w:r>
      <w:r>
        <w:rPr>
          <w:rFonts w:hint="eastAsia" w:ascii="仿宋" w:hAnsi="仿宋" w:eastAsia="仿宋" w:cs="仿宋"/>
          <w:b w:val="0"/>
          <w:i w:val="0"/>
          <w:caps w:val="0"/>
          <w:spacing w:val="0"/>
          <w:w w:val="100"/>
          <w:sz w:val="24"/>
          <w:szCs w:val="24"/>
          <w:highlight w:val="none"/>
        </w:rPr>
        <w:t>-2《残疾人福利性单位声明函》</w:t>
      </w:r>
    </w:p>
    <w:p w14:paraId="728C81D6">
      <w:pPr>
        <w:pStyle w:val="15"/>
        <w:snapToGrid w:val="0"/>
        <w:spacing w:before="0" w:beforeAutospacing="0" w:after="0" w:afterAutospacing="0" w:line="288" w:lineRule="auto"/>
        <w:ind w:left="1080" w:leftChars="257" w:hanging="540"/>
        <w:jc w:val="left"/>
        <w:textAlignment w:val="baseline"/>
        <w:rPr>
          <w:rFonts w:ascii="仿宋" w:hAnsi="仿宋" w:eastAsia="仿宋" w:cs="仿宋"/>
          <w:b w:val="0"/>
          <w:i w:val="0"/>
          <w:caps w:val="0"/>
          <w:spacing w:val="0"/>
          <w:w w:val="100"/>
          <w:sz w:val="24"/>
          <w:szCs w:val="24"/>
          <w:highlight w:val="none"/>
        </w:rPr>
      </w:pPr>
      <w:r>
        <w:rPr>
          <w:rFonts w:hint="eastAsia" w:ascii="仿宋" w:hAnsi="仿宋" w:eastAsia="仿宋" w:cs="仿宋"/>
          <w:b w:val="0"/>
          <w:i w:val="0"/>
          <w:caps w:val="0"/>
          <w:spacing w:val="0"/>
          <w:w w:val="100"/>
          <w:sz w:val="24"/>
          <w:szCs w:val="24"/>
          <w:highlight w:val="none"/>
          <w:lang w:val="en-US" w:eastAsia="zh-CN"/>
        </w:rPr>
        <w:t>5</w:t>
      </w:r>
      <w:r>
        <w:rPr>
          <w:rFonts w:hint="eastAsia" w:ascii="仿宋" w:hAnsi="仿宋" w:eastAsia="仿宋" w:cs="仿宋"/>
          <w:b w:val="0"/>
          <w:i w:val="0"/>
          <w:caps w:val="0"/>
          <w:spacing w:val="0"/>
          <w:w w:val="100"/>
          <w:sz w:val="24"/>
          <w:szCs w:val="24"/>
          <w:highlight w:val="none"/>
        </w:rPr>
        <w:t>-3《</w:t>
      </w:r>
      <w:r>
        <w:rPr>
          <w:rFonts w:hint="eastAsia" w:ascii="仿宋" w:hAnsi="仿宋" w:eastAsia="仿宋" w:cs="仿宋"/>
          <w:b w:val="0"/>
          <w:i w:val="0"/>
          <w:caps w:val="0"/>
          <w:spacing w:val="0"/>
          <w:w w:val="100"/>
          <w:sz w:val="24"/>
          <w:szCs w:val="24"/>
          <w:highlight w:val="none"/>
          <w:lang w:val="en-US" w:eastAsia="zh-CN"/>
        </w:rPr>
        <w:t>监狱企业适用</w:t>
      </w:r>
      <w:r>
        <w:rPr>
          <w:rFonts w:hint="eastAsia" w:ascii="仿宋" w:hAnsi="仿宋" w:eastAsia="仿宋" w:cs="仿宋"/>
          <w:b w:val="0"/>
          <w:i w:val="0"/>
          <w:caps w:val="0"/>
          <w:spacing w:val="0"/>
          <w:w w:val="100"/>
          <w:sz w:val="24"/>
          <w:szCs w:val="24"/>
          <w:highlight w:val="none"/>
        </w:rPr>
        <w:t>》</w:t>
      </w:r>
    </w:p>
    <w:p w14:paraId="22133D34">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6、投标文件还应包括第五章、综合评分表的所有技术文件</w:t>
      </w:r>
    </w:p>
    <w:p w14:paraId="26A41368">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7、供应商关联单位的说明</w:t>
      </w:r>
    </w:p>
    <w:p w14:paraId="0BF4BB09">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8、其他有利于供应商的文件或证明材料</w:t>
      </w:r>
    </w:p>
    <w:p w14:paraId="4434724C">
      <w:pPr>
        <w:pStyle w:val="15"/>
        <w:snapToGrid w:val="0"/>
        <w:spacing w:before="0" w:beforeAutospacing="0" w:after="0" w:afterAutospacing="0" w:line="288" w:lineRule="auto"/>
        <w:ind w:left="1080" w:leftChars="257" w:hanging="540"/>
        <w:jc w:val="left"/>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9、对本项目投标文件中资料真实性的承诺</w:t>
      </w:r>
    </w:p>
    <w:p w14:paraId="4BE2954E">
      <w:pPr>
        <w:pStyle w:val="15"/>
        <w:snapToGrid w:val="0"/>
        <w:spacing w:before="0" w:beforeAutospacing="0" w:after="0" w:afterAutospacing="0" w:line="240" w:lineRule="auto"/>
        <w:jc w:val="both"/>
        <w:textAlignment w:val="baseline"/>
        <w:rPr>
          <w:rFonts w:ascii="仿宋" w:hAnsi="仿宋" w:eastAsia="仿宋" w:cs="仿宋"/>
          <w:b w:val="0"/>
          <w:i w:val="0"/>
          <w:caps w:val="0"/>
          <w:spacing w:val="0"/>
          <w:w w:val="100"/>
          <w:sz w:val="24"/>
          <w:szCs w:val="24"/>
          <w:highlight w:val="yellow"/>
        </w:rPr>
      </w:pPr>
    </w:p>
    <w:p w14:paraId="7096C505">
      <w:pPr>
        <w:pStyle w:val="15"/>
        <w:snapToGrid w:val="0"/>
        <w:spacing w:before="0" w:beforeAutospacing="0" w:after="0" w:afterAutospacing="0" w:line="288" w:lineRule="auto"/>
        <w:ind w:left="1080" w:leftChars="257" w:hanging="540"/>
        <w:jc w:val="left"/>
        <w:textAlignment w:val="baseline"/>
        <w:rPr>
          <w:rFonts w:ascii="仿宋_GB2312" w:hAnsi="仿宋_GB2312" w:eastAsia="仿宋_GB2312" w:cs="仿宋_GB2312"/>
          <w:b w:val="0"/>
          <w:i w:val="0"/>
          <w:caps w:val="0"/>
          <w:spacing w:val="0"/>
          <w:w w:val="100"/>
          <w:sz w:val="28"/>
          <w:szCs w:val="28"/>
        </w:rPr>
      </w:pPr>
    </w:p>
    <w:p w14:paraId="49874DE4">
      <w:pPr>
        <w:pStyle w:val="15"/>
        <w:snapToGrid w:val="0"/>
        <w:spacing w:before="0" w:beforeAutospacing="0" w:after="0" w:afterAutospacing="0" w:line="288" w:lineRule="auto"/>
        <w:ind w:left="1080" w:leftChars="257" w:hanging="540"/>
        <w:jc w:val="left"/>
        <w:textAlignment w:val="baseline"/>
        <w:rPr>
          <w:rFonts w:ascii="仿宋_GB2312" w:hAnsi="仿宋_GB2312" w:eastAsia="仿宋_GB2312" w:cs="仿宋_GB2312"/>
          <w:b w:val="0"/>
          <w:i w:val="0"/>
          <w:caps w:val="0"/>
          <w:spacing w:val="0"/>
          <w:w w:val="100"/>
          <w:sz w:val="28"/>
          <w:szCs w:val="28"/>
        </w:rPr>
      </w:pPr>
    </w:p>
    <w:p w14:paraId="72FB7F11">
      <w:pPr>
        <w:pStyle w:val="4"/>
        <w:snapToGrid w:val="0"/>
        <w:spacing w:before="0" w:beforeAutospacing="0" w:after="0" w:afterAutospacing="0" w:line="240" w:lineRule="atLeast"/>
        <w:ind w:left="1080" w:leftChars="257" w:hanging="540"/>
        <w:jc w:val="center"/>
        <w:textAlignment w:val="baseline"/>
        <w:rPr>
          <w:rFonts w:ascii="楷体" w:hAnsi="楷体" w:eastAsia="楷体" w:cs="楷体"/>
          <w:b/>
          <w:i w:val="0"/>
          <w:caps w:val="0"/>
          <w:color w:val="000000"/>
          <w:spacing w:val="0"/>
          <w:w w:val="100"/>
          <w:sz w:val="24"/>
        </w:rPr>
      </w:pPr>
      <w:bookmarkStart w:id="852" w:name="_Toc2041"/>
      <w:bookmarkStart w:id="853" w:name="_Toc14915"/>
      <w:bookmarkStart w:id="854" w:name="_Toc20897"/>
      <w:bookmarkStart w:id="855" w:name="_Toc28445"/>
      <w:bookmarkStart w:id="856" w:name="_Toc515647809"/>
      <w:bookmarkStart w:id="857" w:name="_Toc31238"/>
      <w:bookmarkStart w:id="858" w:name="_Toc11047"/>
      <w:bookmarkStart w:id="859" w:name="_Toc39671748"/>
      <w:bookmarkStart w:id="860" w:name="_Toc515647818"/>
      <w:bookmarkStart w:id="861" w:name="_Toc216582815"/>
      <w:bookmarkStart w:id="862" w:name="_Toc515647817"/>
      <w:bookmarkStart w:id="863" w:name="_Toc1881"/>
      <w:bookmarkStart w:id="864" w:name="_Toc10388"/>
    </w:p>
    <w:p w14:paraId="28695C34">
      <w:pPr>
        <w:snapToGrid w:val="0"/>
        <w:spacing w:before="0" w:beforeAutospacing="0" w:after="0" w:afterAutospacing="0" w:line="240" w:lineRule="auto"/>
        <w:jc w:val="both"/>
        <w:textAlignment w:val="baseline"/>
        <w:rPr>
          <w:rFonts w:ascii="楷体" w:hAnsi="楷体" w:eastAsia="楷体" w:cs="楷体"/>
          <w:b w:val="0"/>
          <w:i w:val="0"/>
          <w:caps w:val="0"/>
          <w:color w:val="000000"/>
          <w:spacing w:val="0"/>
          <w:w w:val="100"/>
          <w:sz w:val="24"/>
        </w:rPr>
      </w:pPr>
    </w:p>
    <w:p w14:paraId="27FCE613">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679ADC38">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2465BDFB">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1C9DFC5F">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4DBA3F61">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3CF813A7">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69CD48D3">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20CC6355">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50826569">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06AFD093">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06C3B3D0">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1C523761">
      <w:pPr>
        <w:pStyle w:val="10"/>
        <w:rPr>
          <w:rFonts w:ascii="楷体" w:hAnsi="楷体" w:eastAsia="楷体" w:cs="楷体"/>
          <w:b w:val="0"/>
          <w:i w:val="0"/>
          <w:caps w:val="0"/>
          <w:color w:val="000000"/>
          <w:spacing w:val="0"/>
          <w:w w:val="100"/>
          <w:sz w:val="24"/>
        </w:rPr>
      </w:pPr>
    </w:p>
    <w:p w14:paraId="0F3AFDB4">
      <w:pPr>
        <w:pStyle w:val="34"/>
      </w:pPr>
    </w:p>
    <w:p w14:paraId="5DDEC859">
      <w:pPr>
        <w:pStyle w:val="24"/>
        <w:snapToGrid w:val="0"/>
        <w:spacing w:before="0" w:beforeAutospacing="0" w:after="0" w:afterAutospacing="0" w:line="240" w:lineRule="auto"/>
        <w:jc w:val="left"/>
        <w:textAlignment w:val="baseline"/>
        <w:rPr>
          <w:rFonts w:ascii="楷体" w:hAnsi="楷体" w:eastAsia="楷体" w:cs="楷体"/>
          <w:b w:val="0"/>
          <w:i w:val="0"/>
          <w:caps w:val="0"/>
          <w:color w:val="000000"/>
          <w:spacing w:val="0"/>
          <w:w w:val="100"/>
          <w:sz w:val="24"/>
        </w:rPr>
      </w:pPr>
    </w:p>
    <w:p w14:paraId="10D3A6B0">
      <w:pPr>
        <w:pStyle w:val="10"/>
        <w:rPr>
          <w:rFonts w:ascii="楷体" w:hAnsi="楷体" w:eastAsia="楷体" w:cs="楷体"/>
          <w:b w:val="0"/>
          <w:i w:val="0"/>
          <w:caps w:val="0"/>
          <w:color w:val="000000"/>
          <w:spacing w:val="0"/>
          <w:w w:val="100"/>
          <w:sz w:val="24"/>
        </w:rPr>
      </w:pPr>
    </w:p>
    <w:p w14:paraId="48F0F1BE">
      <w:pPr>
        <w:rPr>
          <w:rFonts w:ascii="楷体" w:hAnsi="楷体" w:eastAsia="楷体" w:cs="楷体"/>
          <w:b w:val="0"/>
          <w:i w:val="0"/>
          <w:caps w:val="0"/>
          <w:color w:val="000000"/>
          <w:spacing w:val="0"/>
          <w:w w:val="100"/>
          <w:sz w:val="24"/>
        </w:rPr>
      </w:pPr>
    </w:p>
    <w:p w14:paraId="7E91DE1F">
      <w:pPr>
        <w:pStyle w:val="6"/>
      </w:pPr>
    </w:p>
    <w:p w14:paraId="49CBB94A">
      <w:pPr>
        <w:pStyle w:val="4"/>
        <w:snapToGrid w:val="0"/>
        <w:spacing w:before="0" w:beforeAutospacing="0" w:after="0" w:afterAutospacing="0" w:line="240" w:lineRule="atLeast"/>
        <w:jc w:val="both"/>
        <w:textAlignment w:val="baseline"/>
        <w:rPr>
          <w:rFonts w:ascii="仿宋" w:hAnsi="仿宋" w:eastAsia="仿宋" w:cs="仿宋"/>
          <w:b/>
          <w:i w:val="0"/>
          <w:caps w:val="0"/>
          <w:color w:val="000000"/>
          <w:spacing w:val="0"/>
          <w:w w:val="100"/>
          <w:sz w:val="24"/>
        </w:rPr>
      </w:pPr>
    </w:p>
    <w:p w14:paraId="21F059F6"/>
    <w:p w14:paraId="1926F2B9"/>
    <w:bookmarkEnd w:id="852"/>
    <w:bookmarkEnd w:id="853"/>
    <w:bookmarkEnd w:id="854"/>
    <w:bookmarkEnd w:id="855"/>
    <w:bookmarkEnd w:id="856"/>
    <w:bookmarkEnd w:id="857"/>
    <w:bookmarkEnd w:id="858"/>
    <w:bookmarkEnd w:id="859"/>
    <w:bookmarkEnd w:id="860"/>
    <w:bookmarkEnd w:id="861"/>
    <w:bookmarkEnd w:id="862"/>
    <w:bookmarkEnd w:id="863"/>
    <w:bookmarkEnd w:id="864"/>
    <w:p w14:paraId="64BB1D9C">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hint="eastAsia" w:ascii="仿宋_GB2312" w:hAnsi="仿宋_GB2312" w:eastAsia="仿宋_GB2312" w:cs="仿宋_GB2312"/>
          <w:b/>
          <w:i w:val="0"/>
          <w:caps w:val="0"/>
          <w:spacing w:val="0"/>
          <w:w w:val="100"/>
          <w:sz w:val="24"/>
          <w:u w:val="none"/>
        </w:rPr>
      </w:pPr>
      <w:bookmarkStart w:id="865" w:name="_Toc17635"/>
      <w:bookmarkStart w:id="866" w:name="_Toc3618"/>
      <w:bookmarkStart w:id="867" w:name="_Toc25213"/>
      <w:bookmarkStart w:id="868" w:name="_Toc31638"/>
      <w:bookmarkStart w:id="869" w:name="_Toc24743"/>
      <w:bookmarkStart w:id="870" w:name="_Toc31410"/>
      <w:bookmarkStart w:id="871" w:name="_Toc14062"/>
      <w:bookmarkStart w:id="872" w:name="_Toc21159"/>
    </w:p>
    <w:p w14:paraId="1F38B25E">
      <w:pPr>
        <w:pStyle w:val="4"/>
        <w:keepNext/>
        <w:keepLines/>
        <w:pageBreakBefore w:val="0"/>
        <w:widowControl w:val="0"/>
        <w:kinsoku/>
        <w:wordWrap/>
        <w:overflowPunct/>
        <w:topLinePunct w:val="0"/>
        <w:autoSpaceDE w:val="0"/>
        <w:autoSpaceDN w:val="0"/>
        <w:bidi w:val="0"/>
        <w:adjustRightInd w:val="0"/>
        <w:snapToGrid/>
        <w:spacing w:before="0" w:line="288" w:lineRule="auto"/>
        <w:jc w:val="center"/>
        <w:textAlignment w:val="auto"/>
        <w:rPr>
          <w:rFonts w:ascii="仿宋_GB2312" w:hAnsi="仿宋_GB2312" w:eastAsia="仿宋_GB2312" w:cs="仿宋_GB2312"/>
          <w:b w:val="0"/>
          <w:i w:val="0"/>
          <w:caps w:val="0"/>
          <w:spacing w:val="0"/>
          <w:w w:val="100"/>
          <w:sz w:val="32"/>
          <w:szCs w:val="32"/>
        </w:rPr>
      </w:pPr>
      <w:bookmarkStart w:id="873" w:name="_Toc18920"/>
      <w:r>
        <w:rPr>
          <w:rFonts w:hint="eastAsia" w:ascii="仿宋_GB2312" w:hAnsi="仿宋_GB2312" w:eastAsia="仿宋_GB2312" w:cs="仿宋_GB2312"/>
          <w:b/>
          <w:sz w:val="24"/>
          <w:lang w:val="en-US" w:eastAsia="zh-CN"/>
        </w:rPr>
        <w:t>1  投标书</w:t>
      </w:r>
      <w:bookmarkEnd w:id="865"/>
      <w:bookmarkEnd w:id="866"/>
      <w:bookmarkEnd w:id="867"/>
      <w:bookmarkEnd w:id="868"/>
      <w:bookmarkEnd w:id="869"/>
      <w:bookmarkEnd w:id="870"/>
      <w:bookmarkEnd w:id="871"/>
      <w:bookmarkEnd w:id="872"/>
      <w:bookmarkEnd w:id="873"/>
    </w:p>
    <w:p w14:paraId="56866343">
      <w:pPr>
        <w:tabs>
          <w:tab w:val="left" w:pos="5580"/>
        </w:tabs>
        <w:snapToGrid w:val="0"/>
        <w:spacing w:before="0" w:beforeAutospacing="0" w:after="0" w:afterAutospacing="0" w:line="320" w:lineRule="exact"/>
        <w:ind w:left="1080" w:hanging="108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致：</w:t>
      </w:r>
      <w:r>
        <w:rPr>
          <w:rFonts w:hint="eastAsia" w:ascii="仿宋" w:hAnsi="仿宋" w:eastAsia="仿宋" w:cs="仿宋"/>
          <w:b w:val="0"/>
          <w:i w:val="0"/>
          <w:caps w:val="0"/>
          <w:color w:val="000000"/>
          <w:spacing w:val="0"/>
          <w:w w:val="100"/>
          <w:sz w:val="24"/>
          <w:u w:val="single" w:color="000000"/>
        </w:rPr>
        <w:t xml:space="preserve"> （采购人名称）</w:t>
      </w:r>
    </w:p>
    <w:p w14:paraId="1D952A79">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p>
    <w:p w14:paraId="4D4DD3BF">
      <w:pPr>
        <w:pStyle w:val="15"/>
        <w:tabs>
          <w:tab w:val="left" w:pos="720"/>
          <w:tab w:val="left" w:pos="900"/>
        </w:tabs>
        <w:snapToGrid w:val="0"/>
        <w:spacing w:before="0" w:beforeAutospacing="0" w:after="0" w:afterAutospacing="0" w:line="320" w:lineRule="exact"/>
        <w:ind w:left="769" w:leftChars="257" w:hanging="229"/>
        <w:jc w:val="both"/>
        <w:textAlignment w:val="baseline"/>
        <w:rPr>
          <w:rFonts w:hint="eastAsia" w:ascii="仿宋" w:hAnsi="仿宋" w:eastAsia="仿宋" w:cs="仿宋"/>
          <w:b w:val="0"/>
          <w:i w:val="0"/>
          <w:caps w:val="0"/>
          <w:color w:val="000000"/>
          <w:spacing w:val="0"/>
          <w:w w:val="100"/>
          <w:sz w:val="24"/>
          <w:u w:val="single" w:color="000000"/>
        </w:rPr>
      </w:pPr>
      <w:r>
        <w:rPr>
          <w:rFonts w:hint="eastAsia" w:ascii="仿宋" w:hAnsi="仿宋" w:eastAsia="仿宋" w:cs="仿宋"/>
          <w:b w:val="0"/>
          <w:i w:val="0"/>
          <w:caps w:val="0"/>
          <w:color w:val="000000"/>
          <w:spacing w:val="0"/>
          <w:w w:val="100"/>
          <w:sz w:val="24"/>
          <w:u w:val="single" w:color="000000"/>
        </w:rPr>
        <w:t>根据贵方(项目名称)项目的投标邀请(招标编号),签字代表(姓名、职务)经正式授权并代表投标人（名称、地址）上传</w:t>
      </w:r>
      <w:r>
        <w:rPr>
          <w:rFonts w:hint="eastAsia" w:ascii="仿宋" w:hAnsi="仿宋" w:eastAsia="仿宋" w:cs="仿宋"/>
          <w:b w:val="0"/>
          <w:i w:val="0"/>
          <w:caps w:val="0"/>
          <w:color w:val="000000"/>
          <w:spacing w:val="0"/>
          <w:w w:val="100"/>
          <w:sz w:val="24"/>
          <w:u w:val="single" w:color="000000"/>
          <w:lang w:eastAsia="zh-CN"/>
        </w:rPr>
        <w:t>投标文件</w:t>
      </w:r>
      <w:r>
        <w:rPr>
          <w:rFonts w:hint="eastAsia" w:ascii="仿宋" w:hAnsi="仿宋" w:eastAsia="仿宋" w:cs="仿宋"/>
          <w:b w:val="0"/>
          <w:i w:val="0"/>
          <w:caps w:val="0"/>
          <w:color w:val="000000"/>
          <w:spacing w:val="0"/>
          <w:w w:val="100"/>
          <w:sz w:val="24"/>
          <w:u w:val="single" w:color="000000"/>
        </w:rPr>
        <w:t>，并以         形式出具的金额为人民币　　　　元的</w:t>
      </w:r>
      <w:r>
        <w:rPr>
          <w:rFonts w:hint="eastAsia" w:ascii="仿宋" w:hAnsi="仿宋" w:eastAsia="仿宋" w:cs="仿宋"/>
          <w:b w:val="0"/>
          <w:i w:val="0"/>
          <w:caps w:val="0"/>
          <w:color w:val="000000"/>
          <w:spacing w:val="0"/>
          <w:w w:val="100"/>
          <w:sz w:val="24"/>
          <w:u w:val="single" w:color="000000"/>
          <w:lang w:eastAsia="zh-CN"/>
        </w:rPr>
        <w:t>投标保证金</w:t>
      </w:r>
      <w:r>
        <w:rPr>
          <w:rFonts w:hint="eastAsia" w:ascii="仿宋" w:hAnsi="仿宋" w:eastAsia="仿宋" w:cs="仿宋"/>
          <w:b w:val="0"/>
          <w:i w:val="0"/>
          <w:caps w:val="0"/>
          <w:color w:val="000000"/>
          <w:spacing w:val="0"/>
          <w:w w:val="100"/>
          <w:sz w:val="24"/>
          <w:u w:val="single" w:color="000000"/>
        </w:rPr>
        <w:t>。</w:t>
      </w:r>
    </w:p>
    <w:p w14:paraId="67210F65">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据此，签字代表宣布同意如下：</w:t>
      </w:r>
    </w:p>
    <w:p w14:paraId="321DCC2C">
      <w:pPr>
        <w:pStyle w:val="15"/>
        <w:tabs>
          <w:tab w:val="left" w:pos="720"/>
          <w:tab w:val="left" w:pos="900"/>
        </w:tabs>
        <w:snapToGrid w:val="0"/>
        <w:spacing w:before="0" w:beforeAutospacing="0" w:after="0" w:afterAutospacing="0" w:line="320" w:lineRule="exact"/>
        <w:ind w:left="769" w:leftChars="257" w:hanging="229"/>
        <w:jc w:val="both"/>
        <w:textAlignment w:val="baseline"/>
        <w:rPr>
          <w:rFonts w:ascii="仿宋" w:hAnsi="仿宋" w:eastAsia="仿宋" w:cs="仿宋"/>
          <w:b w:val="0"/>
          <w:i w:val="0"/>
          <w:caps w:val="0"/>
          <w:color w:val="000000"/>
          <w:spacing w:val="0"/>
          <w:w w:val="100"/>
          <w:sz w:val="24"/>
          <w:u w:val="single" w:color="000000"/>
        </w:rPr>
      </w:pPr>
      <w:r>
        <w:rPr>
          <w:rFonts w:hint="eastAsia" w:ascii="仿宋" w:hAnsi="仿宋" w:eastAsia="仿宋" w:cs="仿宋"/>
          <w:b w:val="0"/>
          <w:i w:val="0"/>
          <w:caps w:val="0"/>
          <w:color w:val="000000"/>
          <w:spacing w:val="0"/>
          <w:w w:val="100"/>
          <w:sz w:val="24"/>
        </w:rPr>
        <w:t>（1）附投标价格表中规定的应提供货物的投标总价详见开标一览表，</w:t>
      </w:r>
      <w:r>
        <w:rPr>
          <w:rFonts w:hint="eastAsia" w:ascii="仿宋" w:hAnsi="仿宋" w:eastAsia="仿宋" w:cs="仿宋"/>
          <w:b w:val="0"/>
          <w:i w:val="0"/>
          <w:caps w:val="0"/>
          <w:color w:val="000000"/>
          <w:spacing w:val="0"/>
          <w:w w:val="100"/>
          <w:sz w:val="24"/>
          <w:u w:val="single" w:color="000000"/>
        </w:rPr>
        <w:t>其中由小型和</w:t>
      </w:r>
      <w:r>
        <w:rPr>
          <w:rFonts w:hint="eastAsia" w:ascii="仿宋" w:hAnsi="仿宋" w:eastAsia="仿宋" w:cs="仿宋"/>
          <w:b w:val="0"/>
          <w:i w:val="0"/>
          <w:caps w:val="0"/>
          <w:color w:val="000000"/>
          <w:spacing w:val="0"/>
          <w:w w:val="100"/>
          <w:sz w:val="24"/>
        </w:rPr>
        <w:t>微型企业制造产品的价格为</w:t>
      </w:r>
      <w:r>
        <w:rPr>
          <w:rFonts w:hint="eastAsia" w:ascii="仿宋" w:hAnsi="仿宋" w:eastAsia="仿宋" w:cs="仿宋"/>
          <w:b w:val="0"/>
          <w:i w:val="0"/>
          <w:caps w:val="0"/>
          <w:color w:val="000000"/>
          <w:spacing w:val="0"/>
          <w:w w:val="100"/>
          <w:sz w:val="24"/>
          <w:u w:val="single" w:color="000000"/>
        </w:rPr>
        <w:t xml:space="preserve">      （用文字和数字表示），占投标总价    %</w:t>
      </w:r>
      <w:r>
        <w:rPr>
          <w:rFonts w:hint="eastAsia" w:ascii="仿宋" w:hAnsi="仿宋" w:eastAsia="仿宋" w:cs="仿宋"/>
          <w:b w:val="0"/>
          <w:i w:val="0"/>
          <w:caps w:val="0"/>
          <w:color w:val="000000"/>
          <w:spacing w:val="0"/>
          <w:w w:val="100"/>
          <w:sz w:val="24"/>
        </w:rPr>
        <w:t>。</w:t>
      </w:r>
    </w:p>
    <w:p w14:paraId="25E1E0B6">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（2）本投标有效期为自投标截止之日起</w:t>
      </w:r>
      <w:r>
        <w:rPr>
          <w:rFonts w:hint="eastAsia" w:ascii="仿宋" w:hAnsi="仿宋" w:eastAsia="仿宋" w:cs="仿宋"/>
          <w:b w:val="0"/>
          <w:i w:val="0"/>
          <w:caps w:val="0"/>
          <w:color w:val="000000"/>
          <w:spacing w:val="0"/>
          <w:w w:val="100"/>
          <w:sz w:val="24"/>
          <w:u w:val="single" w:color="000000"/>
        </w:rPr>
        <w:t xml:space="preserve"> </w:t>
      </w:r>
      <w:r>
        <w:rPr>
          <w:rFonts w:hint="eastAsia" w:ascii="仿宋" w:hAnsi="仿宋" w:eastAsia="仿宋" w:cs="仿宋"/>
          <w:b w:val="0"/>
          <w:i w:val="0"/>
          <w:caps w:val="0"/>
          <w:color w:val="000000"/>
          <w:spacing w:val="0"/>
          <w:w w:val="100"/>
          <w:sz w:val="24"/>
          <w:u w:val="single" w:color="000000"/>
          <w:lang w:val="en-US" w:eastAsia="zh-CN"/>
        </w:rPr>
        <w:t xml:space="preserve">    </w:t>
      </w:r>
      <w:r>
        <w:rPr>
          <w:rFonts w:hint="eastAsia" w:ascii="仿宋" w:hAnsi="仿宋" w:eastAsia="仿宋" w:cs="仿宋"/>
          <w:b w:val="0"/>
          <w:i w:val="0"/>
          <w:caps w:val="0"/>
          <w:color w:val="000000"/>
          <w:spacing w:val="0"/>
          <w:w w:val="100"/>
          <w:sz w:val="24"/>
        </w:rPr>
        <w:t>个日历日。</w:t>
      </w:r>
    </w:p>
    <w:p w14:paraId="58E8001C">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（3）联合体中的大中型企业和其他自然人、法人或者非法人组织，与联合体中的小型、微型企业之间</w:t>
      </w:r>
      <w:r>
        <w:rPr>
          <w:rFonts w:hint="eastAsia" w:ascii="仿宋" w:hAnsi="仿宋" w:eastAsia="仿宋" w:cs="仿宋"/>
          <w:b w:val="0"/>
          <w:i w:val="0"/>
          <w:caps w:val="0"/>
          <w:color w:val="000000"/>
          <w:spacing w:val="0"/>
          <w:w w:val="100"/>
          <w:sz w:val="24"/>
          <w:u w:val="single" w:color="000000"/>
        </w:rPr>
        <w:t xml:space="preserve">     （</w:t>
      </w:r>
      <w:r>
        <w:rPr>
          <w:rFonts w:hint="eastAsia" w:ascii="仿宋" w:hAnsi="仿宋" w:eastAsia="仿宋" w:cs="仿宋"/>
          <w:b w:val="0"/>
          <w:i w:val="0"/>
          <w:caps w:val="0"/>
          <w:color w:val="000000"/>
          <w:spacing w:val="0"/>
          <w:w w:val="100"/>
          <w:sz w:val="24"/>
        </w:rPr>
        <w:t>存在、不存在）投资关系（如果是联合体的话）。</w:t>
      </w:r>
    </w:p>
    <w:p w14:paraId="2AFD0C07">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（4）已详细审查全部招标文件，包括所有补充通知（如果有的话），完全理解并同意放弃对这方面有不明、误解和质疑的权力。</w:t>
      </w:r>
    </w:p>
    <w:p w14:paraId="2ED6E403">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（5）在规定的开标时间后，遵守招标文件中有关保证金的规定。</w:t>
      </w:r>
    </w:p>
    <w:p w14:paraId="3594E0EE">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（6）我方不是为本项目提供整体设计、规范编制或者项目管理、监理、检测等服务的供应商，我方不是采购代理机构的附属机构。</w:t>
      </w:r>
    </w:p>
    <w:p w14:paraId="0782A769">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（7）在领取中标通知书的同时按招标文件规定的形式，向贵方一次性支付中标服务费。</w:t>
      </w:r>
    </w:p>
    <w:p w14:paraId="3EE6A6B3">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（8）按照贵方可能要求，提供与其投标有关的一切数据或资料，完全理解贵方不一定接受最低价的投标或收到的任何投标。</w:t>
      </w:r>
    </w:p>
    <w:p w14:paraId="04A1FDB0">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（9）在中标公示期过后7个工作日内领取中标通知书，不领取中标通知书视为自动放弃中标资格，采购人可依法进行相应处罚。</w:t>
      </w:r>
    </w:p>
    <w:p w14:paraId="06D09656">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（10）按照招标文件的规定履行合同责任和义务。</w:t>
      </w:r>
    </w:p>
    <w:p w14:paraId="24DD53D3">
      <w:pPr>
        <w:pStyle w:val="15"/>
        <w:tabs>
          <w:tab w:val="left" w:pos="5580"/>
        </w:tabs>
        <w:snapToGrid w:val="0"/>
        <w:spacing w:before="0" w:beforeAutospacing="0" w:after="0" w:afterAutospacing="0" w:line="320" w:lineRule="exact"/>
        <w:ind w:left="359" w:leftChars="68" w:hangingChars="9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 xml:space="preserve">  与本投标有关的一切正式往来信函请寄：</w:t>
      </w:r>
    </w:p>
    <w:p w14:paraId="5E6A4AA5">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地址</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r>
        <w:rPr>
          <w:rFonts w:hint="eastAsia" w:ascii="仿宋" w:hAnsi="仿宋" w:eastAsia="仿宋" w:cs="仿宋"/>
          <w:b w:val="0"/>
          <w:i w:val="0"/>
          <w:caps w:val="0"/>
          <w:color w:val="000000"/>
          <w:spacing w:val="0"/>
          <w:w w:val="100"/>
          <w:sz w:val="24"/>
        </w:rPr>
        <w:t xml:space="preserve">     传真</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p>
    <w:p w14:paraId="10F28B52">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i w:val="0"/>
          <w:caps w:val="0"/>
          <w:color w:val="000000"/>
          <w:spacing w:val="0"/>
          <w:w w:val="100"/>
          <w:sz w:val="24"/>
        </w:rPr>
      </w:pPr>
      <w:r>
        <w:rPr>
          <w:rFonts w:hint="eastAsia" w:ascii="仿宋" w:hAnsi="仿宋" w:eastAsia="仿宋" w:cs="仿宋"/>
          <w:b w:val="0"/>
          <w:i w:val="0"/>
          <w:caps w:val="0"/>
          <w:color w:val="000000"/>
          <w:spacing w:val="0"/>
          <w:w w:val="100"/>
          <w:sz w:val="24"/>
        </w:rPr>
        <w:t>电话</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r>
        <w:rPr>
          <w:rFonts w:hint="eastAsia" w:ascii="仿宋" w:hAnsi="仿宋" w:eastAsia="仿宋" w:cs="仿宋"/>
          <w:b w:val="0"/>
          <w:i w:val="0"/>
          <w:caps w:val="0"/>
          <w:color w:val="000000"/>
          <w:spacing w:val="0"/>
          <w:w w:val="100"/>
          <w:sz w:val="24"/>
        </w:rPr>
        <w:t xml:space="preserve">     电子函件</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p>
    <w:p w14:paraId="420E1CF7">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p>
    <w:p w14:paraId="046137FE">
      <w:pPr>
        <w:pStyle w:val="15"/>
        <w:tabs>
          <w:tab w:val="left" w:pos="5580"/>
        </w:tabs>
        <w:snapToGrid w:val="0"/>
        <w:spacing w:before="0" w:beforeAutospacing="0" w:after="0" w:afterAutospacing="0" w:line="320" w:lineRule="exact"/>
        <w:ind w:left="1080" w:leftChars="257" w:hanging="540"/>
        <w:jc w:val="both"/>
        <w:textAlignment w:val="baseline"/>
        <w:rPr>
          <w:rFonts w:hint="eastAsia" w:ascii="仿宋" w:hAnsi="仿宋" w:eastAsia="仿宋" w:cs="仿宋"/>
          <w:b w:val="0"/>
          <w:i w:val="0"/>
          <w:caps w:val="0"/>
          <w:color w:val="000000"/>
          <w:spacing w:val="0"/>
          <w:w w:val="100"/>
          <w:sz w:val="24"/>
          <w:lang w:val="en-US" w:eastAsia="zh-CN"/>
        </w:rPr>
      </w:pPr>
      <w:r>
        <w:rPr>
          <w:rFonts w:hint="eastAsia" w:ascii="仿宋" w:hAnsi="仿宋" w:eastAsia="仿宋" w:cs="仿宋"/>
          <w:b w:val="0"/>
          <w:i w:val="0"/>
          <w:caps w:val="0"/>
          <w:color w:val="000000"/>
          <w:spacing w:val="0"/>
          <w:w w:val="100"/>
          <w:sz w:val="24"/>
        </w:rPr>
        <w:t>法定代表人或其委托代理人</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rPr>
        <w:t>签字或</w:t>
      </w:r>
      <w:r>
        <w:rPr>
          <w:rFonts w:hint="eastAsia" w:ascii="仿宋" w:hAnsi="仿宋" w:eastAsia="仿宋" w:cs="仿宋"/>
          <w:b w:val="0"/>
          <w:i w:val="0"/>
          <w:caps w:val="0"/>
          <w:color w:val="000000"/>
          <w:spacing w:val="0"/>
          <w:w w:val="100"/>
          <w:sz w:val="24"/>
          <w:lang w:val="en-US" w:eastAsia="zh-CN"/>
        </w:rPr>
        <w:t>签章</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lang w:val="en-US" w:eastAsia="zh-CN"/>
        </w:rPr>
        <w:t>：</w:t>
      </w:r>
      <w:r>
        <w:rPr>
          <w:rFonts w:hint="eastAsia" w:ascii="仿宋" w:hAnsi="仿宋" w:eastAsia="仿宋" w:cs="仿宋"/>
          <w:b w:val="0"/>
          <w:i w:val="0"/>
          <w:caps w:val="0"/>
          <w:color w:val="000000"/>
          <w:spacing w:val="0"/>
          <w:w w:val="100"/>
          <w:sz w:val="24"/>
          <w:u w:val="single" w:color="000000"/>
        </w:rPr>
        <w:t xml:space="preserve">                      </w:t>
      </w:r>
    </w:p>
    <w:p w14:paraId="1A5596DF">
      <w:pPr>
        <w:pStyle w:val="15"/>
        <w:tabs>
          <w:tab w:val="left" w:pos="5580"/>
        </w:tabs>
        <w:snapToGrid w:val="0"/>
        <w:spacing w:before="0" w:beforeAutospacing="0" w:after="0" w:afterAutospacing="0" w:line="320" w:lineRule="exact"/>
        <w:ind w:left="1080" w:leftChars="257" w:hanging="540"/>
        <w:jc w:val="both"/>
        <w:textAlignment w:val="baseline"/>
        <w:rPr>
          <w:rFonts w:hint="eastAsia" w:ascii="仿宋" w:hAnsi="仿宋" w:eastAsia="仿宋" w:cs="仿宋"/>
          <w:b w:val="0"/>
          <w:i w:val="0"/>
          <w:caps w:val="0"/>
          <w:color w:val="000000"/>
          <w:spacing w:val="0"/>
          <w:w w:val="100"/>
          <w:sz w:val="24"/>
          <w:u w:val="single" w:color="000000"/>
        </w:rPr>
      </w:pPr>
      <w:r>
        <w:rPr>
          <w:rFonts w:hint="eastAsia" w:ascii="仿宋" w:hAnsi="仿宋" w:eastAsia="仿宋" w:cs="仿宋"/>
          <w:b w:val="0"/>
          <w:i w:val="0"/>
          <w:caps w:val="0"/>
          <w:color w:val="000000"/>
          <w:spacing w:val="0"/>
          <w:w w:val="100"/>
          <w:sz w:val="24"/>
        </w:rPr>
        <w:t>投标人名称（全称）</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lang w:val="en-US" w:eastAsia="zh-CN"/>
        </w:rPr>
        <w:t xml:space="preserve"> </w:t>
      </w:r>
      <w:r>
        <w:rPr>
          <w:rFonts w:hint="eastAsia" w:ascii="仿宋" w:hAnsi="仿宋" w:eastAsia="仿宋" w:cs="仿宋"/>
          <w:b w:val="0"/>
          <w:i w:val="0"/>
          <w:caps w:val="0"/>
          <w:color w:val="000000"/>
          <w:spacing w:val="0"/>
          <w:w w:val="100"/>
          <w:sz w:val="24"/>
          <w:u w:val="single" w:color="000000"/>
        </w:rPr>
        <w:t xml:space="preserve">                      </w:t>
      </w:r>
    </w:p>
    <w:p w14:paraId="18CB82E2">
      <w:pPr>
        <w:pStyle w:val="15"/>
        <w:tabs>
          <w:tab w:val="left" w:pos="5580"/>
        </w:tabs>
        <w:snapToGrid w:val="0"/>
        <w:spacing w:before="0" w:beforeAutospacing="0" w:after="0" w:afterAutospacing="0" w:line="320" w:lineRule="exact"/>
        <w:ind w:left="1080" w:leftChars="257" w:hanging="540"/>
        <w:jc w:val="both"/>
        <w:textAlignment w:val="baseline"/>
        <w:rPr>
          <w:rFonts w:hint="eastAsia" w:ascii="仿宋" w:hAnsi="仿宋" w:eastAsia="仿宋" w:cs="仿宋"/>
          <w:b w:val="0"/>
          <w:i w:val="0"/>
          <w:caps w:val="0"/>
          <w:color w:val="000000"/>
          <w:spacing w:val="0"/>
          <w:w w:val="100"/>
          <w:sz w:val="24"/>
          <w:u w:val="single" w:color="000000"/>
        </w:rPr>
      </w:pPr>
      <w:r>
        <w:rPr>
          <w:rFonts w:hint="eastAsia" w:ascii="仿宋" w:hAnsi="仿宋" w:eastAsia="仿宋" w:cs="仿宋"/>
          <w:b w:val="0"/>
          <w:i w:val="0"/>
          <w:caps w:val="0"/>
          <w:color w:val="000000"/>
          <w:spacing w:val="0"/>
          <w:w w:val="100"/>
          <w:sz w:val="24"/>
        </w:rPr>
        <w:t>投标人开户银行（全称）</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p>
    <w:p w14:paraId="361D229B">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投标人银行帐号</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p>
    <w:p w14:paraId="46E1E8E5">
      <w:pPr>
        <w:pStyle w:val="15"/>
        <w:tabs>
          <w:tab w:val="left" w:pos="5580"/>
        </w:tabs>
        <w:snapToGrid w:val="0"/>
        <w:spacing w:before="0" w:beforeAutospacing="0" w:after="0" w:afterAutospacing="0" w:line="320" w:lineRule="exact"/>
        <w:ind w:left="1080" w:leftChars="257" w:hanging="540"/>
        <w:jc w:val="both"/>
        <w:textAlignment w:val="baseline"/>
        <w:rPr>
          <w:rFonts w:hint="eastAsia" w:ascii="仿宋" w:hAnsi="仿宋" w:eastAsia="仿宋" w:cs="仿宋"/>
          <w:b w:val="0"/>
          <w:i w:val="0"/>
          <w:caps w:val="0"/>
          <w:color w:val="000000"/>
          <w:spacing w:val="0"/>
          <w:w w:val="100"/>
          <w:sz w:val="24"/>
          <w:u w:val="single" w:color="000000"/>
        </w:rPr>
      </w:pPr>
      <w:r>
        <w:rPr>
          <w:rFonts w:hint="eastAsia" w:ascii="仿宋" w:hAnsi="仿宋" w:eastAsia="仿宋" w:cs="仿宋"/>
          <w:b w:val="0"/>
          <w:i w:val="0"/>
          <w:caps w:val="0"/>
          <w:color w:val="000000"/>
          <w:spacing w:val="0"/>
          <w:w w:val="100"/>
          <w:sz w:val="24"/>
        </w:rPr>
        <w:t>投标人单位章</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p>
    <w:p w14:paraId="7A00F289">
      <w:pPr>
        <w:pStyle w:val="15"/>
        <w:tabs>
          <w:tab w:val="left" w:pos="5580"/>
        </w:tabs>
        <w:snapToGrid w:val="0"/>
        <w:spacing w:before="0" w:beforeAutospacing="0" w:after="0" w:afterAutospacing="0" w:line="320" w:lineRule="exact"/>
        <w:ind w:left="1080" w:leftChars="257" w:hanging="540"/>
        <w:jc w:val="both"/>
        <w:textAlignment w:val="baseline"/>
        <w:rPr>
          <w:rFonts w:ascii="仿宋" w:hAnsi="仿宋" w:eastAsia="仿宋" w:cs="仿宋"/>
          <w:b w:val="0"/>
          <w:i w:val="0"/>
          <w:caps w:val="0"/>
          <w:color w:val="000000"/>
          <w:spacing w:val="0"/>
          <w:w w:val="100"/>
          <w:sz w:val="24"/>
        </w:rPr>
      </w:pPr>
      <w:r>
        <w:rPr>
          <w:rFonts w:hint="eastAsia" w:ascii="仿宋" w:hAnsi="仿宋" w:eastAsia="仿宋" w:cs="仿宋"/>
          <w:b w:val="0"/>
          <w:i w:val="0"/>
          <w:caps w:val="0"/>
          <w:color w:val="000000"/>
          <w:spacing w:val="0"/>
          <w:w w:val="100"/>
          <w:sz w:val="24"/>
        </w:rPr>
        <w:t>日期</w:t>
      </w:r>
      <w:r>
        <w:rPr>
          <w:rFonts w:hint="eastAsia" w:ascii="仿宋" w:hAnsi="仿宋" w:eastAsia="仿宋" w:cs="仿宋"/>
          <w:b w:val="0"/>
          <w:i w:val="0"/>
          <w:caps w:val="0"/>
          <w:color w:val="000000"/>
          <w:spacing w:val="0"/>
          <w:w w:val="100"/>
          <w:sz w:val="24"/>
          <w:lang w:eastAsia="zh-CN"/>
        </w:rPr>
        <w:t>：</w:t>
      </w:r>
      <w:r>
        <w:rPr>
          <w:rFonts w:hint="eastAsia" w:ascii="仿宋" w:hAnsi="仿宋" w:eastAsia="仿宋" w:cs="仿宋"/>
          <w:b w:val="0"/>
          <w:i w:val="0"/>
          <w:caps w:val="0"/>
          <w:color w:val="000000"/>
          <w:spacing w:val="0"/>
          <w:w w:val="100"/>
          <w:sz w:val="24"/>
          <w:u w:val="single" w:color="000000"/>
        </w:rPr>
        <w:t xml:space="preserve">                      </w:t>
      </w:r>
    </w:p>
    <w:p w14:paraId="73B2621E">
      <w:pPr>
        <w:pStyle w:val="15"/>
        <w:tabs>
          <w:tab w:val="left" w:pos="5580"/>
        </w:tabs>
        <w:snapToGrid w:val="0"/>
        <w:spacing w:before="0" w:beforeAutospacing="0" w:after="0" w:afterAutospacing="0" w:line="320" w:lineRule="exact"/>
        <w:jc w:val="both"/>
        <w:textAlignment w:val="baseline"/>
        <w:rPr>
          <w:rFonts w:ascii="仿宋_GB2312" w:hAnsi="仿宋_GB2312" w:eastAsia="仿宋_GB2312" w:cs="仿宋_GB2312"/>
          <w:b w:val="0"/>
          <w:i w:val="0"/>
          <w:caps w:val="0"/>
          <w:spacing w:val="0"/>
          <w:w w:val="100"/>
          <w:sz w:val="32"/>
          <w:szCs w:val="32"/>
        </w:rPr>
      </w:pPr>
    </w:p>
    <w:p w14:paraId="5CDB805C">
      <w:pPr>
        <w:pStyle w:val="15"/>
        <w:tabs>
          <w:tab w:val="left" w:pos="5580"/>
        </w:tabs>
        <w:snapToGrid w:val="0"/>
        <w:spacing w:before="0" w:beforeAutospacing="0" w:after="0" w:afterAutospacing="0" w:line="320" w:lineRule="exact"/>
        <w:jc w:val="both"/>
        <w:textAlignment w:val="baseline"/>
        <w:rPr>
          <w:rFonts w:ascii="仿宋_GB2312" w:hAnsi="仿宋_GB2312" w:eastAsia="仿宋_GB2312" w:cs="仿宋_GB2312"/>
          <w:b w:val="0"/>
          <w:i w:val="0"/>
          <w:caps w:val="0"/>
          <w:spacing w:val="0"/>
          <w:w w:val="100"/>
          <w:sz w:val="32"/>
          <w:szCs w:val="32"/>
        </w:rPr>
      </w:pPr>
    </w:p>
    <w:p w14:paraId="1DC80E28">
      <w:pPr>
        <w:tabs>
          <w:tab w:val="left" w:pos="5580"/>
        </w:tabs>
        <w:snapToGrid w:val="0"/>
        <w:spacing w:before="0" w:beforeAutospacing="0" w:after="0" w:afterAutospacing="0" w:line="320" w:lineRule="exact"/>
        <w:ind w:left="1080" w:leftChars="257" w:hanging="540"/>
        <w:jc w:val="both"/>
        <w:textAlignment w:val="baseline"/>
        <w:rPr>
          <w:rFonts w:ascii="仿宋_GB2312" w:hAnsi="仿宋_GB2312" w:eastAsia="仿宋_GB2312" w:cs="仿宋_GB2312"/>
          <w:b w:val="0"/>
          <w:i w:val="0"/>
          <w:caps w:val="0"/>
          <w:spacing w:val="0"/>
          <w:w w:val="100"/>
          <w:sz w:val="32"/>
        </w:rPr>
      </w:pPr>
    </w:p>
    <w:p w14:paraId="17C44C07">
      <w:pPr>
        <w:pStyle w:val="24"/>
        <w:rPr>
          <w:rFonts w:ascii="仿宋_GB2312" w:hAnsi="仿宋_GB2312" w:eastAsia="仿宋_GB2312" w:cs="仿宋_GB2312"/>
          <w:b w:val="0"/>
          <w:i w:val="0"/>
          <w:caps w:val="0"/>
          <w:spacing w:val="0"/>
          <w:w w:val="100"/>
          <w:sz w:val="32"/>
        </w:rPr>
      </w:pPr>
    </w:p>
    <w:p w14:paraId="650F55C6">
      <w:pPr>
        <w:pStyle w:val="10"/>
      </w:pPr>
    </w:p>
    <w:p w14:paraId="71BDD871">
      <w:pPr>
        <w:pStyle w:val="15"/>
        <w:snapToGrid w:val="0"/>
        <w:spacing w:before="0" w:beforeAutospacing="0" w:after="0" w:afterAutospacing="0" w:line="240" w:lineRule="atLeast"/>
        <w:ind w:firstLine="420" w:firstLineChars="200"/>
        <w:jc w:val="both"/>
        <w:textAlignment w:val="baseline"/>
        <w:rPr>
          <w:rFonts w:ascii="仿宋" w:hAnsi="仿宋" w:eastAsia="仿宋" w:cs="仿宋"/>
          <w:b w:val="0"/>
          <w:i w:val="0"/>
          <w:caps w:val="0"/>
          <w:color w:val="FF0000"/>
          <w:spacing w:val="0"/>
          <w:w w:val="100"/>
          <w:sz w:val="21"/>
        </w:rPr>
      </w:pPr>
    </w:p>
    <w:p w14:paraId="464057F9">
      <w:pPr>
        <w:pStyle w:val="15"/>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1"/>
        <w:rPr>
          <w:rFonts w:hint="eastAsia" w:ascii="仿宋" w:hAnsi="仿宋" w:eastAsia="仿宋" w:cs="仿宋"/>
          <w:b/>
          <w:bCs/>
          <w:color w:val="000000"/>
          <w:sz w:val="24"/>
          <w:szCs w:val="24"/>
          <w:highlight w:val="none"/>
          <w:lang w:val="en-US" w:eastAsia="zh-CN"/>
        </w:rPr>
      </w:pPr>
      <w:bookmarkStart w:id="874" w:name="_Toc14327"/>
      <w:bookmarkStart w:id="875" w:name="_Toc27740"/>
      <w:bookmarkStart w:id="876" w:name="_Toc14119"/>
      <w:bookmarkStart w:id="877" w:name="_Toc1521"/>
      <w:bookmarkStart w:id="878" w:name="_Toc8031"/>
      <w:bookmarkStart w:id="879" w:name="_Toc28670"/>
      <w:bookmarkStart w:id="880" w:name="_Toc16336"/>
      <w:bookmarkStart w:id="881" w:name="_Toc11675"/>
      <w:bookmarkStart w:id="882" w:name="_Toc31517"/>
      <w:bookmarkStart w:id="883" w:name="_Toc32398"/>
      <w:bookmarkStart w:id="884" w:name="_Toc216582816"/>
      <w:bookmarkStart w:id="885" w:name="_Toc18267"/>
      <w:bookmarkStart w:id="886" w:name="_Toc14037"/>
      <w:bookmarkStart w:id="887" w:name="_Toc515647819"/>
    </w:p>
    <w:bookmarkEnd w:id="874"/>
    <w:bookmarkEnd w:id="875"/>
    <w:bookmarkEnd w:id="876"/>
    <w:bookmarkEnd w:id="877"/>
    <w:bookmarkEnd w:id="878"/>
    <w:bookmarkEnd w:id="879"/>
    <w:bookmarkEnd w:id="880"/>
    <w:bookmarkEnd w:id="881"/>
    <w:p w14:paraId="5C5D51AA">
      <w:pPr>
        <w:pStyle w:val="15"/>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1"/>
        <w:rPr>
          <w:rFonts w:hint="eastAsia" w:ascii="仿宋" w:hAnsi="仿宋" w:eastAsia="仿宋" w:cs="仿宋"/>
          <w:b/>
          <w:bCs/>
          <w:color w:val="000000"/>
          <w:sz w:val="24"/>
          <w:szCs w:val="24"/>
          <w:highlight w:val="none"/>
        </w:rPr>
      </w:pPr>
      <w:bookmarkStart w:id="888" w:name="_Toc24632"/>
      <w:bookmarkStart w:id="889" w:name="_Toc11316"/>
      <w:bookmarkStart w:id="890" w:name="_Toc30736"/>
      <w:bookmarkStart w:id="891" w:name="_Toc2342"/>
      <w:bookmarkStart w:id="892" w:name="_Toc11521"/>
      <w:bookmarkStart w:id="893" w:name="_Toc16900"/>
      <w:r>
        <w:rPr>
          <w:rFonts w:hint="eastAsia" w:ascii="仿宋" w:hAnsi="仿宋" w:eastAsia="仿宋" w:cs="仿宋"/>
          <w:b/>
          <w:bCs/>
          <w:color w:val="000000"/>
          <w:sz w:val="24"/>
          <w:szCs w:val="24"/>
          <w:highlight w:val="none"/>
          <w:lang w:val="en-US" w:eastAsia="zh-CN"/>
        </w:rPr>
        <w:t>2 服务需求偏离表</w:t>
      </w:r>
      <w:bookmarkEnd w:id="882"/>
      <w:bookmarkEnd w:id="888"/>
      <w:bookmarkEnd w:id="889"/>
      <w:bookmarkEnd w:id="890"/>
      <w:bookmarkEnd w:id="891"/>
      <w:bookmarkEnd w:id="892"/>
      <w:bookmarkEnd w:id="893"/>
    </w:p>
    <w:p w14:paraId="1825B303">
      <w:pPr>
        <w:pStyle w:val="15"/>
        <w:snapToGrid w:val="0"/>
        <w:spacing w:before="0" w:beforeAutospacing="0" w:after="0" w:afterAutospacing="0" w:line="240" w:lineRule="atLeast"/>
        <w:ind w:left="79" w:leftChars="-27" w:hangingChars="57"/>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项目名称:                                        </w:t>
      </w:r>
      <w:r>
        <w:rPr>
          <w:rFonts w:hint="eastAsia" w:ascii="仿宋_GB2312" w:hAnsi="仿宋_GB2312" w:eastAsia="仿宋_GB2312" w:cs="仿宋_GB2312"/>
          <w:b w:val="0"/>
          <w:i w:val="0"/>
          <w:caps w:val="0"/>
          <w:spacing w:val="0"/>
          <w:w w:val="100"/>
          <w:sz w:val="24"/>
          <w:lang w:val="en-US" w:eastAsia="zh-CN"/>
        </w:rPr>
        <w:t>项目</w:t>
      </w:r>
      <w:r>
        <w:rPr>
          <w:rFonts w:hint="eastAsia" w:ascii="仿宋_GB2312" w:hAnsi="仿宋_GB2312" w:eastAsia="仿宋_GB2312" w:cs="仿宋_GB2312"/>
          <w:b w:val="0"/>
          <w:i w:val="0"/>
          <w:caps w:val="0"/>
          <w:spacing w:val="0"/>
          <w:w w:val="100"/>
          <w:sz w:val="24"/>
        </w:rPr>
        <w:t xml:space="preserve">编号:                       </w:t>
      </w:r>
    </w:p>
    <w:p w14:paraId="6B865752">
      <w:pPr>
        <w:pStyle w:val="15"/>
        <w:snapToGrid w:val="0"/>
        <w:spacing w:before="0" w:beforeAutospacing="0" w:after="0" w:afterAutospacing="0" w:line="240" w:lineRule="atLeast"/>
        <w:ind w:left="79" w:leftChars="-27" w:hangingChars="57"/>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标    段: 　 　                                </w:t>
      </w:r>
    </w:p>
    <w:p w14:paraId="63143759">
      <w:pPr>
        <w:pStyle w:val="6"/>
        <w:ind w:firstLine="480"/>
        <w:rPr>
          <w:rFonts w:hint="eastAsia" w:hAnsi="宋体" w:cs="宋体"/>
          <w:color w:val="000000"/>
          <w:szCs w:val="24"/>
          <w:highlight w:val="none"/>
        </w:rPr>
      </w:pPr>
      <w:r>
        <w:rPr>
          <w:rFonts w:hint="eastAsia" w:hAnsi="宋体" w:cs="宋体"/>
          <w:color w:val="000000"/>
          <w:szCs w:val="24"/>
          <w:highlight w:val="none"/>
        </w:rPr>
        <w:t xml:space="preserve">           </w:t>
      </w:r>
    </w:p>
    <w:tbl>
      <w:tblPr>
        <w:tblStyle w:val="3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278"/>
        <w:gridCol w:w="2090"/>
        <w:gridCol w:w="1755"/>
        <w:gridCol w:w="1425"/>
        <w:gridCol w:w="1593"/>
      </w:tblGrid>
      <w:tr w14:paraId="708D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920" w:type="dxa"/>
            <w:noWrap w:val="0"/>
            <w:vAlign w:val="center"/>
          </w:tcPr>
          <w:p w14:paraId="298C5D8E">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rPr>
              <w:t>序号</w:t>
            </w:r>
          </w:p>
        </w:tc>
        <w:tc>
          <w:tcPr>
            <w:tcW w:w="1278" w:type="dxa"/>
            <w:noWrap w:val="0"/>
            <w:vAlign w:val="center"/>
          </w:tcPr>
          <w:p w14:paraId="75C712DD">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rPr>
              <w:t>项目名称</w:t>
            </w:r>
          </w:p>
        </w:tc>
        <w:tc>
          <w:tcPr>
            <w:tcW w:w="2090" w:type="dxa"/>
            <w:noWrap w:val="0"/>
            <w:vAlign w:val="center"/>
          </w:tcPr>
          <w:p w14:paraId="44863068">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rPr>
              <w:t>招标服务内容</w:t>
            </w:r>
          </w:p>
        </w:tc>
        <w:tc>
          <w:tcPr>
            <w:tcW w:w="1755" w:type="dxa"/>
            <w:noWrap w:val="0"/>
            <w:vAlign w:val="center"/>
          </w:tcPr>
          <w:p w14:paraId="17055164">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lang w:eastAsia="zh-CN"/>
              </w:rPr>
              <w:t>投标</w:t>
            </w:r>
            <w:r>
              <w:rPr>
                <w:rFonts w:hint="eastAsia" w:ascii="宋体" w:hAnsi="宋体" w:cs="宋体"/>
                <w:bCs/>
                <w:color w:val="000000"/>
                <w:sz w:val="24"/>
                <w:highlight w:val="none"/>
              </w:rPr>
              <w:t>服务内容</w:t>
            </w:r>
          </w:p>
        </w:tc>
        <w:tc>
          <w:tcPr>
            <w:tcW w:w="1425" w:type="dxa"/>
            <w:noWrap w:val="0"/>
            <w:vAlign w:val="center"/>
          </w:tcPr>
          <w:p w14:paraId="59151F75">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rPr>
              <w:t>偏离情况</w:t>
            </w:r>
          </w:p>
        </w:tc>
        <w:tc>
          <w:tcPr>
            <w:tcW w:w="1593" w:type="dxa"/>
            <w:noWrap w:val="0"/>
            <w:vAlign w:val="center"/>
          </w:tcPr>
          <w:p w14:paraId="064C51F2">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rPr>
              <w:t>说明</w:t>
            </w:r>
          </w:p>
        </w:tc>
      </w:tr>
      <w:tr w14:paraId="1972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20" w:type="dxa"/>
            <w:noWrap w:val="0"/>
            <w:vAlign w:val="center"/>
          </w:tcPr>
          <w:p w14:paraId="4304FDDC">
            <w:pPr>
              <w:keepNext w:val="0"/>
              <w:keepLines w:val="0"/>
              <w:suppressLineNumbers w:val="0"/>
              <w:snapToGrid w:val="0"/>
              <w:spacing w:before="0" w:beforeAutospacing="0" w:after="0" w:afterAutospacing="0" w:line="360" w:lineRule="auto"/>
              <w:ind w:left="0" w:right="0"/>
              <w:jc w:val="center"/>
              <w:rPr>
                <w:rFonts w:hint="eastAsia" w:ascii="宋体" w:hAnsi="宋体" w:cs="宋体"/>
                <w:bCs/>
                <w:color w:val="000000"/>
                <w:sz w:val="24"/>
                <w:highlight w:val="none"/>
              </w:rPr>
            </w:pPr>
            <w:r>
              <w:rPr>
                <w:rFonts w:hint="eastAsia" w:ascii="宋体" w:hAnsi="宋体" w:cs="宋体"/>
                <w:bCs/>
                <w:color w:val="000000"/>
                <w:sz w:val="24"/>
                <w:highlight w:val="none"/>
              </w:rPr>
              <w:t>1</w:t>
            </w:r>
          </w:p>
        </w:tc>
        <w:tc>
          <w:tcPr>
            <w:tcW w:w="1278" w:type="dxa"/>
            <w:noWrap w:val="0"/>
            <w:vAlign w:val="top"/>
          </w:tcPr>
          <w:p w14:paraId="700A29B8">
            <w:pPr>
              <w:keepNext w:val="0"/>
              <w:keepLines w:val="0"/>
              <w:suppressLineNumbers w:val="0"/>
              <w:snapToGrid w:val="0"/>
              <w:spacing w:before="0" w:beforeAutospacing="0" w:after="0" w:afterAutospacing="0" w:line="360" w:lineRule="auto"/>
              <w:ind w:left="0" w:right="0"/>
              <w:rPr>
                <w:rFonts w:hint="eastAsia" w:ascii="宋体" w:hAnsi="宋体" w:cs="宋体"/>
                <w:bCs/>
                <w:color w:val="000000"/>
                <w:sz w:val="24"/>
                <w:highlight w:val="none"/>
              </w:rPr>
            </w:pPr>
          </w:p>
        </w:tc>
        <w:tc>
          <w:tcPr>
            <w:tcW w:w="2090" w:type="dxa"/>
            <w:noWrap w:val="0"/>
            <w:vAlign w:val="top"/>
          </w:tcPr>
          <w:p w14:paraId="70F9679D">
            <w:pPr>
              <w:keepNext w:val="0"/>
              <w:keepLines w:val="0"/>
              <w:suppressLineNumbers w:val="0"/>
              <w:snapToGrid w:val="0"/>
              <w:spacing w:before="0" w:beforeAutospacing="0" w:after="0" w:afterAutospacing="0" w:line="360" w:lineRule="auto"/>
              <w:ind w:left="0" w:right="0"/>
              <w:rPr>
                <w:rFonts w:hint="eastAsia" w:ascii="宋体" w:hAnsi="宋体" w:cs="宋体"/>
                <w:bCs/>
                <w:color w:val="000000"/>
                <w:sz w:val="24"/>
                <w:highlight w:val="none"/>
              </w:rPr>
            </w:pPr>
          </w:p>
        </w:tc>
        <w:tc>
          <w:tcPr>
            <w:tcW w:w="1755" w:type="dxa"/>
            <w:noWrap w:val="0"/>
            <w:vAlign w:val="top"/>
          </w:tcPr>
          <w:p w14:paraId="1EC3FDFF">
            <w:pPr>
              <w:keepNext w:val="0"/>
              <w:keepLines w:val="0"/>
              <w:suppressLineNumbers w:val="0"/>
              <w:snapToGrid w:val="0"/>
              <w:spacing w:before="0" w:beforeAutospacing="0" w:after="0" w:afterAutospacing="0" w:line="360" w:lineRule="auto"/>
              <w:ind w:left="0" w:right="0"/>
              <w:rPr>
                <w:rFonts w:hint="eastAsia" w:ascii="宋体" w:hAnsi="宋体" w:cs="宋体"/>
                <w:bCs/>
                <w:color w:val="000000"/>
                <w:sz w:val="24"/>
                <w:highlight w:val="none"/>
              </w:rPr>
            </w:pPr>
          </w:p>
        </w:tc>
        <w:tc>
          <w:tcPr>
            <w:tcW w:w="1425" w:type="dxa"/>
            <w:noWrap w:val="0"/>
            <w:vAlign w:val="top"/>
          </w:tcPr>
          <w:p w14:paraId="708DC8AA">
            <w:pPr>
              <w:keepNext w:val="0"/>
              <w:keepLines w:val="0"/>
              <w:suppressLineNumbers w:val="0"/>
              <w:snapToGrid w:val="0"/>
              <w:spacing w:before="0" w:beforeAutospacing="0" w:after="0" w:afterAutospacing="0" w:line="360" w:lineRule="auto"/>
              <w:ind w:left="0" w:right="0"/>
              <w:rPr>
                <w:rFonts w:hint="eastAsia" w:ascii="宋体" w:hAnsi="宋体" w:cs="宋体"/>
                <w:bCs/>
                <w:color w:val="000000"/>
                <w:sz w:val="24"/>
                <w:highlight w:val="none"/>
              </w:rPr>
            </w:pPr>
          </w:p>
        </w:tc>
        <w:tc>
          <w:tcPr>
            <w:tcW w:w="1593" w:type="dxa"/>
            <w:noWrap w:val="0"/>
            <w:vAlign w:val="top"/>
          </w:tcPr>
          <w:p w14:paraId="280666C6">
            <w:pPr>
              <w:keepNext w:val="0"/>
              <w:keepLines w:val="0"/>
              <w:suppressLineNumbers w:val="0"/>
              <w:snapToGrid w:val="0"/>
              <w:spacing w:before="0" w:beforeAutospacing="0" w:after="0" w:afterAutospacing="0" w:line="360" w:lineRule="auto"/>
              <w:ind w:left="0" w:right="0"/>
              <w:rPr>
                <w:rFonts w:hint="eastAsia" w:ascii="宋体" w:hAnsi="宋体" w:cs="宋体"/>
                <w:bCs/>
                <w:color w:val="000000"/>
                <w:sz w:val="24"/>
                <w:highlight w:val="none"/>
              </w:rPr>
            </w:pPr>
          </w:p>
        </w:tc>
      </w:tr>
      <w:tr w14:paraId="66D8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20" w:type="dxa"/>
            <w:noWrap w:val="0"/>
            <w:vAlign w:val="center"/>
          </w:tcPr>
          <w:p w14:paraId="68B55651">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1278" w:type="dxa"/>
            <w:noWrap w:val="0"/>
            <w:vAlign w:val="top"/>
          </w:tcPr>
          <w:p w14:paraId="1567568A">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2090" w:type="dxa"/>
            <w:noWrap w:val="0"/>
            <w:vAlign w:val="top"/>
          </w:tcPr>
          <w:p w14:paraId="538B5830">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755" w:type="dxa"/>
            <w:noWrap w:val="0"/>
            <w:vAlign w:val="top"/>
          </w:tcPr>
          <w:p w14:paraId="0F53158D">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425" w:type="dxa"/>
            <w:noWrap w:val="0"/>
            <w:vAlign w:val="top"/>
          </w:tcPr>
          <w:p w14:paraId="51ED19A6">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593" w:type="dxa"/>
            <w:noWrap w:val="0"/>
            <w:vAlign w:val="top"/>
          </w:tcPr>
          <w:p w14:paraId="68491875">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r>
      <w:tr w14:paraId="5193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20" w:type="dxa"/>
            <w:noWrap w:val="0"/>
            <w:vAlign w:val="center"/>
          </w:tcPr>
          <w:p w14:paraId="41B10592">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1278" w:type="dxa"/>
            <w:noWrap w:val="0"/>
            <w:vAlign w:val="top"/>
          </w:tcPr>
          <w:p w14:paraId="4F771BCA">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2090" w:type="dxa"/>
            <w:noWrap w:val="0"/>
            <w:vAlign w:val="top"/>
          </w:tcPr>
          <w:p w14:paraId="511EA429">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755" w:type="dxa"/>
            <w:noWrap w:val="0"/>
            <w:vAlign w:val="top"/>
          </w:tcPr>
          <w:p w14:paraId="0E04E5DF">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425" w:type="dxa"/>
            <w:noWrap w:val="0"/>
            <w:vAlign w:val="top"/>
          </w:tcPr>
          <w:p w14:paraId="40B43955">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593" w:type="dxa"/>
            <w:noWrap w:val="0"/>
            <w:vAlign w:val="top"/>
          </w:tcPr>
          <w:p w14:paraId="25F2A2D9">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r>
      <w:tr w14:paraId="723A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20" w:type="dxa"/>
            <w:noWrap w:val="0"/>
            <w:vAlign w:val="center"/>
          </w:tcPr>
          <w:p w14:paraId="27D63CAC">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000000"/>
                <w:sz w:val="24"/>
                <w:highlight w:val="none"/>
              </w:rPr>
            </w:pPr>
            <w:r>
              <w:rPr>
                <w:rFonts w:hint="eastAsia" w:ascii="宋体" w:hAnsi="宋体" w:cs="宋体"/>
                <w:color w:val="000000"/>
                <w:sz w:val="24"/>
                <w:highlight w:val="none"/>
              </w:rPr>
              <w:t>……</w:t>
            </w:r>
          </w:p>
        </w:tc>
        <w:tc>
          <w:tcPr>
            <w:tcW w:w="1278" w:type="dxa"/>
            <w:noWrap w:val="0"/>
            <w:vAlign w:val="top"/>
          </w:tcPr>
          <w:p w14:paraId="1BE12EFC">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2090" w:type="dxa"/>
            <w:noWrap w:val="0"/>
            <w:vAlign w:val="top"/>
          </w:tcPr>
          <w:p w14:paraId="099256E3">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755" w:type="dxa"/>
            <w:noWrap w:val="0"/>
            <w:vAlign w:val="top"/>
          </w:tcPr>
          <w:p w14:paraId="6BEF8F17">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425" w:type="dxa"/>
            <w:noWrap w:val="0"/>
            <w:vAlign w:val="top"/>
          </w:tcPr>
          <w:p w14:paraId="64E1E157">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593" w:type="dxa"/>
            <w:noWrap w:val="0"/>
            <w:vAlign w:val="top"/>
          </w:tcPr>
          <w:p w14:paraId="5291C457">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r>
      <w:tr w14:paraId="63AD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20" w:type="dxa"/>
            <w:noWrap w:val="0"/>
            <w:vAlign w:val="center"/>
          </w:tcPr>
          <w:p w14:paraId="7FE36EE4">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000000"/>
                <w:sz w:val="24"/>
                <w:highlight w:val="none"/>
              </w:rPr>
            </w:pPr>
          </w:p>
        </w:tc>
        <w:tc>
          <w:tcPr>
            <w:tcW w:w="1278" w:type="dxa"/>
            <w:noWrap w:val="0"/>
            <w:vAlign w:val="top"/>
          </w:tcPr>
          <w:p w14:paraId="07CD07BB">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2090" w:type="dxa"/>
            <w:noWrap w:val="0"/>
            <w:vAlign w:val="top"/>
          </w:tcPr>
          <w:p w14:paraId="5CEC68E2">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755" w:type="dxa"/>
            <w:noWrap w:val="0"/>
            <w:vAlign w:val="top"/>
          </w:tcPr>
          <w:p w14:paraId="20A15D49">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425" w:type="dxa"/>
            <w:noWrap w:val="0"/>
            <w:vAlign w:val="top"/>
          </w:tcPr>
          <w:p w14:paraId="6D729BA4">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c>
          <w:tcPr>
            <w:tcW w:w="1593" w:type="dxa"/>
            <w:noWrap w:val="0"/>
            <w:vAlign w:val="top"/>
          </w:tcPr>
          <w:p w14:paraId="711CE2C0">
            <w:pPr>
              <w:keepNext w:val="0"/>
              <w:keepLines w:val="0"/>
              <w:suppressLineNumbers w:val="0"/>
              <w:snapToGrid w:val="0"/>
              <w:spacing w:before="0" w:beforeAutospacing="0" w:after="0" w:afterAutospacing="0" w:line="360" w:lineRule="auto"/>
              <w:ind w:left="0" w:right="0"/>
              <w:rPr>
                <w:rFonts w:hint="eastAsia" w:ascii="宋体" w:hAnsi="宋体" w:cs="宋体"/>
                <w:color w:val="000000"/>
                <w:sz w:val="24"/>
                <w:highlight w:val="none"/>
              </w:rPr>
            </w:pPr>
          </w:p>
        </w:tc>
      </w:tr>
    </w:tbl>
    <w:p w14:paraId="4CC3C4F3">
      <w:pPr>
        <w:pStyle w:val="15"/>
        <w:tabs>
          <w:tab w:val="left" w:pos="5370"/>
        </w:tabs>
        <w:spacing w:line="240" w:lineRule="atLeast"/>
        <w:rPr>
          <w:rFonts w:hint="eastAsia" w:hAnsi="宋体" w:cs="宋体"/>
          <w:color w:val="000000"/>
          <w:sz w:val="24"/>
          <w:szCs w:val="24"/>
          <w:highlight w:val="none"/>
          <w:lang w:eastAsia="zh-CN"/>
        </w:rPr>
      </w:pPr>
    </w:p>
    <w:p w14:paraId="46BAB15F">
      <w:pPr>
        <w:pStyle w:val="15"/>
        <w:tabs>
          <w:tab w:val="left" w:pos="5370"/>
        </w:tabs>
        <w:spacing w:line="240" w:lineRule="atLeast"/>
        <w:rPr>
          <w:rFonts w:hint="default" w:ascii="宋体" w:hAnsi="宋体" w:eastAsia="宋体" w:cs="宋体"/>
          <w:color w:val="000000"/>
          <w:szCs w:val="24"/>
          <w:highlight w:val="none"/>
          <w:lang w:val="en-US" w:eastAsia="zh-CN"/>
        </w:rPr>
      </w:pPr>
      <w:r>
        <w:rPr>
          <w:rFonts w:hint="eastAsia" w:hAnsi="宋体" w:cs="宋体"/>
          <w:color w:val="000000"/>
          <w:sz w:val="24"/>
          <w:szCs w:val="24"/>
          <w:highlight w:val="none"/>
          <w:lang w:val="en-US" w:eastAsia="zh-CN"/>
        </w:rPr>
        <w:t>投标人</w:t>
      </w:r>
      <w:r>
        <w:rPr>
          <w:rFonts w:hint="eastAsia" w:hAnsi="宋体" w:cs="宋体"/>
          <w:color w:val="000000"/>
          <w:sz w:val="24"/>
          <w:szCs w:val="24"/>
          <w:highlight w:val="none"/>
        </w:rPr>
        <w:t>(盖单位章):</w:t>
      </w:r>
      <w:r>
        <w:rPr>
          <w:rFonts w:hint="eastAsia" w:hAnsi="宋体" w:cs="宋体"/>
          <w:color w:val="000000"/>
          <w:sz w:val="24"/>
          <w:szCs w:val="24"/>
          <w:highlight w:val="none"/>
          <w:u w:val="single"/>
        </w:rPr>
        <w:tab/>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u w:val="single"/>
          <w:lang w:val="en-US" w:eastAsia="zh-CN"/>
        </w:rPr>
        <w:t xml:space="preserve">     </w:t>
      </w:r>
    </w:p>
    <w:p w14:paraId="493E4A3A">
      <w:pPr>
        <w:pStyle w:val="34"/>
        <w:ind w:left="0" w:leftChars="0" w:firstLine="0" w:firstLineChars="0"/>
        <w:rPr>
          <w:rFonts w:ascii="宋体" w:hAnsi="宋体" w:eastAsia="宋体" w:cs="宋体"/>
          <w:color w:val="000000"/>
          <w:szCs w:val="24"/>
          <w:highlight w:val="none"/>
        </w:rPr>
      </w:pPr>
    </w:p>
    <w:p w14:paraId="047F7B0E">
      <w:pPr>
        <w:pStyle w:val="34"/>
        <w:ind w:left="0" w:leftChars="0" w:firstLine="0" w:firstLineChars="0"/>
        <w:rPr>
          <w:rFonts w:ascii="Cambria" w:hAnsi="Cambria"/>
          <w:b w:val="0"/>
          <w:i w:val="0"/>
          <w:caps w:val="0"/>
          <w:spacing w:val="0"/>
          <w:w w:val="100"/>
          <w:sz w:val="24"/>
        </w:rPr>
      </w:pPr>
      <w:r>
        <w:rPr>
          <w:rFonts w:ascii="宋体" w:hAnsi="宋体" w:eastAsia="宋体" w:cs="宋体"/>
          <w:color w:val="000000"/>
          <w:szCs w:val="24"/>
          <w:highlight w:val="none"/>
        </w:rPr>
        <w:t>法定代表人或其委托代理人</w:t>
      </w:r>
      <w:r>
        <w:rPr>
          <w:rFonts w:hint="eastAsia" w:eastAsia="宋体" w:cs="宋体"/>
          <w:color w:val="000000"/>
          <w:szCs w:val="24"/>
          <w:highlight w:val="none"/>
          <w:lang w:eastAsia="zh-CN"/>
        </w:rPr>
        <w:t>（</w:t>
      </w:r>
      <w:r>
        <w:rPr>
          <w:rFonts w:ascii="宋体" w:hAnsi="宋体" w:eastAsia="宋体" w:cs="宋体"/>
          <w:color w:val="000000"/>
          <w:szCs w:val="24"/>
          <w:highlight w:val="none"/>
        </w:rPr>
        <w:t>签字</w:t>
      </w:r>
      <w:r>
        <w:rPr>
          <w:rFonts w:hint="eastAsia" w:eastAsia="宋体" w:cs="宋体"/>
          <w:color w:val="000000"/>
          <w:szCs w:val="24"/>
          <w:highlight w:val="none"/>
          <w:lang w:val="en-US" w:eastAsia="zh-CN"/>
        </w:rPr>
        <w:t>或签章</w:t>
      </w:r>
      <w:r>
        <w:rPr>
          <w:rFonts w:hint="eastAsia" w:eastAsia="宋体" w:cs="宋体"/>
          <w:color w:val="000000"/>
          <w:szCs w:val="24"/>
          <w:highlight w:val="none"/>
          <w:lang w:eastAsia="zh-CN"/>
        </w:rPr>
        <w:t>）</w:t>
      </w:r>
      <w:r>
        <w:rPr>
          <w:rFonts w:ascii="宋体" w:hAnsi="宋体" w:eastAsia="宋体" w:cs="宋体"/>
          <w:color w:val="000000"/>
          <w:szCs w:val="24"/>
          <w:highlight w:val="none"/>
        </w:rPr>
        <w:t>:</w:t>
      </w:r>
      <w:r>
        <w:rPr>
          <w:rFonts w:ascii="宋体" w:hAnsi="宋体" w:eastAsia="宋体" w:cs="宋体"/>
          <w:color w:val="000000"/>
          <w:szCs w:val="24"/>
          <w:highlight w:val="none"/>
          <w:u w:val="single"/>
        </w:rPr>
        <w:t xml:space="preserve">     </w:t>
      </w:r>
      <w:r>
        <w:rPr>
          <w:rFonts w:ascii="宋体" w:hAnsi="宋体" w:eastAsia="宋体" w:cs="宋体"/>
          <w:color w:val="000000"/>
          <w:szCs w:val="24"/>
          <w:highlight w:val="none"/>
          <w:u w:val="single"/>
        </w:rPr>
        <w:tab/>
      </w:r>
      <w:r>
        <w:rPr>
          <w:rFonts w:ascii="宋体" w:hAnsi="宋体" w:eastAsia="宋体" w:cs="宋体"/>
          <w:color w:val="000000"/>
          <w:szCs w:val="24"/>
          <w:highlight w:val="none"/>
          <w:u w:val="single"/>
        </w:rPr>
        <w:t xml:space="preserve">        </w:t>
      </w:r>
      <w:r>
        <w:rPr>
          <w:rFonts w:ascii="宋体" w:hAnsi="宋体" w:eastAsia="宋体" w:cs="宋体"/>
          <w:color w:val="000000"/>
          <w:szCs w:val="24"/>
          <w:highlight w:val="none"/>
          <w:u w:val="single"/>
        </w:rPr>
        <w:tab/>
      </w:r>
      <w:r>
        <w:rPr>
          <w:rFonts w:ascii="宋体" w:hAnsi="宋体" w:eastAsia="宋体" w:cs="宋体"/>
          <w:color w:val="000000"/>
          <w:szCs w:val="24"/>
          <w:highlight w:val="none"/>
          <w:u w:val="single"/>
        </w:rPr>
        <w:t xml:space="preserve">   </w:t>
      </w:r>
    </w:p>
    <w:p w14:paraId="4D18FD3F">
      <w:pPr>
        <w:pStyle w:val="34"/>
        <w:ind w:left="0" w:leftChars="0" w:firstLine="0" w:firstLineChars="0"/>
        <w:rPr>
          <w:rFonts w:ascii="Cambria" w:hAnsi="Cambria"/>
          <w:b w:val="0"/>
          <w:i w:val="0"/>
          <w:caps w:val="0"/>
          <w:spacing w:val="0"/>
          <w:w w:val="100"/>
          <w:sz w:val="24"/>
        </w:rPr>
      </w:pPr>
    </w:p>
    <w:bookmarkEnd w:id="883"/>
    <w:bookmarkEnd w:id="884"/>
    <w:bookmarkEnd w:id="885"/>
    <w:bookmarkEnd w:id="886"/>
    <w:bookmarkEnd w:id="887"/>
    <w:p w14:paraId="0EE226E6">
      <w:pPr>
        <w:bidi w:val="0"/>
        <w:rPr>
          <w:rFonts w:hint="eastAsia"/>
          <w:lang w:val="en-US" w:eastAsia="zh-CN"/>
        </w:rPr>
      </w:pPr>
      <w:bookmarkStart w:id="894" w:name="_Toc21009"/>
      <w:bookmarkStart w:id="895" w:name="_Toc28674"/>
      <w:bookmarkStart w:id="896" w:name="_Toc4280"/>
      <w:bookmarkStart w:id="897" w:name="_Toc9052"/>
      <w:bookmarkStart w:id="898" w:name="_Toc4342"/>
    </w:p>
    <w:p w14:paraId="4AEADED1">
      <w:pPr>
        <w:bidi w:val="0"/>
        <w:rPr>
          <w:rFonts w:hint="eastAsia"/>
          <w:lang w:val="en-US" w:eastAsia="zh-CN"/>
        </w:rPr>
      </w:pPr>
    </w:p>
    <w:p w14:paraId="557C8A4C">
      <w:pPr>
        <w:bidi w:val="0"/>
        <w:ind w:firstLine="3570" w:firstLineChars="1700"/>
        <w:rPr>
          <w:rFonts w:hint="eastAsia"/>
          <w:lang w:val="en-US" w:eastAsia="zh-CN"/>
        </w:rPr>
      </w:pPr>
    </w:p>
    <w:p w14:paraId="496B9F3A">
      <w:pPr>
        <w:bidi w:val="0"/>
        <w:ind w:firstLine="3570" w:firstLineChars="1700"/>
        <w:rPr>
          <w:rFonts w:hint="eastAsia"/>
          <w:lang w:val="en-US" w:eastAsia="zh-CN"/>
        </w:rPr>
      </w:pPr>
    </w:p>
    <w:p w14:paraId="481113F1">
      <w:pPr>
        <w:bidi w:val="0"/>
        <w:ind w:firstLine="3570" w:firstLineChars="1700"/>
        <w:rPr>
          <w:rFonts w:hint="eastAsia"/>
          <w:lang w:val="en-US" w:eastAsia="zh-CN"/>
        </w:rPr>
      </w:pPr>
    </w:p>
    <w:p w14:paraId="1BBD2456">
      <w:pPr>
        <w:bidi w:val="0"/>
        <w:ind w:firstLine="3570" w:firstLineChars="1700"/>
        <w:rPr>
          <w:rFonts w:hint="eastAsia"/>
          <w:lang w:val="en-US" w:eastAsia="zh-CN"/>
        </w:rPr>
      </w:pPr>
    </w:p>
    <w:p w14:paraId="1568A3DA">
      <w:pPr>
        <w:bidi w:val="0"/>
        <w:ind w:firstLine="3570" w:firstLineChars="1700"/>
        <w:rPr>
          <w:rFonts w:hint="eastAsia"/>
          <w:lang w:val="en-US" w:eastAsia="zh-CN"/>
        </w:rPr>
      </w:pPr>
    </w:p>
    <w:p w14:paraId="74CABDA9">
      <w:pPr>
        <w:bidi w:val="0"/>
        <w:ind w:firstLine="3570" w:firstLineChars="1700"/>
        <w:rPr>
          <w:rFonts w:hint="eastAsia"/>
          <w:lang w:val="en-US" w:eastAsia="zh-CN"/>
        </w:rPr>
      </w:pPr>
    </w:p>
    <w:p w14:paraId="0C96F2C8">
      <w:pPr>
        <w:bidi w:val="0"/>
        <w:ind w:firstLine="3570" w:firstLineChars="1700"/>
        <w:rPr>
          <w:rFonts w:hint="eastAsia"/>
          <w:lang w:val="en-US" w:eastAsia="zh-CN"/>
        </w:rPr>
      </w:pPr>
    </w:p>
    <w:p w14:paraId="1BFF8398">
      <w:pPr>
        <w:bidi w:val="0"/>
        <w:ind w:firstLine="3570" w:firstLineChars="1700"/>
        <w:rPr>
          <w:rFonts w:hint="eastAsia"/>
          <w:lang w:val="en-US" w:eastAsia="zh-CN"/>
        </w:rPr>
      </w:pPr>
    </w:p>
    <w:p w14:paraId="317E0A8F">
      <w:pPr>
        <w:bidi w:val="0"/>
        <w:ind w:firstLine="3570" w:firstLineChars="1700"/>
        <w:rPr>
          <w:rFonts w:hint="eastAsia"/>
          <w:lang w:val="en-US" w:eastAsia="zh-CN"/>
        </w:rPr>
      </w:pPr>
    </w:p>
    <w:p w14:paraId="49D546C1">
      <w:pPr>
        <w:bidi w:val="0"/>
        <w:ind w:firstLine="3570" w:firstLineChars="1700"/>
        <w:rPr>
          <w:rFonts w:hint="eastAsia"/>
          <w:lang w:val="en-US" w:eastAsia="zh-CN"/>
        </w:rPr>
      </w:pPr>
    </w:p>
    <w:p w14:paraId="027338E4">
      <w:pPr>
        <w:bidi w:val="0"/>
        <w:ind w:firstLine="3570" w:firstLineChars="1700"/>
        <w:rPr>
          <w:rFonts w:hint="eastAsia"/>
          <w:lang w:val="en-US" w:eastAsia="zh-CN"/>
        </w:rPr>
      </w:pPr>
    </w:p>
    <w:p w14:paraId="6DA0667E">
      <w:pPr>
        <w:bidi w:val="0"/>
        <w:ind w:firstLine="3570" w:firstLineChars="1700"/>
        <w:rPr>
          <w:rFonts w:hint="eastAsia"/>
          <w:lang w:val="en-US" w:eastAsia="zh-CN"/>
        </w:rPr>
      </w:pPr>
    </w:p>
    <w:p w14:paraId="7C2AA8D0">
      <w:pPr>
        <w:bidi w:val="0"/>
        <w:ind w:firstLine="3570" w:firstLineChars="1700"/>
        <w:rPr>
          <w:rFonts w:hint="eastAsia"/>
          <w:lang w:val="en-US" w:eastAsia="zh-CN"/>
        </w:rPr>
      </w:pPr>
    </w:p>
    <w:p w14:paraId="4357CEC9">
      <w:pPr>
        <w:bidi w:val="0"/>
        <w:ind w:firstLine="3570" w:firstLineChars="1700"/>
        <w:rPr>
          <w:rFonts w:hint="eastAsia"/>
          <w:lang w:val="en-US" w:eastAsia="zh-CN"/>
        </w:rPr>
      </w:pPr>
    </w:p>
    <w:p w14:paraId="7C388246">
      <w:pPr>
        <w:bidi w:val="0"/>
        <w:ind w:firstLine="3570" w:firstLineChars="1700"/>
        <w:rPr>
          <w:rFonts w:hint="eastAsia"/>
          <w:lang w:val="en-US" w:eastAsia="zh-CN"/>
        </w:rPr>
      </w:pPr>
    </w:p>
    <w:p w14:paraId="15873544">
      <w:pPr>
        <w:bidi w:val="0"/>
        <w:ind w:firstLine="3570" w:firstLineChars="1700"/>
        <w:rPr>
          <w:rFonts w:hint="eastAsia"/>
          <w:lang w:val="en-US" w:eastAsia="zh-CN"/>
        </w:rPr>
      </w:pPr>
    </w:p>
    <w:p w14:paraId="4BB96615">
      <w:pPr>
        <w:bidi w:val="0"/>
        <w:ind w:firstLine="3570" w:firstLineChars="1700"/>
        <w:rPr>
          <w:rFonts w:hint="eastAsia"/>
          <w:lang w:val="en-US" w:eastAsia="zh-CN"/>
        </w:rPr>
      </w:pPr>
    </w:p>
    <w:p w14:paraId="12135E67">
      <w:pPr>
        <w:bidi w:val="0"/>
        <w:ind w:firstLine="3570" w:firstLineChars="1700"/>
        <w:rPr>
          <w:rFonts w:hint="eastAsia"/>
          <w:lang w:val="en-US" w:eastAsia="zh-CN"/>
        </w:rPr>
      </w:pPr>
    </w:p>
    <w:p w14:paraId="3E2341F1">
      <w:pPr>
        <w:bidi w:val="0"/>
        <w:ind w:firstLine="3570" w:firstLineChars="1700"/>
        <w:rPr>
          <w:rFonts w:hint="eastAsia"/>
          <w:lang w:val="en-US" w:eastAsia="zh-CN"/>
        </w:rPr>
      </w:pPr>
    </w:p>
    <w:p w14:paraId="412926A2">
      <w:pPr>
        <w:bidi w:val="0"/>
        <w:ind w:firstLine="3570" w:firstLineChars="1700"/>
        <w:rPr>
          <w:rFonts w:hint="eastAsia"/>
          <w:lang w:val="en-US" w:eastAsia="zh-CN"/>
        </w:rPr>
      </w:pPr>
    </w:p>
    <w:p w14:paraId="30D121EC">
      <w:pPr>
        <w:bidi w:val="0"/>
        <w:ind w:firstLine="3570" w:firstLineChars="1700"/>
        <w:rPr>
          <w:rFonts w:hint="eastAsia"/>
          <w:lang w:val="en-US" w:eastAsia="zh-CN"/>
        </w:rPr>
      </w:pPr>
    </w:p>
    <w:p w14:paraId="0C4160BD">
      <w:pPr>
        <w:bidi w:val="0"/>
        <w:ind w:firstLine="3570" w:firstLineChars="1700"/>
        <w:rPr>
          <w:rFonts w:hint="eastAsia"/>
          <w:lang w:val="en-US" w:eastAsia="zh-CN"/>
        </w:rPr>
      </w:pPr>
    </w:p>
    <w:p w14:paraId="5258EDB8">
      <w:pPr>
        <w:bidi w:val="0"/>
        <w:ind w:firstLine="3570" w:firstLineChars="1700"/>
        <w:rPr>
          <w:rFonts w:hint="eastAsia"/>
          <w:lang w:val="en-US" w:eastAsia="zh-CN"/>
        </w:rPr>
      </w:pPr>
    </w:p>
    <w:p w14:paraId="3EE32DBE">
      <w:pPr>
        <w:bidi w:val="0"/>
        <w:ind w:firstLine="3570" w:firstLineChars="1700"/>
        <w:rPr>
          <w:rFonts w:hint="eastAsia"/>
          <w:lang w:val="en-US" w:eastAsia="zh-CN"/>
        </w:rPr>
      </w:pPr>
    </w:p>
    <w:p w14:paraId="2790BF1A">
      <w:pPr>
        <w:bidi w:val="0"/>
        <w:ind w:firstLine="3570" w:firstLineChars="1700"/>
        <w:rPr>
          <w:rFonts w:hint="eastAsia"/>
          <w:lang w:val="en-US" w:eastAsia="zh-CN"/>
        </w:rPr>
      </w:pPr>
    </w:p>
    <w:p w14:paraId="1E55A720">
      <w:pPr>
        <w:pStyle w:val="15"/>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1"/>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3  商务条款偏离表</w:t>
      </w:r>
      <w:bookmarkEnd w:id="894"/>
      <w:bookmarkEnd w:id="895"/>
      <w:bookmarkEnd w:id="896"/>
      <w:bookmarkEnd w:id="897"/>
      <w:bookmarkEnd w:id="898"/>
    </w:p>
    <w:p w14:paraId="000E48DC">
      <w:pPr>
        <w:pStyle w:val="15"/>
        <w:spacing w:line="360" w:lineRule="exact"/>
        <w:ind w:left="1080" w:leftChars="257" w:hanging="540"/>
        <w:rPr>
          <w:rFonts w:ascii="宋体" w:hAnsi="宋体" w:eastAsia="宋体" w:cs="宋体"/>
        </w:rPr>
      </w:pPr>
    </w:p>
    <w:p w14:paraId="03A0C69C">
      <w:pPr>
        <w:pStyle w:val="15"/>
        <w:snapToGrid w:val="0"/>
        <w:spacing w:before="0" w:beforeAutospacing="0" w:after="0" w:afterAutospacing="0" w:line="240" w:lineRule="atLeast"/>
        <w:ind w:left="79" w:leftChars="-27" w:hangingChars="57"/>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项目名称:                                        </w:t>
      </w:r>
      <w:r>
        <w:rPr>
          <w:rFonts w:hint="eastAsia" w:ascii="仿宋_GB2312" w:hAnsi="仿宋_GB2312" w:eastAsia="仿宋_GB2312" w:cs="仿宋_GB2312"/>
          <w:b w:val="0"/>
          <w:i w:val="0"/>
          <w:caps w:val="0"/>
          <w:spacing w:val="0"/>
          <w:w w:val="100"/>
          <w:sz w:val="24"/>
          <w:lang w:val="en-US" w:eastAsia="zh-CN"/>
        </w:rPr>
        <w:t>项目</w:t>
      </w:r>
      <w:r>
        <w:rPr>
          <w:rFonts w:hint="eastAsia" w:ascii="仿宋_GB2312" w:hAnsi="仿宋_GB2312" w:eastAsia="仿宋_GB2312" w:cs="仿宋_GB2312"/>
          <w:b w:val="0"/>
          <w:i w:val="0"/>
          <w:caps w:val="0"/>
          <w:spacing w:val="0"/>
          <w:w w:val="100"/>
          <w:sz w:val="24"/>
        </w:rPr>
        <w:t xml:space="preserve">编号:                       </w:t>
      </w:r>
    </w:p>
    <w:p w14:paraId="1AF33ECD">
      <w:pPr>
        <w:pStyle w:val="15"/>
        <w:snapToGrid w:val="0"/>
        <w:spacing w:before="0" w:beforeAutospacing="0" w:after="0" w:afterAutospacing="0" w:line="240" w:lineRule="atLeast"/>
        <w:ind w:left="79" w:leftChars="-27" w:hangingChars="57"/>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 xml:space="preserve">标    段: 　 　                                </w:t>
      </w:r>
    </w:p>
    <w:p w14:paraId="02F00859">
      <w:pPr>
        <w:pStyle w:val="15"/>
        <w:spacing w:line="360" w:lineRule="exact"/>
        <w:ind w:left="1080" w:leftChars="257" w:hanging="540"/>
        <w:rPr>
          <w:rFonts w:ascii="宋体" w:hAnsi="宋体" w:eastAsia="宋体" w:cs="宋体"/>
        </w:rPr>
      </w:pPr>
    </w:p>
    <w:tbl>
      <w:tblPr>
        <w:tblStyle w:val="36"/>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760"/>
        <w:gridCol w:w="2913"/>
        <w:gridCol w:w="1212"/>
      </w:tblGrid>
      <w:tr w14:paraId="3962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4659E450">
            <w:pPr>
              <w:pStyle w:val="15"/>
              <w:keepNext w:val="0"/>
              <w:keepLines w:val="0"/>
              <w:suppressLineNumbers w:val="0"/>
              <w:spacing w:before="0" w:beforeAutospacing="0" w:after="0" w:afterAutospacing="0" w:line="360" w:lineRule="exact"/>
              <w:ind w:left="0" w:right="0"/>
              <w:jc w:val="center"/>
              <w:rPr>
                <w:rFonts w:hint="default" w:ascii="宋体" w:hAnsi="宋体" w:eastAsia="宋体" w:cs="宋体"/>
              </w:rPr>
            </w:pPr>
            <w:r>
              <w:rPr>
                <w:rFonts w:hint="eastAsia" w:ascii="宋体" w:hAnsi="宋体" w:eastAsia="宋体" w:cs="宋体"/>
              </w:rPr>
              <w:t>序号</w:t>
            </w:r>
          </w:p>
        </w:tc>
        <w:tc>
          <w:tcPr>
            <w:tcW w:w="2760" w:type="dxa"/>
            <w:noWrap w:val="0"/>
            <w:vAlign w:val="top"/>
          </w:tcPr>
          <w:p w14:paraId="0945F52B">
            <w:pPr>
              <w:pStyle w:val="15"/>
              <w:keepNext w:val="0"/>
              <w:keepLines w:val="0"/>
              <w:suppressLineNumbers w:val="0"/>
              <w:spacing w:before="0" w:beforeAutospacing="0" w:after="0" w:afterAutospacing="0" w:line="360" w:lineRule="exact"/>
              <w:ind w:left="0" w:right="0"/>
              <w:jc w:val="center"/>
              <w:rPr>
                <w:rFonts w:hint="default" w:ascii="宋体" w:hAnsi="宋体" w:eastAsia="宋体" w:cs="宋体"/>
              </w:rPr>
            </w:pPr>
            <w:r>
              <w:rPr>
                <w:rFonts w:hint="eastAsia" w:hAnsi="宋体" w:eastAsia="宋体" w:cs="宋体"/>
                <w:highlight w:val="none"/>
                <w:lang w:eastAsia="zh-CN"/>
              </w:rPr>
              <w:t>招标</w:t>
            </w:r>
            <w:r>
              <w:rPr>
                <w:rFonts w:hint="eastAsia" w:ascii="宋体" w:hAnsi="宋体" w:eastAsia="宋体" w:cs="宋体"/>
                <w:highlight w:val="none"/>
              </w:rPr>
              <w:t>文件的商</w:t>
            </w:r>
            <w:r>
              <w:rPr>
                <w:rFonts w:hint="eastAsia" w:ascii="宋体" w:hAnsi="宋体" w:eastAsia="宋体" w:cs="宋体"/>
              </w:rPr>
              <w:t>务条款</w:t>
            </w:r>
          </w:p>
        </w:tc>
        <w:tc>
          <w:tcPr>
            <w:tcW w:w="2913" w:type="dxa"/>
            <w:noWrap w:val="0"/>
            <w:vAlign w:val="top"/>
          </w:tcPr>
          <w:p w14:paraId="45E85F53">
            <w:pPr>
              <w:pStyle w:val="15"/>
              <w:keepNext w:val="0"/>
              <w:keepLines w:val="0"/>
              <w:suppressLineNumbers w:val="0"/>
              <w:spacing w:before="0" w:beforeAutospacing="0" w:after="0" w:afterAutospacing="0" w:line="360" w:lineRule="exact"/>
              <w:ind w:left="0" w:right="0"/>
              <w:jc w:val="center"/>
              <w:rPr>
                <w:rFonts w:hint="default" w:ascii="宋体" w:hAnsi="宋体" w:eastAsia="宋体" w:cs="宋体"/>
              </w:rPr>
            </w:pPr>
            <w:r>
              <w:rPr>
                <w:rFonts w:hint="eastAsia" w:hAnsi="宋体" w:eastAsia="宋体" w:cs="宋体"/>
                <w:lang w:eastAsia="zh-CN"/>
              </w:rPr>
              <w:t>投标</w:t>
            </w:r>
            <w:r>
              <w:rPr>
                <w:rFonts w:hint="eastAsia" w:ascii="宋体" w:hAnsi="宋体" w:eastAsia="宋体" w:cs="宋体"/>
              </w:rPr>
              <w:t>文件的商务条款</w:t>
            </w:r>
          </w:p>
        </w:tc>
        <w:tc>
          <w:tcPr>
            <w:tcW w:w="1212" w:type="dxa"/>
            <w:noWrap w:val="0"/>
            <w:vAlign w:val="top"/>
          </w:tcPr>
          <w:p w14:paraId="29B1F359">
            <w:pPr>
              <w:pStyle w:val="15"/>
              <w:keepNext w:val="0"/>
              <w:keepLines w:val="0"/>
              <w:suppressLineNumbers w:val="0"/>
              <w:spacing w:before="0" w:beforeAutospacing="0" w:after="0" w:afterAutospacing="0" w:line="360" w:lineRule="exact"/>
              <w:ind w:left="0" w:right="0"/>
              <w:jc w:val="center"/>
              <w:rPr>
                <w:rFonts w:hint="default" w:ascii="宋体" w:hAnsi="宋体" w:eastAsia="宋体" w:cs="宋体"/>
              </w:rPr>
            </w:pPr>
            <w:r>
              <w:rPr>
                <w:rFonts w:hint="eastAsia" w:ascii="宋体" w:hAnsi="宋体" w:eastAsia="宋体" w:cs="宋体"/>
              </w:rPr>
              <w:t>说明</w:t>
            </w:r>
          </w:p>
        </w:tc>
      </w:tr>
      <w:tr w14:paraId="2D19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066FB108">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0122540C">
            <w:pPr>
              <w:pStyle w:val="15"/>
              <w:keepNext w:val="0"/>
              <w:keepLines w:val="0"/>
              <w:suppressLineNumbers w:val="0"/>
              <w:spacing w:before="0" w:beforeAutospacing="0" w:after="0" w:afterAutospacing="0" w:line="360" w:lineRule="exact"/>
              <w:ind w:left="1080" w:leftChars="257" w:right="0" w:hanging="540"/>
              <w:jc w:val="center"/>
              <w:rPr>
                <w:rFonts w:hint="default" w:ascii="宋体" w:hAnsi="宋体" w:eastAsia="宋体" w:cs="宋体"/>
              </w:rPr>
            </w:pPr>
          </w:p>
        </w:tc>
        <w:tc>
          <w:tcPr>
            <w:tcW w:w="2913" w:type="dxa"/>
            <w:noWrap w:val="0"/>
            <w:vAlign w:val="top"/>
          </w:tcPr>
          <w:p w14:paraId="0D193F10">
            <w:pPr>
              <w:pStyle w:val="15"/>
              <w:keepNext w:val="0"/>
              <w:keepLines w:val="0"/>
              <w:suppressLineNumbers w:val="0"/>
              <w:spacing w:before="0" w:beforeAutospacing="0" w:after="0" w:afterAutospacing="0" w:line="360" w:lineRule="exact"/>
              <w:ind w:left="1080" w:leftChars="257" w:right="0" w:hanging="540"/>
              <w:jc w:val="center"/>
              <w:rPr>
                <w:rFonts w:hint="default" w:ascii="宋体" w:hAnsi="宋体" w:eastAsia="宋体" w:cs="宋体"/>
              </w:rPr>
            </w:pPr>
          </w:p>
        </w:tc>
        <w:tc>
          <w:tcPr>
            <w:tcW w:w="1212" w:type="dxa"/>
            <w:noWrap w:val="0"/>
            <w:vAlign w:val="top"/>
          </w:tcPr>
          <w:p w14:paraId="65E4AC9F">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0160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4D58D37D">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21BC6378">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49CF8F43">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24C45798">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0994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7D27F612">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7E30CC2F">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1E09CCD1">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4B801D56">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21D3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328A0342">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5C82DE3D">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75F11B95">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7608CB89">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32EF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67DBBF01">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7D529432">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05188A23">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1ABEF181">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00B0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47701BD1">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1E6E4986">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5B878E64">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6B1D68B4">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2DE3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65CABE39">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7F607C49">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66103040">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562D64A9">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1F2A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0102C618">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20AC5CD9">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4D6857A2">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2446712F">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r w14:paraId="282E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35" w:type="dxa"/>
            <w:noWrap w:val="0"/>
            <w:vAlign w:val="top"/>
          </w:tcPr>
          <w:p w14:paraId="575698B8">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760" w:type="dxa"/>
            <w:noWrap w:val="0"/>
            <w:vAlign w:val="top"/>
          </w:tcPr>
          <w:p w14:paraId="1048B8A4">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2913" w:type="dxa"/>
            <w:noWrap w:val="0"/>
            <w:vAlign w:val="top"/>
          </w:tcPr>
          <w:p w14:paraId="6D89A3FC">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c>
          <w:tcPr>
            <w:tcW w:w="1212" w:type="dxa"/>
            <w:noWrap w:val="0"/>
            <w:vAlign w:val="top"/>
          </w:tcPr>
          <w:p w14:paraId="77119202">
            <w:pPr>
              <w:pStyle w:val="15"/>
              <w:keepNext w:val="0"/>
              <w:keepLines w:val="0"/>
              <w:suppressLineNumbers w:val="0"/>
              <w:spacing w:before="0" w:beforeAutospacing="0" w:after="0" w:afterAutospacing="0" w:line="360" w:lineRule="exact"/>
              <w:ind w:left="1080" w:leftChars="257" w:right="0" w:hanging="540"/>
              <w:rPr>
                <w:rFonts w:hint="default" w:ascii="宋体" w:hAnsi="宋体" w:eastAsia="宋体" w:cs="宋体"/>
              </w:rPr>
            </w:pPr>
          </w:p>
        </w:tc>
      </w:tr>
    </w:tbl>
    <w:p w14:paraId="6CB5AB12">
      <w:pPr>
        <w:pStyle w:val="15"/>
        <w:tabs>
          <w:tab w:val="left" w:pos="5370"/>
        </w:tabs>
        <w:snapToGrid w:val="0"/>
        <w:spacing w:before="0" w:beforeAutospacing="0" w:after="0" w:afterAutospacing="0" w:line="240" w:lineRule="atLeast"/>
        <w:ind w:left="1080" w:leftChars="257" w:hanging="540"/>
        <w:jc w:val="both"/>
        <w:textAlignment w:val="baseline"/>
        <w:rPr>
          <w:rFonts w:hint="eastAsia" w:ascii="仿宋_GB2312" w:hAnsi="仿宋_GB2312" w:eastAsia="仿宋_GB2312" w:cs="仿宋_GB2312"/>
          <w:b w:val="0"/>
          <w:i w:val="0"/>
          <w:caps w:val="0"/>
          <w:spacing w:val="0"/>
          <w:w w:val="100"/>
          <w:sz w:val="24"/>
        </w:rPr>
      </w:pPr>
    </w:p>
    <w:p w14:paraId="0FC27195">
      <w:pPr>
        <w:pStyle w:val="15"/>
        <w:snapToGrid w:val="0"/>
        <w:spacing w:before="0" w:beforeAutospacing="0" w:after="0" w:afterAutospacing="0" w:line="240" w:lineRule="atLeast"/>
        <w:ind w:left="1080" w:leftChars="257" w:hanging="540"/>
        <w:jc w:val="both"/>
        <w:textAlignment w:val="baseline"/>
        <w:rPr>
          <w:rFonts w:ascii="仿宋_GB2312" w:hAnsi="仿宋_GB2312" w:eastAsia="仿宋_GB2312" w:cs="仿宋_GB2312"/>
          <w:b w:val="0"/>
          <w:i w:val="0"/>
          <w:caps w:val="0"/>
          <w:spacing w:val="0"/>
          <w:w w:val="100"/>
          <w:sz w:val="24"/>
        </w:rPr>
      </w:pPr>
    </w:p>
    <w:p w14:paraId="70711BE9">
      <w:pPr>
        <w:pStyle w:val="15"/>
        <w:tabs>
          <w:tab w:val="left" w:pos="5370"/>
        </w:tabs>
        <w:snapToGrid w:val="0"/>
        <w:spacing w:before="0" w:beforeAutospacing="0" w:after="0" w:afterAutospacing="0" w:line="240" w:lineRule="atLeast"/>
        <w:ind w:left="1080" w:leftChars="257" w:hanging="540"/>
        <w:jc w:val="both"/>
        <w:textAlignment w:val="baseline"/>
        <w:rPr>
          <w:rFonts w:hint="eastAsia" w:ascii="宋体" w:hAnsi="宋体" w:cs="宋体"/>
          <w:b/>
          <w:bCs/>
          <w:color w:val="000000"/>
          <w:sz w:val="24"/>
          <w:highlight w:val="none"/>
        </w:rPr>
      </w:pPr>
      <w:r>
        <w:rPr>
          <w:rFonts w:hint="eastAsia" w:ascii="仿宋_GB2312" w:hAnsi="仿宋_GB2312" w:eastAsia="仿宋_GB2312" w:cs="仿宋_GB2312"/>
          <w:b w:val="0"/>
          <w:i w:val="0"/>
          <w:caps w:val="0"/>
          <w:spacing w:val="0"/>
          <w:w w:val="100"/>
          <w:sz w:val="24"/>
        </w:rPr>
        <w:t>投标人(盖单位章):</w:t>
      </w:r>
      <w:r>
        <w:rPr>
          <w:rFonts w:hint="eastAsia" w:ascii="仿宋_GB2312" w:hAnsi="仿宋_GB2312" w:eastAsia="仿宋_GB2312" w:cs="仿宋_GB2312"/>
          <w:b w:val="0"/>
          <w:i w:val="0"/>
          <w:caps w:val="0"/>
          <w:spacing w:val="0"/>
          <w:w w:val="100"/>
          <w:sz w:val="24"/>
          <w:u w:val="single" w:color="000000"/>
        </w:rPr>
        <w:tab/>
      </w:r>
      <w:r>
        <w:rPr>
          <w:rFonts w:hint="eastAsia" w:ascii="仿宋_GB2312" w:hAnsi="仿宋_GB2312" w:eastAsia="仿宋_GB2312" w:cs="仿宋_GB2312"/>
          <w:b w:val="0"/>
          <w:i w:val="0"/>
          <w:caps w:val="0"/>
          <w:spacing w:val="0"/>
          <w:w w:val="100"/>
          <w:sz w:val="24"/>
          <w:u w:val="single" w:color="000000"/>
          <w:lang w:val="en-US" w:eastAsia="zh-CN"/>
        </w:rPr>
        <w:t xml:space="preserve">          </w:t>
      </w:r>
    </w:p>
    <w:p w14:paraId="5645BE75">
      <w:pPr>
        <w:pStyle w:val="15"/>
        <w:tabs>
          <w:tab w:val="left" w:pos="5370"/>
        </w:tabs>
        <w:snapToGrid w:val="0"/>
        <w:spacing w:before="0" w:beforeAutospacing="0" w:after="0" w:afterAutospacing="0" w:line="240" w:lineRule="atLeast"/>
        <w:ind w:left="1080" w:leftChars="257" w:hanging="540"/>
        <w:jc w:val="both"/>
        <w:textAlignment w:val="baseline"/>
        <w:rPr>
          <w:rFonts w:hint="eastAsia" w:ascii="仿宋_GB2312" w:hAnsi="仿宋_GB2312" w:eastAsia="仿宋_GB2312" w:cs="仿宋_GB2312"/>
          <w:b w:val="0"/>
          <w:i w:val="0"/>
          <w:caps w:val="0"/>
          <w:spacing w:val="0"/>
          <w:w w:val="100"/>
          <w:sz w:val="24"/>
        </w:rPr>
      </w:pPr>
    </w:p>
    <w:p w14:paraId="1CDD4DDD">
      <w:pPr>
        <w:pStyle w:val="15"/>
        <w:tabs>
          <w:tab w:val="left" w:pos="5370"/>
        </w:tabs>
        <w:snapToGrid w:val="0"/>
        <w:spacing w:before="0" w:beforeAutospacing="0" w:after="0" w:afterAutospacing="0" w:line="240" w:lineRule="atLeast"/>
        <w:ind w:left="1080" w:leftChars="257" w:hanging="540"/>
        <w:jc w:val="both"/>
        <w:textAlignment w:val="baseline"/>
        <w:rPr>
          <w:rFonts w:hint="default" w:ascii="仿宋_GB2312" w:hAnsi="仿宋_GB2312" w:eastAsia="仿宋_GB2312" w:cs="仿宋_GB2312"/>
          <w:b w:val="0"/>
          <w:i w:val="0"/>
          <w:caps w:val="0"/>
          <w:spacing w:val="0"/>
          <w:w w:val="100"/>
          <w:sz w:val="24"/>
          <w:u w:val="single"/>
          <w:lang w:val="en-US" w:eastAsia="zh-CN"/>
        </w:rPr>
      </w:pPr>
      <w:r>
        <w:rPr>
          <w:rFonts w:hint="eastAsia" w:ascii="仿宋_GB2312" w:hAnsi="仿宋_GB2312" w:eastAsia="仿宋_GB2312" w:cs="仿宋_GB2312"/>
          <w:b w:val="0"/>
          <w:i w:val="0"/>
          <w:caps w:val="0"/>
          <w:spacing w:val="0"/>
          <w:w w:val="100"/>
          <w:sz w:val="24"/>
        </w:rPr>
        <w:t>法定代表人或其委托代理人</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spacing w:val="0"/>
          <w:w w:val="100"/>
          <w:sz w:val="24"/>
        </w:rPr>
        <w:t>签字</w:t>
      </w:r>
      <w:r>
        <w:rPr>
          <w:rFonts w:hint="eastAsia" w:ascii="仿宋_GB2312" w:hAnsi="仿宋_GB2312" w:eastAsia="仿宋_GB2312" w:cs="仿宋_GB2312"/>
          <w:b w:val="0"/>
          <w:i w:val="0"/>
          <w:caps w:val="0"/>
          <w:spacing w:val="0"/>
          <w:w w:val="100"/>
          <w:sz w:val="24"/>
          <w:lang w:val="en-US" w:eastAsia="zh-CN"/>
        </w:rPr>
        <w:t>或签章</w:t>
      </w:r>
      <w:r>
        <w:rPr>
          <w:rFonts w:hint="eastAsia" w:ascii="仿宋_GB2312" w:hAnsi="仿宋_GB2312" w:eastAsia="仿宋_GB2312" w:cs="仿宋_GB2312"/>
          <w:b w:val="0"/>
          <w:i w:val="0"/>
          <w:caps w:val="0"/>
          <w:spacing w:val="0"/>
          <w:w w:val="100"/>
          <w:sz w:val="24"/>
          <w:lang w:eastAsia="zh-CN"/>
        </w:rPr>
        <w:t>）</w:t>
      </w:r>
      <w:r>
        <w:rPr>
          <w:rFonts w:hint="eastAsia" w:ascii="仿宋_GB2312" w:hAnsi="仿宋_GB2312" w:eastAsia="仿宋_GB2312" w:cs="仿宋_GB2312"/>
          <w:b w:val="0"/>
          <w:i w:val="0"/>
          <w:caps w:val="0"/>
          <w:spacing w:val="0"/>
          <w:w w:val="100"/>
          <w:sz w:val="24"/>
        </w:rPr>
        <w:t>:</w:t>
      </w:r>
      <w:r>
        <w:rPr>
          <w:rFonts w:hint="eastAsia" w:ascii="仿宋_GB2312" w:hAnsi="仿宋_GB2312" w:eastAsia="仿宋_GB2312" w:cs="仿宋_GB2312"/>
          <w:b w:val="0"/>
          <w:i w:val="0"/>
          <w:caps w:val="0"/>
          <w:spacing w:val="0"/>
          <w:w w:val="100"/>
          <w:sz w:val="24"/>
          <w:u w:val="single" w:color="000000"/>
        </w:rPr>
        <w:tab/>
      </w:r>
      <w:r>
        <w:rPr>
          <w:rFonts w:hint="eastAsia" w:ascii="仿宋_GB2312" w:hAnsi="仿宋_GB2312" w:eastAsia="仿宋_GB2312" w:cs="仿宋_GB2312"/>
          <w:b w:val="0"/>
          <w:i w:val="0"/>
          <w:caps w:val="0"/>
          <w:spacing w:val="0"/>
          <w:w w:val="100"/>
          <w:sz w:val="24"/>
          <w:u w:val="single" w:color="000000"/>
          <w:lang w:val="en-US" w:eastAsia="zh-CN"/>
        </w:rPr>
        <w:t xml:space="preserve">          </w:t>
      </w:r>
    </w:p>
    <w:p w14:paraId="47722DFC">
      <w:pPr>
        <w:pStyle w:val="15"/>
        <w:snapToGrid w:val="0"/>
        <w:spacing w:before="0" w:beforeAutospacing="0" w:after="0" w:afterAutospacing="0" w:line="240" w:lineRule="atLeast"/>
        <w:ind w:left="1080" w:leftChars="257" w:hanging="540"/>
        <w:jc w:val="center"/>
        <w:textAlignment w:val="baseline"/>
        <w:rPr>
          <w:rFonts w:ascii="仿宋_GB2312" w:hAnsi="仿宋_GB2312" w:eastAsia="仿宋_GB2312" w:cs="仿宋_GB2312"/>
          <w:b w:val="0"/>
          <w:i w:val="0"/>
          <w:caps w:val="0"/>
          <w:spacing w:val="0"/>
          <w:w w:val="100"/>
          <w:sz w:val="24"/>
        </w:rPr>
        <w:sectPr>
          <w:headerReference r:id="rId9" w:type="default"/>
          <w:footerReference r:id="rId10" w:type="default"/>
          <w:pgSz w:w="11906" w:h="16838"/>
          <w:pgMar w:top="1440" w:right="1797" w:bottom="1440" w:left="1797" w:header="851" w:footer="992" w:gutter="0"/>
          <w:pgNumType w:fmt="decimal"/>
          <w:cols w:space="720" w:num="1"/>
          <w:docGrid w:linePitch="312" w:charSpace="0"/>
        </w:sectPr>
      </w:pPr>
    </w:p>
    <w:p w14:paraId="219EE1E3">
      <w:pPr>
        <w:pStyle w:val="4"/>
        <w:spacing w:before="0" w:line="240" w:lineRule="atLeast"/>
        <w:ind w:left="1080" w:leftChars="257" w:hanging="540"/>
        <w:rPr>
          <w:rFonts w:hint="eastAsia" w:ascii="仿宋" w:hAnsi="仿宋" w:eastAsia="仿宋" w:cs="仿宋"/>
          <w:b/>
          <w:bCs/>
          <w:color w:val="000000"/>
          <w:kern w:val="2"/>
          <w:sz w:val="24"/>
          <w:szCs w:val="24"/>
          <w:highlight w:val="none"/>
          <w:lang w:val="en-US" w:eastAsia="zh-CN" w:bidi="ar-SA"/>
        </w:rPr>
      </w:pPr>
      <w:bookmarkStart w:id="899" w:name="_Toc13357"/>
      <w:bookmarkStart w:id="900" w:name="_Toc8037"/>
      <w:bookmarkStart w:id="901" w:name="_Toc17608"/>
      <w:bookmarkStart w:id="902" w:name="_Toc27691"/>
      <w:bookmarkStart w:id="903" w:name="_Toc12610"/>
      <w:bookmarkStart w:id="904" w:name="_Toc32361"/>
      <w:bookmarkStart w:id="905" w:name="_Toc14681"/>
    </w:p>
    <w:p w14:paraId="7E7A609C">
      <w:pPr>
        <w:pStyle w:val="4"/>
        <w:spacing w:before="0" w:line="240" w:lineRule="atLeast"/>
        <w:ind w:left="1080" w:leftChars="257" w:hanging="540"/>
        <w:rPr>
          <w:rFonts w:hint="eastAsia" w:ascii="仿宋" w:hAnsi="仿宋" w:eastAsia="仿宋" w:cs="仿宋"/>
          <w:b/>
          <w:bCs/>
          <w:color w:val="000000"/>
          <w:kern w:val="2"/>
          <w:sz w:val="24"/>
          <w:szCs w:val="24"/>
          <w:highlight w:val="none"/>
          <w:lang w:val="en-US" w:eastAsia="zh-CN" w:bidi="ar-SA"/>
        </w:rPr>
      </w:pPr>
      <w:r>
        <w:rPr>
          <w:rFonts w:hint="eastAsia" w:ascii="仿宋" w:hAnsi="仿宋" w:eastAsia="仿宋" w:cs="仿宋"/>
          <w:b/>
          <w:bCs/>
          <w:color w:val="000000"/>
          <w:kern w:val="2"/>
          <w:sz w:val="24"/>
          <w:szCs w:val="24"/>
          <w:highlight w:val="none"/>
          <w:lang w:val="en-US" w:eastAsia="zh-CN" w:bidi="ar-SA"/>
        </w:rPr>
        <w:t>4    项目负责人及实施团队人员名单简历表</w:t>
      </w:r>
      <w:bookmarkEnd w:id="899"/>
      <w:bookmarkEnd w:id="900"/>
      <w:bookmarkEnd w:id="901"/>
      <w:bookmarkEnd w:id="902"/>
      <w:bookmarkEnd w:id="903"/>
      <w:bookmarkEnd w:id="904"/>
      <w:bookmarkEnd w:id="905"/>
    </w:p>
    <w:p w14:paraId="3A14EEF9">
      <w:pPr>
        <w:rPr>
          <w:rFonts w:hint="eastAsia"/>
          <w:lang w:val="en-US" w:eastAsia="zh-CN"/>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096"/>
        <w:gridCol w:w="1219"/>
        <w:gridCol w:w="2521"/>
        <w:gridCol w:w="2068"/>
      </w:tblGrid>
      <w:tr w14:paraId="398E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496" w:type="dxa"/>
            <w:gridSpan w:val="2"/>
            <w:noWrap w:val="0"/>
            <w:vAlign w:val="center"/>
          </w:tcPr>
          <w:p w14:paraId="7157E440">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姓名</w:t>
            </w:r>
          </w:p>
        </w:tc>
        <w:tc>
          <w:tcPr>
            <w:tcW w:w="1219" w:type="dxa"/>
            <w:noWrap w:val="0"/>
            <w:vAlign w:val="center"/>
          </w:tcPr>
          <w:p w14:paraId="32A41C57">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75AE3D65">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性别</w:t>
            </w:r>
          </w:p>
        </w:tc>
        <w:tc>
          <w:tcPr>
            <w:tcW w:w="2068" w:type="dxa"/>
            <w:noWrap w:val="0"/>
            <w:vAlign w:val="center"/>
          </w:tcPr>
          <w:p w14:paraId="1E948EF5">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4B6E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gridSpan w:val="2"/>
            <w:noWrap w:val="0"/>
            <w:vAlign w:val="center"/>
          </w:tcPr>
          <w:p w14:paraId="47DE560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职务</w:t>
            </w:r>
          </w:p>
        </w:tc>
        <w:tc>
          <w:tcPr>
            <w:tcW w:w="1219" w:type="dxa"/>
            <w:noWrap w:val="0"/>
            <w:vAlign w:val="center"/>
          </w:tcPr>
          <w:p w14:paraId="27E28B96">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77D49B3C">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职称</w:t>
            </w:r>
          </w:p>
        </w:tc>
        <w:tc>
          <w:tcPr>
            <w:tcW w:w="2068" w:type="dxa"/>
            <w:noWrap w:val="0"/>
            <w:vAlign w:val="center"/>
          </w:tcPr>
          <w:p w14:paraId="3B5695DA">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73E9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gridSpan w:val="2"/>
            <w:noWrap w:val="0"/>
            <w:vAlign w:val="center"/>
          </w:tcPr>
          <w:p w14:paraId="3B04D0AF">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毕业学校、专业</w:t>
            </w:r>
          </w:p>
        </w:tc>
        <w:tc>
          <w:tcPr>
            <w:tcW w:w="5808" w:type="dxa"/>
            <w:gridSpan w:val="3"/>
            <w:noWrap w:val="0"/>
            <w:vAlign w:val="center"/>
          </w:tcPr>
          <w:p w14:paraId="37951FBD">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1DB6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gridSpan w:val="2"/>
            <w:noWrap w:val="0"/>
            <w:vAlign w:val="center"/>
          </w:tcPr>
          <w:p w14:paraId="4808F778">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身份证号</w:t>
            </w:r>
          </w:p>
        </w:tc>
        <w:tc>
          <w:tcPr>
            <w:tcW w:w="1219" w:type="dxa"/>
            <w:noWrap w:val="0"/>
            <w:vAlign w:val="center"/>
          </w:tcPr>
          <w:p w14:paraId="7F997CE7">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45B11FC8">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拟在本项目任职</w:t>
            </w:r>
          </w:p>
        </w:tc>
        <w:tc>
          <w:tcPr>
            <w:tcW w:w="2068" w:type="dxa"/>
            <w:noWrap w:val="0"/>
            <w:vAlign w:val="center"/>
          </w:tcPr>
          <w:p w14:paraId="7CDAF80C">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512E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96" w:type="dxa"/>
            <w:gridSpan w:val="2"/>
            <w:noWrap w:val="0"/>
            <w:vAlign w:val="center"/>
          </w:tcPr>
          <w:p w14:paraId="6BD2A057">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执业资格证</w:t>
            </w:r>
          </w:p>
        </w:tc>
        <w:tc>
          <w:tcPr>
            <w:tcW w:w="1219" w:type="dxa"/>
            <w:noWrap w:val="0"/>
            <w:vAlign w:val="center"/>
          </w:tcPr>
          <w:p w14:paraId="633B43CB">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2257AF73">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执业资格证书号</w:t>
            </w:r>
          </w:p>
        </w:tc>
        <w:tc>
          <w:tcPr>
            <w:tcW w:w="2068" w:type="dxa"/>
            <w:noWrap w:val="0"/>
            <w:vAlign w:val="center"/>
          </w:tcPr>
          <w:p w14:paraId="6C639FF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468C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4" w:type="dxa"/>
            <w:gridSpan w:val="5"/>
            <w:noWrap w:val="0"/>
            <w:vAlign w:val="center"/>
          </w:tcPr>
          <w:p w14:paraId="13C5BA8C">
            <w:pPr>
              <w:pStyle w:val="15"/>
              <w:keepNext w:val="0"/>
              <w:keepLines w:val="0"/>
              <w:suppressLineNumbers w:val="0"/>
              <w:spacing w:before="0" w:beforeAutospacing="0" w:after="0" w:afterAutospacing="0" w:line="360" w:lineRule="auto"/>
              <w:ind w:left="0" w:right="0"/>
              <w:jc w:val="left"/>
              <w:rPr>
                <w:rFonts w:hint="eastAsia" w:hAnsi="宋体" w:cs="宋体"/>
                <w:color w:val="000000"/>
                <w:sz w:val="24"/>
                <w:szCs w:val="24"/>
                <w:highlight w:val="none"/>
              </w:rPr>
            </w:pPr>
            <w:r>
              <w:rPr>
                <w:rFonts w:hint="eastAsia" w:hAnsi="宋体" w:cs="宋体"/>
                <w:color w:val="000000"/>
                <w:sz w:val="24"/>
                <w:szCs w:val="24"/>
                <w:highlight w:val="none"/>
              </w:rPr>
              <w:t>近____年承担项目情况</w:t>
            </w:r>
          </w:p>
        </w:tc>
      </w:tr>
      <w:tr w14:paraId="3731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0" w:type="dxa"/>
            <w:noWrap w:val="0"/>
            <w:vAlign w:val="center"/>
          </w:tcPr>
          <w:p w14:paraId="718BA0DE">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时间</w:t>
            </w:r>
          </w:p>
        </w:tc>
        <w:tc>
          <w:tcPr>
            <w:tcW w:w="2315" w:type="dxa"/>
            <w:gridSpan w:val="2"/>
            <w:noWrap w:val="0"/>
            <w:vAlign w:val="center"/>
          </w:tcPr>
          <w:p w14:paraId="2CEEB8CB">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类似项目名称</w:t>
            </w:r>
          </w:p>
        </w:tc>
        <w:tc>
          <w:tcPr>
            <w:tcW w:w="2521" w:type="dxa"/>
            <w:noWrap w:val="0"/>
            <w:vAlign w:val="center"/>
          </w:tcPr>
          <w:p w14:paraId="1B39BC9A">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项目单位名称</w:t>
            </w:r>
          </w:p>
        </w:tc>
        <w:tc>
          <w:tcPr>
            <w:tcW w:w="2068" w:type="dxa"/>
            <w:noWrap w:val="0"/>
            <w:vAlign w:val="center"/>
          </w:tcPr>
          <w:p w14:paraId="1B43B38D">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r>
              <w:rPr>
                <w:rFonts w:hint="eastAsia" w:hAnsi="宋体" w:cs="宋体"/>
                <w:color w:val="000000"/>
                <w:sz w:val="24"/>
                <w:szCs w:val="24"/>
                <w:highlight w:val="none"/>
              </w:rPr>
              <w:t>电话</w:t>
            </w:r>
          </w:p>
        </w:tc>
      </w:tr>
      <w:tr w14:paraId="6D2A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32C61076">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2B533FF4">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71263DF0">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3ADECB86">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5F64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26B6AFAE">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6B3680CA">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396CA410">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5241730B">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64F3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4BC8DC03">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0E376706">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12132297">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10B888E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2D3C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40F4994E">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3A6CDC2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47B751F7">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0F8B5D55">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7C7D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1A4C2047">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5D6BF4AA">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5B76B438">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161D58BC">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65C4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613F10B8">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17FA79A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1B2FBDD3">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24FFDB64">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329A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2DF5D70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20449682">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443E9B6C">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2DAFF040">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r w14:paraId="2213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14:paraId="0223FA1F">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315" w:type="dxa"/>
            <w:gridSpan w:val="2"/>
            <w:noWrap w:val="0"/>
            <w:vAlign w:val="center"/>
          </w:tcPr>
          <w:p w14:paraId="42F9EA10">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521" w:type="dxa"/>
            <w:noWrap w:val="0"/>
            <w:vAlign w:val="center"/>
          </w:tcPr>
          <w:p w14:paraId="17A41A0D">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c>
          <w:tcPr>
            <w:tcW w:w="2068" w:type="dxa"/>
            <w:noWrap w:val="0"/>
            <w:vAlign w:val="center"/>
          </w:tcPr>
          <w:p w14:paraId="1812F4A1">
            <w:pPr>
              <w:pStyle w:val="15"/>
              <w:keepNext w:val="0"/>
              <w:keepLines w:val="0"/>
              <w:suppressLineNumbers w:val="0"/>
              <w:spacing w:before="0" w:beforeAutospacing="0" w:after="0" w:afterAutospacing="0" w:line="360" w:lineRule="auto"/>
              <w:ind w:left="0" w:right="0"/>
              <w:jc w:val="center"/>
              <w:rPr>
                <w:rFonts w:hint="eastAsia" w:hAnsi="宋体" w:cs="宋体"/>
                <w:color w:val="000000"/>
                <w:sz w:val="24"/>
                <w:szCs w:val="24"/>
                <w:highlight w:val="none"/>
              </w:rPr>
            </w:pPr>
          </w:p>
        </w:tc>
      </w:tr>
    </w:tbl>
    <w:p w14:paraId="23F98C19">
      <w:pPr>
        <w:pStyle w:val="15"/>
        <w:tabs>
          <w:tab w:val="left" w:pos="5370"/>
        </w:tabs>
        <w:spacing w:line="240" w:lineRule="atLeast"/>
        <w:rPr>
          <w:rFonts w:hint="eastAsia" w:hAnsi="宋体" w:cs="宋体"/>
          <w:color w:val="000000"/>
          <w:sz w:val="24"/>
          <w:szCs w:val="24"/>
          <w:highlight w:val="none"/>
          <w:lang w:eastAsia="zh-CN"/>
        </w:rPr>
      </w:pPr>
    </w:p>
    <w:p w14:paraId="28B79E37">
      <w:pPr>
        <w:pStyle w:val="15"/>
        <w:tabs>
          <w:tab w:val="left" w:pos="5370"/>
        </w:tabs>
        <w:spacing w:line="240" w:lineRule="atLeast"/>
        <w:ind w:firstLine="240" w:firstLineChars="100"/>
        <w:rPr>
          <w:rFonts w:hint="default" w:hAnsi="宋体" w:eastAsia="宋体" w:cs="宋体"/>
          <w:color w:val="000000"/>
          <w:sz w:val="24"/>
          <w:szCs w:val="24"/>
          <w:highlight w:val="none"/>
          <w:u w:val="single"/>
          <w:lang w:val="en-US" w:eastAsia="zh-CN"/>
        </w:rPr>
      </w:pPr>
      <w:r>
        <w:rPr>
          <w:rFonts w:hint="eastAsia" w:hAnsi="宋体" w:cs="宋体"/>
          <w:color w:val="000000"/>
          <w:sz w:val="24"/>
          <w:szCs w:val="24"/>
          <w:highlight w:val="none"/>
          <w:lang w:val="en-US" w:eastAsia="zh-CN"/>
        </w:rPr>
        <w:t>投标人</w:t>
      </w:r>
      <w:r>
        <w:rPr>
          <w:rFonts w:hint="eastAsia" w:hAnsi="宋体" w:cs="宋体"/>
          <w:color w:val="000000"/>
          <w:sz w:val="24"/>
          <w:szCs w:val="24"/>
          <w:highlight w:val="none"/>
        </w:rPr>
        <w:t>(盖单位章):</w:t>
      </w:r>
      <w:r>
        <w:rPr>
          <w:rFonts w:hint="eastAsia" w:hAnsi="宋体" w:cs="宋体"/>
          <w:color w:val="000000"/>
          <w:sz w:val="24"/>
          <w:szCs w:val="24"/>
          <w:highlight w:val="none"/>
          <w:u w:val="single"/>
        </w:rPr>
        <w:tab/>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u w:val="single"/>
          <w:lang w:val="en-US" w:eastAsia="zh-CN"/>
        </w:rPr>
        <w:t xml:space="preserve">         </w:t>
      </w:r>
    </w:p>
    <w:p w14:paraId="02F6E219">
      <w:pPr>
        <w:pStyle w:val="15"/>
        <w:tabs>
          <w:tab w:val="left" w:pos="5370"/>
        </w:tabs>
        <w:spacing w:line="240" w:lineRule="atLeast"/>
        <w:ind w:left="1080" w:leftChars="257" w:hanging="540"/>
        <w:rPr>
          <w:rFonts w:hint="eastAsia" w:hAnsi="宋体" w:cs="宋体"/>
          <w:color w:val="000000"/>
          <w:sz w:val="24"/>
          <w:szCs w:val="24"/>
          <w:highlight w:val="none"/>
          <w:u w:val="single"/>
        </w:rPr>
      </w:pPr>
    </w:p>
    <w:p w14:paraId="13D9C80F">
      <w:pPr>
        <w:pStyle w:val="15"/>
        <w:spacing w:line="360" w:lineRule="auto"/>
        <w:ind w:firstLine="240" w:firstLineChars="100"/>
        <w:rPr>
          <w:rFonts w:hint="default" w:hAnsi="宋体" w:eastAsia="宋体" w:cs="宋体"/>
          <w:color w:val="000000"/>
          <w:sz w:val="24"/>
          <w:szCs w:val="24"/>
          <w:highlight w:val="none"/>
          <w:lang w:val="en-US" w:eastAsia="zh-CN"/>
        </w:rPr>
      </w:pPr>
      <w:r>
        <w:rPr>
          <w:rFonts w:hint="eastAsia" w:hAnsi="宋体" w:cs="宋体"/>
          <w:color w:val="000000"/>
          <w:sz w:val="24"/>
          <w:szCs w:val="24"/>
          <w:highlight w:val="none"/>
        </w:rPr>
        <w:t>法定代表人或其委托代理人</w:t>
      </w:r>
      <w:r>
        <w:rPr>
          <w:rFonts w:hint="eastAsia" w:hAnsi="宋体" w:cs="宋体"/>
          <w:color w:val="000000"/>
          <w:sz w:val="24"/>
          <w:szCs w:val="24"/>
          <w:highlight w:val="none"/>
          <w:lang w:eastAsia="zh-CN"/>
        </w:rPr>
        <w:t>（</w:t>
      </w:r>
      <w:r>
        <w:rPr>
          <w:rFonts w:hint="eastAsia" w:hAnsi="宋体" w:cs="宋体"/>
          <w:color w:val="000000"/>
          <w:sz w:val="24"/>
          <w:szCs w:val="24"/>
          <w:highlight w:val="none"/>
        </w:rPr>
        <w:t>签字</w:t>
      </w:r>
      <w:r>
        <w:rPr>
          <w:rFonts w:hint="eastAsia" w:hAnsi="宋体" w:cs="宋体"/>
          <w:color w:val="000000"/>
          <w:sz w:val="24"/>
          <w:szCs w:val="24"/>
          <w:highlight w:val="none"/>
          <w:lang w:val="en-US" w:eastAsia="zh-CN"/>
        </w:rPr>
        <w:t>或签章</w:t>
      </w:r>
      <w:r>
        <w:rPr>
          <w:rFonts w:hint="eastAsia" w:hAnsi="宋体" w:cs="宋体"/>
          <w:color w:val="000000"/>
          <w:sz w:val="24"/>
          <w:szCs w:val="24"/>
          <w:highlight w:val="none"/>
          <w:lang w:eastAsia="zh-CN"/>
        </w:rPr>
        <w:t>）</w:t>
      </w:r>
      <w:r>
        <w:rPr>
          <w:rFonts w:hint="eastAsia" w:hAnsi="宋体" w:cs="宋体"/>
          <w:color w:val="000000"/>
          <w:sz w:val="24"/>
          <w:szCs w:val="24"/>
          <w:highlight w:val="none"/>
        </w:rPr>
        <w:t>:</w:t>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u w:val="single"/>
        </w:rPr>
        <w:tab/>
      </w:r>
      <w:r>
        <w:rPr>
          <w:rFonts w:hint="eastAsia" w:hAnsi="宋体" w:cs="宋体"/>
          <w:color w:val="000000"/>
          <w:sz w:val="24"/>
          <w:szCs w:val="24"/>
          <w:highlight w:val="none"/>
          <w:u w:val="single"/>
          <w:lang w:val="en-US" w:eastAsia="zh-CN"/>
        </w:rPr>
        <w:t xml:space="preserve">  </w:t>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u w:val="single"/>
          <w:lang w:val="en-US" w:eastAsia="zh-CN"/>
        </w:rPr>
        <w:t xml:space="preserve">      </w:t>
      </w:r>
    </w:p>
    <w:p w14:paraId="363EDE2D">
      <w:pPr>
        <w:pStyle w:val="15"/>
        <w:snapToGrid w:val="0"/>
        <w:spacing w:before="0" w:beforeAutospacing="0" w:after="0" w:afterAutospacing="0" w:line="240" w:lineRule="atLeast"/>
        <w:jc w:val="both"/>
        <w:textAlignment w:val="baseline"/>
        <w:rPr>
          <w:rFonts w:hint="eastAsia" w:ascii="宋体" w:hAnsi="宋体" w:cs="宋体"/>
          <w:b/>
          <w:bCs/>
          <w:color w:val="000000"/>
          <w:sz w:val="24"/>
          <w:highlight w:val="none"/>
        </w:rPr>
      </w:pPr>
    </w:p>
    <w:p w14:paraId="70DD7F88">
      <w:pPr>
        <w:pStyle w:val="15"/>
        <w:snapToGrid w:val="0"/>
        <w:spacing w:before="0" w:beforeAutospacing="0" w:after="0" w:afterAutospacing="0" w:line="240" w:lineRule="atLeast"/>
        <w:ind w:firstLine="241" w:firstLineChars="100"/>
        <w:jc w:val="both"/>
        <w:textAlignment w:val="baseline"/>
        <w:rPr>
          <w:rFonts w:ascii="仿宋" w:hAnsi="仿宋" w:eastAsia="仿宋" w:cs="仿宋"/>
          <w:b w:val="0"/>
          <w:i w:val="0"/>
          <w:caps w:val="0"/>
          <w:spacing w:val="0"/>
          <w:w w:val="100"/>
          <w:sz w:val="24"/>
        </w:rPr>
      </w:pPr>
      <w:r>
        <w:rPr>
          <w:rFonts w:hint="eastAsia" w:ascii="宋体" w:hAnsi="宋体" w:cs="宋体"/>
          <w:b/>
          <w:bCs/>
          <w:color w:val="000000"/>
          <w:sz w:val="24"/>
          <w:highlight w:val="none"/>
        </w:rPr>
        <w:t>注：</w:t>
      </w:r>
      <w:r>
        <w:rPr>
          <w:rFonts w:hint="eastAsia" w:ascii="宋体" w:hAnsi="宋体" w:cs="宋体"/>
          <w:b/>
          <w:bCs/>
          <w:color w:val="000000"/>
          <w:sz w:val="24"/>
          <w:highlight w:val="none"/>
          <w:lang w:eastAsia="zh-CN"/>
        </w:rPr>
        <w:t>按</w:t>
      </w:r>
      <w:r>
        <w:rPr>
          <w:rFonts w:hint="eastAsia" w:ascii="宋体" w:hAnsi="宋体" w:cs="宋体"/>
          <w:b/>
          <w:bCs/>
          <w:color w:val="000000"/>
          <w:sz w:val="24"/>
          <w:highlight w:val="none"/>
          <w:lang w:val="en-US" w:eastAsia="zh-CN"/>
        </w:rPr>
        <w:t>招标</w:t>
      </w:r>
      <w:r>
        <w:rPr>
          <w:rFonts w:hint="eastAsia" w:ascii="宋体" w:hAnsi="宋体" w:cs="宋体"/>
          <w:b/>
          <w:bCs/>
          <w:color w:val="000000"/>
          <w:sz w:val="24"/>
          <w:highlight w:val="none"/>
          <w:lang w:eastAsia="zh-CN"/>
        </w:rPr>
        <w:t>文件要求提供相应证书及社保证明等资料</w:t>
      </w:r>
      <w:r>
        <w:rPr>
          <w:rFonts w:hint="eastAsia" w:ascii="宋体" w:hAnsi="宋体" w:cs="宋体"/>
          <w:b/>
          <w:bCs/>
          <w:color w:val="000000"/>
          <w:sz w:val="24"/>
          <w:highlight w:val="none"/>
        </w:rPr>
        <w:t>；</w:t>
      </w:r>
    </w:p>
    <w:p w14:paraId="583840DA">
      <w:pPr>
        <w:pStyle w:val="15"/>
        <w:tabs>
          <w:tab w:val="left" w:pos="5580"/>
        </w:tabs>
        <w:snapToGrid w:val="0"/>
        <w:spacing w:before="0" w:beforeAutospacing="0" w:after="0" w:afterAutospacing="0" w:line="240" w:lineRule="atLeast"/>
        <w:jc w:val="both"/>
        <w:textAlignment w:val="baseline"/>
        <w:rPr>
          <w:rFonts w:ascii="仿宋_GB2312" w:hAnsi="仿宋_GB2312" w:eastAsia="仿宋_GB2312" w:cs="仿宋_GB2312"/>
          <w:b w:val="0"/>
          <w:i w:val="0"/>
          <w:caps w:val="0"/>
          <w:spacing w:val="0"/>
          <w:w w:val="100"/>
          <w:sz w:val="24"/>
        </w:rPr>
      </w:pPr>
    </w:p>
    <w:p w14:paraId="2046BC2B">
      <w:pPr>
        <w:pStyle w:val="4"/>
        <w:snapToGrid w:val="0"/>
        <w:spacing w:before="0" w:beforeAutospacing="0" w:after="0" w:afterAutospacing="0" w:line="240" w:lineRule="atLeast"/>
        <w:jc w:val="both"/>
        <w:textAlignment w:val="baseline"/>
        <w:rPr>
          <w:rFonts w:ascii="仿宋_GB2312" w:hAnsi="仿宋_GB2312" w:eastAsia="仿宋_GB2312" w:cs="仿宋_GB2312"/>
          <w:b/>
          <w:i w:val="0"/>
          <w:caps w:val="0"/>
          <w:spacing w:val="0"/>
          <w:w w:val="100"/>
          <w:sz w:val="24"/>
        </w:rPr>
      </w:pPr>
      <w:bookmarkStart w:id="906" w:name="_Toc28374"/>
      <w:bookmarkStart w:id="907" w:name="_Toc515647821"/>
      <w:bookmarkStart w:id="908" w:name="_Toc216582818"/>
      <w:bookmarkStart w:id="909" w:name="_Toc23"/>
      <w:bookmarkStart w:id="910" w:name="_Toc1980"/>
    </w:p>
    <w:p w14:paraId="3C844493">
      <w:pPr>
        <w:snapToGrid/>
        <w:spacing w:before="0" w:beforeAutospacing="0" w:after="0" w:afterAutospacing="0" w:line="240" w:lineRule="auto"/>
        <w:jc w:val="both"/>
        <w:textAlignment w:val="baseline"/>
        <w:rPr>
          <w:b w:val="0"/>
          <w:i w:val="0"/>
          <w:caps w:val="0"/>
          <w:spacing w:val="0"/>
          <w:w w:val="100"/>
          <w:sz w:val="20"/>
        </w:rPr>
      </w:pPr>
    </w:p>
    <w:p w14:paraId="7DC02B80">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hint="eastAsia" w:ascii="仿宋_GB2312" w:hAnsi="仿宋_GB2312" w:eastAsia="仿宋_GB2312" w:cs="仿宋_GB2312"/>
          <w:b/>
          <w:i w:val="0"/>
          <w:caps w:val="0"/>
          <w:spacing w:val="0"/>
          <w:w w:val="100"/>
          <w:sz w:val="24"/>
          <w:u w:val="none"/>
        </w:rPr>
      </w:pPr>
      <w:bookmarkStart w:id="911" w:name="_Toc14202"/>
      <w:bookmarkStart w:id="912" w:name="_Toc471"/>
      <w:bookmarkStart w:id="913" w:name="_Toc29157"/>
      <w:bookmarkStart w:id="914" w:name="_Toc16991"/>
      <w:bookmarkStart w:id="915" w:name="_Toc21884"/>
      <w:bookmarkStart w:id="916" w:name="_Toc17874"/>
      <w:bookmarkStart w:id="917" w:name="_Toc5952"/>
      <w:bookmarkStart w:id="918" w:name="_Toc9803"/>
    </w:p>
    <w:p w14:paraId="21693E4E">
      <w:pPr>
        <w:keepNext w:val="0"/>
        <w:keepLines w:val="0"/>
        <w:widowControl/>
        <w:suppressLineNumbers w:val="0"/>
        <w:shd w:val="clear" w:color="auto" w:fill="FFFFFF"/>
        <w:spacing w:before="100" w:beforeAutospacing="1" w:after="100" w:afterAutospacing="1" w:line="435" w:lineRule="atLeast"/>
        <w:ind w:right="0"/>
        <w:jc w:val="center"/>
        <w:rPr>
          <w:rFonts w:hint="eastAsia" w:ascii="仿宋" w:hAnsi="仿宋" w:eastAsia="仿宋" w:cs="仿宋"/>
          <w:b/>
          <w:bCs/>
          <w:color w:val="000000"/>
          <w:kern w:val="2"/>
          <w:sz w:val="24"/>
          <w:szCs w:val="24"/>
          <w:highlight w:val="none"/>
          <w:lang w:val="en-US" w:eastAsia="zh-CN" w:bidi="ar-SA"/>
        </w:rPr>
      </w:pPr>
      <w:r>
        <w:rPr>
          <w:rFonts w:hint="eastAsia" w:ascii="仿宋_GB2312" w:hAnsi="仿宋_GB2312" w:eastAsia="仿宋_GB2312" w:cs="仿宋_GB2312"/>
          <w:b/>
          <w:i w:val="0"/>
          <w:caps w:val="0"/>
          <w:spacing w:val="0"/>
          <w:w w:val="100"/>
          <w:sz w:val="24"/>
          <w:u w:val="none"/>
        </w:rPr>
        <w:br w:type="page"/>
      </w:r>
      <w:bookmarkEnd w:id="906"/>
      <w:bookmarkEnd w:id="907"/>
      <w:bookmarkEnd w:id="908"/>
      <w:bookmarkEnd w:id="909"/>
      <w:bookmarkEnd w:id="910"/>
      <w:bookmarkEnd w:id="911"/>
      <w:bookmarkEnd w:id="912"/>
      <w:bookmarkEnd w:id="913"/>
      <w:bookmarkEnd w:id="914"/>
      <w:bookmarkEnd w:id="915"/>
      <w:bookmarkEnd w:id="916"/>
      <w:bookmarkEnd w:id="917"/>
      <w:bookmarkEnd w:id="918"/>
      <w:bookmarkStart w:id="919" w:name="_Toc28524"/>
      <w:bookmarkStart w:id="920" w:name="_Toc5437"/>
      <w:r>
        <w:rPr>
          <w:rFonts w:hint="eastAsia" w:ascii="仿宋" w:hAnsi="仿宋" w:eastAsia="仿宋" w:cs="仿宋"/>
          <w:b/>
          <w:bCs/>
          <w:color w:val="000000"/>
          <w:kern w:val="2"/>
          <w:sz w:val="24"/>
          <w:szCs w:val="24"/>
          <w:highlight w:val="none"/>
          <w:lang w:val="en-US" w:eastAsia="zh-CN" w:bidi="ar-SA"/>
        </w:rPr>
        <w:t xml:space="preserve">5-1  </w:t>
      </w:r>
      <w:bookmarkStart w:id="921" w:name="_Toc11702"/>
      <w:bookmarkStart w:id="922" w:name="_Toc10725"/>
      <w:bookmarkStart w:id="923" w:name="_Toc11733"/>
      <w:bookmarkStart w:id="924" w:name="_Toc515647823"/>
      <w:r>
        <w:rPr>
          <w:rFonts w:hint="eastAsia" w:ascii="仿宋" w:hAnsi="仿宋" w:eastAsia="仿宋" w:cs="仿宋"/>
          <w:b/>
          <w:bCs/>
          <w:color w:val="000000"/>
          <w:kern w:val="2"/>
          <w:sz w:val="24"/>
          <w:szCs w:val="24"/>
          <w:highlight w:val="none"/>
          <w:lang w:val="en-US" w:eastAsia="zh-CN" w:bidi="ar-SA"/>
        </w:rPr>
        <w:t xml:space="preserve">  </w:t>
      </w:r>
      <w:bookmarkEnd w:id="921"/>
      <w:bookmarkEnd w:id="922"/>
      <w:bookmarkEnd w:id="923"/>
      <w:bookmarkEnd w:id="924"/>
      <w:bookmarkStart w:id="925" w:name="_Toc31155"/>
      <w:bookmarkStart w:id="926" w:name="_Toc25533"/>
      <w:bookmarkStart w:id="927" w:name="_Toc22709"/>
      <w:r>
        <w:rPr>
          <w:rFonts w:hint="eastAsia" w:ascii="仿宋" w:hAnsi="仿宋" w:eastAsia="仿宋" w:cs="仿宋"/>
          <w:b/>
          <w:bCs/>
          <w:color w:val="000000"/>
          <w:kern w:val="2"/>
          <w:sz w:val="24"/>
          <w:szCs w:val="24"/>
          <w:highlight w:val="none"/>
          <w:lang w:val="en-US" w:eastAsia="zh-CN" w:bidi="ar-SA"/>
        </w:rPr>
        <w:t>中小企业声明函（工程、服务）</w:t>
      </w:r>
      <w:bookmarkEnd w:id="925"/>
      <w:bookmarkEnd w:id="926"/>
      <w:bookmarkEnd w:id="927"/>
    </w:p>
    <w:p w14:paraId="36990927">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480" w:firstLineChars="200"/>
        <w:jc w:val="left"/>
        <w:textAlignment w:val="auto"/>
        <w:rPr>
          <w:rFonts w:hint="eastAsia" w:ascii="仿宋" w:hAnsi="仿宋" w:eastAsia="仿宋" w:cs="仿宋"/>
          <w:i w:val="0"/>
          <w:iCs w:val="0"/>
          <w:caps w:val="0"/>
          <w:color w:val="333333"/>
          <w:spacing w:val="0"/>
          <w:sz w:val="21"/>
          <w:szCs w:val="21"/>
        </w:rPr>
      </w:pPr>
      <w:r>
        <w:rPr>
          <w:rFonts w:hint="eastAsia" w:ascii="仿宋" w:hAnsi="仿宋" w:eastAsia="仿宋" w:cs="仿宋"/>
          <w:i w:val="0"/>
          <w:iCs w:val="0"/>
          <w:caps w:val="0"/>
          <w:color w:val="333333"/>
          <w:spacing w:val="0"/>
          <w:kern w:val="0"/>
          <w:sz w:val="24"/>
          <w:szCs w:val="24"/>
          <w:shd w:val="clear" w:color="auto" w:fill="FFFFFF"/>
          <w:lang w:val="en-US" w:eastAsia="zh-CN" w:bidi="ar"/>
        </w:rPr>
        <w:t>本公司（联合体）郑重声明，根据《政府采购促进中小企业发展管理办法》（财库﹝2020﹞46 号）的规定，本公司（联合体）参加</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（单位名称）</w:t>
      </w:r>
      <w:r>
        <w:rPr>
          <w:rFonts w:hint="eastAsia" w:ascii="仿宋" w:hAnsi="仿宋" w:eastAsia="仿宋" w:cs="仿宋"/>
          <w:i w:val="0"/>
          <w:iCs w:val="0"/>
          <w:caps w:val="0"/>
          <w:color w:val="333333"/>
          <w:spacing w:val="0"/>
          <w:kern w:val="0"/>
          <w:sz w:val="24"/>
          <w:szCs w:val="24"/>
          <w:shd w:val="clear" w:color="auto" w:fill="FFFFFF"/>
          <w:lang w:val="en-US" w:eastAsia="zh-CN" w:bidi="ar"/>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6D1DEBF7">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480" w:firstLineChars="200"/>
        <w:jc w:val="left"/>
        <w:textAlignment w:val="auto"/>
        <w:rPr>
          <w:rFonts w:hint="eastAsia" w:ascii="仿宋" w:hAnsi="仿宋" w:eastAsia="仿宋" w:cs="仿宋"/>
          <w:i w:val="0"/>
          <w:iCs w:val="0"/>
          <w:caps w:val="0"/>
          <w:color w:val="333333"/>
          <w:spacing w:val="0"/>
          <w:sz w:val="21"/>
          <w:szCs w:val="21"/>
        </w:rPr>
      </w:pP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1.   （标的名称）</w:t>
      </w:r>
      <w:r>
        <w:rPr>
          <w:rFonts w:hint="eastAsia" w:ascii="仿宋" w:hAnsi="仿宋" w:eastAsia="仿宋" w:cs="仿宋"/>
          <w:i w:val="0"/>
          <w:iCs w:val="0"/>
          <w:caps w:val="0"/>
          <w:color w:val="333333"/>
          <w:spacing w:val="0"/>
          <w:kern w:val="0"/>
          <w:sz w:val="24"/>
          <w:szCs w:val="24"/>
          <w:shd w:val="clear" w:color="auto" w:fill="FFFFFF"/>
          <w:lang w:val="en-US" w:eastAsia="zh-CN" w:bidi="ar"/>
        </w:rPr>
        <w:t>，属于</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（采购文件中明确的所属行业）</w:t>
      </w:r>
      <w:r>
        <w:rPr>
          <w:rFonts w:hint="eastAsia" w:ascii="仿宋" w:hAnsi="仿宋" w:eastAsia="仿宋" w:cs="仿宋"/>
          <w:i w:val="0"/>
          <w:iCs w:val="0"/>
          <w:caps w:val="0"/>
          <w:color w:val="333333"/>
          <w:spacing w:val="0"/>
          <w:kern w:val="0"/>
          <w:sz w:val="24"/>
          <w:szCs w:val="24"/>
          <w:shd w:val="clear" w:color="auto" w:fill="FFFFFF"/>
          <w:lang w:val="en-US" w:eastAsia="zh-CN" w:bidi="ar"/>
        </w:rPr>
        <w:t>；承建（承接）企业为</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（企业名称）</w:t>
      </w:r>
      <w:r>
        <w:rPr>
          <w:rFonts w:hint="eastAsia" w:ascii="仿宋" w:hAnsi="仿宋" w:eastAsia="仿宋" w:cs="仿宋"/>
          <w:i w:val="0"/>
          <w:iCs w:val="0"/>
          <w:caps w:val="0"/>
          <w:color w:val="333333"/>
          <w:spacing w:val="0"/>
          <w:kern w:val="0"/>
          <w:sz w:val="24"/>
          <w:szCs w:val="24"/>
          <w:shd w:val="clear" w:color="auto" w:fill="FFFFFF"/>
          <w:lang w:val="en-US" w:eastAsia="zh-CN" w:bidi="ar"/>
        </w:rPr>
        <w:t>，从业人员</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w:t>
      </w:r>
      <w:r>
        <w:rPr>
          <w:rFonts w:hint="eastAsia" w:ascii="仿宋" w:hAnsi="仿宋" w:eastAsia="仿宋" w:cs="仿宋"/>
          <w:i w:val="0"/>
          <w:iCs w:val="0"/>
          <w:caps w:val="0"/>
          <w:color w:val="333333"/>
          <w:spacing w:val="0"/>
          <w:kern w:val="0"/>
          <w:sz w:val="24"/>
          <w:szCs w:val="24"/>
          <w:shd w:val="clear" w:color="auto" w:fill="FFFFFF"/>
          <w:lang w:val="en-US" w:eastAsia="zh-CN" w:bidi="ar"/>
        </w:rPr>
        <w:t>人，营业收入为</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w:t>
      </w:r>
      <w:r>
        <w:rPr>
          <w:rFonts w:hint="eastAsia" w:ascii="仿宋" w:hAnsi="仿宋" w:eastAsia="仿宋" w:cs="仿宋"/>
          <w:i w:val="0"/>
          <w:iCs w:val="0"/>
          <w:caps w:val="0"/>
          <w:color w:val="333333"/>
          <w:spacing w:val="0"/>
          <w:kern w:val="0"/>
          <w:sz w:val="24"/>
          <w:szCs w:val="24"/>
          <w:shd w:val="clear" w:color="auto" w:fill="FFFFFF"/>
          <w:lang w:val="en-US" w:eastAsia="zh-CN" w:bidi="ar"/>
        </w:rPr>
        <w:t>万元，资产总额为</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w:t>
      </w:r>
      <w:r>
        <w:rPr>
          <w:rFonts w:hint="eastAsia" w:ascii="仿宋" w:hAnsi="仿宋" w:eastAsia="仿宋" w:cs="仿宋"/>
          <w:i w:val="0"/>
          <w:iCs w:val="0"/>
          <w:caps w:val="0"/>
          <w:color w:val="333333"/>
          <w:spacing w:val="0"/>
          <w:kern w:val="0"/>
          <w:sz w:val="24"/>
          <w:szCs w:val="24"/>
          <w:shd w:val="clear" w:color="auto" w:fill="FFFFFF"/>
          <w:lang w:val="en-US" w:eastAsia="zh-CN" w:bidi="ar"/>
        </w:rPr>
        <w:t>万元，属于</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（中型企业、小型企业、微型企业）</w:t>
      </w:r>
      <w:r>
        <w:rPr>
          <w:rFonts w:hint="eastAsia" w:ascii="仿宋" w:hAnsi="仿宋" w:eastAsia="仿宋" w:cs="仿宋"/>
          <w:i w:val="0"/>
          <w:iCs w:val="0"/>
          <w:caps w:val="0"/>
          <w:color w:val="333333"/>
          <w:spacing w:val="0"/>
          <w:kern w:val="0"/>
          <w:sz w:val="24"/>
          <w:szCs w:val="24"/>
          <w:shd w:val="clear" w:color="auto" w:fill="FFFFFF"/>
          <w:lang w:val="en-US" w:eastAsia="zh-CN" w:bidi="ar"/>
        </w:rPr>
        <w:t>；</w:t>
      </w:r>
    </w:p>
    <w:p w14:paraId="701A9019">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480" w:firstLineChars="200"/>
        <w:jc w:val="left"/>
        <w:textAlignment w:val="auto"/>
        <w:rPr>
          <w:rFonts w:hint="eastAsia" w:ascii="仿宋" w:hAnsi="仿宋" w:eastAsia="仿宋" w:cs="仿宋"/>
          <w:i w:val="0"/>
          <w:iCs w:val="0"/>
          <w:caps w:val="0"/>
          <w:color w:val="333333"/>
          <w:spacing w:val="0"/>
          <w:sz w:val="21"/>
          <w:szCs w:val="21"/>
        </w:rPr>
      </w:pPr>
      <w:r>
        <w:rPr>
          <w:rFonts w:hint="eastAsia" w:ascii="仿宋" w:hAnsi="仿宋" w:eastAsia="仿宋" w:cs="仿宋"/>
          <w:i w:val="0"/>
          <w:iCs w:val="0"/>
          <w:caps w:val="0"/>
          <w:color w:val="333333"/>
          <w:spacing w:val="0"/>
          <w:kern w:val="0"/>
          <w:sz w:val="24"/>
          <w:szCs w:val="24"/>
          <w:shd w:val="clear" w:color="auto" w:fill="FFFFFF"/>
          <w:lang w:val="en-US" w:eastAsia="zh-CN" w:bidi="ar"/>
        </w:rPr>
        <w:t>2.</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（标的名称）</w:t>
      </w:r>
      <w:r>
        <w:rPr>
          <w:rFonts w:hint="eastAsia" w:ascii="仿宋" w:hAnsi="仿宋" w:eastAsia="仿宋" w:cs="仿宋"/>
          <w:i w:val="0"/>
          <w:iCs w:val="0"/>
          <w:caps w:val="0"/>
          <w:color w:val="333333"/>
          <w:spacing w:val="0"/>
          <w:kern w:val="0"/>
          <w:sz w:val="24"/>
          <w:szCs w:val="24"/>
          <w:shd w:val="clear" w:color="auto" w:fill="FFFFFF"/>
          <w:lang w:val="en-US" w:eastAsia="zh-CN" w:bidi="ar"/>
        </w:rPr>
        <w:t>，属于</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（采购文件中明确的所属行业）</w:t>
      </w:r>
      <w:r>
        <w:rPr>
          <w:rFonts w:hint="eastAsia" w:ascii="仿宋" w:hAnsi="仿宋" w:eastAsia="仿宋" w:cs="仿宋"/>
          <w:i w:val="0"/>
          <w:iCs w:val="0"/>
          <w:caps w:val="0"/>
          <w:color w:val="333333"/>
          <w:spacing w:val="0"/>
          <w:kern w:val="0"/>
          <w:sz w:val="24"/>
          <w:szCs w:val="24"/>
          <w:shd w:val="clear" w:color="auto" w:fill="FFFFFF"/>
          <w:lang w:val="en-US" w:eastAsia="zh-CN" w:bidi="ar"/>
        </w:rPr>
        <w:t>行业；承建（承接）企业为</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（企业名称）</w:t>
      </w:r>
      <w:r>
        <w:rPr>
          <w:rFonts w:hint="eastAsia" w:ascii="仿宋" w:hAnsi="仿宋" w:eastAsia="仿宋" w:cs="仿宋"/>
          <w:i w:val="0"/>
          <w:iCs w:val="0"/>
          <w:caps w:val="0"/>
          <w:color w:val="333333"/>
          <w:spacing w:val="0"/>
          <w:kern w:val="0"/>
          <w:sz w:val="24"/>
          <w:szCs w:val="24"/>
          <w:shd w:val="clear" w:color="auto" w:fill="FFFFFF"/>
          <w:lang w:val="en-US" w:eastAsia="zh-CN" w:bidi="ar"/>
        </w:rPr>
        <w:t>，从业人员</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w:t>
      </w:r>
      <w:r>
        <w:rPr>
          <w:rFonts w:hint="eastAsia" w:ascii="仿宋" w:hAnsi="仿宋" w:eastAsia="仿宋" w:cs="仿宋"/>
          <w:i w:val="0"/>
          <w:iCs w:val="0"/>
          <w:caps w:val="0"/>
          <w:color w:val="333333"/>
          <w:spacing w:val="0"/>
          <w:kern w:val="0"/>
          <w:sz w:val="24"/>
          <w:szCs w:val="24"/>
          <w:shd w:val="clear" w:color="auto" w:fill="FFFFFF"/>
          <w:lang w:val="en-US" w:eastAsia="zh-CN" w:bidi="ar"/>
        </w:rPr>
        <w:t>人，营业收入为</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w:t>
      </w:r>
      <w:r>
        <w:rPr>
          <w:rFonts w:hint="eastAsia" w:ascii="仿宋" w:hAnsi="仿宋" w:eastAsia="仿宋" w:cs="仿宋"/>
          <w:i w:val="0"/>
          <w:iCs w:val="0"/>
          <w:caps w:val="0"/>
          <w:color w:val="333333"/>
          <w:spacing w:val="0"/>
          <w:kern w:val="0"/>
          <w:sz w:val="24"/>
          <w:szCs w:val="24"/>
          <w:shd w:val="clear" w:color="auto" w:fill="FFFFFF"/>
          <w:lang w:val="en-US" w:eastAsia="zh-CN" w:bidi="ar"/>
        </w:rPr>
        <w:t>万元，资产总额为</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w:t>
      </w:r>
      <w:r>
        <w:rPr>
          <w:rFonts w:hint="eastAsia" w:ascii="仿宋" w:hAnsi="仿宋" w:eastAsia="仿宋" w:cs="仿宋"/>
          <w:i w:val="0"/>
          <w:iCs w:val="0"/>
          <w:caps w:val="0"/>
          <w:color w:val="333333"/>
          <w:spacing w:val="0"/>
          <w:kern w:val="0"/>
          <w:sz w:val="24"/>
          <w:szCs w:val="24"/>
          <w:shd w:val="clear" w:color="auto" w:fill="FFFFFF"/>
          <w:lang w:val="en-US" w:eastAsia="zh-CN" w:bidi="ar"/>
        </w:rPr>
        <w:t>万元，属于</w:t>
      </w:r>
      <w:r>
        <w:rPr>
          <w:rFonts w:hint="eastAsia" w:ascii="仿宋" w:hAnsi="仿宋" w:eastAsia="仿宋" w:cs="仿宋"/>
          <w:i w:val="0"/>
          <w:iCs w:val="0"/>
          <w:caps w:val="0"/>
          <w:color w:val="333333"/>
          <w:spacing w:val="0"/>
          <w:kern w:val="0"/>
          <w:sz w:val="24"/>
          <w:szCs w:val="24"/>
          <w:u w:val="single"/>
          <w:shd w:val="clear" w:color="auto" w:fill="FFFFFF"/>
          <w:lang w:val="en-US" w:eastAsia="zh-CN" w:bidi="ar"/>
        </w:rPr>
        <w:t>     （中型企业、小型企业、微型企业）</w:t>
      </w:r>
      <w:r>
        <w:rPr>
          <w:rFonts w:hint="eastAsia" w:ascii="仿宋" w:hAnsi="仿宋" w:eastAsia="仿宋" w:cs="仿宋"/>
          <w:i w:val="0"/>
          <w:iCs w:val="0"/>
          <w:caps w:val="0"/>
          <w:color w:val="333333"/>
          <w:spacing w:val="0"/>
          <w:kern w:val="0"/>
          <w:sz w:val="24"/>
          <w:szCs w:val="24"/>
          <w:shd w:val="clear" w:color="auto" w:fill="FFFFFF"/>
          <w:lang w:val="en-US" w:eastAsia="zh-CN" w:bidi="ar"/>
        </w:rPr>
        <w:t>；</w:t>
      </w:r>
    </w:p>
    <w:p w14:paraId="1C86D316">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480" w:firstLineChars="200"/>
        <w:jc w:val="left"/>
        <w:textAlignment w:val="auto"/>
        <w:rPr>
          <w:rFonts w:hint="eastAsia" w:ascii="仿宋" w:hAnsi="仿宋" w:eastAsia="仿宋" w:cs="仿宋"/>
          <w:i w:val="0"/>
          <w:iCs w:val="0"/>
          <w:caps w:val="0"/>
          <w:color w:val="333333"/>
          <w:spacing w:val="0"/>
          <w:sz w:val="21"/>
          <w:szCs w:val="21"/>
        </w:rPr>
      </w:pPr>
      <w:r>
        <w:rPr>
          <w:rFonts w:hint="eastAsia" w:ascii="仿宋" w:hAnsi="仿宋" w:eastAsia="仿宋" w:cs="仿宋"/>
          <w:i w:val="0"/>
          <w:iCs w:val="0"/>
          <w:caps w:val="0"/>
          <w:color w:val="333333"/>
          <w:spacing w:val="0"/>
          <w:kern w:val="0"/>
          <w:sz w:val="24"/>
          <w:szCs w:val="24"/>
          <w:shd w:val="clear" w:color="auto" w:fill="FFFFFF"/>
          <w:lang w:val="en-US" w:eastAsia="zh-CN" w:bidi="ar"/>
        </w:rPr>
        <w:t>……</w:t>
      </w:r>
    </w:p>
    <w:p w14:paraId="2CE2A82C">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480" w:firstLineChars="200"/>
        <w:jc w:val="left"/>
        <w:textAlignment w:val="auto"/>
        <w:rPr>
          <w:rFonts w:hint="eastAsia" w:ascii="仿宋" w:hAnsi="仿宋" w:eastAsia="仿宋" w:cs="仿宋"/>
          <w:i w:val="0"/>
          <w:iCs w:val="0"/>
          <w:caps w:val="0"/>
          <w:color w:val="333333"/>
          <w:spacing w:val="0"/>
          <w:sz w:val="21"/>
          <w:szCs w:val="21"/>
        </w:rPr>
      </w:pPr>
      <w:r>
        <w:rPr>
          <w:rFonts w:hint="eastAsia" w:ascii="仿宋" w:hAnsi="仿宋" w:eastAsia="仿宋" w:cs="仿宋"/>
          <w:i w:val="0"/>
          <w:iCs w:val="0"/>
          <w:caps w:val="0"/>
          <w:color w:val="333333"/>
          <w:spacing w:val="0"/>
          <w:kern w:val="0"/>
          <w:sz w:val="24"/>
          <w:szCs w:val="24"/>
          <w:shd w:val="clear" w:color="auto" w:fill="FFFFFF"/>
          <w:lang w:val="en-US" w:eastAsia="zh-CN" w:bidi="ar"/>
        </w:rPr>
        <w:t>以上企业，不属于大企业的分支机构，不存在控股股东为大企业的情形，也不存在与大企业的负责人为同一人的情形。</w:t>
      </w:r>
    </w:p>
    <w:p w14:paraId="383611DC">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480" w:firstLineChars="200"/>
        <w:jc w:val="left"/>
        <w:textAlignment w:val="auto"/>
        <w:rPr>
          <w:rFonts w:hint="eastAsia" w:ascii="仿宋" w:hAnsi="仿宋" w:eastAsia="仿宋" w:cs="仿宋"/>
          <w:i w:val="0"/>
          <w:iCs w:val="0"/>
          <w:caps w:val="0"/>
          <w:color w:val="333333"/>
          <w:spacing w:val="0"/>
          <w:kern w:val="0"/>
          <w:sz w:val="24"/>
          <w:szCs w:val="24"/>
          <w:shd w:val="clear" w:color="auto" w:fill="FFFFFF"/>
          <w:lang w:val="en-US" w:eastAsia="zh-CN" w:bidi="ar"/>
        </w:rPr>
      </w:pPr>
      <w:r>
        <w:rPr>
          <w:rFonts w:hint="eastAsia" w:ascii="仿宋" w:hAnsi="仿宋" w:eastAsia="仿宋" w:cs="仿宋"/>
          <w:i w:val="0"/>
          <w:iCs w:val="0"/>
          <w:caps w:val="0"/>
          <w:color w:val="333333"/>
          <w:spacing w:val="0"/>
          <w:kern w:val="0"/>
          <w:sz w:val="24"/>
          <w:szCs w:val="24"/>
          <w:shd w:val="clear" w:color="auto" w:fill="FFFFFF"/>
          <w:lang w:val="en-US" w:eastAsia="zh-CN" w:bidi="ar"/>
        </w:rPr>
        <w:t>本企业对上述声明内容的真实性负责。如有虚假，将依法承担相应责任。</w:t>
      </w:r>
    </w:p>
    <w:p w14:paraId="5188F33D">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1200" w:firstLineChars="500"/>
        <w:jc w:val="left"/>
        <w:textAlignment w:val="auto"/>
        <w:rPr>
          <w:rFonts w:hint="eastAsia" w:ascii="仿宋" w:hAnsi="仿宋" w:eastAsia="仿宋" w:cs="仿宋"/>
          <w:i w:val="0"/>
          <w:iCs w:val="0"/>
          <w:caps w:val="0"/>
          <w:color w:val="333333"/>
          <w:spacing w:val="0"/>
          <w:sz w:val="21"/>
          <w:szCs w:val="21"/>
        </w:rPr>
      </w:pPr>
      <w:r>
        <w:rPr>
          <w:rFonts w:hint="eastAsia" w:ascii="仿宋" w:hAnsi="仿宋" w:eastAsia="仿宋" w:cs="仿宋"/>
          <w:i w:val="0"/>
          <w:iCs w:val="0"/>
          <w:caps w:val="0"/>
          <w:color w:val="333333"/>
          <w:spacing w:val="0"/>
          <w:kern w:val="0"/>
          <w:sz w:val="24"/>
          <w:szCs w:val="24"/>
          <w:shd w:val="clear" w:color="auto" w:fill="FFFFFF"/>
          <w:lang w:val="en-US" w:eastAsia="zh-CN" w:bidi="ar"/>
        </w:rPr>
        <w:t>企业名称（盖章）：</w:t>
      </w:r>
    </w:p>
    <w:p w14:paraId="6A93B46B">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right="0" w:firstLine="5280"/>
        <w:jc w:val="left"/>
        <w:textAlignment w:val="auto"/>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i w:val="0"/>
          <w:iCs w:val="0"/>
          <w:caps w:val="0"/>
          <w:color w:val="333333"/>
          <w:spacing w:val="0"/>
          <w:kern w:val="0"/>
          <w:sz w:val="24"/>
          <w:szCs w:val="24"/>
          <w:shd w:val="clear" w:color="auto" w:fill="FFFFFF"/>
          <w:lang w:val="en-US" w:eastAsia="zh-CN" w:bidi="ar"/>
        </w:rPr>
        <w:t>日 期：</w:t>
      </w:r>
    </w:p>
    <w:p w14:paraId="069ADEAF">
      <w:pPr>
        <w:widowControl/>
        <w:spacing w:before="100" w:beforeAutospacing="1" w:after="100" w:afterAutospacing="1" w:line="330" w:lineRule="atLeast"/>
        <w:ind w:firstLine="240" w:firstLineChars="100"/>
        <w:jc w:val="left"/>
        <w:rPr>
          <w:rFonts w:ascii="仿宋" w:hAnsi="仿宋" w:eastAsia="仿宋"/>
          <w:kern w:val="0"/>
          <w:sz w:val="24"/>
        </w:rPr>
      </w:pPr>
      <w:bookmarkStart w:id="928" w:name="_Toc27811"/>
      <w:r>
        <w:rPr>
          <w:rFonts w:hint="eastAsia" w:ascii="仿宋" w:hAnsi="仿宋" w:eastAsia="仿宋"/>
          <w:kern w:val="0"/>
          <w:sz w:val="24"/>
        </w:rPr>
        <w:t>备注：</w:t>
      </w:r>
    </w:p>
    <w:p w14:paraId="1D098578">
      <w:pPr>
        <w:widowControl/>
        <w:spacing w:before="100" w:beforeAutospacing="1" w:after="100" w:afterAutospacing="1" w:line="330" w:lineRule="atLeast"/>
        <w:ind w:firstLine="480" w:firstLineChars="200"/>
        <w:jc w:val="left"/>
        <w:rPr>
          <w:rFonts w:ascii="仿宋" w:hAnsi="仿宋" w:eastAsia="仿宋"/>
          <w:kern w:val="0"/>
          <w:sz w:val="24"/>
        </w:rPr>
      </w:pPr>
      <w:r>
        <w:rPr>
          <w:rFonts w:hint="eastAsia" w:ascii="仿宋" w:hAnsi="仿宋" w:eastAsia="仿宋"/>
          <w:kern w:val="0"/>
          <w:sz w:val="24"/>
        </w:rPr>
        <w:t>1、从业人员、营业收入、资产总额填报上一年度数据，无上一年度数据的新成立企业可不填报。</w:t>
      </w:r>
    </w:p>
    <w:p w14:paraId="42003061">
      <w:pPr>
        <w:pStyle w:val="10"/>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2、所属行业：物业管理</w:t>
      </w:r>
    </w:p>
    <w:p w14:paraId="15BE02B0">
      <w:pPr>
        <w:rPr>
          <w:rFonts w:hint="eastAsia"/>
          <w:lang w:val="en-US" w:eastAsia="zh-CN"/>
        </w:rPr>
      </w:pPr>
    </w:p>
    <w:bookmarkEnd w:id="919"/>
    <w:bookmarkEnd w:id="928"/>
    <w:p w14:paraId="58D2D316">
      <w:pPr>
        <w:pStyle w:val="2"/>
        <w:bidi w:val="0"/>
        <w:jc w:val="center"/>
        <w:rPr>
          <w:rFonts w:hint="eastAsia" w:ascii="宋体" w:hAnsi="Times New Roman" w:eastAsia="宋体" w:cs="Times New Roman"/>
          <w:b/>
          <w:sz w:val="24"/>
          <w:u w:val="none"/>
          <w:lang w:val="en-US" w:eastAsia="zh-CN"/>
        </w:rPr>
      </w:pPr>
      <w:bookmarkStart w:id="929" w:name="_Toc24209"/>
      <w:bookmarkStart w:id="930" w:name="_Toc19648"/>
      <w:bookmarkStart w:id="931" w:name="_Toc30040"/>
      <w:bookmarkStart w:id="932" w:name="_Toc6046"/>
      <w:bookmarkStart w:id="933" w:name="_Toc16767"/>
      <w:bookmarkStart w:id="934" w:name="_Toc22178"/>
      <w:bookmarkStart w:id="935" w:name="_Toc5785"/>
      <w:r>
        <w:rPr>
          <w:rFonts w:hint="eastAsia" w:ascii="宋体" w:hAnsi="Times New Roman" w:eastAsia="宋体" w:cs="Times New Roman"/>
          <w:b/>
          <w:sz w:val="24"/>
          <w:u w:val="none"/>
          <w:lang w:val="en-US" w:eastAsia="zh-CN"/>
        </w:rPr>
        <w:t>5-2   残疾人福利性单位声明函</w:t>
      </w:r>
      <w:bookmarkEnd w:id="929"/>
      <w:r>
        <w:rPr>
          <w:rFonts w:hint="eastAsia" w:ascii="宋体" w:hAnsi="Times New Roman" w:eastAsia="宋体" w:cs="Times New Roman"/>
          <w:b/>
          <w:sz w:val="24"/>
          <w:u w:val="none"/>
          <w:lang w:val="en-US" w:eastAsia="zh-CN"/>
        </w:rPr>
        <w:t>（若无，可不填）</w:t>
      </w:r>
      <w:bookmarkEnd w:id="930"/>
      <w:bookmarkEnd w:id="931"/>
      <w:bookmarkEnd w:id="932"/>
      <w:bookmarkEnd w:id="933"/>
    </w:p>
    <w:p w14:paraId="5BC53F10">
      <w:pPr>
        <w:keepNext w:val="0"/>
        <w:keepLines w:val="0"/>
        <w:pageBreakBefore w:val="0"/>
        <w:widowControl w:val="0"/>
        <w:kinsoku/>
        <w:wordWrap/>
        <w:overflowPunct/>
        <w:topLinePunct w:val="0"/>
        <w:autoSpaceDE/>
        <w:autoSpaceDN/>
        <w:bidi w:val="0"/>
        <w:adjustRightInd/>
        <w:snapToGrid/>
        <w:spacing w:after="60" w:afterLines="25" w:line="300" w:lineRule="auto"/>
        <w:ind w:firstLine="480" w:firstLineChars="200"/>
        <w:textAlignment w:val="auto"/>
        <w:rPr>
          <w:rFonts w:hint="eastAsia" w:ascii="仿宋" w:hAnsi="仿宋" w:eastAsia="仿宋" w:cs="仿宋"/>
          <w:i w:val="0"/>
          <w:iCs w:val="0"/>
          <w:caps w:val="0"/>
          <w:color w:val="000000"/>
          <w:spacing w:val="0"/>
          <w:kern w:val="0"/>
          <w:sz w:val="24"/>
          <w:szCs w:val="24"/>
          <w:lang w:val="en-US" w:eastAsia="zh-CN" w:bidi="ar-SA"/>
        </w:rPr>
      </w:pPr>
      <w:r>
        <w:rPr>
          <w:rFonts w:hint="eastAsia" w:ascii="仿宋" w:hAnsi="仿宋" w:eastAsia="仿宋" w:cs="仿宋"/>
          <w:i w:val="0"/>
          <w:iCs w:val="0"/>
          <w:caps w:val="0"/>
          <w:color w:val="000000"/>
          <w:spacing w:val="0"/>
          <w:kern w:val="0"/>
          <w:sz w:val="24"/>
          <w:szCs w:val="24"/>
          <w:lang w:val="en-US" w:eastAsia="zh-CN" w:bidi="ar-SA"/>
        </w:rPr>
        <w:t>本投标人郑重声明，根据《财政部民政部中国残疾人联合会关于促进残疾人就业政府采购政策的通知》（财库〔2017〕141 号）的规定，本投标人参加（采购人名称）的（项目名称）采购活动，提供的货物全部由符合政策要求的残疾人福利性单位制造。相关残疾人福利性单位的具体情况如下：</w:t>
      </w:r>
    </w:p>
    <w:p w14:paraId="1BCF76B9">
      <w:pPr>
        <w:keepNext w:val="0"/>
        <w:keepLines w:val="0"/>
        <w:pageBreakBefore w:val="0"/>
        <w:widowControl w:val="0"/>
        <w:kinsoku/>
        <w:wordWrap/>
        <w:overflowPunct/>
        <w:topLinePunct w:val="0"/>
        <w:autoSpaceDE/>
        <w:autoSpaceDN/>
        <w:bidi w:val="0"/>
        <w:adjustRightInd/>
        <w:snapToGrid/>
        <w:spacing w:after="60" w:afterLines="25" w:line="300" w:lineRule="auto"/>
        <w:ind w:firstLine="480" w:firstLineChars="200"/>
        <w:textAlignment w:val="auto"/>
        <w:rPr>
          <w:rFonts w:hint="eastAsia" w:ascii="仿宋" w:hAnsi="仿宋" w:eastAsia="仿宋" w:cs="仿宋"/>
          <w:i w:val="0"/>
          <w:iCs w:val="0"/>
          <w:caps w:val="0"/>
          <w:color w:val="000000"/>
          <w:spacing w:val="0"/>
          <w:kern w:val="0"/>
          <w:sz w:val="24"/>
          <w:szCs w:val="24"/>
          <w:lang w:val="en-US" w:eastAsia="zh-CN" w:bidi="ar-SA"/>
        </w:rPr>
      </w:pPr>
      <w:r>
        <w:rPr>
          <w:rFonts w:hint="eastAsia" w:ascii="仿宋" w:hAnsi="仿宋" w:eastAsia="仿宋" w:cs="仿宋"/>
          <w:i w:val="0"/>
          <w:iCs w:val="0"/>
          <w:caps w:val="0"/>
          <w:color w:val="000000"/>
          <w:spacing w:val="0"/>
          <w:kern w:val="0"/>
          <w:sz w:val="24"/>
          <w:szCs w:val="24"/>
          <w:lang w:val="en-US" w:eastAsia="zh-CN" w:bidi="ar-SA"/>
        </w:rPr>
        <w:t>1. （标的名称），制造商为（单位名称），属于残疾人福利性单位；</w:t>
      </w:r>
    </w:p>
    <w:p w14:paraId="737176AF">
      <w:pPr>
        <w:keepNext w:val="0"/>
        <w:keepLines w:val="0"/>
        <w:pageBreakBefore w:val="0"/>
        <w:widowControl w:val="0"/>
        <w:kinsoku/>
        <w:wordWrap/>
        <w:overflowPunct/>
        <w:topLinePunct w:val="0"/>
        <w:autoSpaceDE/>
        <w:autoSpaceDN/>
        <w:bidi w:val="0"/>
        <w:adjustRightInd/>
        <w:snapToGrid/>
        <w:spacing w:after="60" w:afterLines="25" w:line="300" w:lineRule="auto"/>
        <w:ind w:firstLine="480" w:firstLineChars="200"/>
        <w:textAlignment w:val="auto"/>
        <w:rPr>
          <w:rFonts w:hint="eastAsia" w:ascii="仿宋" w:hAnsi="仿宋" w:eastAsia="仿宋" w:cs="仿宋"/>
          <w:i w:val="0"/>
          <w:iCs w:val="0"/>
          <w:caps w:val="0"/>
          <w:color w:val="000000"/>
          <w:spacing w:val="0"/>
          <w:kern w:val="0"/>
          <w:sz w:val="24"/>
          <w:szCs w:val="24"/>
          <w:lang w:val="en-US" w:eastAsia="zh-CN" w:bidi="ar-SA"/>
        </w:rPr>
      </w:pPr>
      <w:r>
        <w:rPr>
          <w:rFonts w:hint="eastAsia" w:ascii="仿宋" w:hAnsi="仿宋" w:eastAsia="仿宋" w:cs="仿宋"/>
          <w:i w:val="0"/>
          <w:iCs w:val="0"/>
          <w:caps w:val="0"/>
          <w:color w:val="000000"/>
          <w:spacing w:val="0"/>
          <w:kern w:val="0"/>
          <w:sz w:val="24"/>
          <w:szCs w:val="24"/>
          <w:lang w:val="en-US" w:eastAsia="zh-CN" w:bidi="ar-SA"/>
        </w:rPr>
        <w:t>2. （标的名称），制造商为（单位名称），属于残疾人福利性单位。</w:t>
      </w:r>
    </w:p>
    <w:p w14:paraId="7EEEE16D">
      <w:pPr>
        <w:keepNext w:val="0"/>
        <w:keepLines w:val="0"/>
        <w:pageBreakBefore w:val="0"/>
        <w:widowControl w:val="0"/>
        <w:kinsoku/>
        <w:wordWrap/>
        <w:overflowPunct/>
        <w:topLinePunct w:val="0"/>
        <w:autoSpaceDE/>
        <w:autoSpaceDN/>
        <w:bidi w:val="0"/>
        <w:adjustRightInd/>
        <w:snapToGrid/>
        <w:spacing w:after="60" w:afterLines="25" w:line="300" w:lineRule="auto"/>
        <w:ind w:firstLine="480" w:firstLineChars="200"/>
        <w:textAlignment w:val="auto"/>
        <w:rPr>
          <w:rFonts w:hint="eastAsia" w:ascii="仿宋" w:hAnsi="仿宋" w:eastAsia="仿宋" w:cs="仿宋"/>
          <w:i w:val="0"/>
          <w:iCs w:val="0"/>
          <w:caps w:val="0"/>
          <w:color w:val="000000"/>
          <w:spacing w:val="0"/>
          <w:kern w:val="0"/>
          <w:sz w:val="24"/>
          <w:szCs w:val="24"/>
          <w:lang w:val="en-US" w:eastAsia="zh-CN" w:bidi="ar-SA"/>
        </w:rPr>
      </w:pPr>
      <w:r>
        <w:rPr>
          <w:rFonts w:hint="eastAsia" w:ascii="仿宋" w:hAnsi="仿宋" w:eastAsia="仿宋" w:cs="仿宋"/>
          <w:i w:val="0"/>
          <w:iCs w:val="0"/>
          <w:caps w:val="0"/>
          <w:color w:val="000000"/>
          <w:spacing w:val="0"/>
          <w:kern w:val="0"/>
          <w:sz w:val="24"/>
          <w:szCs w:val="24"/>
          <w:lang w:val="en-US" w:eastAsia="zh-CN" w:bidi="ar-SA"/>
        </w:rPr>
        <w:t xml:space="preserve">…… </w:t>
      </w:r>
    </w:p>
    <w:p w14:paraId="367A2463">
      <w:pPr>
        <w:keepNext w:val="0"/>
        <w:keepLines w:val="0"/>
        <w:pageBreakBefore w:val="0"/>
        <w:widowControl w:val="0"/>
        <w:kinsoku/>
        <w:wordWrap/>
        <w:overflowPunct/>
        <w:topLinePunct w:val="0"/>
        <w:autoSpaceDE/>
        <w:autoSpaceDN/>
        <w:bidi w:val="0"/>
        <w:adjustRightInd/>
        <w:snapToGrid/>
        <w:spacing w:after="60" w:afterLines="25" w:line="300" w:lineRule="auto"/>
        <w:ind w:firstLine="480" w:firstLineChars="200"/>
        <w:textAlignment w:val="auto"/>
        <w:rPr>
          <w:rFonts w:hint="eastAsia" w:ascii="仿宋" w:hAnsi="仿宋" w:eastAsia="仿宋" w:cs="仿宋"/>
          <w:i w:val="0"/>
          <w:iCs w:val="0"/>
          <w:caps w:val="0"/>
          <w:color w:val="000000"/>
          <w:spacing w:val="0"/>
          <w:kern w:val="0"/>
          <w:sz w:val="24"/>
          <w:szCs w:val="24"/>
          <w:lang w:val="en-US" w:eastAsia="zh-CN" w:bidi="ar-SA"/>
        </w:rPr>
      </w:pPr>
      <w:bookmarkStart w:id="936" w:name="_Hlk73562331"/>
      <w:r>
        <w:rPr>
          <w:rFonts w:hint="eastAsia" w:ascii="仿宋" w:hAnsi="仿宋" w:eastAsia="仿宋" w:cs="仿宋"/>
          <w:i w:val="0"/>
          <w:iCs w:val="0"/>
          <w:caps w:val="0"/>
          <w:color w:val="000000"/>
          <w:spacing w:val="0"/>
          <w:kern w:val="0"/>
          <w:sz w:val="24"/>
          <w:szCs w:val="24"/>
          <w:lang w:val="en-US" w:eastAsia="zh-CN" w:bidi="ar-SA"/>
        </w:rPr>
        <w:t>本投标人已知悉《财政部民政部中国残疾人联合会关于促进残疾人就业政府采购政策的通知》（财库〔2017〕141 号）的规定，承诺提供的声明函内容是真实的，如提供声明函内容不实，则依法追究相关法律责任。</w:t>
      </w:r>
      <w:bookmarkEnd w:id="936"/>
    </w:p>
    <w:p w14:paraId="3AB6A412">
      <w:pPr>
        <w:keepNext w:val="0"/>
        <w:keepLines w:val="0"/>
        <w:pageBreakBefore w:val="0"/>
        <w:widowControl w:val="0"/>
        <w:kinsoku/>
        <w:wordWrap/>
        <w:overflowPunct/>
        <w:topLinePunct w:val="0"/>
        <w:autoSpaceDE/>
        <w:autoSpaceDN/>
        <w:bidi w:val="0"/>
        <w:adjustRightInd/>
        <w:snapToGrid/>
        <w:spacing w:after="60" w:afterLines="25" w:line="300" w:lineRule="auto"/>
        <w:jc w:val="right"/>
        <w:textAlignment w:val="auto"/>
        <w:rPr>
          <w:rFonts w:hint="eastAsia" w:ascii="仿宋" w:hAnsi="仿宋" w:eastAsia="仿宋" w:cs="仿宋"/>
          <w:i w:val="0"/>
          <w:iCs w:val="0"/>
          <w:caps w:val="0"/>
          <w:color w:val="000000"/>
          <w:spacing w:val="0"/>
          <w:kern w:val="0"/>
          <w:sz w:val="24"/>
          <w:szCs w:val="24"/>
          <w:lang w:val="en-US" w:eastAsia="zh-CN" w:bidi="ar-SA"/>
        </w:rPr>
      </w:pPr>
    </w:p>
    <w:p w14:paraId="02EAEFA4">
      <w:pPr>
        <w:keepNext w:val="0"/>
        <w:keepLines w:val="0"/>
        <w:pageBreakBefore w:val="0"/>
        <w:widowControl w:val="0"/>
        <w:kinsoku/>
        <w:wordWrap/>
        <w:overflowPunct/>
        <w:topLinePunct w:val="0"/>
        <w:autoSpaceDE/>
        <w:autoSpaceDN/>
        <w:bidi w:val="0"/>
        <w:adjustRightInd/>
        <w:snapToGrid/>
        <w:spacing w:after="60" w:afterLines="25" w:line="300" w:lineRule="auto"/>
        <w:ind w:right="420" w:firstLine="5040" w:firstLineChars="2100"/>
        <w:textAlignment w:val="auto"/>
        <w:rPr>
          <w:rFonts w:hint="eastAsia" w:ascii="仿宋" w:hAnsi="仿宋" w:eastAsia="仿宋" w:cs="仿宋"/>
          <w:i w:val="0"/>
          <w:iCs w:val="0"/>
          <w:caps w:val="0"/>
          <w:color w:val="000000"/>
          <w:spacing w:val="0"/>
          <w:kern w:val="0"/>
          <w:sz w:val="24"/>
          <w:szCs w:val="24"/>
          <w:lang w:val="en-US" w:eastAsia="zh-CN" w:bidi="ar-SA"/>
        </w:rPr>
      </w:pPr>
      <w:r>
        <w:rPr>
          <w:rFonts w:hint="eastAsia" w:ascii="仿宋" w:hAnsi="仿宋" w:eastAsia="仿宋" w:cs="仿宋"/>
          <w:i w:val="0"/>
          <w:iCs w:val="0"/>
          <w:caps w:val="0"/>
          <w:color w:val="000000"/>
          <w:spacing w:val="0"/>
          <w:kern w:val="0"/>
          <w:sz w:val="24"/>
          <w:szCs w:val="24"/>
          <w:lang w:val="en-US" w:eastAsia="zh-CN" w:bidi="ar-SA"/>
        </w:rPr>
        <w:t>投标人（投标单位）：</w:t>
      </w:r>
    </w:p>
    <w:p w14:paraId="024950D2">
      <w:pPr>
        <w:keepNext w:val="0"/>
        <w:keepLines w:val="0"/>
        <w:pageBreakBefore w:val="0"/>
        <w:widowControl w:val="0"/>
        <w:kinsoku/>
        <w:wordWrap/>
        <w:overflowPunct/>
        <w:topLinePunct w:val="0"/>
        <w:autoSpaceDE/>
        <w:autoSpaceDN/>
        <w:bidi w:val="0"/>
        <w:adjustRightInd/>
        <w:snapToGrid/>
        <w:spacing w:after="60" w:afterLines="25" w:line="300" w:lineRule="auto"/>
        <w:ind w:right="420" w:firstLine="6600" w:firstLineChars="2750"/>
        <w:textAlignment w:val="auto"/>
        <w:rPr>
          <w:rFonts w:hint="eastAsia" w:ascii="仿宋" w:hAnsi="仿宋" w:eastAsia="仿宋" w:cs="仿宋"/>
          <w:i w:val="0"/>
          <w:iCs w:val="0"/>
          <w:caps w:val="0"/>
          <w:color w:val="000000"/>
          <w:spacing w:val="0"/>
          <w:kern w:val="0"/>
          <w:sz w:val="24"/>
          <w:szCs w:val="24"/>
          <w:lang w:val="en-US" w:eastAsia="zh-CN" w:bidi="ar-SA"/>
        </w:rPr>
      </w:pPr>
      <w:r>
        <w:rPr>
          <w:rFonts w:hint="eastAsia" w:ascii="仿宋" w:hAnsi="仿宋" w:eastAsia="仿宋" w:cs="仿宋"/>
          <w:i w:val="0"/>
          <w:iCs w:val="0"/>
          <w:caps w:val="0"/>
          <w:color w:val="000000"/>
          <w:spacing w:val="0"/>
          <w:kern w:val="0"/>
          <w:sz w:val="24"/>
          <w:szCs w:val="24"/>
          <w:lang w:val="en-US" w:eastAsia="zh-CN" w:bidi="ar-SA"/>
        </w:rPr>
        <w:t>日期：</w:t>
      </w:r>
      <w:bookmarkStart w:id="937" w:name="_Toc28310"/>
      <w:bookmarkStart w:id="938" w:name="_Toc19006"/>
      <w:bookmarkStart w:id="939" w:name="_Toc2813"/>
      <w:bookmarkStart w:id="940" w:name="_Toc13378"/>
      <w:bookmarkStart w:id="941" w:name="_Toc16783"/>
      <w:bookmarkStart w:id="942" w:name="_Toc7440"/>
      <w:bookmarkStart w:id="943" w:name="_Toc17181"/>
      <w:bookmarkStart w:id="944" w:name="_Toc8498"/>
      <w:bookmarkStart w:id="945" w:name="_Toc19677"/>
      <w:bookmarkStart w:id="946" w:name="_Toc17299"/>
      <w:bookmarkStart w:id="947" w:name="_Toc11271"/>
      <w:bookmarkStart w:id="948" w:name="_Toc5731"/>
      <w:bookmarkStart w:id="949" w:name="_Toc12073"/>
      <w:bookmarkStart w:id="950" w:name="_Toc9078"/>
      <w:bookmarkStart w:id="951" w:name="_Toc9071"/>
    </w:p>
    <w:p w14:paraId="61DCEEEA">
      <w:pPr>
        <w:pStyle w:val="2"/>
        <w:bidi w:val="0"/>
        <w:jc w:val="center"/>
        <w:rPr>
          <w:rFonts w:hint="eastAsia" w:ascii="宋体" w:hAnsi="Times New Roman" w:eastAsia="宋体" w:cs="Times New Roman"/>
          <w:b/>
          <w:sz w:val="24"/>
          <w:u w:val="none"/>
          <w:lang w:val="en-US" w:eastAsia="zh-CN"/>
        </w:rPr>
      </w:pPr>
      <w:bookmarkStart w:id="952" w:name="_Toc10325"/>
      <w:bookmarkStart w:id="953" w:name="_Toc22124"/>
      <w:bookmarkStart w:id="954" w:name="_Toc2593"/>
      <w:bookmarkStart w:id="955" w:name="_Toc275"/>
      <w:bookmarkStart w:id="956" w:name="_Toc11793"/>
      <w:r>
        <w:rPr>
          <w:rFonts w:hint="eastAsia" w:ascii="宋体" w:hAnsi="Times New Roman" w:eastAsia="宋体" w:cs="Times New Roman"/>
          <w:b/>
          <w:sz w:val="24"/>
          <w:u w:val="none"/>
          <w:lang w:val="en-US" w:eastAsia="zh-CN"/>
        </w:rPr>
        <w:t xml:space="preserve">5-3 </w:t>
      </w:r>
      <w:bookmarkEnd w:id="937"/>
      <w:bookmarkEnd w:id="938"/>
      <w:bookmarkEnd w:id="939"/>
      <w:bookmarkEnd w:id="940"/>
      <w:bookmarkEnd w:id="941"/>
      <w:bookmarkEnd w:id="942"/>
      <w:bookmarkEnd w:id="943"/>
      <w:r>
        <w:rPr>
          <w:rFonts w:hint="eastAsia" w:ascii="宋体" w:hAnsi="Times New Roman" w:eastAsia="宋体" w:cs="Times New Roman"/>
          <w:b/>
          <w:sz w:val="24"/>
          <w:u w:val="none"/>
          <w:lang w:val="en-US" w:eastAsia="zh-CN"/>
        </w:rPr>
        <w:t>监狱企业</w:t>
      </w:r>
      <w:bookmarkEnd w:id="944"/>
      <w:r>
        <w:rPr>
          <w:rFonts w:hint="eastAsia" w:ascii="宋体" w:hAnsi="Times New Roman" w:eastAsia="宋体" w:cs="Times New Roman"/>
          <w:b/>
          <w:sz w:val="24"/>
          <w:u w:val="none"/>
          <w:lang w:val="en-US" w:eastAsia="zh-CN"/>
        </w:rPr>
        <w:t>声明函</w:t>
      </w:r>
      <w:bookmarkEnd w:id="945"/>
      <w:bookmarkEnd w:id="946"/>
      <w:bookmarkEnd w:id="947"/>
      <w:bookmarkEnd w:id="948"/>
      <w:bookmarkEnd w:id="949"/>
      <w:bookmarkEnd w:id="950"/>
      <w:bookmarkEnd w:id="951"/>
      <w:bookmarkEnd w:id="952"/>
      <w:r>
        <w:rPr>
          <w:rFonts w:hint="eastAsia" w:ascii="宋体" w:hAnsi="Times New Roman" w:eastAsia="宋体" w:cs="Times New Roman"/>
          <w:b/>
          <w:sz w:val="24"/>
          <w:u w:val="none"/>
          <w:lang w:val="en-US" w:eastAsia="zh-CN"/>
        </w:rPr>
        <w:t>（若无，可不填）</w:t>
      </w:r>
      <w:bookmarkEnd w:id="953"/>
      <w:bookmarkEnd w:id="954"/>
      <w:bookmarkEnd w:id="955"/>
      <w:bookmarkEnd w:id="956"/>
    </w:p>
    <w:p w14:paraId="2DC9B258">
      <w:pPr>
        <w:pStyle w:val="29"/>
        <w:keepNext w:val="0"/>
        <w:keepLines w:val="0"/>
        <w:widowControl/>
        <w:suppressLineNumbers w:val="0"/>
        <w:spacing w:before="75" w:beforeAutospacing="0" w:after="75" w:afterAutospacing="0" w:line="420" w:lineRule="atLeast"/>
        <w:ind w:left="0" w:right="0" w:firstLine="480" w:firstLineChars="2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本公司郑重声明，根据《关于政府采购支持监狱企业发展有关问题的通知》（财库[2014]68号）的规定，本公司为监狱企业。</w:t>
      </w:r>
    </w:p>
    <w:p w14:paraId="11B56517">
      <w:pPr>
        <w:pStyle w:val="29"/>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本公司参加______单位的______项目采购活动，采购活动提供本企业（填写制造的货物，由本企业承担工程、提供服务）。</w:t>
      </w:r>
    </w:p>
    <w:p w14:paraId="339718EB">
      <w:pPr>
        <w:pStyle w:val="29"/>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本条所称货物不包括使用大型企业注册商标的货物和服务。</w:t>
      </w:r>
    </w:p>
    <w:p w14:paraId="46A782CC">
      <w:pPr>
        <w:pStyle w:val="29"/>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本公司对上述声明的真实性负责。如有虚假，将依法承担相应责任。</w:t>
      </w:r>
    </w:p>
    <w:p w14:paraId="057BF6BA">
      <w:pPr>
        <w:pStyle w:val="29"/>
        <w:keepNext w:val="0"/>
        <w:keepLines w:val="0"/>
        <w:widowControl/>
        <w:suppressLineNumbers w:val="0"/>
        <w:spacing w:before="75" w:beforeAutospacing="0" w:after="75" w:afterAutospacing="0" w:line="420"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企业名称（加盖公章）：</w:t>
      </w:r>
    </w:p>
    <w:p w14:paraId="07BE0064">
      <w:pPr>
        <w:pStyle w:val="29"/>
        <w:keepNext w:val="0"/>
        <w:keepLines w:val="0"/>
        <w:widowControl/>
        <w:suppressLineNumbers w:val="0"/>
        <w:spacing w:before="75" w:beforeAutospacing="0" w:after="75" w:afterAutospacing="0" w:line="420"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法定代表人（负责人）或其授权代表(签字</w:t>
      </w:r>
      <w:r>
        <w:rPr>
          <w:rFonts w:hint="eastAsia" w:ascii="仿宋" w:hAnsi="仿宋" w:eastAsia="仿宋" w:cs="仿宋"/>
          <w:i w:val="0"/>
          <w:iCs w:val="0"/>
          <w:caps w:val="0"/>
          <w:color w:val="000000"/>
          <w:spacing w:val="0"/>
          <w:sz w:val="24"/>
          <w:szCs w:val="24"/>
          <w:lang w:val="en-US" w:eastAsia="zh-CN"/>
        </w:rPr>
        <w:t>或签章</w:t>
      </w:r>
      <w:r>
        <w:rPr>
          <w:rFonts w:hint="eastAsia" w:ascii="仿宋" w:hAnsi="仿宋" w:eastAsia="仿宋" w:cs="仿宋"/>
          <w:i w:val="0"/>
          <w:iCs w:val="0"/>
          <w:caps w:val="0"/>
          <w:color w:val="000000"/>
          <w:spacing w:val="0"/>
          <w:sz w:val="24"/>
          <w:szCs w:val="24"/>
        </w:rPr>
        <w:t>)：</w:t>
      </w:r>
    </w:p>
    <w:p w14:paraId="3AA4BD32">
      <w:pPr>
        <w:pStyle w:val="29"/>
        <w:keepNext w:val="0"/>
        <w:keepLines w:val="0"/>
        <w:widowControl/>
        <w:suppressLineNumbers w:val="0"/>
        <w:spacing w:before="75" w:beforeAutospacing="0" w:after="75" w:afterAutospacing="0" w:line="420" w:lineRule="atLeast"/>
        <w:ind w:left="0" w:right="0" w:firstLine="240" w:firstLineChars="100"/>
        <w:jc w:val="left"/>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日期：</w:t>
      </w:r>
    </w:p>
    <w:p w14:paraId="40126603">
      <w:pPr>
        <w:rPr>
          <w:rFonts w:hint="eastAsia" w:ascii="仿宋_GB2312" w:hAnsi="仿宋_GB2312" w:eastAsia="仿宋_GB2312" w:cs="仿宋_GB2312"/>
          <w:b/>
          <w:i w:val="0"/>
          <w:caps w:val="0"/>
          <w:spacing w:val="0"/>
          <w:w w:val="100"/>
          <w:sz w:val="24"/>
          <w:u w:val="none"/>
        </w:rPr>
      </w:pPr>
    </w:p>
    <w:p w14:paraId="652B324A">
      <w:pPr>
        <w:pStyle w:val="6"/>
        <w:rPr>
          <w:rFonts w:hint="eastAsia"/>
        </w:rPr>
      </w:pPr>
    </w:p>
    <w:p w14:paraId="48A8589E">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ascii="Arial" w:hAnsi="Arial" w:eastAsia="黑体"/>
          <w:b/>
          <w:i w:val="0"/>
          <w:caps w:val="0"/>
          <w:spacing w:val="0"/>
          <w:w w:val="100"/>
          <w:sz w:val="30"/>
        </w:rPr>
      </w:pPr>
      <w:bookmarkStart w:id="957" w:name="_Toc2485"/>
      <w:r>
        <w:rPr>
          <w:rFonts w:hint="eastAsia" w:ascii="仿宋_GB2312" w:hAnsi="仿宋_GB2312" w:eastAsia="仿宋_GB2312" w:cs="仿宋_GB2312"/>
          <w:b/>
          <w:i w:val="0"/>
          <w:caps w:val="0"/>
          <w:spacing w:val="0"/>
          <w:w w:val="100"/>
          <w:sz w:val="24"/>
          <w:u w:val="none"/>
          <w:lang w:val="en-US" w:eastAsia="zh-CN"/>
        </w:rPr>
        <w:t>6</w:t>
      </w:r>
      <w:r>
        <w:rPr>
          <w:rFonts w:hint="eastAsia" w:ascii="仿宋_GB2312" w:hAnsi="仿宋_GB2312" w:eastAsia="仿宋_GB2312" w:cs="仿宋_GB2312"/>
          <w:b/>
          <w:i w:val="0"/>
          <w:caps w:val="0"/>
          <w:spacing w:val="0"/>
          <w:w w:val="100"/>
          <w:sz w:val="24"/>
          <w:u w:val="none"/>
        </w:rPr>
        <w:t xml:space="preserve"> 投标文件还应包括第五章、综合评分表的所有技术文件</w:t>
      </w:r>
      <w:bookmarkEnd w:id="920"/>
      <w:bookmarkEnd w:id="934"/>
      <w:bookmarkEnd w:id="935"/>
      <w:bookmarkEnd w:id="957"/>
    </w:p>
    <w:p w14:paraId="6C03D969">
      <w:pPr>
        <w:pStyle w:val="35"/>
        <w:ind w:left="0" w:leftChars="0" w:firstLine="0" w:firstLineChars="0"/>
      </w:pPr>
      <w:bookmarkStart w:id="958" w:name="_Toc28099"/>
      <w:bookmarkStart w:id="959" w:name="_Toc515647827"/>
      <w:bookmarkStart w:id="960" w:name="_Toc10002"/>
      <w:bookmarkStart w:id="961" w:name="_Toc30795"/>
    </w:p>
    <w:p w14:paraId="5E97DB24">
      <w:pPr>
        <w:pStyle w:val="34"/>
      </w:pPr>
    </w:p>
    <w:p w14:paraId="32D2BFBC">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hint="eastAsia" w:ascii="仿宋_GB2312" w:hAnsi="仿宋_GB2312" w:eastAsia="仿宋_GB2312" w:cs="仿宋_GB2312"/>
          <w:b/>
          <w:i w:val="0"/>
          <w:caps w:val="0"/>
          <w:spacing w:val="0"/>
          <w:w w:val="100"/>
          <w:sz w:val="24"/>
          <w:u w:val="none"/>
        </w:rPr>
      </w:pPr>
      <w:bookmarkStart w:id="962" w:name="_Toc14100"/>
      <w:bookmarkStart w:id="963" w:name="_Toc24363"/>
      <w:bookmarkStart w:id="964" w:name="_Toc6646"/>
      <w:bookmarkStart w:id="965" w:name="_Toc15187"/>
      <w:bookmarkStart w:id="966" w:name="_Toc8302"/>
      <w:bookmarkStart w:id="967" w:name="_Toc26500"/>
      <w:bookmarkStart w:id="968" w:name="_Toc15893"/>
      <w:bookmarkStart w:id="969" w:name="_Toc6272"/>
      <w:bookmarkStart w:id="970" w:name="_Toc8592"/>
      <w:bookmarkStart w:id="971" w:name="_Toc12381"/>
      <w:bookmarkStart w:id="972" w:name="_Toc7250"/>
      <w:r>
        <w:rPr>
          <w:rFonts w:hint="eastAsia" w:ascii="仿宋_GB2312" w:hAnsi="仿宋_GB2312" w:eastAsia="仿宋_GB2312" w:cs="仿宋_GB2312"/>
          <w:b/>
          <w:i w:val="0"/>
          <w:caps w:val="0"/>
          <w:spacing w:val="0"/>
          <w:w w:val="100"/>
          <w:sz w:val="24"/>
          <w:u w:val="none"/>
          <w:lang w:val="en-US" w:eastAsia="zh-CN"/>
        </w:rPr>
        <w:t>7</w:t>
      </w:r>
      <w:r>
        <w:rPr>
          <w:rFonts w:hint="eastAsia" w:ascii="仿宋_GB2312" w:hAnsi="仿宋_GB2312" w:eastAsia="仿宋_GB2312" w:cs="仿宋_GB2312"/>
          <w:b/>
          <w:i w:val="0"/>
          <w:caps w:val="0"/>
          <w:spacing w:val="0"/>
          <w:w w:val="100"/>
          <w:sz w:val="24"/>
          <w:u w:val="none"/>
        </w:rPr>
        <w:t xml:space="preserve">  投标人关联单位的说明</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0E9C7B2C">
      <w:pPr>
        <w:pStyle w:val="6"/>
        <w:snapToGrid w:val="0"/>
        <w:spacing w:before="0" w:beforeAutospacing="0" w:after="0" w:afterAutospacing="0" w:line="240" w:lineRule="auto"/>
        <w:ind w:firstLine="420"/>
        <w:jc w:val="center"/>
        <w:textAlignment w:val="baseline"/>
        <w:rPr>
          <w:rFonts w:ascii="仿宋_GB2312" w:hAnsi="仿宋_GB2312" w:eastAsia="仿宋_GB2312" w:cs="仿宋_GB2312"/>
          <w:b w:val="0"/>
          <w:i w:val="0"/>
          <w:caps w:val="0"/>
          <w:spacing w:val="0"/>
          <w:w w:val="100"/>
          <w:sz w:val="24"/>
        </w:rPr>
      </w:pPr>
    </w:p>
    <w:p w14:paraId="39233328">
      <w:pPr>
        <w:pStyle w:val="6"/>
        <w:snapToGrid w:val="0"/>
        <w:spacing w:before="0" w:beforeAutospacing="0" w:after="0" w:afterAutospacing="0" w:line="240"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说明：投标人应当如实披露与本单位存在下列关联关系的单位名称：</w:t>
      </w:r>
    </w:p>
    <w:p w14:paraId="39A6181A">
      <w:pPr>
        <w:pStyle w:val="6"/>
        <w:snapToGrid w:val="0"/>
        <w:spacing w:before="0" w:beforeAutospacing="0" w:after="0" w:afterAutospacing="0" w:line="240"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（1）与投标人单位负责人为同一人的其他单位；</w:t>
      </w:r>
    </w:p>
    <w:p w14:paraId="6A849406">
      <w:pPr>
        <w:pStyle w:val="6"/>
        <w:snapToGrid w:val="0"/>
        <w:spacing w:before="0" w:beforeAutospacing="0" w:after="0" w:afterAutospacing="0" w:line="240" w:lineRule="auto"/>
        <w:ind w:firstLine="480" w:firstLineChars="200"/>
        <w:jc w:val="left"/>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val="0"/>
          <w:i w:val="0"/>
          <w:caps w:val="0"/>
          <w:spacing w:val="0"/>
          <w:w w:val="100"/>
          <w:sz w:val="24"/>
        </w:rPr>
        <w:t>（2）与投标人存在直接控股、管理关系的其他单位。</w:t>
      </w:r>
    </w:p>
    <w:p w14:paraId="48080036">
      <w:pPr>
        <w:rPr>
          <w:rFonts w:hint="eastAsia"/>
          <w:lang w:val="en-US" w:eastAsia="zh-CN"/>
        </w:rPr>
      </w:pPr>
      <w:bookmarkStart w:id="973" w:name="_Toc28623"/>
      <w:bookmarkStart w:id="974" w:name="_Toc16143"/>
      <w:bookmarkStart w:id="975" w:name="_Toc793"/>
      <w:bookmarkStart w:id="976" w:name="_Toc30965"/>
    </w:p>
    <w:p w14:paraId="2978FCD7">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hint="eastAsia" w:ascii="仿宋_GB2312" w:hAnsi="仿宋_GB2312" w:eastAsia="仿宋_GB2312" w:cs="仿宋_GB2312"/>
          <w:b/>
          <w:i w:val="0"/>
          <w:caps w:val="0"/>
          <w:spacing w:val="0"/>
          <w:w w:val="100"/>
          <w:sz w:val="24"/>
          <w:u w:val="none"/>
          <w:lang w:val="en-US" w:eastAsia="zh-CN"/>
        </w:rPr>
      </w:pPr>
    </w:p>
    <w:p w14:paraId="2F1326A5">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hint="eastAsia" w:ascii="仿宋_GB2312" w:hAnsi="仿宋_GB2312" w:eastAsia="仿宋_GB2312" w:cs="仿宋_GB2312"/>
          <w:b/>
          <w:i w:val="0"/>
          <w:caps w:val="0"/>
          <w:spacing w:val="0"/>
          <w:w w:val="100"/>
          <w:sz w:val="24"/>
          <w:u w:val="none"/>
        </w:rPr>
      </w:pPr>
      <w:r>
        <w:rPr>
          <w:rFonts w:hint="eastAsia" w:ascii="仿宋_GB2312" w:hAnsi="仿宋_GB2312" w:eastAsia="仿宋_GB2312" w:cs="仿宋_GB2312"/>
          <w:b/>
          <w:i w:val="0"/>
          <w:caps w:val="0"/>
          <w:spacing w:val="0"/>
          <w:w w:val="100"/>
          <w:sz w:val="24"/>
          <w:u w:val="none"/>
          <w:lang w:val="en-US" w:eastAsia="zh-CN"/>
        </w:rPr>
        <w:t xml:space="preserve">8 </w:t>
      </w:r>
      <w:r>
        <w:rPr>
          <w:rFonts w:hint="eastAsia" w:ascii="仿宋_GB2312" w:hAnsi="仿宋_GB2312" w:eastAsia="仿宋_GB2312" w:cs="仿宋_GB2312"/>
          <w:b/>
          <w:i w:val="0"/>
          <w:caps w:val="0"/>
          <w:spacing w:val="0"/>
          <w:w w:val="100"/>
          <w:sz w:val="24"/>
          <w:u w:val="none"/>
        </w:rPr>
        <w:t>其他有利于投标人的文件或证明材料</w:t>
      </w:r>
      <w:bookmarkEnd w:id="973"/>
      <w:bookmarkEnd w:id="974"/>
      <w:bookmarkEnd w:id="975"/>
      <w:bookmarkEnd w:id="976"/>
    </w:p>
    <w:p w14:paraId="1F33295D">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firstLine="1200" w:firstLineChars="500"/>
        <w:jc w:val="both"/>
        <w:textAlignment w:val="baseline"/>
        <w:outlineLvl w:val="2"/>
        <w:rPr>
          <w:rFonts w:hint="eastAsia" w:ascii="仿宋_GB2312" w:hAnsi="仿宋_GB2312" w:eastAsia="仿宋_GB2312" w:cs="仿宋_GB2312"/>
          <w:b/>
          <w:i w:val="0"/>
          <w:caps w:val="0"/>
          <w:spacing w:val="0"/>
          <w:w w:val="100"/>
          <w:sz w:val="24"/>
          <w:u w:val="none"/>
        </w:rPr>
      </w:pPr>
      <w:bookmarkStart w:id="977" w:name="_Toc31553"/>
      <w:bookmarkStart w:id="978" w:name="_Toc283"/>
      <w:bookmarkStart w:id="979" w:name="_Toc15737"/>
      <w:bookmarkStart w:id="980" w:name="_Toc22391"/>
      <w:bookmarkStart w:id="981" w:name="_Toc9667"/>
      <w:bookmarkStart w:id="982" w:name="_Toc9043"/>
      <w:bookmarkStart w:id="983" w:name="_Toc26225"/>
      <w:r>
        <w:rPr>
          <w:rFonts w:hint="eastAsia" w:ascii="仿宋" w:hAnsi="仿宋" w:eastAsia="仿宋" w:cs="仿宋"/>
          <w:b w:val="0"/>
          <w:i w:val="0"/>
          <w:caps w:val="0"/>
          <w:color w:val="000000"/>
          <w:spacing w:val="0"/>
          <w:w w:val="100"/>
          <w:sz w:val="24"/>
          <w:u w:val="none"/>
        </w:rPr>
        <w:t>提供其他有</w:t>
      </w:r>
      <w:r>
        <w:rPr>
          <w:rFonts w:hint="eastAsia" w:ascii="仿宋" w:hAnsi="仿宋" w:eastAsia="仿宋" w:cs="仿宋"/>
          <w:b w:val="0"/>
          <w:i w:val="0"/>
          <w:caps w:val="0"/>
          <w:color w:val="000000"/>
          <w:spacing w:val="0"/>
          <w:w w:val="100"/>
          <w:sz w:val="24"/>
          <w:u w:val="none"/>
          <w:lang w:val="en-US" w:eastAsia="zh-CN"/>
        </w:rPr>
        <w:t>利</w:t>
      </w:r>
      <w:r>
        <w:rPr>
          <w:rFonts w:hint="eastAsia" w:ascii="仿宋" w:hAnsi="仿宋" w:eastAsia="仿宋" w:cs="仿宋"/>
          <w:b w:val="0"/>
          <w:i w:val="0"/>
          <w:caps w:val="0"/>
          <w:color w:val="000000"/>
          <w:spacing w:val="0"/>
          <w:w w:val="100"/>
          <w:sz w:val="24"/>
          <w:u w:val="none"/>
        </w:rPr>
        <w:t>于投标人的文件或证明</w:t>
      </w:r>
      <w:r>
        <w:rPr>
          <w:rFonts w:hint="eastAsia" w:ascii="仿宋" w:hAnsi="仿宋" w:eastAsia="仿宋" w:cs="仿宋"/>
          <w:b w:val="0"/>
          <w:i w:val="0"/>
          <w:caps w:val="0"/>
          <w:color w:val="000000"/>
          <w:spacing w:val="0"/>
          <w:w w:val="100"/>
          <w:sz w:val="24"/>
          <w:u w:val="none"/>
          <w:lang w:val="en-US" w:eastAsia="zh-CN"/>
        </w:rPr>
        <w:t>材料（格式自拟）</w:t>
      </w:r>
    </w:p>
    <w:p w14:paraId="78771BBE">
      <w:pPr>
        <w:pStyle w:val="2"/>
        <w:rPr>
          <w:rFonts w:hint="eastAsia"/>
          <w:lang w:val="en-US" w:eastAsia="zh-CN"/>
        </w:rPr>
      </w:pPr>
      <w:bookmarkStart w:id="984" w:name="_Toc30537"/>
      <w:bookmarkStart w:id="985" w:name="_Toc22724"/>
      <w:bookmarkStart w:id="986" w:name="_Toc21278"/>
    </w:p>
    <w:p w14:paraId="6F1F54A5">
      <w:pPr>
        <w:pStyle w:val="2"/>
        <w:keepNext/>
        <w:keepLines/>
        <w:pageBreakBefore w:val="0"/>
        <w:widowControl/>
        <w:kinsoku/>
        <w:wordWrap/>
        <w:overflowPunct/>
        <w:topLinePunct w:val="0"/>
        <w:autoSpaceDE w:val="0"/>
        <w:autoSpaceDN w:val="0"/>
        <w:bidi w:val="0"/>
        <w:adjustRightInd w:val="0"/>
        <w:snapToGrid/>
        <w:spacing w:before="0" w:beforeAutospacing="0" w:after="0" w:afterAutospacing="0" w:line="288" w:lineRule="auto"/>
        <w:ind w:left="1079" w:leftChars="257" w:hanging="539"/>
        <w:jc w:val="center"/>
        <w:textAlignment w:val="baseline"/>
        <w:outlineLvl w:val="2"/>
        <w:rPr>
          <w:rFonts w:hint="eastAsia" w:ascii="仿宋_GB2312" w:hAnsi="仿宋_GB2312" w:eastAsia="仿宋_GB2312" w:cs="仿宋_GB2312"/>
          <w:b/>
          <w:i w:val="0"/>
          <w:caps w:val="0"/>
          <w:spacing w:val="0"/>
          <w:w w:val="100"/>
          <w:sz w:val="24"/>
          <w:u w:val="none"/>
        </w:rPr>
      </w:pPr>
      <w:r>
        <w:rPr>
          <w:rFonts w:hint="eastAsia" w:ascii="仿宋_GB2312" w:hAnsi="仿宋_GB2312" w:eastAsia="仿宋_GB2312" w:cs="仿宋_GB2312"/>
          <w:b/>
          <w:i w:val="0"/>
          <w:caps w:val="0"/>
          <w:spacing w:val="0"/>
          <w:w w:val="100"/>
          <w:sz w:val="24"/>
          <w:u w:val="none"/>
          <w:lang w:val="en-US" w:eastAsia="zh-CN"/>
        </w:rPr>
        <w:t xml:space="preserve">9 </w:t>
      </w:r>
      <w:r>
        <w:rPr>
          <w:rFonts w:hint="eastAsia" w:ascii="仿宋_GB2312" w:hAnsi="仿宋_GB2312" w:eastAsia="仿宋_GB2312" w:cs="仿宋_GB2312"/>
          <w:b/>
          <w:i w:val="0"/>
          <w:caps w:val="0"/>
          <w:spacing w:val="0"/>
          <w:w w:val="100"/>
          <w:sz w:val="24"/>
          <w:u w:val="none"/>
        </w:rPr>
        <w:t>对本项目投标文件中资料真实性的承诺</w:t>
      </w:r>
      <w:bookmarkEnd w:id="977"/>
      <w:bookmarkEnd w:id="978"/>
      <w:bookmarkEnd w:id="979"/>
      <w:bookmarkEnd w:id="980"/>
      <w:bookmarkEnd w:id="981"/>
      <w:bookmarkEnd w:id="982"/>
      <w:bookmarkEnd w:id="983"/>
      <w:bookmarkEnd w:id="984"/>
      <w:bookmarkEnd w:id="985"/>
      <w:bookmarkEnd w:id="986"/>
    </w:p>
    <w:p w14:paraId="087FFD0F">
      <w:pPr>
        <w:snapToGrid w:val="0"/>
        <w:spacing w:before="0" w:beforeAutospacing="0" w:after="0" w:afterAutospacing="0" w:line="240" w:lineRule="auto"/>
        <w:jc w:val="both"/>
        <w:textAlignment w:val="baseline"/>
        <w:rPr>
          <w:rFonts w:ascii="Tahoma" w:hAnsi="Tahoma" w:cs="Tahoma"/>
          <w:b/>
          <w:i w:val="0"/>
          <w:caps w:val="0"/>
          <w:spacing w:val="0"/>
          <w:w w:val="100"/>
          <w:sz w:val="28"/>
          <w:szCs w:val="28"/>
        </w:rPr>
      </w:pPr>
    </w:p>
    <w:p w14:paraId="37A3F56D">
      <w:pPr>
        <w:snapToGrid w:val="0"/>
        <w:spacing w:before="0" w:beforeAutospacing="0" w:after="0" w:afterAutospacing="0" w:line="360" w:lineRule="auto"/>
        <w:jc w:val="left"/>
        <w:textAlignment w:val="baseline"/>
        <w:rPr>
          <w:rFonts w:ascii="Tahoma" w:hAnsi="Tahoma" w:eastAsia="仿宋_GB2312" w:cs="Tahoma"/>
          <w:b/>
          <w:i w:val="0"/>
          <w:caps w:val="0"/>
          <w:spacing w:val="0"/>
          <w:w w:val="100"/>
          <w:sz w:val="24"/>
        </w:rPr>
      </w:pPr>
      <w:r>
        <w:rPr>
          <w:rFonts w:hint="eastAsia" w:ascii="Tahoma" w:hAnsi="Tahoma" w:eastAsia="仿宋_GB2312" w:cs="Tahoma"/>
          <w:b/>
          <w:i w:val="0"/>
          <w:caps w:val="0"/>
          <w:spacing w:val="0"/>
          <w:w w:val="100"/>
          <w:sz w:val="24"/>
          <w:lang w:val="en-US" w:eastAsia="zh-CN"/>
        </w:rPr>
        <w:t>疏附县</w:t>
      </w:r>
      <w:r>
        <w:rPr>
          <w:rFonts w:hint="eastAsia" w:ascii="Tahoma" w:hAnsi="Tahoma" w:eastAsia="仿宋_GB2312" w:cs="Tahoma"/>
          <w:b/>
          <w:i w:val="0"/>
          <w:caps w:val="0"/>
          <w:spacing w:val="0"/>
          <w:w w:val="100"/>
          <w:sz w:val="24"/>
        </w:rPr>
        <w:t>****项目评标委员会：</w:t>
      </w:r>
    </w:p>
    <w:p w14:paraId="3EAEB145">
      <w:pPr>
        <w:snapToGrid w:val="0"/>
        <w:spacing w:before="0" w:beforeAutospacing="0" w:after="0" w:afterAutospacing="0" w:line="360" w:lineRule="auto"/>
        <w:ind w:firstLine="480" w:firstLineChars="200"/>
        <w:jc w:val="both"/>
        <w:textAlignment w:val="baseline"/>
        <w:rPr>
          <w:rFonts w:ascii="仿宋" w:hAnsi="仿宋" w:eastAsia="仿宋" w:cs="仿宋"/>
          <w:b w:val="0"/>
          <w:i w:val="0"/>
          <w:caps w:val="0"/>
          <w:spacing w:val="0"/>
          <w:w w:val="100"/>
          <w:sz w:val="24"/>
        </w:rPr>
      </w:pPr>
      <w:r>
        <w:rPr>
          <w:rFonts w:hint="eastAsia" w:ascii="仿宋_GB2312" w:hAnsi="宋体" w:eastAsia="仿宋_GB2312"/>
          <w:b w:val="0"/>
          <w:i w:val="0"/>
          <w:caps w:val="0"/>
          <w:spacing w:val="0"/>
          <w:w w:val="100"/>
          <w:kern w:val="0"/>
          <w:sz w:val="24"/>
          <w:szCs w:val="20"/>
        </w:rPr>
        <w:t>根据《中华人民共和国政府采购法》、《中华人民共和国政府采购法实施</w:t>
      </w:r>
      <w:r>
        <w:rPr>
          <w:rFonts w:hint="eastAsia" w:ascii="仿宋" w:hAnsi="仿宋" w:eastAsia="仿宋" w:cs="仿宋"/>
          <w:b w:val="0"/>
          <w:i w:val="0"/>
          <w:caps w:val="0"/>
          <w:spacing w:val="0"/>
          <w:w w:val="100"/>
          <w:sz w:val="24"/>
        </w:rPr>
        <w:t>条例》等有关法律、法规的规定和</w:t>
      </w:r>
      <w:r>
        <w:rPr>
          <w:rFonts w:hint="eastAsia" w:ascii="仿宋" w:hAnsi="仿宋" w:eastAsia="仿宋" w:cs="仿宋"/>
          <w:b w:val="0"/>
          <w:i w:val="0"/>
          <w:caps w:val="0"/>
          <w:spacing w:val="0"/>
          <w:w w:val="100"/>
          <w:sz w:val="24"/>
          <w:u w:val="single" w:color="000000"/>
        </w:rPr>
        <w:t>    ***项目项目编号***、第**标段  </w:t>
      </w:r>
      <w:r>
        <w:rPr>
          <w:rFonts w:hint="eastAsia" w:ascii="仿宋" w:hAnsi="仿宋" w:eastAsia="仿宋" w:cs="仿宋"/>
          <w:b w:val="0"/>
          <w:i w:val="0"/>
          <w:caps w:val="0"/>
          <w:spacing w:val="0"/>
          <w:w w:val="100"/>
          <w:sz w:val="24"/>
        </w:rPr>
        <w:t>的招标文件（或竞争性谈判文件）的要求，我公司在参加</w:t>
      </w:r>
      <w:r>
        <w:rPr>
          <w:rFonts w:hint="eastAsia" w:ascii="仿宋" w:hAnsi="仿宋" w:eastAsia="仿宋" w:cs="仿宋"/>
          <w:b w:val="0"/>
          <w:i w:val="0"/>
          <w:caps w:val="0"/>
          <w:spacing w:val="0"/>
          <w:w w:val="100"/>
          <w:sz w:val="24"/>
          <w:u w:val="single" w:color="000000"/>
        </w:rPr>
        <w:t xml:space="preserve"> ***项目项目编号***、第**标段 </w:t>
      </w:r>
      <w:r>
        <w:rPr>
          <w:rFonts w:hint="eastAsia" w:ascii="仿宋" w:hAnsi="仿宋" w:eastAsia="仿宋" w:cs="仿宋"/>
          <w:b w:val="0"/>
          <w:i w:val="0"/>
          <w:caps w:val="0"/>
          <w:spacing w:val="0"/>
          <w:w w:val="100"/>
          <w:sz w:val="24"/>
        </w:rPr>
        <w:t>投标文件（</w:t>
      </w:r>
      <w:r>
        <w:rPr>
          <w:rFonts w:hint="eastAsia" w:ascii="仿宋" w:hAnsi="仿宋" w:eastAsia="仿宋" w:cs="仿宋"/>
          <w:b w:val="0"/>
          <w:i w:val="0"/>
          <w:caps w:val="0"/>
          <w:spacing w:val="0"/>
          <w:w w:val="100"/>
          <w:sz w:val="24"/>
          <w:lang w:eastAsia="zh-CN"/>
        </w:rPr>
        <w:t>投标文件</w:t>
      </w:r>
      <w:r>
        <w:rPr>
          <w:rFonts w:hint="eastAsia" w:ascii="仿宋" w:hAnsi="仿宋" w:eastAsia="仿宋" w:cs="仿宋"/>
          <w:b w:val="0"/>
          <w:i w:val="0"/>
          <w:caps w:val="0"/>
          <w:spacing w:val="0"/>
          <w:w w:val="100"/>
          <w:sz w:val="24"/>
        </w:rPr>
        <w:t>）中所提供资料真实性作如下承诺：</w:t>
      </w:r>
    </w:p>
    <w:p w14:paraId="57EFC577">
      <w:pPr>
        <w:snapToGrid w:val="0"/>
        <w:spacing w:before="0" w:beforeAutospacing="0" w:after="0" w:afterAutospacing="0" w:line="360" w:lineRule="auto"/>
        <w:ind w:firstLine="480" w:firstLineChars="200"/>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我公司将严格按招标文件</w:t>
      </w:r>
      <w:bookmarkStart w:id="987" w:name="_Hlk5982690"/>
      <w:r>
        <w:rPr>
          <w:rFonts w:hint="eastAsia" w:ascii="仿宋" w:hAnsi="仿宋" w:eastAsia="仿宋" w:cs="仿宋"/>
          <w:b w:val="0"/>
          <w:i w:val="0"/>
          <w:caps w:val="0"/>
          <w:spacing w:val="0"/>
          <w:w w:val="100"/>
          <w:sz w:val="24"/>
        </w:rPr>
        <w:t>（或竞争性谈判）</w:t>
      </w:r>
      <w:bookmarkEnd w:id="987"/>
      <w:r>
        <w:rPr>
          <w:rFonts w:hint="eastAsia" w:ascii="仿宋" w:hAnsi="仿宋" w:eastAsia="仿宋" w:cs="仿宋"/>
          <w:b w:val="0"/>
          <w:i w:val="0"/>
          <w:caps w:val="0"/>
          <w:spacing w:val="0"/>
          <w:w w:val="100"/>
          <w:sz w:val="24"/>
        </w:rPr>
        <w:t>要求，在编制本投标文件（</w:t>
      </w:r>
      <w:r>
        <w:rPr>
          <w:rFonts w:hint="eastAsia" w:ascii="仿宋" w:hAnsi="仿宋" w:eastAsia="仿宋" w:cs="仿宋"/>
          <w:b w:val="0"/>
          <w:i w:val="0"/>
          <w:caps w:val="0"/>
          <w:spacing w:val="0"/>
          <w:w w:val="100"/>
          <w:sz w:val="24"/>
          <w:lang w:eastAsia="zh-CN"/>
        </w:rPr>
        <w:t>投标文件</w:t>
      </w:r>
      <w:r>
        <w:rPr>
          <w:rFonts w:hint="eastAsia" w:ascii="仿宋" w:hAnsi="仿宋" w:eastAsia="仿宋" w:cs="仿宋"/>
          <w:b w:val="0"/>
          <w:i w:val="0"/>
          <w:caps w:val="0"/>
          <w:spacing w:val="0"/>
          <w:w w:val="100"/>
          <w:sz w:val="24"/>
        </w:rPr>
        <w:t xml:space="preserve">）时，对投标文件中所提供的资料全部真实和正确，并对提供的所有资料（资格、其他材料等）的真实性负责！ </w:t>
      </w:r>
    </w:p>
    <w:p w14:paraId="4A6F981B">
      <w:pPr>
        <w:snapToGrid w:val="0"/>
        <w:spacing w:before="0" w:beforeAutospacing="0" w:after="0" w:afterAutospacing="0" w:line="360" w:lineRule="auto"/>
        <w:ind w:firstLine="480" w:firstLineChars="200"/>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对提供的全部资料中有存在不真实（伪造或租借等虚假资料）情形，将无条件接受任何处罚，自行承担由此引起的一切责任！</w:t>
      </w:r>
    </w:p>
    <w:p w14:paraId="301E2BB8">
      <w:pPr>
        <w:snapToGrid w:val="0"/>
        <w:spacing w:before="0" w:beforeAutospacing="0" w:after="0" w:afterAutospacing="0" w:line="360" w:lineRule="auto"/>
        <w:ind w:firstLine="720" w:firstLineChars="300"/>
        <w:jc w:val="both"/>
        <w:textAlignment w:val="baseline"/>
        <w:rPr>
          <w:rFonts w:ascii="仿宋" w:hAnsi="仿宋" w:eastAsia="仿宋" w:cs="仿宋"/>
          <w:b w:val="0"/>
          <w:i w:val="0"/>
          <w:caps w:val="0"/>
          <w:spacing w:val="0"/>
          <w:w w:val="100"/>
          <w:sz w:val="24"/>
        </w:rPr>
      </w:pPr>
    </w:p>
    <w:p w14:paraId="5C7795F6">
      <w:pPr>
        <w:snapToGrid w:val="0"/>
        <w:spacing w:before="0" w:beforeAutospacing="0" w:after="0" w:afterAutospacing="0" w:line="360" w:lineRule="auto"/>
        <w:ind w:firstLine="720" w:firstLineChars="300"/>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特此承诺</w:t>
      </w:r>
    </w:p>
    <w:p w14:paraId="5C90930F">
      <w:pPr>
        <w:snapToGrid w:val="0"/>
        <w:spacing w:before="0" w:beforeAutospacing="0" w:after="0" w:afterAutospacing="0" w:line="360" w:lineRule="auto"/>
        <w:ind w:firstLine="720" w:firstLineChars="300"/>
        <w:jc w:val="both"/>
        <w:textAlignment w:val="baseline"/>
        <w:rPr>
          <w:rFonts w:ascii="仿宋" w:hAnsi="仿宋" w:eastAsia="仿宋" w:cs="仿宋"/>
          <w:b w:val="0"/>
          <w:i w:val="0"/>
          <w:caps w:val="0"/>
          <w:spacing w:val="0"/>
          <w:w w:val="100"/>
          <w:sz w:val="24"/>
        </w:rPr>
      </w:pPr>
    </w:p>
    <w:p w14:paraId="04EEC7C8">
      <w:pPr>
        <w:snapToGrid w:val="0"/>
        <w:spacing w:before="0" w:beforeAutospacing="0" w:after="0" w:afterAutospacing="0" w:line="360" w:lineRule="auto"/>
        <w:ind w:firstLine="4080" w:firstLineChars="1700"/>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 xml:space="preserve">供应商名称（加盖盖章）：                        </w:t>
      </w:r>
    </w:p>
    <w:p w14:paraId="778D8D6A">
      <w:pPr>
        <w:snapToGrid w:val="0"/>
        <w:spacing w:before="0" w:beforeAutospacing="0" w:after="0" w:afterAutospacing="0" w:line="360" w:lineRule="auto"/>
        <w:ind w:firstLine="3600" w:firstLineChars="1500"/>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法定代表人或委托代理人（签字</w:t>
      </w:r>
      <w:r>
        <w:rPr>
          <w:rFonts w:hint="eastAsia" w:ascii="仿宋" w:hAnsi="仿宋" w:eastAsia="仿宋" w:cs="仿宋"/>
          <w:b w:val="0"/>
          <w:i w:val="0"/>
          <w:caps w:val="0"/>
          <w:spacing w:val="0"/>
          <w:w w:val="100"/>
          <w:sz w:val="24"/>
          <w:lang w:val="en-US" w:eastAsia="zh-CN"/>
        </w:rPr>
        <w:t>或签章</w:t>
      </w:r>
      <w:r>
        <w:rPr>
          <w:rFonts w:hint="eastAsia" w:ascii="仿宋" w:hAnsi="仿宋" w:eastAsia="仿宋" w:cs="仿宋"/>
          <w:b w:val="0"/>
          <w:i w:val="0"/>
          <w:caps w:val="0"/>
          <w:spacing w:val="0"/>
          <w:w w:val="100"/>
          <w:sz w:val="24"/>
        </w:rPr>
        <w:t>）：</w:t>
      </w:r>
    </w:p>
    <w:p w14:paraId="54F2AD07">
      <w:pPr>
        <w:snapToGrid w:val="0"/>
        <w:spacing w:before="0" w:beforeAutospacing="0" w:after="0" w:afterAutospacing="0" w:line="360" w:lineRule="auto"/>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 xml:space="preserve">                           </w:t>
      </w:r>
      <w:r>
        <w:rPr>
          <w:rFonts w:hint="eastAsia" w:ascii="仿宋" w:hAnsi="仿宋" w:eastAsia="仿宋" w:cs="仿宋"/>
          <w:b w:val="0"/>
          <w:i w:val="0"/>
          <w:caps w:val="0"/>
          <w:spacing w:val="0"/>
          <w:w w:val="100"/>
          <w:sz w:val="24"/>
          <w:lang w:val="en-US" w:eastAsia="zh-CN"/>
        </w:rPr>
        <w:t xml:space="preserve">   </w:t>
      </w:r>
      <w:r>
        <w:rPr>
          <w:rFonts w:hint="eastAsia" w:ascii="仿宋" w:hAnsi="仿宋" w:eastAsia="仿宋" w:cs="仿宋"/>
          <w:b w:val="0"/>
          <w:i w:val="0"/>
          <w:caps w:val="0"/>
          <w:spacing w:val="0"/>
          <w:w w:val="100"/>
          <w:sz w:val="24"/>
        </w:rPr>
        <w:t xml:space="preserve"> </w:t>
      </w:r>
      <w:r>
        <w:rPr>
          <w:rFonts w:hint="eastAsia" w:ascii="仿宋" w:hAnsi="仿宋" w:eastAsia="仿宋" w:cs="仿宋"/>
          <w:b w:val="0"/>
          <w:i w:val="0"/>
          <w:caps w:val="0"/>
          <w:spacing w:val="0"/>
          <w:w w:val="100"/>
          <w:sz w:val="24"/>
          <w:lang w:val="en-US" w:eastAsia="zh-CN"/>
        </w:rPr>
        <w:t>日期</w:t>
      </w:r>
      <w:r>
        <w:rPr>
          <w:rFonts w:hint="eastAsia" w:ascii="仿宋" w:hAnsi="仿宋" w:eastAsia="仿宋" w:cs="仿宋"/>
          <w:b w:val="0"/>
          <w:i w:val="0"/>
          <w:caps w:val="0"/>
          <w:spacing w:val="0"/>
          <w:w w:val="100"/>
          <w:sz w:val="24"/>
        </w:rPr>
        <w:t>：</w:t>
      </w:r>
      <w:r>
        <w:rPr>
          <w:rFonts w:hint="eastAsia" w:ascii="仿宋" w:hAnsi="仿宋" w:eastAsia="仿宋" w:cs="仿宋"/>
          <w:b w:val="0"/>
          <w:i w:val="0"/>
          <w:caps w:val="0"/>
          <w:spacing w:val="0"/>
          <w:w w:val="100"/>
          <w:sz w:val="24"/>
          <w:lang w:val="en-US" w:eastAsia="zh-CN"/>
        </w:rPr>
        <w:t xml:space="preserve"> </w:t>
      </w:r>
      <w:r>
        <w:rPr>
          <w:rFonts w:hint="eastAsia" w:ascii="仿宋" w:hAnsi="仿宋" w:eastAsia="仿宋" w:cs="仿宋"/>
          <w:b w:val="0"/>
          <w:i w:val="0"/>
          <w:caps w:val="0"/>
          <w:spacing w:val="0"/>
          <w:w w:val="100"/>
          <w:sz w:val="24"/>
        </w:rPr>
        <w:t xml:space="preserve">  年      月       日</w:t>
      </w:r>
    </w:p>
    <w:p w14:paraId="399D8958">
      <w:pPr>
        <w:snapToGrid w:val="0"/>
        <w:spacing w:before="0" w:beforeAutospacing="0" w:after="0" w:afterAutospacing="0" w:line="360" w:lineRule="auto"/>
        <w:ind w:firstLine="720" w:firstLineChars="300"/>
        <w:jc w:val="both"/>
        <w:textAlignment w:val="baseline"/>
        <w:rPr>
          <w:rFonts w:ascii="仿宋" w:hAnsi="仿宋" w:eastAsia="仿宋" w:cs="仿宋"/>
          <w:b w:val="0"/>
          <w:i w:val="0"/>
          <w:caps w:val="0"/>
          <w:spacing w:val="0"/>
          <w:w w:val="100"/>
          <w:sz w:val="24"/>
        </w:rPr>
      </w:pPr>
      <w:r>
        <w:rPr>
          <w:rFonts w:hint="eastAsia" w:ascii="仿宋" w:hAnsi="仿宋" w:eastAsia="仿宋" w:cs="仿宋"/>
          <w:b w:val="0"/>
          <w:i w:val="0"/>
          <w:caps w:val="0"/>
          <w:spacing w:val="0"/>
          <w:w w:val="100"/>
          <w:sz w:val="24"/>
        </w:rPr>
        <w:t xml:space="preserve">                     </w:t>
      </w:r>
    </w:p>
    <w:p w14:paraId="35D871B9">
      <w:pPr>
        <w:spacing w:line="240" w:lineRule="atLeast"/>
        <w:jc w:val="both"/>
        <w:rPr>
          <w:rFonts w:hint="eastAsia" w:ascii="仿宋_GB2312" w:hAnsi="仿宋_GB2312" w:eastAsia="仿宋_GB2312" w:cs="仿宋_GB2312"/>
          <w:b/>
          <w:sz w:val="30"/>
          <w:szCs w:val="30"/>
        </w:rPr>
      </w:pPr>
    </w:p>
    <w:p w14:paraId="74A40974">
      <w:pPr>
        <w:pStyle w:val="24"/>
        <w:rPr>
          <w:rFonts w:hint="eastAsia" w:ascii="仿宋_GB2312" w:hAnsi="仿宋_GB2312" w:eastAsia="仿宋_GB2312" w:cs="仿宋_GB2312"/>
          <w:b/>
          <w:sz w:val="30"/>
          <w:szCs w:val="30"/>
        </w:rPr>
      </w:pPr>
    </w:p>
    <w:p w14:paraId="0619AC5F">
      <w:pPr>
        <w:spacing w:line="240" w:lineRule="atLeast"/>
        <w:jc w:val="both"/>
        <w:rPr>
          <w:rFonts w:hint="eastAsia" w:ascii="仿宋_GB2312" w:hAnsi="仿宋_GB2312" w:eastAsia="仿宋_GB2312" w:cs="仿宋_GB2312"/>
          <w:b/>
          <w:sz w:val="52"/>
          <w:szCs w:val="52"/>
        </w:rPr>
      </w:pPr>
    </w:p>
    <w:p w14:paraId="0C3AAF03">
      <w:pPr>
        <w:spacing w:line="240" w:lineRule="atLeast"/>
        <w:ind w:left="1080" w:leftChars="257" w:hanging="540"/>
        <w:jc w:val="center"/>
        <w:rPr>
          <w:rFonts w:hint="eastAsia" w:ascii="仿宋_GB2312" w:hAnsi="仿宋_GB2312" w:eastAsia="仿宋_GB2312" w:cs="仿宋_GB2312"/>
          <w:b/>
          <w:sz w:val="52"/>
          <w:szCs w:val="52"/>
        </w:rPr>
      </w:pPr>
    </w:p>
    <w:p w14:paraId="4A0159C6">
      <w:pPr>
        <w:spacing w:line="240" w:lineRule="atLeast"/>
        <w:ind w:left="1080" w:leftChars="257" w:hanging="540"/>
        <w:jc w:val="center"/>
        <w:rPr>
          <w:rFonts w:hint="eastAsia" w:ascii="仿宋_GB2312" w:hAnsi="仿宋_GB2312" w:eastAsia="仿宋_GB2312" w:cs="仿宋_GB2312"/>
          <w:b/>
          <w:sz w:val="52"/>
          <w:szCs w:val="52"/>
        </w:rPr>
      </w:pPr>
    </w:p>
    <w:p w14:paraId="3824A098">
      <w:pPr>
        <w:spacing w:line="240" w:lineRule="atLeast"/>
        <w:ind w:left="1080" w:leftChars="257" w:hanging="540"/>
        <w:jc w:val="center"/>
        <w:rPr>
          <w:rFonts w:hint="eastAsia" w:ascii="仿宋_GB2312" w:hAnsi="仿宋_GB2312" w:eastAsia="仿宋_GB2312" w:cs="仿宋_GB2312"/>
          <w:b/>
          <w:sz w:val="52"/>
          <w:szCs w:val="52"/>
        </w:rPr>
      </w:pPr>
    </w:p>
    <w:p w14:paraId="5EE2E3EC">
      <w:pPr>
        <w:spacing w:line="240" w:lineRule="atLeast"/>
        <w:ind w:left="1080" w:leftChars="257" w:hanging="540"/>
        <w:jc w:val="center"/>
        <w:rPr>
          <w:rFonts w:hint="eastAsia" w:ascii="仿宋_GB2312" w:hAnsi="仿宋_GB2312" w:eastAsia="仿宋_GB2312" w:cs="仿宋_GB2312"/>
          <w:b/>
          <w:sz w:val="52"/>
          <w:szCs w:val="52"/>
        </w:rPr>
      </w:pPr>
    </w:p>
    <w:p w14:paraId="51EB8243">
      <w:pPr>
        <w:spacing w:line="240" w:lineRule="atLeast"/>
        <w:ind w:left="1080" w:leftChars="257" w:hanging="540"/>
        <w:jc w:val="center"/>
        <w:rPr>
          <w:rFonts w:hint="eastAsia" w:ascii="仿宋_GB2312" w:hAnsi="仿宋_GB2312" w:eastAsia="仿宋_GB2312" w:cs="仿宋_GB2312"/>
          <w:b/>
          <w:sz w:val="52"/>
          <w:szCs w:val="52"/>
        </w:rPr>
      </w:pPr>
    </w:p>
    <w:p w14:paraId="17053FEF">
      <w:pPr>
        <w:spacing w:line="240" w:lineRule="atLeast"/>
        <w:ind w:left="1080" w:leftChars="257" w:hanging="540"/>
        <w:jc w:val="center"/>
        <w:rPr>
          <w:rFonts w:hint="eastAsia" w:ascii="仿宋_GB2312" w:hAnsi="仿宋_GB2312" w:eastAsia="仿宋_GB2312" w:cs="仿宋_GB2312"/>
          <w:b/>
          <w:sz w:val="52"/>
          <w:szCs w:val="52"/>
        </w:rPr>
      </w:pPr>
    </w:p>
    <w:p w14:paraId="575661F0">
      <w:pPr>
        <w:spacing w:line="240" w:lineRule="atLeast"/>
        <w:ind w:left="1080" w:leftChars="257" w:hanging="540"/>
        <w:jc w:val="center"/>
        <w:rPr>
          <w:rFonts w:hint="eastAsia" w:ascii="仿宋_GB2312" w:hAnsi="仿宋_GB2312" w:eastAsia="仿宋_GB2312" w:cs="仿宋_GB2312"/>
          <w:b/>
          <w:sz w:val="52"/>
          <w:szCs w:val="52"/>
        </w:rPr>
      </w:pPr>
    </w:p>
    <w:p w14:paraId="0DE692B1">
      <w:pPr>
        <w:pStyle w:val="24"/>
        <w:rPr>
          <w:rFonts w:hint="eastAsia"/>
        </w:rPr>
      </w:pPr>
    </w:p>
    <w:p w14:paraId="00642D14">
      <w:pPr>
        <w:spacing w:line="240" w:lineRule="atLeast"/>
        <w:jc w:val="center"/>
        <w:rPr>
          <w:rFonts w:hint="default" w:ascii="仿宋_GB2312" w:hAnsi="仿宋_GB2312" w:eastAsia="仿宋_GB2312" w:cs="仿宋_GB2312"/>
          <w:b/>
          <w:sz w:val="52"/>
          <w:szCs w:val="52"/>
          <w:lang w:val="en-US" w:eastAsia="zh-CN"/>
        </w:rPr>
      </w:pPr>
      <w:r>
        <w:rPr>
          <w:rFonts w:hint="eastAsia" w:ascii="仿宋_GB2312" w:hAnsi="仿宋_GB2312" w:eastAsia="仿宋_GB2312" w:cs="仿宋_GB2312"/>
          <w:b/>
          <w:sz w:val="52"/>
          <w:szCs w:val="52"/>
          <w:lang w:val="en-US" w:eastAsia="zh-CN"/>
        </w:rPr>
        <w:t>服务类</w:t>
      </w:r>
    </w:p>
    <w:p w14:paraId="44B7EE22">
      <w:pPr>
        <w:pStyle w:val="24"/>
        <w:rPr>
          <w:rFonts w:hint="eastAsia" w:ascii="仿宋_GB2312" w:hAnsi="仿宋_GB2312" w:eastAsia="仿宋_GB2312" w:cs="仿宋_GB2312"/>
          <w:b/>
          <w:sz w:val="52"/>
          <w:szCs w:val="52"/>
        </w:rPr>
      </w:pPr>
    </w:p>
    <w:p w14:paraId="6ECE607B">
      <w:pPr>
        <w:pStyle w:val="7"/>
        <w:rPr>
          <w:rFonts w:hint="eastAsia"/>
        </w:rPr>
      </w:pPr>
    </w:p>
    <w:p w14:paraId="6C9EF0E8">
      <w:pPr>
        <w:spacing w:line="240" w:lineRule="atLeast"/>
        <w:ind w:left="1080" w:leftChars="257" w:hanging="540"/>
        <w:jc w:val="center"/>
        <w:rPr>
          <w:rFonts w:hint="eastAsia" w:ascii="仿宋_GB2312" w:hAnsi="仿宋_GB2312" w:eastAsia="仿宋_GB2312" w:cs="仿宋_GB2312"/>
          <w:b/>
          <w:sz w:val="52"/>
          <w:szCs w:val="52"/>
        </w:rPr>
      </w:pPr>
      <w:r>
        <w:rPr>
          <w:rFonts w:hint="eastAsia" w:ascii="仿宋_GB2312" w:hAnsi="仿宋_GB2312" w:eastAsia="仿宋_GB2312" w:cs="仿宋_GB2312"/>
          <w:b/>
          <w:sz w:val="52"/>
          <w:szCs w:val="52"/>
        </w:rPr>
        <w:t>政府采购公开招标文件</w:t>
      </w:r>
    </w:p>
    <w:p w14:paraId="289DDBFB">
      <w:pPr>
        <w:pStyle w:val="24"/>
        <w:rPr>
          <w:rFonts w:hint="eastAsia"/>
        </w:rPr>
      </w:pPr>
    </w:p>
    <w:p w14:paraId="318EEA18">
      <w:pPr>
        <w:spacing w:line="240" w:lineRule="atLeast"/>
        <w:ind w:left="1080" w:leftChars="257" w:hanging="540"/>
        <w:rPr>
          <w:rFonts w:hint="eastAsia" w:ascii="仿宋_GB2312" w:hAnsi="仿宋_GB2312" w:eastAsia="仿宋_GB2312" w:cs="仿宋_GB2312"/>
          <w:b/>
          <w:sz w:val="28"/>
        </w:rPr>
      </w:pPr>
    </w:p>
    <w:p w14:paraId="7B14AD3A">
      <w:pPr>
        <w:pStyle w:val="24"/>
        <w:rPr>
          <w:rFonts w:hint="eastAsia" w:ascii="仿宋_GB2312" w:hAnsi="仿宋_GB2312" w:eastAsia="仿宋_GB2312" w:cs="仿宋_GB2312"/>
          <w:b/>
          <w:sz w:val="28"/>
        </w:rPr>
      </w:pPr>
    </w:p>
    <w:p w14:paraId="76734F04">
      <w:pPr>
        <w:pStyle w:val="10"/>
        <w:rPr>
          <w:rFonts w:hint="eastAsia"/>
        </w:rPr>
      </w:pPr>
    </w:p>
    <w:p w14:paraId="1C7E3558">
      <w:pPr>
        <w:pStyle w:val="24"/>
        <w:rPr>
          <w:rFonts w:hint="eastAsia"/>
        </w:rPr>
      </w:pPr>
    </w:p>
    <w:p w14:paraId="71C9F050">
      <w:pPr>
        <w:spacing w:line="240" w:lineRule="atLeast"/>
        <w:ind w:left="1080" w:leftChars="257" w:hanging="540"/>
        <w:jc w:val="center"/>
        <w:rPr>
          <w:rFonts w:hint="eastAsia" w:ascii="仿宋_GB2312" w:hAnsi="仿宋_GB2312" w:eastAsia="仿宋_GB2312" w:cs="仿宋_GB2312"/>
          <w:b/>
          <w:sz w:val="48"/>
          <w:szCs w:val="48"/>
        </w:rPr>
      </w:pPr>
      <w:r>
        <w:rPr>
          <w:rFonts w:hint="eastAsia" w:ascii="仿宋_GB2312" w:hAnsi="仿宋_GB2312" w:eastAsia="仿宋_GB2312" w:cs="仿宋_GB2312"/>
          <w:b/>
          <w:sz w:val="48"/>
          <w:szCs w:val="48"/>
        </w:rPr>
        <w:t>第二册</w:t>
      </w:r>
    </w:p>
    <w:p w14:paraId="57AA3C5A">
      <w:pPr>
        <w:spacing w:line="240" w:lineRule="atLeast"/>
        <w:ind w:left="1080" w:leftChars="257" w:hanging="540"/>
        <w:rPr>
          <w:rFonts w:hint="eastAsia" w:ascii="仿宋_GB2312" w:hAnsi="仿宋_GB2312" w:eastAsia="仿宋_GB2312" w:cs="仿宋_GB2312"/>
          <w:b/>
          <w:sz w:val="28"/>
        </w:rPr>
      </w:pPr>
    </w:p>
    <w:p w14:paraId="1F918953">
      <w:pPr>
        <w:spacing w:line="240" w:lineRule="atLeast"/>
        <w:ind w:left="1080" w:leftChars="257" w:hanging="540"/>
        <w:rPr>
          <w:rFonts w:hint="eastAsia" w:ascii="仿宋_GB2312" w:hAnsi="仿宋_GB2312" w:eastAsia="仿宋_GB2312" w:cs="仿宋_GB2312"/>
          <w:b/>
          <w:sz w:val="28"/>
        </w:rPr>
      </w:pPr>
    </w:p>
    <w:p w14:paraId="6207D2B1">
      <w:pPr>
        <w:spacing w:line="240" w:lineRule="atLeast"/>
        <w:ind w:left="1080" w:leftChars="257" w:hanging="540"/>
        <w:rPr>
          <w:rFonts w:hint="eastAsia" w:ascii="仿宋_GB2312" w:hAnsi="仿宋_GB2312" w:eastAsia="仿宋_GB2312" w:cs="仿宋_GB2312"/>
          <w:b/>
          <w:sz w:val="28"/>
        </w:rPr>
      </w:pPr>
    </w:p>
    <w:p w14:paraId="319CDDE3">
      <w:pPr>
        <w:spacing w:line="240" w:lineRule="atLeast"/>
        <w:ind w:left="1080" w:leftChars="257" w:hanging="540"/>
        <w:rPr>
          <w:rFonts w:hint="eastAsia" w:ascii="仿宋_GB2312" w:hAnsi="仿宋_GB2312" w:eastAsia="仿宋_GB2312" w:cs="仿宋_GB2312"/>
          <w:b/>
          <w:sz w:val="28"/>
        </w:rPr>
      </w:pPr>
    </w:p>
    <w:p w14:paraId="37B65245">
      <w:pPr>
        <w:spacing w:line="240" w:lineRule="atLeast"/>
        <w:ind w:left="1080" w:leftChars="257" w:hanging="540"/>
        <w:jc w:val="center"/>
        <w:rPr>
          <w:rFonts w:hint="eastAsia" w:ascii="仿宋_GB2312" w:hAnsi="仿宋_GB2312" w:eastAsia="仿宋_GB2312" w:cs="仿宋_GB2312"/>
          <w:b/>
          <w:sz w:val="52"/>
        </w:rPr>
      </w:pPr>
    </w:p>
    <w:p w14:paraId="378698E4">
      <w:pPr>
        <w:spacing w:line="240" w:lineRule="atLeast"/>
        <w:ind w:left="1080" w:leftChars="257" w:hanging="540"/>
        <w:jc w:val="center"/>
        <w:rPr>
          <w:rFonts w:hint="eastAsia" w:ascii="仿宋_GB2312" w:hAnsi="仿宋_GB2312" w:eastAsia="仿宋_GB2312" w:cs="仿宋_GB2312"/>
          <w:b/>
          <w:sz w:val="52"/>
        </w:rPr>
      </w:pPr>
    </w:p>
    <w:p w14:paraId="2F85E85B">
      <w:pPr>
        <w:spacing w:line="240" w:lineRule="atLeast"/>
        <w:ind w:left="1080" w:leftChars="257" w:hanging="540"/>
        <w:jc w:val="center"/>
        <w:rPr>
          <w:rFonts w:hint="eastAsia" w:ascii="仿宋_GB2312" w:hAnsi="仿宋_GB2312" w:eastAsia="仿宋_GB2312" w:cs="仿宋_GB2312"/>
          <w:b/>
          <w:sz w:val="52"/>
        </w:rPr>
      </w:pPr>
    </w:p>
    <w:p w14:paraId="28ED0E72">
      <w:pPr>
        <w:spacing w:line="240" w:lineRule="atLeast"/>
        <w:ind w:left="1080" w:leftChars="257" w:hanging="540"/>
        <w:jc w:val="center"/>
        <w:rPr>
          <w:rFonts w:hint="eastAsia" w:ascii="仿宋_GB2312" w:hAnsi="仿宋_GB2312" w:eastAsia="仿宋_GB2312" w:cs="仿宋_GB2312"/>
          <w:b/>
          <w:sz w:val="52"/>
        </w:rPr>
      </w:pPr>
    </w:p>
    <w:p w14:paraId="329EEA1C">
      <w:pPr>
        <w:spacing w:line="240" w:lineRule="atLeast"/>
        <w:ind w:left="1080" w:leftChars="257" w:hanging="540"/>
        <w:jc w:val="center"/>
        <w:rPr>
          <w:rFonts w:hint="eastAsia" w:ascii="仿宋_GB2312" w:hAnsi="仿宋_GB2312" w:eastAsia="仿宋_GB2312" w:cs="仿宋_GB2312"/>
          <w:b/>
          <w:sz w:val="52"/>
        </w:rPr>
      </w:pPr>
    </w:p>
    <w:p w14:paraId="7ACEF0A1">
      <w:pPr>
        <w:pStyle w:val="24"/>
        <w:rPr>
          <w:rFonts w:hint="eastAsia" w:ascii="仿宋_GB2312" w:hAnsi="仿宋_GB2312" w:eastAsia="仿宋_GB2312" w:cs="仿宋_GB2312"/>
          <w:b/>
          <w:sz w:val="52"/>
        </w:rPr>
      </w:pPr>
    </w:p>
    <w:p w14:paraId="0CE8533B">
      <w:pPr>
        <w:pStyle w:val="3"/>
        <w:pageBreakBefore w:val="0"/>
        <w:tabs>
          <w:tab w:val="left" w:pos="0"/>
        </w:tabs>
        <w:kinsoku/>
        <w:wordWrap/>
        <w:overflowPunct/>
        <w:topLinePunct w:val="0"/>
        <w:bidi w:val="0"/>
        <w:snapToGrid/>
        <w:spacing w:before="0" w:beforeAutospacing="0" w:after="0" w:afterAutospacing="0" w:line="500" w:lineRule="exact"/>
        <w:ind w:firstLine="2409" w:firstLineChars="600"/>
        <w:jc w:val="both"/>
        <w:textAlignment w:val="auto"/>
        <w:rPr>
          <w:rFonts w:hint="default" w:ascii="宋体" w:hAnsi="宋体" w:eastAsia="宋体" w:cs="宋体"/>
          <w:b w:val="0"/>
          <w:bCs w:val="0"/>
          <w:color w:val="000000"/>
          <w:sz w:val="24"/>
          <w:szCs w:val="24"/>
          <w:lang w:val="en-US" w:eastAsia="zh-CN"/>
        </w:rPr>
      </w:pPr>
      <w:r>
        <w:rPr>
          <w:rFonts w:hint="eastAsia" w:ascii="仿宋_GB2312" w:hAnsi="仿宋_GB2312" w:eastAsia="仿宋_GB2312" w:cs="仿宋_GB2312"/>
          <w:sz w:val="40"/>
          <w:szCs w:val="40"/>
        </w:rPr>
        <w:t>第三章 投标邀请</w:t>
      </w:r>
      <w:bookmarkEnd w:id="647"/>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280C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8528" w:type="dxa"/>
            <w:noWrap w:val="0"/>
            <w:vAlign w:val="top"/>
          </w:tcPr>
          <w:p w14:paraId="367EF3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sz w:val="24"/>
                <w:szCs w:val="24"/>
                <w:highlight w:val="none"/>
                <w:lang w:val="en-US" w:eastAsia="zh-CN"/>
              </w:rPr>
            </w:pPr>
            <w:bookmarkStart w:id="988" w:name="_Toc26661"/>
            <w:r>
              <w:rPr>
                <w:rFonts w:hint="eastAsia" w:ascii="宋体" w:hAnsi="宋体" w:eastAsia="宋体" w:cs="宋体"/>
                <w:b/>
                <w:bCs/>
                <w:sz w:val="24"/>
                <w:szCs w:val="24"/>
                <w:highlight w:val="none"/>
                <w:lang w:val="en-US" w:eastAsia="zh-CN"/>
              </w:rPr>
              <w:t>项目概况</w:t>
            </w:r>
          </w:p>
          <w:p w14:paraId="2D780D2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b w:val="0"/>
                <w:color w:val="00B0F0"/>
                <w:kern w:val="2"/>
                <w:sz w:val="24"/>
                <w:szCs w:val="24"/>
                <w:highlight w:val="none"/>
                <w:u w:val="single"/>
                <w:lang w:val="en-US" w:eastAsia="zh-CN" w:bidi="ar-SA"/>
              </w:rPr>
              <w:t>喀什某单位2025年食堂劳务服务</w:t>
            </w:r>
            <w:r>
              <w:rPr>
                <w:rFonts w:hint="eastAsia" w:ascii="宋体" w:hAnsi="宋体" w:cs="宋体"/>
                <w:b w:val="0"/>
                <w:color w:val="00B0F0"/>
                <w:kern w:val="2"/>
                <w:sz w:val="24"/>
                <w:szCs w:val="24"/>
                <w:highlight w:val="none"/>
                <w:u w:val="single"/>
                <w:lang w:val="en-US" w:eastAsia="zh-CN" w:bidi="ar-SA"/>
              </w:rPr>
              <w:t>采购</w:t>
            </w:r>
            <w:r>
              <w:rPr>
                <w:rFonts w:hint="eastAsia" w:ascii="宋体" w:hAnsi="宋体" w:eastAsia="宋体" w:cs="宋体"/>
                <w:b w:val="0"/>
                <w:color w:val="00B0F0"/>
                <w:kern w:val="2"/>
                <w:sz w:val="24"/>
                <w:szCs w:val="24"/>
                <w:highlight w:val="none"/>
                <w:u w:val="single"/>
                <w:lang w:val="en-US" w:eastAsia="zh-CN" w:bidi="ar-SA"/>
              </w:rPr>
              <w:t>项目</w:t>
            </w:r>
            <w:r>
              <w:rPr>
                <w:rFonts w:hint="eastAsia" w:ascii="宋体" w:hAnsi="宋体" w:eastAsia="宋体" w:cs="宋体"/>
                <w:b w:val="0"/>
                <w:kern w:val="2"/>
                <w:sz w:val="24"/>
                <w:szCs w:val="24"/>
                <w:highlight w:val="none"/>
                <w:lang w:val="en-US" w:eastAsia="zh-CN" w:bidi="ar-SA"/>
              </w:rPr>
              <w:t>的潜在供应商应在</w:t>
            </w:r>
            <w:r>
              <w:rPr>
                <w:rFonts w:hint="eastAsia" w:ascii="宋体" w:hAnsi="宋体" w:eastAsia="宋体" w:cs="宋体"/>
                <w:b w:val="0"/>
                <w:kern w:val="2"/>
                <w:sz w:val="24"/>
                <w:szCs w:val="24"/>
                <w:highlight w:val="none"/>
                <w:u w:val="single"/>
                <w:lang w:val="en-US" w:eastAsia="zh-CN" w:bidi="ar-SA"/>
              </w:rPr>
              <w:t>政采云平台（https://login.zcygov.cn/user-login/#/login）</w:t>
            </w:r>
            <w:r>
              <w:rPr>
                <w:rFonts w:hint="eastAsia" w:ascii="宋体" w:hAnsi="宋体" w:eastAsia="宋体" w:cs="宋体"/>
                <w:b w:val="0"/>
                <w:kern w:val="2"/>
                <w:sz w:val="24"/>
                <w:szCs w:val="24"/>
                <w:highlight w:val="none"/>
                <w:lang w:val="en-US" w:eastAsia="zh-CN" w:bidi="ar-SA"/>
              </w:rPr>
              <w:t>获取招标文件，并</w:t>
            </w:r>
            <w:r>
              <w:rPr>
                <w:rFonts w:hint="eastAsia" w:ascii="宋体" w:hAnsi="宋体" w:eastAsia="宋体" w:cs="宋体"/>
                <w:b w:val="0"/>
                <w:kern w:val="2"/>
                <w:sz w:val="24"/>
                <w:szCs w:val="24"/>
                <w:highlight w:val="none"/>
                <w:u w:val="none"/>
                <w:lang w:val="en-US" w:eastAsia="zh-CN" w:bidi="ar-SA"/>
              </w:rPr>
              <w:t>于</w:t>
            </w:r>
            <w:r>
              <w:rPr>
                <w:rFonts w:hint="eastAsia" w:ascii="宋体" w:hAnsi="宋体" w:cs="宋体"/>
                <w:b w:val="0"/>
                <w:color w:val="00B0F0"/>
                <w:kern w:val="2"/>
                <w:sz w:val="24"/>
                <w:szCs w:val="24"/>
                <w:highlight w:val="none"/>
                <w:u w:val="single"/>
                <w:lang w:val="en-US" w:eastAsia="zh-CN" w:bidi="ar-SA"/>
              </w:rPr>
              <w:t>2025年7月21日11：00</w:t>
            </w:r>
            <w:r>
              <w:rPr>
                <w:rFonts w:hint="eastAsia" w:ascii="宋体" w:hAnsi="宋体" w:eastAsia="宋体" w:cs="宋体"/>
                <w:b w:val="0"/>
                <w:kern w:val="2"/>
                <w:sz w:val="24"/>
                <w:szCs w:val="24"/>
                <w:highlight w:val="none"/>
                <w:u w:val="single"/>
                <w:lang w:val="en-US" w:eastAsia="zh-CN" w:bidi="ar-SA"/>
              </w:rPr>
              <w:t>（北京时间）</w:t>
            </w:r>
            <w:r>
              <w:rPr>
                <w:rFonts w:hint="eastAsia" w:ascii="宋体" w:hAnsi="宋体" w:eastAsia="宋体" w:cs="宋体"/>
                <w:b w:val="0"/>
                <w:kern w:val="2"/>
                <w:sz w:val="24"/>
                <w:szCs w:val="24"/>
                <w:highlight w:val="none"/>
                <w:lang w:val="en-US" w:eastAsia="zh-CN" w:bidi="ar-SA"/>
              </w:rPr>
              <w:t>前上传投标文件。</w:t>
            </w:r>
          </w:p>
        </w:tc>
      </w:tr>
    </w:tbl>
    <w:p w14:paraId="6AD9E40B">
      <w:pPr>
        <w:pStyle w:val="29"/>
        <w:keepNext w:val="0"/>
        <w:keepLines w:val="0"/>
        <w:pageBreakBefore w:val="0"/>
        <w:kinsoku/>
        <w:wordWrap/>
        <w:overflowPunct/>
        <w:topLinePunct w:val="0"/>
        <w:bidi w:val="0"/>
        <w:snapToGrid/>
        <w:spacing w:line="500" w:lineRule="exact"/>
        <w:jc w:val="both"/>
        <w:textAlignment w:val="auto"/>
        <w:rPr>
          <w:rFonts w:hint="eastAsia" w:ascii="仿宋" w:hAnsi="仿宋" w:eastAsia="仿宋" w:cs="仿宋"/>
          <w:color w:val="000000"/>
          <w:sz w:val="28"/>
          <w:szCs w:val="24"/>
        </w:rPr>
      </w:pPr>
      <w:r>
        <w:rPr>
          <w:rFonts w:hint="eastAsia" w:ascii="仿宋" w:hAnsi="仿宋" w:eastAsia="仿宋" w:cs="仿宋"/>
          <w:b/>
          <w:bCs/>
          <w:color w:val="000000"/>
          <w:sz w:val="28"/>
          <w:szCs w:val="24"/>
        </w:rPr>
        <w:t>一、项目基本情况</w:t>
      </w:r>
    </w:p>
    <w:p w14:paraId="2FDD3C98">
      <w:pPr>
        <w:keepNext w:val="0"/>
        <w:keepLines w:val="0"/>
        <w:pageBreakBefore w:val="0"/>
        <w:kinsoku/>
        <w:wordWrap/>
        <w:overflowPunct/>
        <w:topLinePunct w:val="0"/>
        <w:bidi w:val="0"/>
        <w:snapToGrid/>
        <w:spacing w:line="500" w:lineRule="exact"/>
        <w:ind w:firstLine="240" w:firstLineChars="100"/>
        <w:jc w:val="both"/>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1.项目编号：</w:t>
      </w:r>
      <w:r>
        <w:rPr>
          <w:rFonts w:hint="eastAsia" w:ascii="宋体" w:hAnsi="宋体" w:cs="宋体"/>
          <w:b w:val="0"/>
          <w:bCs w:val="0"/>
          <w:color w:val="00B0F0"/>
          <w:sz w:val="24"/>
          <w:highlight w:val="none"/>
          <w:lang w:val="en-US" w:eastAsia="zh-CN"/>
        </w:rPr>
        <w:t>KSSFX(GK)2025-19号</w:t>
      </w:r>
      <w:r>
        <w:rPr>
          <w:rFonts w:hint="eastAsia" w:ascii="宋体" w:hAnsi="宋体" w:eastAsia="宋体" w:cs="宋体"/>
          <w:b w:val="0"/>
          <w:bCs w:val="0"/>
          <w:sz w:val="24"/>
          <w:highlight w:val="none"/>
          <w:lang w:val="en-US" w:eastAsia="zh-CN"/>
        </w:rPr>
        <w:t xml:space="preserve"> </w:t>
      </w:r>
    </w:p>
    <w:p w14:paraId="50D240C9">
      <w:pPr>
        <w:keepNext w:val="0"/>
        <w:keepLines w:val="0"/>
        <w:pageBreakBefore w:val="0"/>
        <w:kinsoku/>
        <w:wordWrap/>
        <w:overflowPunct/>
        <w:topLinePunct w:val="0"/>
        <w:bidi w:val="0"/>
        <w:snapToGrid/>
        <w:spacing w:line="500" w:lineRule="exact"/>
        <w:ind w:firstLine="240" w:firstLineChars="100"/>
        <w:jc w:val="both"/>
        <w:textAlignment w:val="auto"/>
        <w:rPr>
          <w:rFonts w:hint="eastAsia" w:ascii="宋体" w:hAnsi="宋体" w:eastAsia="宋体" w:cs="宋体"/>
          <w:b w:val="0"/>
          <w:bCs w:val="0"/>
          <w:color w:val="00B0F0"/>
          <w:sz w:val="24"/>
          <w:highlight w:val="none"/>
          <w:lang w:val="en-US" w:eastAsia="zh-CN"/>
        </w:rPr>
      </w:pPr>
      <w:r>
        <w:rPr>
          <w:rFonts w:hint="eastAsia" w:ascii="宋体" w:hAnsi="宋体" w:eastAsia="宋体" w:cs="宋体"/>
          <w:b w:val="0"/>
          <w:bCs w:val="0"/>
          <w:sz w:val="24"/>
          <w:highlight w:val="none"/>
          <w:lang w:val="en-US" w:eastAsia="zh-CN"/>
        </w:rPr>
        <w:t>2.项目名称：</w:t>
      </w:r>
      <w:r>
        <w:rPr>
          <w:rFonts w:hint="eastAsia" w:ascii="宋体" w:hAnsi="宋体" w:eastAsia="宋体" w:cs="宋体"/>
          <w:b w:val="0"/>
          <w:bCs w:val="0"/>
          <w:color w:val="00B0F0"/>
          <w:sz w:val="24"/>
          <w:highlight w:val="none"/>
          <w:lang w:val="en-US" w:eastAsia="zh-CN"/>
        </w:rPr>
        <w:t>喀什某单位2025年食堂劳务服务项目</w:t>
      </w:r>
    </w:p>
    <w:p w14:paraId="0B62EE04">
      <w:pPr>
        <w:keepNext w:val="0"/>
        <w:keepLines w:val="0"/>
        <w:pageBreakBefore w:val="0"/>
        <w:kinsoku/>
        <w:wordWrap/>
        <w:overflowPunct/>
        <w:topLinePunct w:val="0"/>
        <w:bidi w:val="0"/>
        <w:snapToGrid/>
        <w:spacing w:line="500" w:lineRule="exact"/>
        <w:ind w:firstLine="240" w:firstLineChars="100"/>
        <w:jc w:val="both"/>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3.采购方式：公开招标</w:t>
      </w:r>
    </w:p>
    <w:p w14:paraId="3C999AD9">
      <w:pPr>
        <w:keepNext w:val="0"/>
        <w:keepLines w:val="0"/>
        <w:pageBreakBefore w:val="0"/>
        <w:kinsoku/>
        <w:wordWrap/>
        <w:overflowPunct/>
        <w:topLinePunct w:val="0"/>
        <w:bidi w:val="0"/>
        <w:snapToGrid/>
        <w:spacing w:line="500" w:lineRule="exact"/>
        <w:ind w:firstLine="240" w:firstLineChars="100"/>
        <w:jc w:val="both"/>
        <w:textAlignment w:val="auto"/>
        <w:rPr>
          <w:rFonts w:hint="eastAsia" w:ascii="宋体" w:hAnsi="宋体" w:cs="宋体"/>
          <w:b w:val="0"/>
          <w:bCs w:val="0"/>
          <w:color w:val="00B0F0"/>
          <w:kern w:val="2"/>
          <w:sz w:val="24"/>
          <w:szCs w:val="22"/>
          <w:highlight w:val="none"/>
          <w:lang w:val="en-US" w:eastAsia="zh-CN" w:bidi="ar-SA"/>
        </w:rPr>
      </w:pPr>
      <w:r>
        <w:rPr>
          <w:rFonts w:hint="eastAsia" w:ascii="宋体" w:hAnsi="宋体" w:eastAsia="宋体" w:cs="宋体"/>
          <w:b w:val="0"/>
          <w:bCs w:val="0"/>
          <w:sz w:val="24"/>
          <w:highlight w:val="none"/>
          <w:lang w:val="en-US" w:eastAsia="zh-CN"/>
        </w:rPr>
        <w:t>4.最高限价</w:t>
      </w:r>
      <w:r>
        <w:rPr>
          <w:rFonts w:hint="eastAsia" w:ascii="宋体" w:hAnsi="宋体" w:eastAsia="宋体" w:cs="宋体"/>
          <w:b w:val="0"/>
          <w:bCs w:val="0"/>
          <w:color w:val="auto"/>
          <w:kern w:val="2"/>
          <w:sz w:val="24"/>
          <w:szCs w:val="22"/>
          <w:highlight w:val="none"/>
          <w:lang w:val="en-US" w:eastAsia="zh-CN" w:bidi="ar-SA"/>
        </w:rPr>
        <w:t>：</w:t>
      </w:r>
      <w:r>
        <w:rPr>
          <w:rFonts w:hint="eastAsia" w:ascii="宋体" w:hAnsi="宋体" w:cs="宋体"/>
          <w:b w:val="0"/>
          <w:bCs w:val="0"/>
          <w:color w:val="00B0F0"/>
          <w:kern w:val="2"/>
          <w:sz w:val="24"/>
          <w:szCs w:val="22"/>
          <w:highlight w:val="none"/>
          <w:lang w:val="en-US" w:eastAsia="zh-CN" w:bidi="ar-SA"/>
        </w:rPr>
        <w:t>200</w:t>
      </w:r>
      <w:r>
        <w:rPr>
          <w:rFonts w:hint="eastAsia" w:ascii="宋体" w:hAnsi="宋体" w:eastAsia="宋体" w:cs="宋体"/>
          <w:b w:val="0"/>
          <w:bCs w:val="0"/>
          <w:color w:val="00B0F0"/>
          <w:kern w:val="2"/>
          <w:sz w:val="24"/>
          <w:szCs w:val="22"/>
          <w:highlight w:val="none"/>
          <w:lang w:val="en-US" w:eastAsia="zh-CN" w:bidi="ar-SA"/>
        </w:rPr>
        <w:t>万元</w:t>
      </w:r>
      <w:r>
        <w:rPr>
          <w:rFonts w:hint="eastAsia" w:ascii="宋体" w:hAnsi="宋体" w:cs="宋体"/>
          <w:b w:val="0"/>
          <w:bCs w:val="0"/>
          <w:color w:val="00B0F0"/>
          <w:kern w:val="2"/>
          <w:sz w:val="24"/>
          <w:szCs w:val="22"/>
          <w:highlight w:val="none"/>
          <w:lang w:val="en-US" w:eastAsia="zh-CN" w:bidi="ar-SA"/>
        </w:rPr>
        <w:t>；</w:t>
      </w:r>
    </w:p>
    <w:p w14:paraId="6D5351DC">
      <w:pPr>
        <w:keepNext w:val="0"/>
        <w:keepLines w:val="0"/>
        <w:pageBreakBefore w:val="0"/>
        <w:kinsoku/>
        <w:wordWrap/>
        <w:overflowPunct/>
        <w:topLinePunct w:val="0"/>
        <w:bidi w:val="0"/>
        <w:snapToGrid/>
        <w:spacing w:line="500" w:lineRule="exact"/>
        <w:ind w:firstLine="240" w:firstLineChars="100"/>
        <w:jc w:val="both"/>
        <w:textAlignment w:val="auto"/>
        <w:rPr>
          <w:rFonts w:hint="eastAsia" w:ascii="宋体" w:hAnsi="宋体" w:cs="宋体"/>
          <w:b w:val="0"/>
          <w:bCs w:val="0"/>
          <w:color w:val="00B0F0"/>
          <w:sz w:val="24"/>
          <w:highlight w:val="none"/>
          <w:lang w:val="en-US" w:eastAsia="zh-CN"/>
        </w:rPr>
      </w:pPr>
      <w:r>
        <w:rPr>
          <w:rFonts w:hint="eastAsia" w:ascii="宋体" w:hAnsi="宋体" w:eastAsia="宋体" w:cs="宋体"/>
          <w:b w:val="0"/>
          <w:bCs w:val="0"/>
          <w:sz w:val="24"/>
          <w:highlight w:val="none"/>
          <w:lang w:val="en-US" w:eastAsia="zh-CN"/>
        </w:rPr>
        <w:t>5.采购需求：</w:t>
      </w:r>
    </w:p>
    <w:p w14:paraId="34DD8CA5">
      <w:pPr>
        <w:pStyle w:val="85"/>
        <w:spacing w:line="560" w:lineRule="exact"/>
        <w:ind w:left="0" w:leftChars="0" w:firstLine="480" w:firstLineChars="200"/>
        <w:rPr>
          <w:rFonts w:hint="eastAsia" w:ascii="宋体" w:hAnsi="宋体" w:eastAsia="宋体" w:cs="宋体"/>
          <w:b w:val="0"/>
          <w:bCs w:val="0"/>
          <w:color w:val="00B0F0"/>
          <w:kern w:val="2"/>
          <w:sz w:val="24"/>
          <w:szCs w:val="22"/>
          <w:highlight w:val="none"/>
          <w:lang w:val="en-US" w:eastAsia="zh-CN" w:bidi="ar-SA"/>
        </w:rPr>
      </w:pPr>
      <w:r>
        <w:rPr>
          <w:rFonts w:hint="eastAsia" w:ascii="宋体" w:hAnsi="宋体" w:eastAsia="宋体" w:cs="宋体"/>
          <w:b w:val="0"/>
          <w:bCs w:val="0"/>
          <w:color w:val="00B0F0"/>
          <w:kern w:val="2"/>
          <w:sz w:val="24"/>
          <w:szCs w:val="22"/>
          <w:highlight w:val="none"/>
          <w:lang w:val="en-US" w:eastAsia="zh-CN" w:bidi="ar-SA"/>
        </w:rPr>
        <w:t>采购采购2025年食堂劳务服务一批，预算价</w:t>
      </w:r>
      <w:r>
        <w:rPr>
          <w:rFonts w:hint="eastAsia" w:ascii="宋体" w:hAnsi="宋体" w:cs="宋体"/>
          <w:b w:val="0"/>
          <w:bCs w:val="0"/>
          <w:color w:val="00B0F0"/>
          <w:kern w:val="2"/>
          <w:sz w:val="24"/>
          <w:szCs w:val="22"/>
          <w:highlight w:val="none"/>
          <w:lang w:val="en-US" w:eastAsia="zh-CN" w:bidi="ar-SA"/>
        </w:rPr>
        <w:t>200</w:t>
      </w:r>
      <w:r>
        <w:rPr>
          <w:rFonts w:hint="eastAsia" w:ascii="宋体" w:hAnsi="宋体" w:eastAsia="宋体" w:cs="宋体"/>
          <w:b w:val="0"/>
          <w:bCs w:val="0"/>
          <w:color w:val="00B0F0"/>
          <w:kern w:val="2"/>
          <w:sz w:val="24"/>
          <w:szCs w:val="22"/>
          <w:highlight w:val="none"/>
          <w:lang w:val="en-US" w:eastAsia="zh-CN" w:bidi="ar-SA"/>
        </w:rPr>
        <w:t>万元。</w:t>
      </w:r>
    </w:p>
    <w:p w14:paraId="67708BDF">
      <w:pPr>
        <w:pStyle w:val="6"/>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cs="宋体"/>
          <w:kern w:val="0"/>
          <w:sz w:val="24"/>
          <w:lang w:val="en-US" w:eastAsia="zh-CN"/>
        </w:rPr>
        <w:t>内容</w:t>
      </w:r>
      <w:r>
        <w:rPr>
          <w:rFonts w:hint="eastAsia" w:cs="宋体"/>
          <w:kern w:val="0"/>
          <w:sz w:val="24"/>
        </w:rPr>
        <w:t>及要求详见招标文件。</w:t>
      </w:r>
    </w:p>
    <w:p w14:paraId="4575149B">
      <w:pPr>
        <w:keepNext w:val="0"/>
        <w:keepLines w:val="0"/>
        <w:pageBreakBefore w:val="0"/>
        <w:numPr>
          <w:ilvl w:val="0"/>
          <w:numId w:val="0"/>
        </w:numPr>
        <w:kinsoku/>
        <w:wordWrap/>
        <w:overflowPunct/>
        <w:topLinePunct w:val="0"/>
        <w:bidi w:val="0"/>
        <w:snapToGrid/>
        <w:spacing w:line="500" w:lineRule="exact"/>
        <w:ind w:firstLine="240" w:firstLineChars="100"/>
        <w:textAlignment w:val="auto"/>
        <w:rPr>
          <w:rFonts w:hint="eastAsia" w:ascii="宋体" w:hAnsi="宋体" w:eastAsia="宋体" w:cs="宋体"/>
          <w:b w:val="0"/>
          <w:bCs w:val="0"/>
          <w:color w:val="00B0F0"/>
          <w:kern w:val="2"/>
          <w:sz w:val="24"/>
          <w:szCs w:val="22"/>
          <w:highlight w:val="none"/>
          <w:lang w:val="en-US" w:eastAsia="zh-CN" w:bidi="ar-SA"/>
        </w:rPr>
      </w:pPr>
      <w:r>
        <w:rPr>
          <w:rFonts w:hint="eastAsia" w:ascii="宋体" w:hAnsi="宋体" w:eastAsia="宋体" w:cs="宋体"/>
          <w:b w:val="0"/>
          <w:bCs w:val="0"/>
          <w:sz w:val="24"/>
          <w:highlight w:val="none"/>
          <w:lang w:val="en-US" w:eastAsia="zh-CN"/>
        </w:rPr>
        <w:t>6.资金来源</w:t>
      </w:r>
      <w:r>
        <w:rPr>
          <w:rFonts w:hint="eastAsia" w:eastAsia="宋体" w:cs="宋体"/>
          <w:kern w:val="0"/>
          <w:sz w:val="22"/>
          <w:szCs w:val="18"/>
          <w:lang w:val="en-US" w:eastAsia="zh-CN"/>
        </w:rPr>
        <w:t>：</w:t>
      </w:r>
      <w:r>
        <w:rPr>
          <w:rFonts w:hint="eastAsia" w:ascii="宋体" w:hAnsi="宋体" w:eastAsia="宋体" w:cs="宋体"/>
          <w:b w:val="0"/>
          <w:bCs w:val="0"/>
          <w:color w:val="00B0F0"/>
          <w:kern w:val="2"/>
          <w:sz w:val="24"/>
          <w:szCs w:val="22"/>
          <w:highlight w:val="none"/>
          <w:lang w:val="en-US" w:eastAsia="zh-CN" w:bidi="ar-SA"/>
        </w:rPr>
        <w:t>财政预算拨款</w:t>
      </w:r>
    </w:p>
    <w:p w14:paraId="7C96DF2C">
      <w:pPr>
        <w:keepNext w:val="0"/>
        <w:keepLines w:val="0"/>
        <w:pageBreakBefore w:val="0"/>
        <w:numPr>
          <w:ilvl w:val="0"/>
          <w:numId w:val="0"/>
        </w:numPr>
        <w:kinsoku/>
        <w:wordWrap/>
        <w:overflowPunct/>
        <w:topLinePunct w:val="0"/>
        <w:bidi w:val="0"/>
        <w:snapToGrid/>
        <w:spacing w:line="500" w:lineRule="exact"/>
        <w:ind w:firstLine="220" w:firstLineChars="100"/>
        <w:textAlignment w:val="auto"/>
        <w:rPr>
          <w:rFonts w:hint="eastAsia" w:eastAsia="宋体" w:cs="宋体"/>
          <w:kern w:val="0"/>
          <w:sz w:val="22"/>
          <w:szCs w:val="18"/>
        </w:rPr>
      </w:pPr>
      <w:bookmarkStart w:id="989" w:name="_Toc35393630"/>
      <w:bookmarkStart w:id="990" w:name="_Toc28359090"/>
      <w:bookmarkStart w:id="991" w:name="_Toc28359013"/>
      <w:bookmarkStart w:id="992" w:name="_Toc35393799"/>
      <w:r>
        <w:rPr>
          <w:rFonts w:hint="eastAsia" w:eastAsia="宋体" w:cs="宋体"/>
          <w:kern w:val="0"/>
          <w:sz w:val="22"/>
          <w:szCs w:val="18"/>
          <w:lang w:val="en-US" w:eastAsia="zh-CN"/>
        </w:rPr>
        <w:t>7.</w:t>
      </w:r>
      <w:r>
        <w:rPr>
          <w:rFonts w:hint="eastAsia" w:eastAsia="宋体" w:cs="宋体"/>
          <w:kern w:val="0"/>
          <w:sz w:val="22"/>
          <w:szCs w:val="18"/>
        </w:rPr>
        <w:t>本项目不接受联合体投标。</w:t>
      </w:r>
    </w:p>
    <w:p w14:paraId="57445AF6">
      <w:pPr>
        <w:keepNext w:val="0"/>
        <w:keepLines w:val="0"/>
        <w:pageBreakBefore w:val="0"/>
        <w:numPr>
          <w:ilvl w:val="0"/>
          <w:numId w:val="0"/>
        </w:numPr>
        <w:kinsoku/>
        <w:wordWrap/>
        <w:overflowPunct/>
        <w:topLinePunct w:val="0"/>
        <w:bidi w:val="0"/>
        <w:snapToGrid/>
        <w:spacing w:line="500" w:lineRule="exact"/>
        <w:ind w:firstLine="220" w:firstLineChars="100"/>
        <w:textAlignment w:val="auto"/>
        <w:rPr>
          <w:rFonts w:hint="default" w:eastAsia="宋体" w:cs="宋体"/>
          <w:kern w:val="0"/>
          <w:sz w:val="22"/>
          <w:szCs w:val="18"/>
          <w:lang w:val="en-US" w:eastAsia="zh-CN"/>
        </w:rPr>
      </w:pPr>
      <w:r>
        <w:rPr>
          <w:rFonts w:hint="eastAsia" w:cs="宋体"/>
          <w:kern w:val="0"/>
          <w:sz w:val="22"/>
          <w:szCs w:val="18"/>
          <w:lang w:val="en-US" w:eastAsia="zh-CN"/>
        </w:rPr>
        <w:t>8.本项目专门面向中小企业采购。</w:t>
      </w:r>
    </w:p>
    <w:p w14:paraId="6FF0FD18">
      <w:pPr>
        <w:pStyle w:val="29"/>
        <w:keepNext w:val="0"/>
        <w:keepLines w:val="0"/>
        <w:pageBreakBefore w:val="0"/>
        <w:kinsoku/>
        <w:wordWrap/>
        <w:overflowPunct/>
        <w:topLinePunct w:val="0"/>
        <w:bidi w:val="0"/>
        <w:snapToGrid/>
        <w:spacing w:line="500" w:lineRule="exact"/>
        <w:jc w:val="both"/>
        <w:textAlignment w:val="auto"/>
        <w:rPr>
          <w:rFonts w:hint="eastAsia" w:ascii="仿宋" w:hAnsi="仿宋" w:eastAsia="仿宋" w:cs="仿宋"/>
          <w:color w:val="000000"/>
          <w:sz w:val="28"/>
          <w:szCs w:val="24"/>
        </w:rPr>
      </w:pPr>
      <w:r>
        <w:rPr>
          <w:rFonts w:hint="eastAsia" w:ascii="仿宋" w:hAnsi="仿宋" w:eastAsia="仿宋" w:cs="仿宋"/>
          <w:b/>
          <w:bCs/>
          <w:color w:val="000000"/>
          <w:sz w:val="28"/>
          <w:szCs w:val="24"/>
        </w:rPr>
        <w:t>二、投标供应商资格要求：</w:t>
      </w:r>
      <w:bookmarkEnd w:id="989"/>
      <w:bookmarkEnd w:id="990"/>
      <w:bookmarkEnd w:id="991"/>
      <w:bookmarkEnd w:id="992"/>
    </w:p>
    <w:p w14:paraId="73ED392F">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1.满足《中华人民共和国政府采购法》第二十二条要求：</w:t>
      </w:r>
    </w:p>
    <w:p w14:paraId="60069D98">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（1）提供有效期内且年检合格的营业执照；</w:t>
      </w:r>
    </w:p>
    <w:p w14:paraId="7AA6059F">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（2）法定代表人资格证明及授权书、被授权人身份证(法定代表人投标需提供法定代表人身份证)；</w:t>
      </w:r>
    </w:p>
    <w:p w14:paraId="58E0E43D">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（3）提供近两年内任意一年的财务审计报告（新成立的公司可</w:t>
      </w:r>
      <w:r>
        <w:rPr>
          <w:rFonts w:hint="eastAsia" w:ascii="宋体" w:hAnsi="宋体" w:cs="宋体"/>
          <w:b w:val="0"/>
          <w:bCs w:val="0"/>
          <w:sz w:val="24"/>
          <w:highlight w:val="none"/>
          <w:lang w:val="en-US" w:eastAsia="zh-CN"/>
        </w:rPr>
        <w:t>提供近一个月的银行资信证明</w:t>
      </w:r>
      <w:r>
        <w:rPr>
          <w:rFonts w:hint="eastAsia" w:ascii="宋体" w:hAnsi="宋体" w:eastAsia="宋体" w:cs="宋体"/>
          <w:b w:val="0"/>
          <w:bCs w:val="0"/>
          <w:sz w:val="24"/>
          <w:highlight w:val="none"/>
          <w:lang w:val="en-US" w:eastAsia="zh-CN"/>
        </w:rPr>
        <w:t>）；</w:t>
      </w:r>
    </w:p>
    <w:p w14:paraId="253D8E35">
      <w:pPr>
        <w:keepNext w:val="0"/>
        <w:keepLines w:val="0"/>
        <w:pageBreakBefore w:val="0"/>
        <w:widowControl w:val="0"/>
        <w:tabs>
          <w:tab w:val="left" w:pos="5580"/>
        </w:tabs>
        <w:kinsoku/>
        <w:wordWrap/>
        <w:overflowPunct/>
        <w:topLinePunct w:val="0"/>
        <w:bidi w:val="0"/>
        <w:snapToGrid/>
        <w:spacing w:line="500" w:lineRule="exact"/>
        <w:textAlignment w:val="auto"/>
        <w:rPr>
          <w:rFonts w:hint="eastAsia" w:ascii="宋体" w:hAnsi="宋体" w:eastAsia="宋体" w:cs="宋体"/>
          <w:color w:val="auto"/>
          <w:sz w:val="24"/>
          <w:lang w:val="en-US" w:eastAsia="zh-CN"/>
        </w:rPr>
      </w:pPr>
      <w:r>
        <w:rPr>
          <w:rFonts w:hint="eastAsia" w:ascii="宋体" w:hAnsi="宋体" w:eastAsia="宋体" w:cs="宋体"/>
          <w:b w:val="0"/>
          <w:bCs w:val="0"/>
          <w:sz w:val="24"/>
          <w:highlight w:val="none"/>
          <w:lang w:val="en-US" w:eastAsia="zh-CN"/>
        </w:rPr>
        <w:t>（4）</w:t>
      </w:r>
      <w:r>
        <w:rPr>
          <w:rFonts w:hint="eastAsia" w:ascii="宋体" w:hAnsi="宋体" w:eastAsia="宋体" w:cs="宋体"/>
          <w:b w:val="0"/>
          <w:bCs w:val="0"/>
          <w:kern w:val="2"/>
          <w:sz w:val="24"/>
          <w:szCs w:val="22"/>
          <w:highlight w:val="none"/>
          <w:lang w:val="en-US" w:eastAsia="zh-CN" w:bidi="ar-SA"/>
        </w:rPr>
        <w:t>投标企业依法缴纳近 3个月</w:t>
      </w:r>
      <w:r>
        <w:rPr>
          <w:rFonts w:hint="eastAsia" w:ascii="宋体" w:hAnsi="宋体" w:cs="宋体"/>
          <w:b w:val="0"/>
          <w:bCs w:val="0"/>
          <w:kern w:val="2"/>
          <w:sz w:val="24"/>
          <w:szCs w:val="22"/>
          <w:highlight w:val="none"/>
          <w:lang w:val="en-US" w:eastAsia="zh-CN" w:bidi="ar-SA"/>
        </w:rPr>
        <w:t>内其中任意1个月</w:t>
      </w:r>
      <w:r>
        <w:rPr>
          <w:rFonts w:hint="eastAsia" w:ascii="宋体" w:hAnsi="宋体" w:eastAsia="宋体" w:cs="宋体"/>
          <w:b w:val="0"/>
          <w:bCs w:val="0"/>
          <w:kern w:val="2"/>
          <w:sz w:val="24"/>
          <w:szCs w:val="22"/>
          <w:highlight w:val="none"/>
          <w:lang w:val="en-US" w:eastAsia="zh-CN" w:bidi="ar-SA"/>
        </w:rPr>
        <w:t>的社会保险凭据；</w:t>
      </w:r>
    </w:p>
    <w:p w14:paraId="7D7D9F74">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ascii="宋体" w:hAnsi="宋体" w:cs="宋体"/>
          <w:color w:val="auto"/>
          <w:sz w:val="24"/>
          <w:lang w:val="en-US" w:eastAsia="zh-CN"/>
        </w:rPr>
        <w:t>（5）</w:t>
      </w:r>
      <w:r>
        <w:rPr>
          <w:rFonts w:hint="eastAsia" w:ascii="宋体" w:hAnsi="宋体" w:eastAsia="宋体" w:cs="宋体"/>
          <w:b w:val="0"/>
          <w:bCs w:val="0"/>
          <w:kern w:val="2"/>
          <w:sz w:val="24"/>
          <w:szCs w:val="22"/>
          <w:highlight w:val="none"/>
          <w:lang w:val="en-US" w:eastAsia="zh-CN" w:bidi="ar-SA"/>
        </w:rPr>
        <w:t>投标企业提供税务部门出具的近3个月</w:t>
      </w:r>
      <w:r>
        <w:rPr>
          <w:rFonts w:hint="eastAsia" w:ascii="宋体" w:hAnsi="宋体" w:cs="宋体"/>
          <w:b w:val="0"/>
          <w:bCs w:val="0"/>
          <w:kern w:val="2"/>
          <w:sz w:val="24"/>
          <w:szCs w:val="22"/>
          <w:highlight w:val="none"/>
          <w:lang w:val="en-US" w:eastAsia="zh-CN" w:bidi="ar-SA"/>
        </w:rPr>
        <w:t>内其中任意1个月</w:t>
      </w:r>
      <w:r>
        <w:rPr>
          <w:rFonts w:hint="eastAsia" w:ascii="宋体" w:hAnsi="宋体" w:eastAsia="宋体" w:cs="宋体"/>
          <w:b w:val="0"/>
          <w:bCs w:val="0"/>
          <w:kern w:val="2"/>
          <w:sz w:val="24"/>
          <w:szCs w:val="22"/>
          <w:highlight w:val="none"/>
          <w:lang w:val="en-US" w:eastAsia="zh-CN" w:bidi="ar-SA"/>
        </w:rPr>
        <w:t>的完税证明</w:t>
      </w:r>
      <w:r>
        <w:rPr>
          <w:rFonts w:hint="eastAsia" w:ascii="宋体" w:hAnsi="宋体" w:eastAsia="宋体" w:cs="Times New Roman"/>
          <w:color w:val="000000"/>
          <w:sz w:val="24"/>
          <w:szCs w:val="21"/>
          <w:lang w:val="en-US" w:eastAsia="zh-CN"/>
        </w:rPr>
        <w:t>（零申报需加盖税务机关鲜章）</w:t>
      </w:r>
      <w:r>
        <w:rPr>
          <w:rFonts w:hint="eastAsia" w:ascii="宋体" w:hAnsi="宋体" w:cs="Times New Roman"/>
          <w:color w:val="000000"/>
          <w:sz w:val="24"/>
          <w:szCs w:val="21"/>
          <w:lang w:val="en-US" w:eastAsia="zh-CN"/>
        </w:rPr>
        <w:t>，</w:t>
      </w:r>
      <w:r>
        <w:rPr>
          <w:rFonts w:hint="eastAsia" w:ascii="宋体" w:hAnsi="宋体" w:eastAsia="宋体" w:cs="宋体"/>
          <w:b w:val="0"/>
          <w:bCs w:val="0"/>
          <w:kern w:val="2"/>
          <w:sz w:val="24"/>
          <w:szCs w:val="22"/>
          <w:highlight w:val="none"/>
          <w:lang w:val="en-US" w:eastAsia="zh-CN" w:bidi="ar-SA"/>
        </w:rPr>
        <w:t>非社会保险类；</w:t>
      </w:r>
    </w:p>
    <w:p w14:paraId="69F18615">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（6）根据《财政部关于在政府采购活动中查询及使用信用记录有关问题的通知》（财库﹝2016﹞125号）的要求，凡拟参加本次招标项目的供应商，如在“信用中国”网站（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列入严重违法失信名单（黑名单）信息；将拒绝其参加本次招标活动；</w:t>
      </w:r>
    </w:p>
    <w:p w14:paraId="3AA23F52">
      <w:pPr>
        <w:pStyle w:val="90"/>
        <w:keepNext w:val="0"/>
        <w:keepLines w:val="0"/>
        <w:pageBreakBefore w:val="0"/>
        <w:kinsoku/>
        <w:wordWrap/>
        <w:overflowPunct/>
        <w:topLinePunct w:val="0"/>
        <w:bidi w:val="0"/>
        <w:snapToGrid/>
        <w:spacing w:line="500" w:lineRule="exact"/>
        <w:ind w:left="0" w:leftChars="0" w:firstLine="0" w:firstLineChars="0"/>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（7）参与政府采购活动前3年内未被列入失信、重大税收违法案件、财政部门禁止参加政府采购活动的承诺书；</w:t>
      </w:r>
    </w:p>
    <w:p w14:paraId="20C8C48D">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（8）提供针对本次项目《反商业贿赂承诺书》；</w:t>
      </w:r>
    </w:p>
    <w:p w14:paraId="30DDE0B0">
      <w:pPr>
        <w:pStyle w:val="35"/>
        <w:ind w:left="0" w:leftChars="0" w:firstLine="0" w:firstLineChars="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（9）提供投标单位按招标文件要求缴纳投标保证金的缴款凭证或金融机构、担保机构出具的保函；</w:t>
      </w:r>
    </w:p>
    <w:p w14:paraId="0F107A15">
      <w:pPr>
        <w:pStyle w:val="35"/>
        <w:ind w:left="0" w:leftChars="0" w:firstLine="0" w:firstLineChars="0"/>
        <w:rPr>
          <w:rFonts w:hint="default"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（10）</w:t>
      </w:r>
      <w:r>
        <w:rPr>
          <w:rFonts w:hint="eastAsia" w:ascii="宋体" w:hAnsi="宋体" w:eastAsia="宋体" w:cs="宋体"/>
          <w:b w:val="0"/>
          <w:bCs w:val="0"/>
          <w:kern w:val="2"/>
          <w:sz w:val="24"/>
          <w:szCs w:val="22"/>
          <w:highlight w:val="none"/>
          <w:lang w:val="en-US" w:eastAsia="zh-CN" w:bidi="ar-SA"/>
        </w:rPr>
        <w:t>提供中小企业声明函；</w:t>
      </w:r>
    </w:p>
    <w:p w14:paraId="60C606F7">
      <w:pPr>
        <w:pStyle w:val="35"/>
        <w:ind w:left="0" w:leftChars="0" w:firstLine="0" w:firstLineChars="0"/>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（11）</w:t>
      </w:r>
      <w:r>
        <w:rPr>
          <w:rFonts w:hint="default" w:ascii="宋体" w:hAnsi="宋体" w:eastAsia="宋体" w:cs="宋体"/>
          <w:b w:val="0"/>
          <w:bCs w:val="0"/>
          <w:kern w:val="2"/>
          <w:sz w:val="24"/>
          <w:szCs w:val="22"/>
          <w:highlight w:val="none"/>
          <w:lang w:val="en-US" w:eastAsia="zh-CN" w:bidi="ar-SA"/>
        </w:rPr>
        <w:t>供应商需提供有效期《食品经营许可证》</w:t>
      </w:r>
      <w:r>
        <w:rPr>
          <w:rFonts w:hint="eastAsia" w:ascii="宋体" w:hAnsi="宋体" w:eastAsia="宋体" w:cs="宋体"/>
          <w:b w:val="0"/>
          <w:bCs w:val="0"/>
          <w:kern w:val="2"/>
          <w:sz w:val="24"/>
          <w:szCs w:val="22"/>
          <w:highlight w:val="none"/>
          <w:lang w:val="en-US" w:eastAsia="zh-CN" w:bidi="ar-SA"/>
        </w:rPr>
        <w:t>。</w:t>
      </w:r>
    </w:p>
    <w:p w14:paraId="7A408CAB">
      <w:pPr>
        <w:pStyle w:val="29"/>
        <w:keepNext w:val="0"/>
        <w:keepLines w:val="0"/>
        <w:pageBreakBefore w:val="0"/>
        <w:tabs>
          <w:tab w:val="left" w:pos="6356"/>
        </w:tabs>
        <w:kinsoku/>
        <w:wordWrap/>
        <w:overflowPunct/>
        <w:topLinePunct w:val="0"/>
        <w:bidi w:val="0"/>
        <w:snapToGrid/>
        <w:spacing w:line="500" w:lineRule="exact"/>
        <w:jc w:val="both"/>
        <w:textAlignment w:val="auto"/>
        <w:rPr>
          <w:rFonts w:hint="eastAsia" w:ascii="仿宋" w:hAnsi="仿宋" w:eastAsia="仿宋" w:cs="仿宋"/>
          <w:b/>
          <w:bCs/>
          <w:color w:val="000000"/>
          <w:sz w:val="28"/>
          <w:szCs w:val="24"/>
          <w:lang w:eastAsia="zh-CN"/>
        </w:rPr>
      </w:pPr>
      <w:r>
        <w:rPr>
          <w:rFonts w:hint="eastAsia" w:ascii="仿宋" w:hAnsi="仿宋" w:eastAsia="仿宋" w:cs="仿宋"/>
          <w:b/>
          <w:bCs/>
          <w:color w:val="000000"/>
          <w:sz w:val="28"/>
          <w:szCs w:val="24"/>
        </w:rPr>
        <w:t>三、获取采购文件</w:t>
      </w:r>
      <w:r>
        <w:rPr>
          <w:rFonts w:hint="eastAsia" w:ascii="仿宋" w:hAnsi="仿宋" w:eastAsia="仿宋" w:cs="仿宋"/>
          <w:b/>
          <w:bCs/>
          <w:color w:val="000000"/>
          <w:sz w:val="28"/>
          <w:szCs w:val="24"/>
          <w:lang w:eastAsia="zh-CN"/>
        </w:rPr>
        <w:tab/>
      </w:r>
    </w:p>
    <w:p w14:paraId="6E7B8951">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获取时间：</w:t>
      </w:r>
      <w:r>
        <w:rPr>
          <w:rFonts w:hint="eastAsia" w:ascii="宋体" w:hAnsi="宋体" w:eastAsia="宋体" w:cs="宋体"/>
          <w:b w:val="0"/>
          <w:bCs w:val="0"/>
          <w:color w:val="00B0F0"/>
          <w:kern w:val="2"/>
          <w:sz w:val="24"/>
          <w:szCs w:val="22"/>
          <w:highlight w:val="none"/>
          <w:lang w:val="en-US" w:eastAsia="zh-CN" w:bidi="ar-SA"/>
        </w:rPr>
        <w:t>202</w:t>
      </w:r>
      <w:r>
        <w:rPr>
          <w:rFonts w:hint="eastAsia" w:ascii="宋体" w:hAnsi="宋体" w:cs="宋体"/>
          <w:b w:val="0"/>
          <w:bCs w:val="0"/>
          <w:color w:val="00B0F0"/>
          <w:kern w:val="2"/>
          <w:sz w:val="24"/>
          <w:szCs w:val="22"/>
          <w:highlight w:val="none"/>
          <w:lang w:val="en-US" w:eastAsia="zh-CN" w:bidi="ar-SA"/>
        </w:rPr>
        <w:t>5</w:t>
      </w:r>
      <w:r>
        <w:rPr>
          <w:rFonts w:hint="eastAsia" w:ascii="宋体" w:hAnsi="宋体" w:eastAsia="宋体" w:cs="宋体"/>
          <w:b w:val="0"/>
          <w:bCs w:val="0"/>
          <w:color w:val="00B0F0"/>
          <w:kern w:val="2"/>
          <w:sz w:val="24"/>
          <w:szCs w:val="22"/>
          <w:highlight w:val="none"/>
          <w:lang w:val="en-US" w:eastAsia="zh-CN" w:bidi="ar-SA"/>
        </w:rPr>
        <w:t>年</w:t>
      </w:r>
      <w:r>
        <w:rPr>
          <w:rFonts w:hint="eastAsia" w:ascii="宋体" w:hAnsi="宋体" w:cs="宋体"/>
          <w:b w:val="0"/>
          <w:bCs w:val="0"/>
          <w:color w:val="00B0F0"/>
          <w:kern w:val="2"/>
          <w:sz w:val="24"/>
          <w:szCs w:val="22"/>
          <w:highlight w:val="none"/>
          <w:lang w:val="en-US" w:eastAsia="zh-CN" w:bidi="ar-SA"/>
        </w:rPr>
        <w:t>7</w:t>
      </w:r>
      <w:r>
        <w:rPr>
          <w:rFonts w:hint="eastAsia" w:ascii="宋体" w:hAnsi="宋体" w:eastAsia="宋体" w:cs="宋体"/>
          <w:b w:val="0"/>
          <w:bCs w:val="0"/>
          <w:color w:val="00B0F0"/>
          <w:kern w:val="2"/>
          <w:sz w:val="24"/>
          <w:szCs w:val="22"/>
          <w:highlight w:val="none"/>
          <w:lang w:val="en-US" w:eastAsia="zh-CN" w:bidi="ar-SA"/>
        </w:rPr>
        <w:t>月</w:t>
      </w:r>
      <w:r>
        <w:rPr>
          <w:rFonts w:hint="eastAsia" w:ascii="宋体" w:hAnsi="宋体" w:cs="宋体"/>
          <w:b w:val="0"/>
          <w:bCs w:val="0"/>
          <w:color w:val="00B0F0"/>
          <w:kern w:val="2"/>
          <w:sz w:val="24"/>
          <w:szCs w:val="22"/>
          <w:highlight w:val="none"/>
          <w:lang w:val="en-US" w:eastAsia="zh-CN" w:bidi="ar-SA"/>
        </w:rPr>
        <w:t>1</w:t>
      </w:r>
      <w:r>
        <w:rPr>
          <w:rFonts w:hint="eastAsia" w:ascii="宋体" w:hAnsi="宋体" w:eastAsia="宋体" w:cs="宋体"/>
          <w:b w:val="0"/>
          <w:bCs w:val="0"/>
          <w:color w:val="00B0F0"/>
          <w:kern w:val="2"/>
          <w:sz w:val="24"/>
          <w:szCs w:val="22"/>
          <w:highlight w:val="none"/>
          <w:lang w:val="en-US" w:eastAsia="zh-CN" w:bidi="ar-SA"/>
        </w:rPr>
        <w:t>日至202</w:t>
      </w:r>
      <w:r>
        <w:rPr>
          <w:rFonts w:hint="eastAsia" w:ascii="宋体" w:hAnsi="宋体" w:cs="宋体"/>
          <w:b w:val="0"/>
          <w:bCs w:val="0"/>
          <w:color w:val="00B0F0"/>
          <w:kern w:val="2"/>
          <w:sz w:val="24"/>
          <w:szCs w:val="22"/>
          <w:highlight w:val="none"/>
          <w:lang w:val="en-US" w:eastAsia="zh-CN" w:bidi="ar-SA"/>
        </w:rPr>
        <w:t>5</w:t>
      </w:r>
      <w:r>
        <w:rPr>
          <w:rFonts w:hint="eastAsia" w:ascii="宋体" w:hAnsi="宋体" w:eastAsia="宋体" w:cs="宋体"/>
          <w:b w:val="0"/>
          <w:bCs w:val="0"/>
          <w:color w:val="00B0F0"/>
          <w:kern w:val="2"/>
          <w:sz w:val="24"/>
          <w:szCs w:val="22"/>
          <w:highlight w:val="none"/>
          <w:lang w:val="en-US" w:eastAsia="zh-CN" w:bidi="ar-SA"/>
        </w:rPr>
        <w:t>年</w:t>
      </w:r>
      <w:r>
        <w:rPr>
          <w:rFonts w:hint="eastAsia" w:ascii="宋体" w:hAnsi="宋体" w:cs="宋体"/>
          <w:b w:val="0"/>
          <w:bCs w:val="0"/>
          <w:color w:val="00B0F0"/>
          <w:kern w:val="2"/>
          <w:sz w:val="24"/>
          <w:szCs w:val="22"/>
          <w:highlight w:val="none"/>
          <w:lang w:val="en-US" w:eastAsia="zh-CN" w:bidi="ar-SA"/>
        </w:rPr>
        <w:t>7</w:t>
      </w:r>
      <w:r>
        <w:rPr>
          <w:rFonts w:hint="eastAsia" w:ascii="宋体" w:hAnsi="宋体" w:eastAsia="宋体" w:cs="宋体"/>
          <w:b w:val="0"/>
          <w:bCs w:val="0"/>
          <w:color w:val="00B0F0"/>
          <w:kern w:val="2"/>
          <w:sz w:val="24"/>
          <w:szCs w:val="22"/>
          <w:highlight w:val="none"/>
          <w:lang w:val="en-US" w:eastAsia="zh-CN" w:bidi="ar-SA"/>
        </w:rPr>
        <w:t>月</w:t>
      </w:r>
      <w:r>
        <w:rPr>
          <w:rFonts w:hint="eastAsia" w:ascii="宋体" w:hAnsi="宋体" w:cs="宋体"/>
          <w:b w:val="0"/>
          <w:bCs w:val="0"/>
          <w:color w:val="00B0F0"/>
          <w:kern w:val="2"/>
          <w:sz w:val="24"/>
          <w:szCs w:val="22"/>
          <w:highlight w:val="none"/>
          <w:lang w:val="en-US" w:eastAsia="zh-CN" w:bidi="ar-SA"/>
        </w:rPr>
        <w:t>20</w:t>
      </w:r>
      <w:r>
        <w:rPr>
          <w:rFonts w:hint="eastAsia" w:ascii="宋体" w:hAnsi="宋体" w:eastAsia="宋体" w:cs="宋体"/>
          <w:b w:val="0"/>
          <w:bCs w:val="0"/>
          <w:color w:val="00B0F0"/>
          <w:kern w:val="2"/>
          <w:sz w:val="24"/>
          <w:szCs w:val="22"/>
          <w:highlight w:val="none"/>
          <w:lang w:val="en-US" w:eastAsia="zh-CN" w:bidi="ar-SA"/>
        </w:rPr>
        <w:t>日</w:t>
      </w:r>
    </w:p>
    <w:p w14:paraId="1B6A4E58">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获取方式：供应商登陆新疆政府采购网 (ccgp-xinjiang.gov.cn)下载。</w:t>
      </w:r>
    </w:p>
    <w:p w14:paraId="201DA74A">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获取地点：供应商登陆新疆政府采购网 (ccgp-xinjiang.gov.cn)下载。</w:t>
      </w:r>
    </w:p>
    <w:p w14:paraId="3730EC01">
      <w:pPr>
        <w:keepNext w:val="0"/>
        <w:keepLines w:val="0"/>
        <w:pageBreakBefore w:val="0"/>
        <w:kinsoku/>
        <w:wordWrap/>
        <w:overflowPunct/>
        <w:topLinePunct w:val="0"/>
        <w:bidi w:val="0"/>
        <w:snapToGrid/>
        <w:spacing w:line="500" w:lineRule="exact"/>
        <w:jc w:val="both"/>
        <w:textAlignment w:val="auto"/>
        <w:rPr>
          <w:rFonts w:hint="eastAsia" w:ascii="仿宋" w:hAnsi="仿宋" w:eastAsia="仿宋" w:cs="仿宋"/>
          <w:b/>
          <w:sz w:val="28"/>
          <w:szCs w:val="24"/>
        </w:rPr>
      </w:pPr>
      <w:bookmarkStart w:id="993" w:name="_Toc28359082"/>
      <w:bookmarkStart w:id="994" w:name="_Toc28359005"/>
      <w:bookmarkStart w:id="995" w:name="_Toc952"/>
      <w:bookmarkStart w:id="996" w:name="_Toc9047"/>
      <w:bookmarkStart w:id="997" w:name="_Toc2422"/>
      <w:bookmarkStart w:id="998" w:name="_Toc35393793"/>
      <w:bookmarkStart w:id="999" w:name="_Toc2532"/>
      <w:bookmarkStart w:id="1000" w:name="_Toc35393624"/>
      <w:r>
        <w:rPr>
          <w:rFonts w:hint="eastAsia" w:ascii="仿宋" w:hAnsi="仿宋" w:eastAsia="仿宋" w:cs="仿宋"/>
          <w:b/>
          <w:sz w:val="28"/>
          <w:szCs w:val="24"/>
        </w:rPr>
        <w:t>四、提交投标文件</w:t>
      </w:r>
      <w:bookmarkEnd w:id="993"/>
      <w:bookmarkEnd w:id="994"/>
      <w:r>
        <w:rPr>
          <w:rFonts w:hint="eastAsia" w:ascii="仿宋" w:hAnsi="仿宋" w:eastAsia="仿宋" w:cs="仿宋"/>
          <w:b/>
          <w:sz w:val="28"/>
          <w:szCs w:val="24"/>
        </w:rPr>
        <w:t>截止时间、开标时间和地点</w:t>
      </w:r>
      <w:bookmarkEnd w:id="995"/>
      <w:bookmarkEnd w:id="996"/>
      <w:bookmarkEnd w:id="997"/>
      <w:bookmarkEnd w:id="998"/>
      <w:bookmarkEnd w:id="999"/>
      <w:bookmarkEnd w:id="1000"/>
    </w:p>
    <w:p w14:paraId="184973EF">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提交投标文件截止时间：</w:t>
      </w:r>
      <w:bookmarkStart w:id="1001" w:name="_Toc35393625"/>
      <w:bookmarkStart w:id="1002" w:name="_Toc28359007"/>
      <w:bookmarkStart w:id="1003" w:name="_Toc28359084"/>
      <w:bookmarkStart w:id="1004" w:name="_Toc35393794"/>
      <w:r>
        <w:rPr>
          <w:rFonts w:hint="eastAsia" w:ascii="宋体" w:hAnsi="宋体" w:eastAsia="宋体" w:cs="宋体"/>
          <w:b w:val="0"/>
          <w:bCs w:val="0"/>
          <w:color w:val="00B0F0"/>
          <w:kern w:val="2"/>
          <w:sz w:val="24"/>
          <w:szCs w:val="22"/>
          <w:highlight w:val="none"/>
          <w:lang w:val="en-US" w:eastAsia="zh-CN" w:bidi="ar-SA"/>
        </w:rPr>
        <w:t>2025年</w:t>
      </w:r>
      <w:r>
        <w:rPr>
          <w:rFonts w:hint="eastAsia" w:ascii="宋体" w:hAnsi="宋体" w:cs="宋体"/>
          <w:b w:val="0"/>
          <w:bCs w:val="0"/>
          <w:color w:val="00B0F0"/>
          <w:kern w:val="2"/>
          <w:sz w:val="24"/>
          <w:szCs w:val="22"/>
          <w:highlight w:val="none"/>
          <w:lang w:val="en-US" w:eastAsia="zh-CN" w:bidi="ar-SA"/>
        </w:rPr>
        <w:t>7</w:t>
      </w:r>
      <w:r>
        <w:rPr>
          <w:rFonts w:hint="eastAsia" w:ascii="宋体" w:hAnsi="宋体" w:eastAsia="宋体" w:cs="宋体"/>
          <w:b w:val="0"/>
          <w:bCs w:val="0"/>
          <w:color w:val="00B0F0"/>
          <w:kern w:val="2"/>
          <w:sz w:val="24"/>
          <w:szCs w:val="22"/>
          <w:highlight w:val="none"/>
          <w:lang w:val="en-US" w:eastAsia="zh-CN" w:bidi="ar-SA"/>
        </w:rPr>
        <w:t>月</w:t>
      </w:r>
      <w:r>
        <w:rPr>
          <w:rFonts w:hint="eastAsia" w:ascii="宋体" w:hAnsi="宋体" w:cs="宋体"/>
          <w:b w:val="0"/>
          <w:bCs w:val="0"/>
          <w:color w:val="00B0F0"/>
          <w:kern w:val="2"/>
          <w:sz w:val="24"/>
          <w:szCs w:val="22"/>
          <w:highlight w:val="none"/>
          <w:lang w:val="en-US" w:eastAsia="zh-CN" w:bidi="ar-SA"/>
        </w:rPr>
        <w:t>21</w:t>
      </w:r>
      <w:r>
        <w:rPr>
          <w:rFonts w:hint="eastAsia" w:ascii="宋体" w:hAnsi="宋体" w:eastAsia="宋体" w:cs="宋体"/>
          <w:b w:val="0"/>
          <w:bCs w:val="0"/>
          <w:color w:val="00B0F0"/>
          <w:kern w:val="2"/>
          <w:sz w:val="24"/>
          <w:szCs w:val="22"/>
          <w:highlight w:val="none"/>
          <w:lang w:val="en-US" w:eastAsia="zh-CN" w:bidi="ar-SA"/>
        </w:rPr>
        <w:t>日1</w:t>
      </w:r>
      <w:r>
        <w:rPr>
          <w:rFonts w:hint="eastAsia" w:ascii="宋体" w:hAnsi="宋体" w:cs="宋体"/>
          <w:b w:val="0"/>
          <w:bCs w:val="0"/>
          <w:color w:val="00B0F0"/>
          <w:kern w:val="2"/>
          <w:sz w:val="24"/>
          <w:szCs w:val="22"/>
          <w:highlight w:val="none"/>
          <w:lang w:val="en-US" w:eastAsia="zh-CN" w:bidi="ar-SA"/>
        </w:rPr>
        <w:t>1</w:t>
      </w:r>
      <w:r>
        <w:rPr>
          <w:rFonts w:hint="eastAsia" w:ascii="宋体" w:hAnsi="宋体" w:eastAsia="宋体" w:cs="宋体"/>
          <w:b w:val="0"/>
          <w:bCs w:val="0"/>
          <w:color w:val="00B0F0"/>
          <w:kern w:val="2"/>
          <w:sz w:val="24"/>
          <w:szCs w:val="22"/>
          <w:highlight w:val="none"/>
          <w:lang w:val="en-US" w:eastAsia="zh-CN" w:bidi="ar-SA"/>
        </w:rPr>
        <w:t>：00（</w:t>
      </w:r>
      <w:r>
        <w:rPr>
          <w:rFonts w:hint="eastAsia" w:ascii="宋体" w:hAnsi="宋体" w:eastAsia="宋体" w:cs="宋体"/>
          <w:b w:val="0"/>
          <w:bCs w:val="0"/>
          <w:kern w:val="2"/>
          <w:sz w:val="24"/>
          <w:szCs w:val="22"/>
          <w:highlight w:val="none"/>
          <w:lang w:val="en-US" w:eastAsia="zh-CN" w:bidi="ar-SA"/>
        </w:rPr>
        <w:t>北京时间）</w:t>
      </w:r>
    </w:p>
    <w:p w14:paraId="26C2E40D">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投标地点：政采云平台（https://login.zcygov.cn/user-login/#/login）</w:t>
      </w:r>
    </w:p>
    <w:p w14:paraId="61407EFD">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开标时间：</w:t>
      </w:r>
      <w:r>
        <w:rPr>
          <w:rFonts w:hint="eastAsia" w:ascii="宋体" w:hAnsi="宋体" w:eastAsia="宋体" w:cs="宋体"/>
          <w:b w:val="0"/>
          <w:bCs w:val="0"/>
          <w:color w:val="00B0F0"/>
          <w:kern w:val="2"/>
          <w:sz w:val="24"/>
          <w:szCs w:val="22"/>
          <w:highlight w:val="none"/>
          <w:lang w:val="en-US" w:eastAsia="zh-CN" w:bidi="ar-SA"/>
        </w:rPr>
        <w:t>2025年</w:t>
      </w:r>
      <w:r>
        <w:rPr>
          <w:rFonts w:hint="eastAsia" w:ascii="宋体" w:hAnsi="宋体" w:cs="宋体"/>
          <w:b w:val="0"/>
          <w:bCs w:val="0"/>
          <w:color w:val="00B0F0"/>
          <w:kern w:val="2"/>
          <w:sz w:val="24"/>
          <w:szCs w:val="22"/>
          <w:highlight w:val="none"/>
          <w:lang w:val="en-US" w:eastAsia="zh-CN" w:bidi="ar-SA"/>
        </w:rPr>
        <w:t>7</w:t>
      </w:r>
      <w:r>
        <w:rPr>
          <w:rFonts w:hint="eastAsia" w:ascii="宋体" w:hAnsi="宋体" w:eastAsia="宋体" w:cs="宋体"/>
          <w:b w:val="0"/>
          <w:bCs w:val="0"/>
          <w:color w:val="00B0F0"/>
          <w:kern w:val="2"/>
          <w:sz w:val="24"/>
          <w:szCs w:val="22"/>
          <w:highlight w:val="none"/>
          <w:lang w:val="en-US" w:eastAsia="zh-CN" w:bidi="ar-SA"/>
        </w:rPr>
        <w:t>月</w:t>
      </w:r>
      <w:r>
        <w:rPr>
          <w:rFonts w:hint="eastAsia" w:ascii="宋体" w:hAnsi="宋体" w:cs="宋体"/>
          <w:b w:val="0"/>
          <w:bCs w:val="0"/>
          <w:color w:val="00B0F0"/>
          <w:kern w:val="2"/>
          <w:sz w:val="24"/>
          <w:szCs w:val="22"/>
          <w:highlight w:val="none"/>
          <w:lang w:val="en-US" w:eastAsia="zh-CN" w:bidi="ar-SA"/>
        </w:rPr>
        <w:t>21</w:t>
      </w:r>
      <w:r>
        <w:rPr>
          <w:rFonts w:hint="eastAsia" w:ascii="宋体" w:hAnsi="宋体" w:eastAsia="宋体" w:cs="宋体"/>
          <w:b w:val="0"/>
          <w:bCs w:val="0"/>
          <w:color w:val="00B0F0"/>
          <w:kern w:val="2"/>
          <w:sz w:val="24"/>
          <w:szCs w:val="22"/>
          <w:highlight w:val="none"/>
          <w:lang w:val="en-US" w:eastAsia="zh-CN" w:bidi="ar-SA"/>
        </w:rPr>
        <w:t>日1</w:t>
      </w:r>
      <w:r>
        <w:rPr>
          <w:rFonts w:hint="eastAsia" w:ascii="宋体" w:hAnsi="宋体" w:cs="宋体"/>
          <w:b w:val="0"/>
          <w:bCs w:val="0"/>
          <w:color w:val="00B0F0"/>
          <w:kern w:val="2"/>
          <w:sz w:val="24"/>
          <w:szCs w:val="22"/>
          <w:highlight w:val="none"/>
          <w:lang w:val="en-US" w:eastAsia="zh-CN" w:bidi="ar-SA"/>
        </w:rPr>
        <w:t>1</w:t>
      </w:r>
      <w:r>
        <w:rPr>
          <w:rFonts w:hint="eastAsia" w:ascii="宋体" w:hAnsi="宋体" w:eastAsia="宋体" w:cs="宋体"/>
          <w:b w:val="0"/>
          <w:bCs w:val="0"/>
          <w:color w:val="00B0F0"/>
          <w:kern w:val="2"/>
          <w:sz w:val="24"/>
          <w:szCs w:val="22"/>
          <w:highlight w:val="none"/>
          <w:lang w:val="en-US" w:eastAsia="zh-CN" w:bidi="ar-SA"/>
        </w:rPr>
        <w:t>：00</w:t>
      </w:r>
      <w:r>
        <w:rPr>
          <w:rFonts w:hint="eastAsia" w:ascii="宋体" w:hAnsi="宋体" w:eastAsia="宋体" w:cs="宋体"/>
          <w:b w:val="0"/>
          <w:bCs w:val="0"/>
          <w:kern w:val="2"/>
          <w:sz w:val="24"/>
          <w:szCs w:val="22"/>
          <w:highlight w:val="none"/>
          <w:lang w:val="en-US" w:eastAsia="zh-CN" w:bidi="ar-SA"/>
        </w:rPr>
        <w:t>（北京时间）</w:t>
      </w:r>
    </w:p>
    <w:p w14:paraId="09E2616F">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开标地点：</w:t>
      </w:r>
      <w:bookmarkStart w:id="1005" w:name="_Toc30400"/>
      <w:bookmarkStart w:id="1006" w:name="_Toc20863"/>
      <w:bookmarkStart w:id="1007" w:name="_Toc23672"/>
      <w:r>
        <w:rPr>
          <w:rFonts w:hint="eastAsia" w:ascii="宋体" w:hAnsi="宋体" w:eastAsia="宋体" w:cs="宋体"/>
          <w:b w:val="0"/>
          <w:bCs w:val="0"/>
          <w:kern w:val="2"/>
          <w:sz w:val="24"/>
          <w:szCs w:val="22"/>
          <w:highlight w:val="none"/>
          <w:lang w:val="en-US" w:eastAsia="zh-CN" w:bidi="ar-SA"/>
        </w:rPr>
        <w:t>政采云平台（https://login.zcygov.cn/user-login/#/login）</w:t>
      </w:r>
    </w:p>
    <w:p w14:paraId="167A0C72">
      <w:pPr>
        <w:keepNext w:val="0"/>
        <w:keepLines w:val="0"/>
        <w:pageBreakBefore w:val="0"/>
        <w:kinsoku/>
        <w:wordWrap/>
        <w:overflowPunct/>
        <w:topLinePunct w:val="0"/>
        <w:bidi w:val="0"/>
        <w:snapToGrid/>
        <w:spacing w:line="500" w:lineRule="exact"/>
        <w:jc w:val="both"/>
        <w:textAlignment w:val="auto"/>
        <w:rPr>
          <w:rFonts w:hint="eastAsia" w:ascii="仿宋" w:hAnsi="仿宋" w:eastAsia="仿宋" w:cs="仿宋"/>
          <w:b/>
          <w:sz w:val="28"/>
          <w:szCs w:val="24"/>
        </w:rPr>
      </w:pPr>
      <w:r>
        <w:rPr>
          <w:rFonts w:hint="eastAsia" w:ascii="仿宋" w:hAnsi="仿宋" w:eastAsia="仿宋" w:cs="仿宋"/>
          <w:b/>
          <w:sz w:val="28"/>
          <w:szCs w:val="24"/>
        </w:rPr>
        <w:t>五、公告期限</w:t>
      </w:r>
      <w:bookmarkEnd w:id="1001"/>
      <w:bookmarkEnd w:id="1002"/>
      <w:bookmarkEnd w:id="1003"/>
      <w:bookmarkEnd w:id="1004"/>
      <w:bookmarkEnd w:id="1005"/>
      <w:bookmarkEnd w:id="1006"/>
      <w:bookmarkEnd w:id="1007"/>
    </w:p>
    <w:p w14:paraId="0BB23415">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自本公告发布之日起5个工作日。</w:t>
      </w:r>
    </w:p>
    <w:p w14:paraId="514B428B">
      <w:pPr>
        <w:keepNext w:val="0"/>
        <w:keepLines w:val="0"/>
        <w:pageBreakBefore w:val="0"/>
        <w:kinsoku/>
        <w:wordWrap/>
        <w:overflowPunct/>
        <w:topLinePunct w:val="0"/>
        <w:bidi w:val="0"/>
        <w:snapToGrid/>
        <w:spacing w:line="500" w:lineRule="exact"/>
        <w:jc w:val="both"/>
        <w:textAlignment w:val="auto"/>
        <w:rPr>
          <w:rFonts w:hint="eastAsia" w:ascii="仿宋" w:hAnsi="仿宋" w:eastAsia="仿宋" w:cs="仿宋"/>
          <w:b/>
          <w:sz w:val="28"/>
          <w:szCs w:val="24"/>
        </w:rPr>
      </w:pPr>
      <w:r>
        <w:rPr>
          <w:rFonts w:hint="eastAsia" w:ascii="仿宋" w:hAnsi="仿宋" w:eastAsia="仿宋" w:cs="仿宋"/>
          <w:b/>
          <w:sz w:val="28"/>
          <w:szCs w:val="24"/>
        </w:rPr>
        <w:t>六、其它补充事宜</w:t>
      </w:r>
    </w:p>
    <w:p w14:paraId="4201F12F">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bookmarkStart w:id="1008" w:name="_Toc35393634"/>
      <w:bookmarkStart w:id="1009" w:name="_Toc28359094"/>
      <w:bookmarkStart w:id="1010" w:name="_Toc35393803"/>
      <w:bookmarkStart w:id="1011" w:name="_Toc28359017"/>
      <w:r>
        <w:rPr>
          <w:rFonts w:hint="eastAsia" w:ascii="宋体" w:hAnsi="宋体" w:eastAsia="宋体" w:cs="宋体"/>
          <w:b w:val="0"/>
          <w:bCs w:val="0"/>
          <w:kern w:val="2"/>
          <w:sz w:val="24"/>
          <w:szCs w:val="22"/>
          <w:highlight w:val="none"/>
          <w:lang w:val="en-US" w:eastAsia="zh-CN" w:bidi="ar-SA"/>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5B760E64">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2.本项目实行网上投标，采用电子投标文件(供应商须使用CA加密设备通过政采云电子投标客户端制作投标文件)。若供应商参与投标，自行承担投标一切费用。</w:t>
      </w:r>
    </w:p>
    <w:p w14:paraId="25A8D5E2">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3.各供应商应在开标前应确保成为新疆政府采购网正式注册入库供应商，并完成CA数字证书申领。因未注册入库、未办理CA数字证书等原因造成无法投标或投标失败等后果由供应商自行承担。</w:t>
      </w:r>
    </w:p>
    <w:p w14:paraId="14DC37A5">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24C0D819">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5.供应商在开标时须使用制作加密电子投标文件所使用的CA锁及电脑，电脑须提前配置好浏览器（建议使用360浏览器或谷歌浏览器），以便开标时解锁。</w:t>
      </w:r>
    </w:p>
    <w:p w14:paraId="3EDA6CDB">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bookmarkEnd w:id="1008"/>
      <w:bookmarkEnd w:id="1009"/>
      <w:bookmarkEnd w:id="1010"/>
      <w:bookmarkEnd w:id="1011"/>
    </w:p>
    <w:p w14:paraId="1AD273CA">
      <w:pPr>
        <w:pStyle w:val="35"/>
        <w:rPr>
          <w:rFonts w:hint="eastAsia" w:ascii="宋体" w:hAnsi="宋体" w:eastAsia="宋体" w:cs="宋体"/>
          <w:b w:val="0"/>
          <w:bCs w:val="0"/>
          <w:kern w:val="2"/>
          <w:sz w:val="24"/>
          <w:szCs w:val="22"/>
          <w:highlight w:val="none"/>
          <w:lang w:val="en-US" w:eastAsia="zh-CN" w:bidi="ar-SA"/>
        </w:rPr>
      </w:pPr>
      <w:r>
        <w:rPr>
          <w:rFonts w:hint="eastAsia" w:ascii="仿宋" w:hAnsi="仿宋" w:eastAsia="仿宋" w:cs="仿宋"/>
          <w:i w:val="0"/>
          <w:iCs w:val="0"/>
          <w:caps w:val="0"/>
          <w:color w:val="000000"/>
          <w:spacing w:val="0"/>
          <w:sz w:val="27"/>
          <w:szCs w:val="27"/>
          <w:highlight w:val="none"/>
          <w:lang w:val="en-US" w:eastAsia="zh-CN"/>
        </w:rPr>
        <w:t>7.</w:t>
      </w:r>
      <w:r>
        <w:rPr>
          <w:rFonts w:hint="eastAsia" w:ascii="宋体" w:hAnsi="宋体" w:eastAsia="宋体" w:cs="宋体"/>
          <w:b w:val="0"/>
          <w:bCs w:val="0"/>
          <w:kern w:val="2"/>
          <w:sz w:val="24"/>
          <w:szCs w:val="22"/>
          <w:highlight w:val="none"/>
          <w:lang w:val="en-US" w:eastAsia="zh-CN" w:bidi="ar-SA"/>
        </w:rPr>
        <w:t>本项目响应文件解密时间为30分钟，如因</w:t>
      </w:r>
      <w:r>
        <w:rPr>
          <w:rFonts w:hint="eastAsia" w:ascii="宋体" w:hAnsi="宋体" w:cs="宋体"/>
          <w:b w:val="0"/>
          <w:bCs w:val="0"/>
          <w:kern w:val="2"/>
          <w:sz w:val="24"/>
          <w:szCs w:val="22"/>
          <w:highlight w:val="none"/>
          <w:lang w:val="en-US" w:eastAsia="zh-CN" w:bidi="ar-SA"/>
        </w:rPr>
        <w:t>供应商</w:t>
      </w:r>
      <w:r>
        <w:rPr>
          <w:rFonts w:hint="eastAsia" w:ascii="宋体" w:hAnsi="宋体" w:eastAsia="宋体" w:cs="宋体"/>
          <w:b w:val="0"/>
          <w:bCs w:val="0"/>
          <w:kern w:val="2"/>
          <w:sz w:val="24"/>
          <w:szCs w:val="22"/>
          <w:highlight w:val="none"/>
          <w:lang w:val="en-US" w:eastAsia="zh-CN" w:bidi="ar-SA"/>
        </w:rPr>
        <w:t>自身原因导致无法正常解密，后果由供应商自行承担。</w:t>
      </w:r>
    </w:p>
    <w:p w14:paraId="1F8E8910">
      <w:pPr>
        <w:keepNext w:val="0"/>
        <w:keepLines w:val="0"/>
        <w:pageBreakBefore w:val="0"/>
        <w:widowControl/>
        <w:kinsoku/>
        <w:wordWrap/>
        <w:overflowPunct/>
        <w:topLinePunct w:val="0"/>
        <w:bidi w:val="0"/>
        <w:snapToGrid/>
        <w:spacing w:line="500" w:lineRule="exact"/>
        <w:jc w:val="both"/>
        <w:textAlignment w:val="auto"/>
        <w:rPr>
          <w:rFonts w:eastAsia="仿宋"/>
          <w:color w:val="000000"/>
        </w:rPr>
      </w:pPr>
      <w:bookmarkStart w:id="1012" w:name="_Hlk21311295"/>
      <w:r>
        <w:rPr>
          <w:rFonts w:hint="eastAsia" w:ascii="仿宋" w:hAnsi="仿宋" w:eastAsia="仿宋" w:cs="仿宋"/>
          <w:b/>
          <w:sz w:val="28"/>
          <w:szCs w:val="24"/>
        </w:rPr>
        <w:t>七、</w:t>
      </w:r>
      <w:bookmarkStart w:id="1013" w:name="_Toc28359095"/>
      <w:bookmarkStart w:id="1014" w:name="_Toc35393805"/>
      <w:bookmarkStart w:id="1015" w:name="_Toc35393636"/>
      <w:bookmarkStart w:id="1016" w:name="_Toc28359018"/>
      <w:r>
        <w:rPr>
          <w:rFonts w:hint="eastAsia" w:ascii="仿宋" w:hAnsi="仿宋" w:eastAsia="仿宋" w:cs="仿宋"/>
          <w:b/>
          <w:sz w:val="28"/>
          <w:szCs w:val="24"/>
        </w:rPr>
        <w:t>凡对本次采购提出询问，请按以下方式联系。</w:t>
      </w:r>
      <w:bookmarkEnd w:id="1013"/>
      <w:bookmarkEnd w:id="1014"/>
      <w:bookmarkEnd w:id="1015"/>
      <w:bookmarkEnd w:id="1016"/>
      <w:r>
        <w:rPr>
          <w:rFonts w:hint="eastAsia" w:ascii="仿宋" w:hAnsi="仿宋" w:eastAsia="仿宋" w:cs="仿宋"/>
          <w:b/>
          <w:sz w:val="28"/>
          <w:szCs w:val="24"/>
        </w:rPr>
        <w:t xml:space="preserve">  </w:t>
      </w:r>
      <w:r>
        <w:rPr>
          <w:rFonts w:eastAsia="仿宋"/>
          <w:color w:val="000000"/>
        </w:rPr>
        <w:t xml:space="preserve">  </w:t>
      </w:r>
    </w:p>
    <w:bookmarkEnd w:id="1012"/>
    <w:p w14:paraId="799D1CCD">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1.采购人信息</w:t>
      </w:r>
    </w:p>
    <w:p w14:paraId="32A55D88">
      <w:pPr>
        <w:keepNext w:val="0"/>
        <w:keepLines w:val="0"/>
        <w:pageBreakBefore w:val="0"/>
        <w:kinsoku/>
        <w:wordWrap/>
        <w:overflowPunct/>
        <w:topLinePunct w:val="0"/>
        <w:bidi w:val="0"/>
        <w:snapToGrid/>
        <w:spacing w:line="500" w:lineRule="exact"/>
        <w:ind w:firstLine="720" w:firstLineChars="300"/>
        <w:jc w:val="both"/>
        <w:textAlignment w:val="auto"/>
        <w:rPr>
          <w:rFonts w:hint="eastAsia" w:ascii="宋体" w:hAnsi="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名 称：</w:t>
      </w:r>
      <w:r>
        <w:rPr>
          <w:rFonts w:hint="eastAsia" w:ascii="宋体" w:hAnsi="宋体" w:eastAsia="宋体" w:cs="宋体"/>
          <w:b w:val="0"/>
          <w:bCs w:val="0"/>
          <w:color w:val="00B0F0"/>
          <w:kern w:val="2"/>
          <w:sz w:val="24"/>
          <w:szCs w:val="22"/>
          <w:highlight w:val="none"/>
          <w:lang w:val="en-US" w:eastAsia="zh-CN" w:bidi="ar-SA"/>
        </w:rPr>
        <w:t>喀什某单位</w:t>
      </w:r>
    </w:p>
    <w:p w14:paraId="4C8CB02F">
      <w:pPr>
        <w:keepNext w:val="0"/>
        <w:keepLines w:val="0"/>
        <w:pageBreakBefore w:val="0"/>
        <w:kinsoku/>
        <w:wordWrap/>
        <w:overflowPunct/>
        <w:topLinePunct w:val="0"/>
        <w:bidi w:val="0"/>
        <w:snapToGrid/>
        <w:spacing w:line="500" w:lineRule="exact"/>
        <w:ind w:firstLine="720" w:firstLineChars="3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地 址：</w:t>
      </w:r>
      <w:r>
        <w:rPr>
          <w:rFonts w:hint="eastAsia" w:ascii="宋体" w:hAnsi="宋体" w:eastAsia="宋体" w:cs="宋体"/>
          <w:b w:val="0"/>
          <w:bCs w:val="0"/>
          <w:color w:val="00B0F0"/>
          <w:kern w:val="2"/>
          <w:sz w:val="24"/>
          <w:szCs w:val="22"/>
          <w:highlight w:val="none"/>
          <w:lang w:val="en-US" w:eastAsia="zh-CN" w:bidi="ar-SA"/>
        </w:rPr>
        <w:t>喀什地区疏附县吾库萨克镇花城大道</w:t>
      </w:r>
    </w:p>
    <w:p w14:paraId="0CF889C8">
      <w:pPr>
        <w:keepNext w:val="0"/>
        <w:keepLines w:val="0"/>
        <w:pageBreakBefore w:val="0"/>
        <w:kinsoku/>
        <w:wordWrap/>
        <w:overflowPunct/>
        <w:topLinePunct w:val="0"/>
        <w:bidi w:val="0"/>
        <w:snapToGrid/>
        <w:spacing w:line="500" w:lineRule="exact"/>
        <w:ind w:firstLine="720" w:firstLineChars="300"/>
        <w:jc w:val="both"/>
        <w:textAlignment w:val="auto"/>
        <w:rPr>
          <w:rFonts w:hint="default" w:ascii="宋体" w:hAnsi="宋体" w:eastAsia="宋体" w:cs="宋体"/>
          <w:b w:val="0"/>
          <w:bCs w:val="0"/>
          <w:color w:val="00B0F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联系人及方式：</w:t>
      </w:r>
      <w:bookmarkStart w:id="1017" w:name="_Toc27055"/>
      <w:bookmarkStart w:id="1018" w:name="_Toc28359009"/>
      <w:bookmarkStart w:id="1019" w:name="_Toc28359086"/>
      <w:r>
        <w:rPr>
          <w:rFonts w:hint="eastAsia" w:ascii="宋体" w:hAnsi="宋体" w:eastAsia="宋体" w:cs="宋体"/>
          <w:b w:val="0"/>
          <w:bCs w:val="0"/>
          <w:color w:val="00B0F0"/>
          <w:kern w:val="2"/>
          <w:sz w:val="24"/>
          <w:szCs w:val="22"/>
          <w:highlight w:val="none"/>
          <w:lang w:val="en-US" w:eastAsia="zh-CN" w:bidi="ar-SA"/>
        </w:rPr>
        <w:t>王欢  15229910149</w:t>
      </w:r>
    </w:p>
    <w:p w14:paraId="22C55720">
      <w:pPr>
        <w:keepNext w:val="0"/>
        <w:keepLines w:val="0"/>
        <w:pageBreakBefore w:val="0"/>
        <w:kinsoku/>
        <w:wordWrap/>
        <w:overflowPunct/>
        <w:topLinePunct w:val="0"/>
        <w:bidi w:val="0"/>
        <w:snapToGrid/>
        <w:spacing w:line="500" w:lineRule="exact"/>
        <w:ind w:firstLine="480" w:firstLineChars="2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2.采购代理机构信息</w:t>
      </w:r>
      <w:bookmarkEnd w:id="1017"/>
      <w:bookmarkEnd w:id="1018"/>
      <w:bookmarkEnd w:id="1019"/>
      <w:r>
        <w:rPr>
          <w:rFonts w:hint="eastAsia" w:ascii="宋体" w:hAnsi="宋体" w:eastAsia="宋体" w:cs="宋体"/>
          <w:b w:val="0"/>
          <w:bCs w:val="0"/>
          <w:kern w:val="2"/>
          <w:sz w:val="24"/>
          <w:szCs w:val="22"/>
          <w:highlight w:val="none"/>
          <w:lang w:val="en-US" w:eastAsia="zh-CN" w:bidi="ar-SA"/>
        </w:rPr>
        <w:t xml:space="preserve"> </w:t>
      </w:r>
    </w:p>
    <w:p w14:paraId="33085044">
      <w:pPr>
        <w:keepNext w:val="0"/>
        <w:keepLines w:val="0"/>
        <w:pageBreakBefore w:val="0"/>
        <w:kinsoku/>
        <w:wordWrap/>
        <w:overflowPunct/>
        <w:topLinePunct w:val="0"/>
        <w:bidi w:val="0"/>
        <w:snapToGrid/>
        <w:spacing w:line="500" w:lineRule="exact"/>
        <w:ind w:firstLine="720" w:firstLineChars="3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名 称：疏附县政府采购中心</w:t>
      </w:r>
    </w:p>
    <w:p w14:paraId="6A77E171">
      <w:pPr>
        <w:keepNext w:val="0"/>
        <w:keepLines w:val="0"/>
        <w:pageBreakBefore w:val="0"/>
        <w:kinsoku/>
        <w:wordWrap/>
        <w:overflowPunct/>
        <w:topLinePunct w:val="0"/>
        <w:bidi w:val="0"/>
        <w:snapToGrid/>
        <w:spacing w:line="500" w:lineRule="exact"/>
        <w:ind w:firstLine="720" w:firstLineChars="300"/>
        <w:jc w:val="both"/>
        <w:textAlignment w:val="auto"/>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地　址：疏附县财政局一楼</w:t>
      </w:r>
    </w:p>
    <w:p w14:paraId="5FF875E5">
      <w:pPr>
        <w:keepNext w:val="0"/>
        <w:keepLines w:val="0"/>
        <w:pageBreakBefore w:val="0"/>
        <w:kinsoku/>
        <w:wordWrap/>
        <w:overflowPunct/>
        <w:topLinePunct w:val="0"/>
        <w:bidi w:val="0"/>
        <w:snapToGrid/>
        <w:spacing w:line="500" w:lineRule="exact"/>
        <w:ind w:firstLine="720" w:firstLineChars="300"/>
        <w:jc w:val="both"/>
        <w:textAlignment w:val="auto"/>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联系方式：0998-3256769</w:t>
      </w:r>
    </w:p>
    <w:p w14:paraId="3E2423AD">
      <w:pPr>
        <w:keepNext w:val="0"/>
        <w:keepLines w:val="0"/>
        <w:pageBreakBefore w:val="0"/>
        <w:kinsoku/>
        <w:wordWrap/>
        <w:overflowPunct/>
        <w:topLinePunct w:val="0"/>
        <w:bidi w:val="0"/>
        <w:snapToGrid/>
        <w:spacing w:line="500" w:lineRule="exact"/>
        <w:ind w:firstLine="480" w:firstLineChars="200"/>
        <w:jc w:val="left"/>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3.采购监督部门：疏附县财政局采购办</w:t>
      </w:r>
    </w:p>
    <w:p w14:paraId="1C3004D0">
      <w:pPr>
        <w:keepNext w:val="0"/>
        <w:keepLines w:val="0"/>
        <w:pageBreakBefore w:val="0"/>
        <w:kinsoku/>
        <w:wordWrap/>
        <w:overflowPunct/>
        <w:topLinePunct w:val="0"/>
        <w:bidi w:val="0"/>
        <w:snapToGrid/>
        <w:spacing w:line="500" w:lineRule="exact"/>
        <w:ind w:firstLine="720" w:firstLineChars="3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联系人：</w:t>
      </w:r>
      <w:r>
        <w:rPr>
          <w:rFonts w:hint="eastAsia" w:ascii="宋体" w:hAnsi="宋体" w:cs="宋体"/>
          <w:b w:val="0"/>
          <w:bCs w:val="0"/>
          <w:kern w:val="2"/>
          <w:sz w:val="24"/>
          <w:szCs w:val="22"/>
          <w:highlight w:val="none"/>
          <w:lang w:val="en-US" w:eastAsia="zh-CN" w:bidi="ar-SA"/>
        </w:rPr>
        <w:t>努尔阿力木</w:t>
      </w:r>
      <w:r>
        <w:rPr>
          <w:rFonts w:hint="eastAsia" w:ascii="宋体" w:hAnsi="宋体" w:eastAsia="宋体" w:cs="宋体"/>
          <w:b w:val="0"/>
          <w:bCs w:val="0"/>
          <w:kern w:val="2"/>
          <w:sz w:val="24"/>
          <w:szCs w:val="22"/>
          <w:highlight w:val="none"/>
          <w:lang w:val="en-US" w:eastAsia="zh-CN" w:bidi="ar-SA"/>
        </w:rPr>
        <w:t xml:space="preserve"> </w:t>
      </w:r>
    </w:p>
    <w:p w14:paraId="5354B913">
      <w:pPr>
        <w:keepNext w:val="0"/>
        <w:keepLines w:val="0"/>
        <w:pageBreakBefore w:val="0"/>
        <w:kinsoku/>
        <w:wordWrap/>
        <w:overflowPunct/>
        <w:topLinePunct w:val="0"/>
        <w:bidi w:val="0"/>
        <w:snapToGrid/>
        <w:spacing w:line="500" w:lineRule="exact"/>
        <w:ind w:firstLine="720" w:firstLineChars="300"/>
        <w:jc w:val="both"/>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监督电话：0998-3256562</w:t>
      </w:r>
    </w:p>
    <w:p w14:paraId="3E858EB5">
      <w:pPr>
        <w:keepNext w:val="0"/>
        <w:keepLines w:val="0"/>
        <w:pageBreakBefore w:val="0"/>
        <w:kinsoku/>
        <w:wordWrap/>
        <w:overflowPunct/>
        <w:topLinePunct w:val="0"/>
        <w:bidi w:val="0"/>
        <w:snapToGrid/>
        <w:spacing w:line="500" w:lineRule="exact"/>
        <w:ind w:firstLine="720" w:firstLineChars="300"/>
        <w:jc w:val="left"/>
        <w:textAlignment w:val="auto"/>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采购监督部门地址：疏附县财政局</w:t>
      </w:r>
    </w:p>
    <w:p w14:paraId="768F65EA">
      <w:pPr>
        <w:pStyle w:val="3"/>
        <w:tabs>
          <w:tab w:val="left" w:pos="0"/>
        </w:tabs>
        <w:spacing w:before="0" w:after="0" w:line="240" w:lineRule="atLeast"/>
        <w:rPr>
          <w:rFonts w:hint="eastAsia" w:ascii="仿宋_GB2312" w:hAnsi="仿宋_GB2312" w:eastAsia="仿宋_GB2312" w:cs="仿宋_GB2312"/>
          <w:sz w:val="36"/>
          <w:szCs w:val="36"/>
          <w:highlight w:val="none"/>
        </w:rPr>
      </w:pPr>
    </w:p>
    <w:p w14:paraId="776810D5">
      <w:pPr>
        <w:pStyle w:val="3"/>
        <w:tabs>
          <w:tab w:val="left" w:pos="0"/>
        </w:tabs>
        <w:spacing w:before="0" w:after="0" w:line="240" w:lineRule="atLeast"/>
        <w:jc w:val="both"/>
        <w:rPr>
          <w:rFonts w:hint="eastAsia" w:ascii="仿宋_GB2312" w:hAnsi="仿宋_GB2312" w:eastAsia="仿宋_GB2312" w:cs="仿宋_GB2312"/>
          <w:sz w:val="24"/>
          <w:szCs w:val="24"/>
          <w:highlight w:val="none"/>
        </w:rPr>
      </w:pPr>
    </w:p>
    <w:p w14:paraId="5D38B378">
      <w:pPr>
        <w:rPr>
          <w:rFonts w:hint="eastAsia"/>
        </w:rPr>
      </w:pPr>
    </w:p>
    <w:p w14:paraId="4D9E561A">
      <w:pPr>
        <w:rPr>
          <w:rFonts w:hint="eastAsia"/>
        </w:rPr>
      </w:pPr>
    </w:p>
    <w:p w14:paraId="1013BA1D">
      <w:pPr>
        <w:rPr>
          <w:rFonts w:hint="eastAsia"/>
        </w:rPr>
      </w:pPr>
    </w:p>
    <w:p w14:paraId="20056BB2">
      <w:pPr>
        <w:rPr>
          <w:rFonts w:hint="eastAsia"/>
        </w:rPr>
      </w:pPr>
    </w:p>
    <w:p w14:paraId="4B5FE2DA">
      <w:pPr>
        <w:rPr>
          <w:rFonts w:hint="eastAsia"/>
        </w:rPr>
      </w:pPr>
    </w:p>
    <w:p w14:paraId="5BBCF326">
      <w:pPr>
        <w:rPr>
          <w:rFonts w:hint="eastAsia"/>
        </w:rPr>
      </w:pPr>
    </w:p>
    <w:p w14:paraId="2640965F">
      <w:pPr>
        <w:rPr>
          <w:rFonts w:hint="eastAsia"/>
        </w:rPr>
      </w:pPr>
    </w:p>
    <w:p w14:paraId="7E5F4798">
      <w:pPr>
        <w:rPr>
          <w:rFonts w:hint="eastAsia"/>
        </w:rPr>
      </w:pPr>
    </w:p>
    <w:p w14:paraId="16717D99">
      <w:pPr>
        <w:rPr>
          <w:rFonts w:hint="eastAsia"/>
        </w:rPr>
      </w:pPr>
    </w:p>
    <w:p w14:paraId="448DEFAC">
      <w:pPr>
        <w:rPr>
          <w:rFonts w:hint="eastAsia"/>
        </w:rPr>
      </w:pPr>
    </w:p>
    <w:p w14:paraId="2261D9EC">
      <w:pPr>
        <w:rPr>
          <w:rFonts w:hint="eastAsia"/>
        </w:rPr>
      </w:pPr>
    </w:p>
    <w:p w14:paraId="2DD3AFDD">
      <w:pPr>
        <w:rPr>
          <w:rFonts w:hint="eastAsia"/>
        </w:rPr>
      </w:pPr>
    </w:p>
    <w:p w14:paraId="62B89B91">
      <w:pPr>
        <w:rPr>
          <w:rFonts w:hint="eastAsia"/>
        </w:rPr>
      </w:pPr>
    </w:p>
    <w:p w14:paraId="1F38DA6D">
      <w:pPr>
        <w:rPr>
          <w:rFonts w:hint="eastAsia"/>
        </w:rPr>
      </w:pPr>
    </w:p>
    <w:p w14:paraId="330C16C4">
      <w:pPr>
        <w:rPr>
          <w:rFonts w:hint="eastAsia"/>
        </w:rPr>
      </w:pPr>
    </w:p>
    <w:p w14:paraId="399401A9">
      <w:pPr>
        <w:rPr>
          <w:rFonts w:hint="eastAsia"/>
        </w:rPr>
      </w:pPr>
    </w:p>
    <w:p w14:paraId="74FFE941">
      <w:pPr>
        <w:rPr>
          <w:rFonts w:hint="eastAsia"/>
        </w:rPr>
      </w:pPr>
    </w:p>
    <w:p w14:paraId="00EB968C">
      <w:pPr>
        <w:rPr>
          <w:rFonts w:hint="eastAsia"/>
        </w:rPr>
      </w:pPr>
    </w:p>
    <w:p w14:paraId="4BDA6ACA">
      <w:pPr>
        <w:pStyle w:val="3"/>
        <w:tabs>
          <w:tab w:val="left" w:pos="0"/>
        </w:tabs>
        <w:spacing w:before="0" w:after="0" w:line="240" w:lineRule="atLeast"/>
        <w:jc w:val="center"/>
        <w:rPr>
          <w:rFonts w:hint="eastAsia" w:ascii="仿宋_GB2312" w:hAnsi="仿宋_GB2312" w:eastAsia="仿宋_GB2312" w:cs="仿宋_GB2312"/>
          <w:sz w:val="36"/>
          <w:szCs w:val="36"/>
          <w:highlight w:val="none"/>
        </w:rPr>
      </w:pPr>
      <w:r>
        <w:rPr>
          <w:rFonts w:hint="eastAsia" w:ascii="仿宋_GB2312" w:hAnsi="仿宋_GB2312" w:eastAsia="仿宋_GB2312" w:cs="仿宋_GB2312"/>
          <w:sz w:val="36"/>
          <w:szCs w:val="36"/>
          <w:highlight w:val="none"/>
        </w:rPr>
        <w:t>第四章  投标人须知资料表</w:t>
      </w:r>
      <w:bookmarkEnd w:id="648"/>
      <w:bookmarkEnd w:id="649"/>
      <w:bookmarkEnd w:id="650"/>
      <w:bookmarkEnd w:id="651"/>
      <w:bookmarkEnd w:id="652"/>
      <w:bookmarkEnd w:id="653"/>
      <w:bookmarkEnd w:id="654"/>
      <w:bookmarkEnd w:id="988"/>
    </w:p>
    <w:p w14:paraId="7927154B">
      <w:pPr>
        <w:spacing w:line="240" w:lineRule="atLeast"/>
        <w:ind w:firstLine="360" w:firstLineChars="1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w:t>
      </w:r>
      <w:bookmarkStart w:id="1020" w:name="_Toc216582826"/>
      <w:bookmarkStart w:id="1021" w:name="_Toc175644389"/>
      <w:bookmarkStart w:id="1022" w:name="_Toc219175639"/>
      <w:bookmarkStart w:id="1023" w:name="_Toc203274616"/>
      <w:bookmarkStart w:id="1024" w:name="_Toc218935355"/>
      <w:bookmarkStart w:id="1025" w:name="_Toc101951258"/>
      <w:r>
        <w:rPr>
          <w:rFonts w:hint="eastAsia" w:ascii="仿宋_GB2312" w:hAnsi="仿宋_GB2312" w:eastAsia="仿宋_GB2312" w:cs="仿宋_GB2312"/>
          <w:sz w:val="24"/>
          <w:highlight w:val="none"/>
        </w:rPr>
        <w:t>本表是本招标项目的具体资料，是对投标人须知的具体补充和修改，如有矛盾，应以本资料表为准。</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98"/>
        <w:gridCol w:w="7382"/>
      </w:tblGrid>
      <w:tr w14:paraId="6A987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5" w:hRule="atLeast"/>
        </w:trPr>
        <w:tc>
          <w:tcPr>
            <w:tcW w:w="898" w:type="dxa"/>
            <w:noWrap w:val="0"/>
            <w:vAlign w:val="center"/>
          </w:tcPr>
          <w:p w14:paraId="69C21107">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条款号</w:t>
            </w:r>
          </w:p>
        </w:tc>
        <w:tc>
          <w:tcPr>
            <w:tcW w:w="7382" w:type="dxa"/>
            <w:noWrap w:val="0"/>
            <w:vAlign w:val="center"/>
          </w:tcPr>
          <w:p w14:paraId="37B2478A">
            <w:pPr>
              <w:keepNext w:val="0"/>
              <w:keepLines w:val="0"/>
              <w:suppressLineNumbers w:val="0"/>
              <w:spacing w:before="0" w:beforeAutospacing="0" w:after="0" w:afterAutospacing="0" w:line="240" w:lineRule="atLeast"/>
              <w:ind w:left="1080" w:leftChars="257" w:right="0" w:hanging="540"/>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内      容</w:t>
            </w:r>
          </w:p>
        </w:tc>
      </w:tr>
      <w:tr w14:paraId="10E20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5" w:hRule="atLeast"/>
        </w:trPr>
        <w:tc>
          <w:tcPr>
            <w:tcW w:w="898" w:type="dxa"/>
            <w:noWrap w:val="0"/>
            <w:vAlign w:val="center"/>
          </w:tcPr>
          <w:p w14:paraId="1E06C8CB">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7382" w:type="dxa"/>
            <w:noWrap w:val="0"/>
            <w:vAlign w:val="center"/>
          </w:tcPr>
          <w:p w14:paraId="120D884F">
            <w:pPr>
              <w:keepNext w:val="0"/>
              <w:keepLines w:val="0"/>
              <w:suppressLineNumbers w:val="0"/>
              <w:spacing w:before="0" w:beforeAutospacing="0" w:after="0" w:afterAutospacing="0" w:line="240" w:lineRule="atLeast"/>
              <w:ind w:left="0" w:right="0"/>
              <w:rPr>
                <w:rFonts w:hint="default" w:ascii="仿宋_GB2312" w:hAnsi="仿宋_GB2312" w:eastAsia="仿宋_GB2312" w:cs="仿宋_GB2312"/>
                <w:color w:val="00B0F0"/>
                <w:sz w:val="24"/>
                <w:highlight w:val="none"/>
                <w:lang w:val="en-US" w:eastAsia="zh-CN"/>
              </w:rPr>
            </w:pPr>
            <w:r>
              <w:rPr>
                <w:rFonts w:hint="eastAsia" w:ascii="仿宋_GB2312" w:hAnsi="仿宋_GB2312" w:eastAsia="仿宋_GB2312" w:cs="仿宋_GB2312"/>
                <w:sz w:val="24"/>
                <w:highlight w:val="none"/>
              </w:rPr>
              <w:t>采购人：</w:t>
            </w:r>
            <w:r>
              <w:rPr>
                <w:rFonts w:hint="eastAsia" w:ascii="宋体" w:hAnsi="宋体" w:eastAsia="宋体" w:cs="宋体"/>
                <w:b w:val="0"/>
                <w:bCs w:val="0"/>
                <w:color w:val="00B0F0"/>
                <w:kern w:val="2"/>
                <w:sz w:val="24"/>
                <w:szCs w:val="22"/>
                <w:highlight w:val="none"/>
                <w:lang w:val="en-US" w:eastAsia="zh-CN" w:bidi="ar-SA"/>
              </w:rPr>
              <w:t>喀什某单位</w:t>
            </w:r>
          </w:p>
          <w:p w14:paraId="653657B0">
            <w:pPr>
              <w:keepNext w:val="0"/>
              <w:keepLines w:val="0"/>
              <w:pageBreakBefore w:val="0"/>
              <w:suppressLineNumbers w:val="0"/>
              <w:kinsoku/>
              <w:wordWrap/>
              <w:overflowPunct/>
              <w:topLinePunct w:val="0"/>
              <w:bidi w:val="0"/>
              <w:snapToGrid/>
              <w:spacing w:before="0" w:beforeAutospacing="0" w:after="0" w:afterAutospacing="0" w:line="500" w:lineRule="exact"/>
              <w:ind w:left="0" w:right="0"/>
              <w:jc w:val="both"/>
              <w:textAlignment w:val="auto"/>
              <w:rPr>
                <w:rFonts w:hint="default"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sz w:val="24"/>
                <w:highlight w:val="none"/>
              </w:rPr>
              <w:t>联系人：</w:t>
            </w:r>
            <w:r>
              <w:rPr>
                <w:rFonts w:hint="eastAsia" w:ascii="宋体" w:hAnsi="宋体" w:eastAsia="宋体" w:cs="宋体"/>
                <w:b w:val="0"/>
                <w:bCs w:val="0"/>
                <w:color w:val="00B0F0"/>
                <w:kern w:val="2"/>
                <w:sz w:val="24"/>
                <w:szCs w:val="22"/>
                <w:highlight w:val="none"/>
                <w:lang w:val="en-US" w:eastAsia="zh-CN" w:bidi="ar-SA"/>
              </w:rPr>
              <w:t xml:space="preserve">王欢  </w:t>
            </w:r>
            <w:r>
              <w:rPr>
                <w:rFonts w:hint="eastAsia" w:ascii="宋体" w:hAnsi="宋体" w:eastAsia="宋体" w:cs="宋体"/>
                <w:b w:val="0"/>
                <w:bCs w:val="0"/>
                <w:kern w:val="2"/>
                <w:sz w:val="24"/>
                <w:szCs w:val="22"/>
                <w:highlight w:val="none"/>
                <w:lang w:val="en-US" w:eastAsia="zh-CN" w:bidi="ar-SA"/>
              </w:rPr>
              <w:t xml:space="preserve"> </w:t>
            </w:r>
            <w:r>
              <w:rPr>
                <w:rFonts w:hint="eastAsia" w:ascii="仿宋_GB2312" w:hAnsi="仿宋_GB2312" w:eastAsia="仿宋_GB2312" w:cs="仿宋_GB2312"/>
                <w:sz w:val="24"/>
                <w:highlight w:val="none"/>
              </w:rPr>
              <w:t>联系电话：</w:t>
            </w:r>
            <w:r>
              <w:rPr>
                <w:rFonts w:hint="eastAsia" w:ascii="宋体" w:hAnsi="宋体" w:eastAsia="宋体" w:cs="宋体"/>
                <w:b w:val="0"/>
                <w:bCs w:val="0"/>
                <w:color w:val="00B0F0"/>
                <w:kern w:val="2"/>
                <w:sz w:val="24"/>
                <w:szCs w:val="22"/>
                <w:highlight w:val="none"/>
                <w:lang w:val="en-US" w:eastAsia="zh-CN" w:bidi="ar-SA"/>
              </w:rPr>
              <w:t xml:space="preserve"> 15229910149</w:t>
            </w:r>
          </w:p>
        </w:tc>
      </w:tr>
      <w:tr w14:paraId="6C487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8" w:hRule="atLeast"/>
        </w:trPr>
        <w:tc>
          <w:tcPr>
            <w:tcW w:w="898" w:type="dxa"/>
            <w:noWrap w:val="0"/>
            <w:vAlign w:val="center"/>
          </w:tcPr>
          <w:p w14:paraId="3A7ACE2F">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7382" w:type="dxa"/>
            <w:noWrap w:val="0"/>
            <w:vAlign w:val="center"/>
          </w:tcPr>
          <w:p w14:paraId="62914F8F">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采购代理机构：</w:t>
            </w:r>
            <w:r>
              <w:rPr>
                <w:rFonts w:hint="eastAsia" w:ascii="仿宋_GB2312" w:hAnsi="仿宋_GB2312" w:eastAsia="仿宋_GB2312" w:cs="仿宋_GB2312"/>
                <w:sz w:val="24"/>
                <w:highlight w:val="none"/>
                <w:u w:val="single"/>
                <w:lang w:val="en-US" w:eastAsia="zh-CN"/>
              </w:rPr>
              <w:t>疏附</w:t>
            </w:r>
            <w:r>
              <w:rPr>
                <w:rFonts w:hint="eastAsia" w:ascii="仿宋_GB2312" w:hAnsi="仿宋_GB2312" w:eastAsia="仿宋_GB2312" w:cs="仿宋_GB2312"/>
                <w:sz w:val="24"/>
                <w:highlight w:val="none"/>
                <w:u w:val="single"/>
              </w:rPr>
              <w:t>县政府采购中心</w:t>
            </w:r>
          </w:p>
          <w:p w14:paraId="5D4B409D">
            <w:pPr>
              <w:keepNext w:val="0"/>
              <w:keepLines w:val="0"/>
              <w:widowControl/>
              <w:suppressLineNumbers w:val="0"/>
              <w:spacing w:before="0" w:beforeAutospacing="0" w:after="0" w:afterAutospacing="0" w:line="330" w:lineRule="exact"/>
              <w:ind w:left="0" w:right="0"/>
              <w:jc w:val="left"/>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疏附县团结北路6号</w:t>
            </w:r>
          </w:p>
          <w:p w14:paraId="12407A2A">
            <w:pPr>
              <w:keepNext w:val="0"/>
              <w:keepLines w:val="0"/>
              <w:suppressLineNumbers w:val="0"/>
              <w:spacing w:before="0" w:beforeAutospacing="0" w:after="0" w:afterAutospacing="0" w:line="240" w:lineRule="atLeast"/>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业务联系人：</w:t>
            </w:r>
            <w:r>
              <w:rPr>
                <w:rFonts w:hint="eastAsia" w:ascii="仿宋_GB2312" w:hAnsi="仿宋_GB2312" w:eastAsia="仿宋_GB2312" w:cs="仿宋_GB2312"/>
                <w:sz w:val="24"/>
                <w:highlight w:val="none"/>
                <w:u w:val="single"/>
                <w:lang w:val="en-US" w:eastAsia="zh-CN"/>
              </w:rPr>
              <w:t>黄妍</w:t>
            </w:r>
            <w:r>
              <w:rPr>
                <w:rFonts w:hint="eastAsia" w:ascii="仿宋_GB2312" w:hAnsi="仿宋_GB2312" w:eastAsia="仿宋_GB2312" w:cs="仿宋_GB2312"/>
                <w:sz w:val="24"/>
                <w:highlight w:val="none"/>
              </w:rPr>
              <w:t xml:space="preserve">   电话：</w:t>
            </w:r>
            <w:r>
              <w:rPr>
                <w:rFonts w:hint="eastAsia" w:ascii="仿宋_GB2312" w:hAnsi="仿宋_GB2312" w:eastAsia="仿宋_GB2312" w:cs="仿宋_GB2312"/>
                <w:sz w:val="24"/>
                <w:highlight w:val="none"/>
                <w:u w:val="single"/>
              </w:rPr>
              <w:t xml:space="preserve">0998-3256769  </w:t>
            </w:r>
          </w:p>
        </w:tc>
      </w:tr>
      <w:tr w14:paraId="68DFE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98" w:type="dxa"/>
            <w:noWrap w:val="0"/>
            <w:vAlign w:val="center"/>
          </w:tcPr>
          <w:p w14:paraId="0EC30E87">
            <w:pPr>
              <w:keepNext w:val="0"/>
              <w:keepLines w:val="0"/>
              <w:suppressLineNumbers w:val="0"/>
              <w:spacing w:before="0" w:beforeAutospacing="0" w:after="0" w:afterAutospacing="0" w:line="240" w:lineRule="atLeas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1.3.1</w:t>
            </w:r>
          </w:p>
        </w:tc>
        <w:tc>
          <w:tcPr>
            <w:tcW w:w="7382" w:type="dxa"/>
            <w:noWrap w:val="0"/>
            <w:vAlign w:val="center"/>
          </w:tcPr>
          <w:p w14:paraId="0CD07B9E">
            <w:pPr>
              <w:keepNext w:val="0"/>
              <w:keepLines w:val="0"/>
              <w:suppressLineNumbers w:val="0"/>
              <w:spacing w:before="0" w:beforeAutospacing="0" w:after="0" w:afterAutospacing="0" w:line="240" w:lineRule="atLeast"/>
              <w:ind w:left="0" w:right="0"/>
              <w:jc w:val="left"/>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合格投标人开标时需提供的资格证明文件：</w:t>
            </w:r>
          </w:p>
          <w:p w14:paraId="1E5C00A1">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（1）提供有效期内且年检合格的营业执照；</w:t>
            </w:r>
          </w:p>
          <w:p w14:paraId="58848E81">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（2）法定代表人资格证明及授权书、被授权人身份证(法定代表人投标需提供法定代表人身份证)；</w:t>
            </w:r>
          </w:p>
          <w:p w14:paraId="0AF78D37">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（3）提供近两年内任意一年的财务审计报告（新成立的公司可提供近一个月的银行资信证明）；</w:t>
            </w:r>
          </w:p>
          <w:p w14:paraId="5AAC4762">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（4）投标企业依法缴纳近 3个月内其中任意1个月的社会保险凭据；</w:t>
            </w:r>
          </w:p>
          <w:p w14:paraId="61257C2A">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（5）投标企业提供税务部门出具的近3个月内其中任意1个月的完税证明（零申报需加盖税务机关鲜章）</w:t>
            </w:r>
            <w:r>
              <w:rPr>
                <w:rFonts w:hint="eastAsia" w:ascii="宋体" w:hAnsi="宋体" w:cs="Times New Roman"/>
                <w:color w:val="000000"/>
                <w:sz w:val="24"/>
                <w:szCs w:val="21"/>
                <w:lang w:val="en-US" w:eastAsia="zh-CN"/>
              </w:rPr>
              <w:t>，</w:t>
            </w:r>
            <w:r>
              <w:rPr>
                <w:rFonts w:hint="eastAsia" w:ascii="宋体" w:hAnsi="宋体" w:eastAsia="宋体" w:cs="宋体"/>
                <w:b w:val="0"/>
                <w:bCs w:val="0"/>
                <w:kern w:val="2"/>
                <w:sz w:val="24"/>
                <w:szCs w:val="22"/>
                <w:highlight w:val="none"/>
                <w:lang w:val="en-US" w:eastAsia="zh-CN" w:bidi="ar-SA"/>
              </w:rPr>
              <w:t>非社会保险类</w:t>
            </w:r>
            <w:r>
              <w:rPr>
                <w:rFonts w:hint="eastAsia" w:ascii="仿宋_GB2312" w:hAnsi="仿宋_GB2312" w:eastAsia="仿宋_GB2312" w:cs="仿宋_GB2312"/>
                <w:sz w:val="24"/>
                <w:lang w:val="en-US" w:eastAsia="zh-CN"/>
              </w:rPr>
              <w:t>；</w:t>
            </w:r>
          </w:p>
          <w:p w14:paraId="40B50D2A">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列入严重违法失信名单（黑名单）信息；将拒绝其参加本次招标活动；</w:t>
            </w:r>
          </w:p>
          <w:p w14:paraId="562E0D92">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（7）参与政府采购活动前3年内未被列入失信、重大税收违法案件、财政部门禁止参加政府采购活动的承诺书；</w:t>
            </w:r>
          </w:p>
          <w:p w14:paraId="3D63B43E">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（8）提供针对本次项目《反商业贿赂承诺书》 ；</w:t>
            </w:r>
          </w:p>
          <w:p w14:paraId="6FCDAC19">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（9）提供投标单位按招标文件要求缴纳投标保证金的缴款凭证或金融机构、担保机构出具的保函。</w:t>
            </w:r>
          </w:p>
          <w:p w14:paraId="020401C1">
            <w:pPr>
              <w:keepNext w:val="0"/>
              <w:keepLines w:val="0"/>
              <w:suppressLineNumbers w:val="0"/>
              <w:spacing w:before="0" w:beforeAutospacing="0" w:after="0" w:afterAutospacing="0" w:line="240" w:lineRule="atLeast"/>
              <w:ind w:left="0" w:right="0" w:firstLine="240" w:firstLineChars="100"/>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（10）提供中小企业声明函；</w:t>
            </w:r>
          </w:p>
          <w:p w14:paraId="1B10B58E">
            <w:pPr>
              <w:keepNext w:val="0"/>
              <w:keepLines w:val="0"/>
              <w:suppressLineNumbers w:val="0"/>
              <w:spacing w:before="0" w:beforeAutospacing="0" w:after="0" w:afterAutospacing="0" w:line="240" w:lineRule="atLeast"/>
              <w:ind w:left="0" w:right="0" w:firstLine="240" w:firstLineChars="10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r>
              <w:rPr>
                <w:rFonts w:hint="default" w:ascii="仿宋_GB2312" w:hAnsi="仿宋_GB2312" w:eastAsia="仿宋_GB2312" w:cs="仿宋_GB2312"/>
                <w:sz w:val="24"/>
                <w:lang w:val="en-US" w:eastAsia="zh-CN"/>
              </w:rPr>
              <w:t>供应商需提供有效期《食品经营许可证》</w:t>
            </w:r>
            <w:r>
              <w:rPr>
                <w:rFonts w:hint="eastAsia" w:ascii="仿宋_GB2312" w:hAnsi="仿宋_GB2312" w:eastAsia="仿宋_GB2312" w:cs="仿宋_GB2312"/>
                <w:sz w:val="24"/>
                <w:lang w:val="en-US" w:eastAsia="zh-CN"/>
              </w:rPr>
              <w:t>。</w:t>
            </w:r>
          </w:p>
          <w:p w14:paraId="4994FF95">
            <w:pPr>
              <w:keepNext w:val="0"/>
              <w:keepLines w:val="0"/>
              <w:suppressLineNumbers w:val="0"/>
              <w:spacing w:before="0" w:beforeAutospacing="0" w:after="0" w:afterAutospacing="0" w:line="240" w:lineRule="atLeast"/>
              <w:ind w:left="0" w:right="0" w:firstLine="240" w:firstLineChars="1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本项目不接受联合体投标。</w:t>
            </w:r>
          </w:p>
          <w:p w14:paraId="1D6C5813">
            <w:pPr>
              <w:pStyle w:val="24"/>
              <w:keepNext w:val="0"/>
              <w:keepLines w:val="0"/>
              <w:suppressLineNumbers w:val="0"/>
              <w:spacing w:before="0" w:beforeAutospacing="0" w:after="0" w:afterAutospacing="0"/>
              <w:ind w:left="0" w:right="0"/>
              <w:rPr>
                <w:rFonts w:hint="eastAsia" w:ascii="Times New Roman" w:hAnsi="Times New Roman" w:cs="Times New Roman"/>
                <w:highlight w:val="none"/>
              </w:rPr>
            </w:pPr>
            <w:r>
              <w:rPr>
                <w:rFonts w:hint="default" w:ascii="宋体" w:hAnsi="宋体" w:eastAsia="宋体" w:cs="宋体"/>
                <w:b w:val="0"/>
                <w:bCs w:val="0"/>
                <w:sz w:val="24"/>
                <w:szCs w:val="24"/>
                <w:highlight w:val="none"/>
              </w:rPr>
              <w:t>注：1、“提供税务部门出具的完税证明”：①若供应商某月税收为零申报，须提供当月加盖税务局公章的无欠税证明或“国家税务总局电子税务局12366.chinatax.gov.cn/bsfw/onlinetaxation/main）”的申报结果查询截图 ②完税证明中“税种”非养老保险、医疗保险、失业保险、工伤保险和生育保险。请各供应商注意！</w:t>
            </w:r>
          </w:p>
        </w:tc>
      </w:tr>
      <w:tr w14:paraId="7F8BE2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4" w:hRule="atLeast"/>
        </w:trPr>
        <w:tc>
          <w:tcPr>
            <w:tcW w:w="898" w:type="dxa"/>
            <w:noWrap w:val="0"/>
            <w:vAlign w:val="center"/>
          </w:tcPr>
          <w:p w14:paraId="5BFE3EA9">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1.3.2</w:t>
            </w:r>
          </w:p>
        </w:tc>
        <w:tc>
          <w:tcPr>
            <w:tcW w:w="7382" w:type="dxa"/>
            <w:noWrap w:val="0"/>
            <w:vAlign w:val="center"/>
          </w:tcPr>
          <w:p w14:paraId="10F25484">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是否允许采购进口产品：</w:t>
            </w:r>
            <w:r>
              <w:rPr>
                <w:rFonts w:hint="eastAsia" w:ascii="仿宋_GB2312" w:hAnsi="仿宋_GB2312" w:eastAsia="仿宋_GB2312" w:cs="仿宋_GB2312"/>
                <w:sz w:val="24"/>
                <w:highlight w:val="none"/>
                <w:lang w:eastAsia="zh-CN"/>
              </w:rPr>
              <w:t>否</w:t>
            </w:r>
          </w:p>
        </w:tc>
      </w:tr>
      <w:tr w14:paraId="16421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7" w:hRule="atLeast"/>
        </w:trPr>
        <w:tc>
          <w:tcPr>
            <w:tcW w:w="898" w:type="dxa"/>
            <w:noWrap w:val="0"/>
            <w:vAlign w:val="center"/>
          </w:tcPr>
          <w:p w14:paraId="46D85BE6">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1.3.3</w:t>
            </w:r>
          </w:p>
        </w:tc>
        <w:tc>
          <w:tcPr>
            <w:tcW w:w="7382" w:type="dxa"/>
            <w:noWrap w:val="0"/>
            <w:vAlign w:val="center"/>
          </w:tcPr>
          <w:p w14:paraId="1AF35E04">
            <w:pPr>
              <w:keepNext w:val="0"/>
              <w:keepLines w:val="0"/>
              <w:suppressLineNumbers w:val="0"/>
              <w:spacing w:before="0" w:beforeAutospacing="0" w:after="0" w:afterAutospacing="0" w:line="240" w:lineRule="atLeast"/>
              <w:ind w:left="0" w:right="0"/>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是否为专门面向中小企业采购：</w:t>
            </w:r>
            <w:r>
              <w:rPr>
                <w:rFonts w:hint="eastAsia" w:ascii="仿宋_GB2312" w:hAnsi="仿宋_GB2312" w:eastAsia="仿宋_GB2312" w:cs="仿宋_GB2312"/>
                <w:color w:val="00B0F0"/>
                <w:sz w:val="24"/>
                <w:highlight w:val="none"/>
                <w:u w:val="single"/>
                <w:lang w:val="en-US" w:eastAsia="zh-CN"/>
              </w:rPr>
              <w:t xml:space="preserve">是 </w:t>
            </w:r>
          </w:p>
        </w:tc>
      </w:tr>
      <w:tr w14:paraId="53C79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5" w:hRule="atLeast"/>
        </w:trPr>
        <w:tc>
          <w:tcPr>
            <w:tcW w:w="898" w:type="dxa"/>
            <w:noWrap w:val="0"/>
            <w:vAlign w:val="center"/>
          </w:tcPr>
          <w:p w14:paraId="613988F0">
            <w:pPr>
              <w:keepNext w:val="0"/>
              <w:keepLines w:val="0"/>
              <w:suppressLineNumbers w:val="0"/>
              <w:spacing w:before="0" w:beforeAutospacing="0" w:after="0" w:afterAutospacing="0" w:line="240" w:lineRule="atLeas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1.4.1</w:t>
            </w:r>
          </w:p>
        </w:tc>
        <w:tc>
          <w:tcPr>
            <w:tcW w:w="7382" w:type="dxa"/>
            <w:noWrap w:val="0"/>
            <w:vAlign w:val="center"/>
          </w:tcPr>
          <w:p w14:paraId="3748F727">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是否允许联合体投标：</w:t>
            </w:r>
            <w:r>
              <w:rPr>
                <w:rFonts w:hint="eastAsia" w:ascii="仿宋_GB2312" w:hAnsi="仿宋_GB2312" w:eastAsia="仿宋_GB2312" w:cs="仿宋_GB2312"/>
                <w:sz w:val="24"/>
                <w:highlight w:val="none"/>
                <w:u w:val="single"/>
              </w:rPr>
              <w:t>否</w:t>
            </w:r>
          </w:p>
        </w:tc>
      </w:tr>
      <w:tr w14:paraId="0F99B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898" w:type="dxa"/>
            <w:noWrap w:val="0"/>
            <w:vAlign w:val="center"/>
          </w:tcPr>
          <w:p w14:paraId="6B3F093A">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1.4.2</w:t>
            </w:r>
          </w:p>
        </w:tc>
        <w:tc>
          <w:tcPr>
            <w:tcW w:w="7382" w:type="dxa"/>
            <w:noWrap w:val="0"/>
            <w:vAlign w:val="center"/>
          </w:tcPr>
          <w:p w14:paraId="7AEF6039">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联合体的其他资格要求：</w:t>
            </w:r>
            <w:r>
              <w:rPr>
                <w:rFonts w:hint="eastAsia" w:ascii="仿宋_GB2312" w:hAnsi="Times New Roman" w:eastAsia="仿宋_GB2312" w:cs="Times New Roman"/>
                <w:sz w:val="24"/>
                <w:highlight w:val="none"/>
                <w:u w:val="single"/>
              </w:rPr>
              <w:t>本项目不接受联合体投标</w:t>
            </w:r>
          </w:p>
        </w:tc>
      </w:tr>
      <w:tr w14:paraId="085C8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7" w:hRule="atLeast"/>
        </w:trPr>
        <w:tc>
          <w:tcPr>
            <w:tcW w:w="898" w:type="dxa"/>
            <w:noWrap w:val="0"/>
            <w:vAlign w:val="center"/>
          </w:tcPr>
          <w:p w14:paraId="60FE83D7">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w:t>
            </w:r>
          </w:p>
        </w:tc>
        <w:tc>
          <w:tcPr>
            <w:tcW w:w="7382" w:type="dxa"/>
            <w:noWrap w:val="0"/>
            <w:vAlign w:val="center"/>
          </w:tcPr>
          <w:p w14:paraId="750CC1AF">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4"/>
                <w:highlight w:val="none"/>
              </w:rPr>
            </w:pPr>
            <w:r>
              <w:rPr>
                <w:rFonts w:hint="eastAsia" w:ascii="仿宋_GB2312" w:hAnsi="仿宋_GB2312" w:eastAsia="仿宋_GB2312" w:cs="仿宋_GB2312"/>
                <w:color w:val="auto"/>
                <w:sz w:val="24"/>
                <w:highlight w:val="none"/>
                <w:lang w:val="en-US" w:eastAsia="zh-CN"/>
              </w:rPr>
              <w:t>采</w:t>
            </w:r>
            <w:r>
              <w:rPr>
                <w:rFonts w:hint="eastAsia" w:ascii="仿宋_GB2312" w:hAnsi="仿宋_GB2312" w:eastAsia="仿宋_GB2312" w:cs="仿宋_GB2312"/>
                <w:sz w:val="24"/>
                <w:highlight w:val="none"/>
                <w:lang w:val="en-US" w:eastAsia="zh-CN"/>
              </w:rPr>
              <w:t>购预算：</w:t>
            </w:r>
            <w:r>
              <w:rPr>
                <w:rFonts w:hint="eastAsia" w:ascii="宋体" w:hAnsi="宋体" w:cs="宋体"/>
                <w:b w:val="0"/>
                <w:bCs w:val="0"/>
                <w:color w:val="00B0F0"/>
                <w:kern w:val="2"/>
                <w:sz w:val="24"/>
                <w:szCs w:val="22"/>
                <w:highlight w:val="none"/>
                <w:lang w:val="en-US" w:eastAsia="zh-CN" w:bidi="ar-SA"/>
              </w:rPr>
              <w:t>200万</w:t>
            </w:r>
            <w:r>
              <w:rPr>
                <w:rFonts w:hint="eastAsia" w:ascii="宋体" w:hAnsi="宋体" w:eastAsia="宋体" w:cs="宋体"/>
                <w:b w:val="0"/>
                <w:bCs w:val="0"/>
                <w:color w:val="00B0F0"/>
                <w:kern w:val="2"/>
                <w:sz w:val="24"/>
                <w:szCs w:val="22"/>
                <w:highlight w:val="none"/>
                <w:lang w:val="en-US" w:eastAsia="zh-CN" w:bidi="ar-SA"/>
              </w:rPr>
              <w:t>元</w:t>
            </w:r>
            <w:r>
              <w:rPr>
                <w:rFonts w:hint="eastAsia" w:ascii="宋体" w:hAnsi="宋体" w:cs="宋体"/>
                <w:b w:val="0"/>
                <w:bCs w:val="0"/>
                <w:color w:val="00B0F0"/>
                <w:kern w:val="2"/>
                <w:sz w:val="24"/>
                <w:szCs w:val="22"/>
                <w:highlight w:val="none"/>
                <w:lang w:val="en-US" w:eastAsia="zh-CN" w:bidi="ar-SA"/>
              </w:rPr>
              <w:t>；</w:t>
            </w:r>
            <w:r>
              <w:rPr>
                <w:rFonts w:hint="eastAsia" w:ascii="仿宋_GB2312" w:hAnsi="仿宋_GB2312" w:eastAsia="仿宋_GB2312" w:cs="仿宋_GB2312"/>
                <w:color w:val="auto"/>
                <w:sz w:val="24"/>
                <w:highlight w:val="none"/>
                <w:u w:val="none"/>
                <w:lang w:val="en-US" w:eastAsia="zh-CN"/>
              </w:rPr>
              <w:t>最高限价：</w:t>
            </w:r>
            <w:r>
              <w:rPr>
                <w:rFonts w:hint="eastAsia" w:ascii="宋体" w:hAnsi="宋体" w:cs="宋体"/>
                <w:b w:val="0"/>
                <w:bCs w:val="0"/>
                <w:color w:val="00B0F0"/>
                <w:kern w:val="2"/>
                <w:sz w:val="24"/>
                <w:szCs w:val="22"/>
                <w:highlight w:val="none"/>
                <w:lang w:val="en-US" w:eastAsia="zh-CN" w:bidi="ar-SA"/>
              </w:rPr>
              <w:t>200万</w:t>
            </w:r>
            <w:r>
              <w:rPr>
                <w:rFonts w:hint="eastAsia" w:ascii="宋体" w:hAnsi="宋体" w:eastAsia="宋体" w:cs="宋体"/>
                <w:b w:val="0"/>
                <w:bCs w:val="0"/>
                <w:color w:val="00B0F0"/>
                <w:kern w:val="2"/>
                <w:sz w:val="24"/>
                <w:szCs w:val="22"/>
                <w:highlight w:val="none"/>
                <w:lang w:val="en-US" w:eastAsia="zh-CN" w:bidi="ar-SA"/>
              </w:rPr>
              <w:t>元</w:t>
            </w:r>
            <w:r>
              <w:rPr>
                <w:rFonts w:hint="eastAsia" w:ascii="宋体" w:hAnsi="宋体" w:cs="宋体"/>
                <w:b w:val="0"/>
                <w:bCs w:val="0"/>
                <w:color w:val="00B0F0"/>
                <w:kern w:val="2"/>
                <w:sz w:val="24"/>
                <w:szCs w:val="22"/>
                <w:highlight w:val="none"/>
                <w:lang w:val="en-US" w:eastAsia="zh-CN" w:bidi="ar-SA"/>
              </w:rPr>
              <w:t>；</w:t>
            </w:r>
            <w:r>
              <w:rPr>
                <w:rFonts w:hint="eastAsia" w:ascii="仿宋_GB2312" w:hAnsi="仿宋_GB2312" w:eastAsia="仿宋_GB2312" w:cs="仿宋_GB2312"/>
                <w:sz w:val="24"/>
                <w:highlight w:val="none"/>
                <w:lang w:val="zh-CN"/>
              </w:rPr>
              <w:t>（超过最高限价的投标无效）</w:t>
            </w:r>
            <w:r>
              <w:rPr>
                <w:rFonts w:hint="eastAsia" w:ascii="仿宋_GB2312" w:hAnsi="仿宋_GB2312" w:eastAsia="仿宋_GB2312" w:cs="仿宋_GB2312"/>
                <w:sz w:val="24"/>
                <w:highlight w:val="none"/>
              </w:rPr>
              <w:t xml:space="preserve">       </w:t>
            </w:r>
          </w:p>
        </w:tc>
      </w:tr>
      <w:tr w14:paraId="12FA7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9" w:hRule="atLeast"/>
        </w:trPr>
        <w:tc>
          <w:tcPr>
            <w:tcW w:w="898" w:type="dxa"/>
            <w:noWrap w:val="0"/>
            <w:vAlign w:val="center"/>
          </w:tcPr>
          <w:p w14:paraId="0AB497B7">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w:t>
            </w:r>
          </w:p>
        </w:tc>
        <w:tc>
          <w:tcPr>
            <w:tcW w:w="7382" w:type="dxa"/>
            <w:noWrap w:val="0"/>
            <w:vAlign w:val="center"/>
          </w:tcPr>
          <w:p w14:paraId="5C8E1602">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注：本项目</w:t>
            </w:r>
            <w:r>
              <w:rPr>
                <w:rFonts w:hint="eastAsia" w:ascii="仿宋_GB2312" w:hAnsi="仿宋_GB2312" w:eastAsia="仿宋_GB2312" w:cs="仿宋_GB2312"/>
                <w:color w:val="auto"/>
                <w:sz w:val="24"/>
                <w:highlight w:val="none"/>
                <w:lang w:val="en-US" w:eastAsia="zh-CN"/>
              </w:rPr>
              <w:t>不</w:t>
            </w:r>
            <w:r>
              <w:rPr>
                <w:rFonts w:hint="eastAsia" w:ascii="仿宋_GB2312" w:hAnsi="仿宋_GB2312" w:eastAsia="仿宋_GB2312" w:cs="仿宋_GB2312"/>
                <w:color w:val="00B0F0"/>
                <w:sz w:val="24"/>
                <w:highlight w:val="none"/>
                <w:lang w:eastAsia="zh-CN"/>
              </w:rPr>
              <w:t>分</w:t>
            </w:r>
            <w:r>
              <w:rPr>
                <w:rFonts w:hint="eastAsia" w:ascii="仿宋_GB2312" w:hAnsi="仿宋_GB2312" w:eastAsia="仿宋_GB2312" w:cs="仿宋_GB2312"/>
                <w:color w:val="auto"/>
                <w:sz w:val="24"/>
                <w:highlight w:val="none"/>
                <w:lang w:eastAsia="zh-CN"/>
              </w:rPr>
              <w:t>标段</w:t>
            </w:r>
          </w:p>
        </w:tc>
      </w:tr>
      <w:tr w14:paraId="6136B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29" w:hRule="atLeast"/>
        </w:trPr>
        <w:tc>
          <w:tcPr>
            <w:tcW w:w="898" w:type="dxa"/>
            <w:noWrap w:val="0"/>
            <w:vAlign w:val="center"/>
          </w:tcPr>
          <w:p w14:paraId="7E0F7D7C">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12.1</w:t>
            </w:r>
          </w:p>
        </w:tc>
        <w:tc>
          <w:tcPr>
            <w:tcW w:w="7382" w:type="dxa"/>
            <w:noWrap w:val="0"/>
            <w:vAlign w:val="center"/>
          </w:tcPr>
          <w:p w14:paraId="3360789D">
            <w:pPr>
              <w:keepNext w:val="0"/>
              <w:keepLines w:val="0"/>
              <w:pageBreakBefore w:val="0"/>
              <w:suppressLineNumbers w:val="0"/>
              <w:kinsoku/>
              <w:wordWrap/>
              <w:overflowPunct/>
              <w:topLinePunct w:val="0"/>
              <w:bidi w:val="0"/>
              <w:spacing w:before="0" w:beforeAutospacing="0" w:after="0" w:afterAutospacing="0"/>
              <w:ind w:left="0" w:right="0"/>
              <w:outlineLvl w:val="9"/>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投标保证金形式：</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 xml:space="preserve">保函  </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 xml:space="preserve">电汇  </w:t>
            </w:r>
            <w:r>
              <w:rPr>
                <w:rFonts w:hint="eastAsia" w:ascii="仿宋" w:hAnsi="仿宋" w:eastAsia="仿宋" w:cs="仿宋"/>
                <w:sz w:val="24"/>
                <w:highlight w:val="none"/>
                <w:u w:val="single"/>
              </w:rPr>
              <w:sym w:font="Wingdings 2" w:char="0052"/>
            </w:r>
            <w:r>
              <w:rPr>
                <w:rFonts w:hint="eastAsia" w:ascii="仿宋" w:hAnsi="仿宋" w:eastAsia="仿宋" w:cs="仿宋"/>
                <w:sz w:val="24"/>
                <w:highlight w:val="none"/>
                <w:u w:val="single"/>
              </w:rPr>
              <w:t>支票  ☑对公转账 （本项目允许的其他形式）</w:t>
            </w:r>
          </w:p>
          <w:p w14:paraId="1481303F">
            <w:pPr>
              <w:pStyle w:val="24"/>
              <w:keepNext w:val="0"/>
              <w:keepLines w:val="0"/>
              <w:suppressLineNumbers w:val="0"/>
              <w:spacing w:before="0" w:beforeAutospacing="0" w:after="0" w:afterAutospacing="0"/>
              <w:ind w:left="0" w:right="0"/>
              <w:rPr>
                <w:rFonts w:hint="default" w:ascii="仿宋_GB2312" w:hAnsi="仿宋_GB2312" w:eastAsia="仿宋_GB2312" w:cs="仿宋_GB2312"/>
                <w:color w:val="00B0F0"/>
                <w:kern w:val="2"/>
                <w:sz w:val="24"/>
                <w:szCs w:val="24"/>
                <w:highlight w:val="none"/>
                <w:u w:val="single"/>
                <w:lang w:val="en-US" w:eastAsia="zh-CN" w:bidi="ar-SA"/>
              </w:rPr>
            </w:pPr>
            <w:r>
              <w:rPr>
                <w:rFonts w:hint="eastAsia" w:ascii="仿宋_GB2312" w:hAnsi="仿宋_GB2312" w:eastAsia="仿宋_GB2312" w:cs="仿宋_GB2312"/>
                <w:b/>
                <w:bCs/>
                <w:color w:val="auto"/>
                <w:sz w:val="24"/>
                <w:highlight w:val="none"/>
              </w:rPr>
              <w:t>投标保证金数额:</w:t>
            </w:r>
            <w:r>
              <w:rPr>
                <w:rFonts w:hint="eastAsia" w:ascii="仿宋_GB2312" w:hAnsi="仿宋_GB2312" w:eastAsia="仿宋_GB2312" w:cs="仿宋_GB2312"/>
                <w:b/>
                <w:bCs/>
                <w:color w:val="auto"/>
                <w:sz w:val="24"/>
                <w:highlight w:val="none"/>
                <w:lang w:val="en-US" w:eastAsia="zh-CN"/>
              </w:rPr>
              <w:t xml:space="preserve"> </w:t>
            </w:r>
            <w:r>
              <w:rPr>
                <w:rFonts w:hint="eastAsia" w:ascii="宋体" w:hAnsi="宋体" w:cs="宋体"/>
                <w:b w:val="0"/>
                <w:bCs w:val="0"/>
                <w:color w:val="00B0F0"/>
                <w:kern w:val="2"/>
                <w:sz w:val="24"/>
                <w:szCs w:val="22"/>
                <w:highlight w:val="none"/>
                <w:lang w:val="en-US" w:eastAsia="zh-CN" w:bidi="ar-SA"/>
              </w:rPr>
              <w:t>20000</w:t>
            </w:r>
            <w:r>
              <w:rPr>
                <w:rFonts w:hint="eastAsia" w:ascii="宋体" w:hAnsi="宋体" w:eastAsia="宋体" w:cs="宋体"/>
                <w:b w:val="0"/>
                <w:bCs w:val="0"/>
                <w:color w:val="00B0F0"/>
                <w:kern w:val="2"/>
                <w:sz w:val="24"/>
                <w:szCs w:val="22"/>
                <w:highlight w:val="none"/>
                <w:lang w:val="en-US" w:eastAsia="zh-CN" w:bidi="ar-SA"/>
              </w:rPr>
              <w:t>.00元；</w:t>
            </w:r>
          </w:p>
          <w:p w14:paraId="3B288423">
            <w:pPr>
              <w:keepNext w:val="0"/>
              <w:keepLines w:val="0"/>
              <w:suppressLineNumbers w:val="0"/>
              <w:spacing w:before="0" w:beforeAutospacing="0" w:after="0" w:afterAutospacing="0" w:line="340" w:lineRule="exact"/>
              <w:ind w:left="0" w:right="0"/>
              <w:rPr>
                <w:rFonts w:hint="eastAsia" w:ascii="仿宋" w:hAnsi="仿宋" w:eastAsia="仿宋" w:cs="仿宋"/>
                <w:color w:val="000000"/>
                <w:kern w:val="0"/>
                <w:sz w:val="24"/>
                <w:szCs w:val="24"/>
                <w:highlight w:val="none"/>
                <w:lang w:val="en-US" w:eastAsia="zh-CN" w:bidi="ar"/>
              </w:rPr>
            </w:pPr>
            <w:r>
              <w:rPr>
                <w:rFonts w:hint="eastAsia" w:ascii="仿宋_GB2312" w:hAnsi="仿宋_GB2312" w:eastAsia="仿宋_GB2312" w:cs="仿宋_GB2312"/>
                <w:b/>
                <w:bCs/>
                <w:color w:val="auto"/>
                <w:kern w:val="2"/>
                <w:sz w:val="24"/>
                <w:szCs w:val="24"/>
                <w:highlight w:val="none"/>
                <w:lang w:val="en-US" w:eastAsia="zh-CN" w:bidi="ar-SA"/>
              </w:rPr>
              <w:t>投标保证金缴纳账户</w:t>
            </w:r>
            <w:r>
              <w:rPr>
                <w:rFonts w:hint="eastAsia" w:ascii="仿宋" w:hAnsi="仿宋" w:eastAsia="仿宋" w:cs="仿宋"/>
                <w:color w:val="000000"/>
                <w:kern w:val="0"/>
                <w:sz w:val="24"/>
                <w:szCs w:val="24"/>
                <w:highlight w:val="none"/>
                <w:lang w:val="en-US" w:eastAsia="zh-CN" w:bidi="ar"/>
              </w:rPr>
              <w:t>：</w:t>
            </w:r>
            <w:r>
              <w:rPr>
                <w:rFonts w:hint="eastAsia" w:ascii="仿宋_GB2312" w:hAnsi="仿宋_GB2312" w:eastAsia="仿宋_GB2312" w:cs="仿宋_GB2312"/>
                <w:sz w:val="24"/>
                <w:highlight w:val="none"/>
              </w:rPr>
              <w:t>疏附县政府采购中心</w:t>
            </w:r>
          </w:p>
          <w:p w14:paraId="2F5D9209">
            <w:pPr>
              <w:keepNext w:val="0"/>
              <w:keepLines w:val="0"/>
              <w:suppressLineNumbers w:val="0"/>
              <w:spacing w:before="0" w:beforeAutospacing="0" w:after="0" w:afterAutospacing="0" w:line="240" w:lineRule="atLeast"/>
              <w:ind w:left="0" w:right="0"/>
              <w:rPr>
                <w:rFonts w:hint="default" w:ascii="仿宋" w:hAnsi="仿宋" w:eastAsia="仿宋" w:cs="仿宋"/>
                <w:color w:val="000000"/>
                <w:kern w:val="0"/>
                <w:sz w:val="24"/>
                <w:szCs w:val="24"/>
                <w:highlight w:val="none"/>
                <w:lang w:val="en-US" w:eastAsia="zh-CN" w:bidi="ar"/>
              </w:rPr>
            </w:pPr>
            <w:r>
              <w:rPr>
                <w:rFonts w:hint="eastAsia" w:ascii="仿宋_GB2312" w:hAnsi="仿宋_GB2312" w:eastAsia="仿宋_GB2312" w:cs="仿宋_GB2312"/>
                <w:b/>
                <w:bCs/>
                <w:color w:val="auto"/>
                <w:kern w:val="2"/>
                <w:sz w:val="24"/>
                <w:szCs w:val="24"/>
                <w:highlight w:val="none"/>
                <w:lang w:val="en-US" w:eastAsia="zh-CN" w:bidi="ar-SA"/>
              </w:rPr>
              <w:t>银行账号：</w:t>
            </w:r>
            <w:r>
              <w:rPr>
                <w:rFonts w:hint="default" w:ascii="仿宋_GB2312" w:hAnsi="仿宋_GB2312" w:eastAsia="仿宋_GB2312" w:cs="仿宋_GB2312"/>
                <w:sz w:val="24"/>
                <w:highlight w:val="none"/>
              </w:rPr>
              <w:t>862010012010108610027</w:t>
            </w:r>
            <w:r>
              <w:rPr>
                <w:rFonts w:hint="eastAsia" w:ascii="仿宋_GB2312" w:hAnsi="仿宋_GB2312" w:eastAsia="仿宋_GB2312" w:cs="仿宋_GB2312"/>
                <w:sz w:val="24"/>
                <w:highlight w:val="none"/>
              </w:rPr>
              <w:t xml:space="preserve">  </w:t>
            </w:r>
          </w:p>
          <w:p w14:paraId="3F9DAFB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24"/>
                <w:highlight w:val="none"/>
              </w:rPr>
            </w:pPr>
            <w:r>
              <w:rPr>
                <w:rFonts w:hint="eastAsia" w:ascii="仿宋_GB2312" w:hAnsi="仿宋_GB2312" w:eastAsia="仿宋_GB2312" w:cs="仿宋_GB2312"/>
                <w:b/>
                <w:bCs/>
                <w:color w:val="auto"/>
                <w:kern w:val="2"/>
                <w:sz w:val="24"/>
                <w:szCs w:val="24"/>
                <w:highlight w:val="none"/>
                <w:lang w:val="en-US" w:eastAsia="zh-CN" w:bidi="ar-SA"/>
              </w:rPr>
              <w:t>开 户 行：</w:t>
            </w:r>
            <w:r>
              <w:rPr>
                <w:rFonts w:hint="eastAsia" w:ascii="仿宋_GB2312" w:hAnsi="仿宋_GB2312" w:eastAsia="仿宋_GB2312" w:cs="仿宋_GB2312"/>
                <w:sz w:val="24"/>
                <w:highlight w:val="none"/>
              </w:rPr>
              <w:t>喀什农村商业银行股份有限公司疏附支行</w:t>
            </w:r>
          </w:p>
          <w:p w14:paraId="2AD4D74E">
            <w:pPr>
              <w:keepNext w:val="0"/>
              <w:keepLines w:val="0"/>
              <w:widowControl/>
              <w:suppressLineNumbers w:val="0"/>
              <w:spacing w:before="0" w:beforeAutospacing="0" w:after="0" w:afterAutospacing="0"/>
              <w:ind w:left="0" w:right="0"/>
              <w:jc w:val="left"/>
              <w:rPr>
                <w:rFonts w:hint="eastAsia" w:ascii="Times New Roman" w:hAnsi="Times New Roman" w:cs="Times New Roman"/>
                <w:highlight w:val="none"/>
                <w:lang w:eastAsia="zh-CN"/>
              </w:rPr>
            </w:pPr>
            <w:r>
              <w:rPr>
                <w:rFonts w:hint="eastAsia" w:ascii="宋体" w:hAnsi="Times New Roman" w:cs="Times New Roman"/>
                <w:bCs/>
                <w:sz w:val="24"/>
                <w:highlight w:val="none"/>
              </w:rPr>
              <w:t>1.打款时必须注明投标保证金项目名称或项目编号（否则视为无效打款）。 到账截止时间：投标截止时间（以到账时间为准）。 2.本项目不需要换取收据，银行汇款凭证用于投标保证金证明。如因投标人自身原因打款不成功的，代理机构不承担任何责任。 3.中标人应在与采购人签订合同之日起 5 个工作日内，保证金收受机构根据中标人提供的打款凭证及时办理投标保证金无息退还手续。 4.未中标投标人的投标保证金将在中标通知书发出之日起 5 个工作日内无息退还，保证金收受机构根据未中标人提供的打款凭证及时办理退还投标保证金手续。）</w:t>
            </w:r>
          </w:p>
        </w:tc>
      </w:tr>
      <w:tr w14:paraId="0E73B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1" w:hRule="atLeast"/>
        </w:trPr>
        <w:tc>
          <w:tcPr>
            <w:tcW w:w="898" w:type="dxa"/>
            <w:noWrap w:val="0"/>
            <w:vAlign w:val="center"/>
          </w:tcPr>
          <w:p w14:paraId="076ACF86">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13.1</w:t>
            </w:r>
          </w:p>
        </w:tc>
        <w:tc>
          <w:tcPr>
            <w:tcW w:w="7382" w:type="dxa"/>
            <w:noWrap w:val="0"/>
            <w:vAlign w:val="center"/>
          </w:tcPr>
          <w:p w14:paraId="40A32415">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投标有效期</w:t>
            </w:r>
            <w:r>
              <w:rPr>
                <w:rFonts w:hint="eastAsia" w:ascii="仿宋_GB2312" w:hAnsi="仿宋_GB2312" w:eastAsia="仿宋_GB2312" w:cs="仿宋_GB2312"/>
                <w:color w:val="FF0000"/>
                <w:sz w:val="24"/>
                <w:highlight w:val="none"/>
              </w:rPr>
              <w:t>：</w:t>
            </w:r>
            <w:r>
              <w:rPr>
                <w:rFonts w:hint="eastAsia" w:ascii="仿宋_GB2312" w:hAnsi="仿宋_GB2312" w:eastAsia="仿宋_GB2312" w:cs="仿宋_GB2312"/>
                <w:color w:val="FF0000"/>
                <w:sz w:val="24"/>
                <w:highlight w:val="none"/>
                <w:u w:val="single"/>
              </w:rPr>
              <w:t>90</w:t>
            </w:r>
            <w:r>
              <w:rPr>
                <w:rFonts w:hint="eastAsia" w:ascii="仿宋_GB2312" w:hAnsi="仿宋_GB2312" w:eastAsia="仿宋_GB2312" w:cs="仿宋_GB2312"/>
                <w:color w:val="auto"/>
                <w:sz w:val="24"/>
                <w:highlight w:val="none"/>
              </w:rPr>
              <w:t>日历日</w:t>
            </w:r>
          </w:p>
        </w:tc>
      </w:tr>
      <w:tr w14:paraId="5ECCF8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8" w:hRule="atLeast"/>
        </w:trPr>
        <w:tc>
          <w:tcPr>
            <w:tcW w:w="898" w:type="dxa"/>
            <w:noWrap w:val="0"/>
            <w:vAlign w:val="center"/>
          </w:tcPr>
          <w:p w14:paraId="70E4DBC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14.1</w:t>
            </w:r>
          </w:p>
        </w:tc>
        <w:tc>
          <w:tcPr>
            <w:tcW w:w="7382" w:type="dxa"/>
            <w:noWrap w:val="0"/>
            <w:vAlign w:val="center"/>
          </w:tcPr>
          <w:p w14:paraId="5443A695">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仿宋" w:hAnsi="仿宋" w:eastAsia="仿宋" w:cs="仿宋"/>
                <w:color w:val="000000"/>
                <w:kern w:val="0"/>
                <w:sz w:val="24"/>
                <w:szCs w:val="24"/>
                <w:highlight w:val="none"/>
                <w:lang w:val="en-US" w:eastAsia="zh-CN" w:bidi="ar"/>
              </w:rPr>
              <w:t>1.本项目为电子招投标，供应商需要使用 CA 加密设备，凡参加本项</w:t>
            </w:r>
            <w:r>
              <w:rPr>
                <w:rFonts w:hint="eastAsia" w:ascii="仿宋" w:hAnsi="仿宋" w:eastAsia="仿宋" w:cs="仿宋"/>
                <w:color w:val="000000"/>
                <w:kern w:val="0"/>
                <w:sz w:val="24"/>
                <w:szCs w:val="24"/>
                <w:highlight w:val="none"/>
                <w:lang w:val="en-US" w:eastAsia="zh-CN" w:bidi="ar"/>
              </w:rPr>
              <w:t xml:space="preserve">目必须可自主通过新疆 CA 申领渠道“新疆政务通”申请政采云平台可使用的 CA 设备，如原有兵团或公共资源使用的 CA，可与新疆 CA 联系，申请增加电子证书即可，无需重复申领。 </w:t>
            </w:r>
          </w:p>
          <w:p w14:paraId="194E8870">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2.本项目实行网上投标，采用电子投标文件(供应商须使用 CA 加密设备通过政采云电子投标客户端制作投标文件)。若供应商参与投标，自行承担投标一切费用。 </w:t>
            </w:r>
          </w:p>
          <w:p w14:paraId="05092159">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3.各供应商应在开标前应确保成为新疆政府采购网正式注册入库供应商，并完成 CA 数字证书申领。因未注册入库、未办理 CA 数字证书等原因造成无法投标或投标失败等后果由供应商自行承担。 </w:t>
            </w:r>
          </w:p>
          <w:p w14:paraId="367D7604">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4.供应商将政采云电子交易客户端下载、安装完成后，可通过账号密码或 CA 登录客户端进行投标文件制作。在使用政采云投标客户端时，建议使用WIN7及以上操作系统。客户端请至新疆政府采购网（http://www.ccgp-xinjiang.gov.cn/）下载专区查看，如有问题可拨打政采云客户服务热线 400-881-7190 进行咨询。 </w:t>
            </w:r>
          </w:p>
          <w:p w14:paraId="4CDC76AA">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5.供应商在开标时须使用制作加密电子投标文件所使用的 CA 锁及电脑，电脑须提前配置好浏览器（建议使用谷歌极速浏览器），以便开标时解锁。</w:t>
            </w:r>
          </w:p>
          <w:p w14:paraId="131F628F">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6.投标保证金缴纳及确认时间：凡拟参加本次招标项目的供应商，必须在开标前将投标保证金汇入指定账户。投标保证金汇款凭证上用途栏应注明:招标项目名称+标项号+投标保证金。否则，届时其投标将被拒绝。 </w:t>
            </w:r>
          </w:p>
          <w:p w14:paraId="289DE28C">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7. 供应商对不见面开评标系统的技术操作咨询，可通过https://edu.zcygov.cn/luban/xinjiang-e-biding 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 </w:t>
            </w:r>
          </w:p>
          <w:p w14:paraId="1E4B845B">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8.各供应商须在投标截止时间前完成在系统上递交电子投标文件。 </w:t>
            </w:r>
          </w:p>
          <w:p w14:paraId="7D54A78E">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供应商的电子投标文件是经过 CA 证书加密后上传提交的，任何单位或个人均无法在投标截止时间(即开标时间)之前查看或篡改，不存在泄密风险。（严格按照政采云电子投标流程制作并上传电子投标文件） 。</w:t>
            </w:r>
          </w:p>
          <w:p w14:paraId="1FA822C5">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9.各供应商在投标截止时间前将“投标文件”上传至政采云平台。 </w:t>
            </w:r>
          </w:p>
          <w:p w14:paraId="0AD59172">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响应文件包括“报价一览表及资格证明文件”与“商务及技术文件” </w:t>
            </w:r>
          </w:p>
          <w:p w14:paraId="1E003D5D">
            <w:pPr>
              <w:keepNext w:val="0"/>
              <w:keepLines w:val="0"/>
              <w:widowControl/>
              <w:suppressLineNumbers w:val="0"/>
              <w:spacing w:before="0" w:beforeAutospacing="0" w:after="0" w:afterAutospacing="0"/>
              <w:ind w:left="0" w:right="0"/>
              <w:jc w:val="left"/>
              <w:rPr>
                <w:rFonts w:hint="default" w:ascii="Times New Roman" w:hAnsi="Times New Roman" w:cs="Times New Roman"/>
                <w:highlight w:val="none"/>
              </w:rPr>
            </w:pPr>
            <w:r>
              <w:rPr>
                <w:rFonts w:hint="eastAsia" w:ascii="仿宋" w:hAnsi="仿宋" w:eastAsia="仿宋" w:cs="仿宋"/>
                <w:color w:val="000000"/>
                <w:kern w:val="0"/>
                <w:sz w:val="24"/>
                <w:szCs w:val="24"/>
                <w:highlight w:val="none"/>
                <w:lang w:val="en-US" w:eastAsia="zh-CN" w:bidi="ar"/>
              </w:rPr>
              <w:t xml:space="preserve">两部分合并成一册。响应文件应按照招标文件规定的格式填写、签署和盖章，并以.jmbs 格式上传至政采云开评标平台。 </w:t>
            </w:r>
          </w:p>
          <w:p w14:paraId="0448E33A">
            <w:pPr>
              <w:keepNext w:val="0"/>
              <w:keepLines w:val="0"/>
              <w:widowControl/>
              <w:suppressLineNumbers w:val="0"/>
              <w:spacing w:before="0" w:beforeAutospacing="0" w:after="0" w:afterAutospacing="0"/>
              <w:ind w:left="0" w:right="0"/>
              <w:jc w:val="left"/>
              <w:rPr>
                <w:rFonts w:hint="default" w:ascii="仿宋_GB2312" w:hAnsi="仿宋_GB2312" w:eastAsia="仿宋_GB2312" w:cs="仿宋_GB2312"/>
                <w:color w:val="auto"/>
                <w:sz w:val="24"/>
                <w:highlight w:val="none"/>
              </w:rPr>
            </w:pPr>
            <w:r>
              <w:rPr>
                <w:rFonts w:hint="eastAsia" w:ascii="仿宋" w:hAnsi="仿宋" w:eastAsia="仿宋" w:cs="仿宋"/>
                <w:color w:val="000000"/>
                <w:kern w:val="0"/>
                <w:sz w:val="24"/>
                <w:szCs w:val="24"/>
                <w:highlight w:val="none"/>
                <w:lang w:val="en-US" w:eastAsia="zh-CN" w:bidi="ar"/>
              </w:rPr>
              <w:t xml:space="preserve">10.解密时长为 30 分钟。 </w:t>
            </w:r>
          </w:p>
        </w:tc>
      </w:tr>
      <w:tr w14:paraId="0B034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5" w:hRule="atLeast"/>
        </w:trPr>
        <w:tc>
          <w:tcPr>
            <w:tcW w:w="898" w:type="dxa"/>
            <w:noWrap w:val="0"/>
            <w:vAlign w:val="center"/>
          </w:tcPr>
          <w:p w14:paraId="10E6F6D7">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14.2</w:t>
            </w:r>
          </w:p>
        </w:tc>
        <w:tc>
          <w:tcPr>
            <w:tcW w:w="7382" w:type="dxa"/>
            <w:noWrap w:val="0"/>
            <w:vAlign w:val="center"/>
          </w:tcPr>
          <w:p w14:paraId="4AB234D6">
            <w:pPr>
              <w:keepNext w:val="0"/>
              <w:keepLines w:val="0"/>
              <w:suppressLineNumbers w:val="0"/>
              <w:spacing w:before="0" w:beforeAutospacing="0" w:after="0" w:afterAutospacing="0" w:line="240" w:lineRule="atLeast"/>
              <w:ind w:left="0" w:right="0"/>
              <w:jc w:val="both"/>
              <w:rPr>
                <w:rFonts w:hint="eastAsia" w:ascii="仿宋_GB2312" w:hAnsi="仿宋_GB2312" w:eastAsia="仿宋_GB2312" w:cs="仿宋_GB2312"/>
                <w:sz w:val="24"/>
                <w:highlight w:val="none"/>
              </w:rPr>
            </w:pPr>
            <w:r>
              <w:rPr>
                <w:rFonts w:hint="eastAsia" w:ascii="仿宋_GB2312" w:hAnsi="仿宋_GB2312" w:eastAsia="仿宋_GB2312" w:cs="仿宋_GB2312"/>
                <w:b/>
                <w:bCs/>
                <w:color w:val="FF0000"/>
                <w:sz w:val="24"/>
                <w:highlight w:val="none"/>
                <w:lang w:val="en-US" w:eastAsia="zh-CN"/>
              </w:rPr>
              <w:t>中标供应商应在中标公告公示期结束后5个工作日内将上传的投标文件完整打印两份加盖鲜公章，一份提交给代理机构备案，一份提交给采购单位备案。</w:t>
            </w:r>
          </w:p>
        </w:tc>
      </w:tr>
      <w:tr w14:paraId="470CE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2" w:hRule="atLeast"/>
        </w:trPr>
        <w:tc>
          <w:tcPr>
            <w:tcW w:w="898" w:type="dxa"/>
            <w:noWrap w:val="0"/>
            <w:vAlign w:val="center"/>
          </w:tcPr>
          <w:p w14:paraId="74F35C7C">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16.1</w:t>
            </w:r>
          </w:p>
        </w:tc>
        <w:tc>
          <w:tcPr>
            <w:tcW w:w="7382" w:type="dxa"/>
            <w:noWrap w:val="0"/>
            <w:vAlign w:val="center"/>
          </w:tcPr>
          <w:p w14:paraId="3D38CDF8">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投标截止时间：</w:t>
            </w:r>
            <w:r>
              <w:rPr>
                <w:rFonts w:hint="eastAsia" w:ascii="仿宋_GB2312" w:hAnsi="仿宋_GB2312" w:eastAsia="仿宋_GB2312" w:cs="仿宋_GB2312"/>
                <w:color w:val="00B0F0"/>
                <w:sz w:val="24"/>
                <w:highlight w:val="none"/>
                <w:lang w:eastAsia="zh-CN"/>
              </w:rPr>
              <w:t>202</w:t>
            </w:r>
            <w:r>
              <w:rPr>
                <w:rFonts w:hint="eastAsia" w:ascii="仿宋_GB2312" w:hAnsi="仿宋_GB2312" w:eastAsia="仿宋_GB2312" w:cs="仿宋_GB2312"/>
                <w:color w:val="00B0F0"/>
                <w:sz w:val="24"/>
                <w:highlight w:val="none"/>
                <w:lang w:val="en-US" w:eastAsia="zh-CN"/>
              </w:rPr>
              <w:t>5</w:t>
            </w:r>
            <w:r>
              <w:rPr>
                <w:rFonts w:hint="eastAsia" w:ascii="仿宋_GB2312" w:hAnsi="仿宋_GB2312" w:eastAsia="仿宋_GB2312" w:cs="仿宋_GB2312"/>
                <w:color w:val="00B0F0"/>
                <w:sz w:val="24"/>
                <w:highlight w:val="none"/>
              </w:rPr>
              <w:t>年</w:t>
            </w:r>
            <w:r>
              <w:rPr>
                <w:rFonts w:hint="eastAsia" w:ascii="仿宋_GB2312" w:hAnsi="仿宋_GB2312" w:eastAsia="仿宋_GB2312" w:cs="仿宋_GB2312"/>
                <w:color w:val="00B0F0"/>
                <w:sz w:val="24"/>
                <w:highlight w:val="none"/>
                <w:lang w:val="en-US" w:eastAsia="zh-CN"/>
              </w:rPr>
              <w:t>7</w:t>
            </w:r>
            <w:r>
              <w:rPr>
                <w:rFonts w:hint="eastAsia" w:ascii="仿宋_GB2312" w:hAnsi="仿宋_GB2312" w:eastAsia="仿宋_GB2312" w:cs="仿宋_GB2312"/>
                <w:color w:val="00B0F0"/>
                <w:sz w:val="24"/>
                <w:highlight w:val="none"/>
              </w:rPr>
              <w:t>月</w:t>
            </w:r>
            <w:r>
              <w:rPr>
                <w:rFonts w:hint="eastAsia" w:ascii="仿宋_GB2312" w:hAnsi="仿宋_GB2312" w:eastAsia="仿宋_GB2312" w:cs="仿宋_GB2312"/>
                <w:color w:val="00B0F0"/>
                <w:sz w:val="24"/>
                <w:highlight w:val="none"/>
                <w:lang w:val="en-US" w:eastAsia="zh-CN"/>
              </w:rPr>
              <w:t>21</w:t>
            </w:r>
            <w:r>
              <w:rPr>
                <w:rFonts w:hint="eastAsia" w:ascii="仿宋_GB2312" w:hAnsi="仿宋_GB2312" w:eastAsia="仿宋_GB2312" w:cs="仿宋_GB2312"/>
                <w:color w:val="00B0F0"/>
                <w:sz w:val="24"/>
                <w:highlight w:val="none"/>
              </w:rPr>
              <w:t>日1</w:t>
            </w:r>
            <w:r>
              <w:rPr>
                <w:rFonts w:hint="eastAsia" w:ascii="仿宋_GB2312" w:hAnsi="仿宋_GB2312" w:eastAsia="仿宋_GB2312" w:cs="仿宋_GB2312"/>
                <w:color w:val="00B0F0"/>
                <w:sz w:val="24"/>
                <w:highlight w:val="none"/>
                <w:lang w:val="en-US" w:eastAsia="zh-CN"/>
              </w:rPr>
              <w:t>1</w:t>
            </w:r>
            <w:r>
              <w:rPr>
                <w:rFonts w:hint="eastAsia" w:ascii="仿宋_GB2312" w:hAnsi="仿宋_GB2312" w:eastAsia="仿宋_GB2312" w:cs="仿宋_GB2312"/>
                <w:color w:val="00B0F0"/>
                <w:sz w:val="24"/>
                <w:highlight w:val="none"/>
              </w:rPr>
              <w:t>：</w:t>
            </w:r>
            <w:r>
              <w:rPr>
                <w:rFonts w:hint="eastAsia" w:ascii="仿宋_GB2312" w:hAnsi="仿宋_GB2312" w:eastAsia="仿宋_GB2312" w:cs="仿宋_GB2312"/>
                <w:color w:val="00B0F0"/>
                <w:sz w:val="24"/>
                <w:highlight w:val="none"/>
                <w:lang w:val="en-US" w:eastAsia="zh-CN"/>
              </w:rPr>
              <w:t>0</w:t>
            </w:r>
            <w:r>
              <w:rPr>
                <w:rFonts w:hint="eastAsia" w:ascii="仿宋_GB2312" w:hAnsi="仿宋_GB2312" w:eastAsia="仿宋_GB2312" w:cs="仿宋_GB2312"/>
                <w:color w:val="00B0F0"/>
                <w:sz w:val="24"/>
                <w:highlight w:val="none"/>
              </w:rPr>
              <w:t>0</w:t>
            </w:r>
            <w:r>
              <w:rPr>
                <w:rFonts w:hint="eastAsia" w:ascii="仿宋_GB2312" w:hAnsi="仿宋_GB2312" w:eastAsia="仿宋_GB2312" w:cs="仿宋_GB2312"/>
                <w:color w:val="auto"/>
                <w:sz w:val="24"/>
                <w:highlight w:val="none"/>
              </w:rPr>
              <w:t>（北京时间</w:t>
            </w:r>
            <w:r>
              <w:rPr>
                <w:rFonts w:hint="eastAsia" w:ascii="宋体" w:hAnsi="宋体" w:cs="宋体"/>
                <w:color w:val="auto"/>
                <w:kern w:val="0"/>
                <w:sz w:val="24"/>
                <w:highlight w:val="none"/>
              </w:rPr>
              <w:t>）</w:t>
            </w:r>
          </w:p>
        </w:tc>
      </w:tr>
      <w:tr w14:paraId="7BC7E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3" w:hRule="atLeast"/>
        </w:trPr>
        <w:tc>
          <w:tcPr>
            <w:tcW w:w="898" w:type="dxa"/>
            <w:noWrap w:val="0"/>
            <w:vAlign w:val="center"/>
          </w:tcPr>
          <w:p w14:paraId="52664A43">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18.1</w:t>
            </w:r>
          </w:p>
        </w:tc>
        <w:tc>
          <w:tcPr>
            <w:tcW w:w="7382" w:type="dxa"/>
            <w:noWrap w:val="0"/>
            <w:vAlign w:val="center"/>
          </w:tcPr>
          <w:p w14:paraId="5AFB2B3A">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开标时间：</w:t>
            </w:r>
            <w:r>
              <w:rPr>
                <w:rFonts w:hint="eastAsia" w:ascii="仿宋_GB2312" w:hAnsi="仿宋_GB2312" w:eastAsia="仿宋_GB2312" w:cs="仿宋_GB2312"/>
                <w:color w:val="00B0F0"/>
                <w:sz w:val="24"/>
                <w:highlight w:val="none"/>
                <w:lang w:eastAsia="zh-CN"/>
              </w:rPr>
              <w:t>202</w:t>
            </w:r>
            <w:r>
              <w:rPr>
                <w:rFonts w:hint="eastAsia" w:ascii="仿宋_GB2312" w:hAnsi="仿宋_GB2312" w:eastAsia="仿宋_GB2312" w:cs="仿宋_GB2312"/>
                <w:color w:val="00B0F0"/>
                <w:sz w:val="24"/>
                <w:highlight w:val="none"/>
                <w:lang w:val="en-US" w:eastAsia="zh-CN"/>
              </w:rPr>
              <w:t>5</w:t>
            </w:r>
            <w:r>
              <w:rPr>
                <w:rFonts w:hint="eastAsia" w:ascii="仿宋_GB2312" w:hAnsi="仿宋_GB2312" w:eastAsia="仿宋_GB2312" w:cs="仿宋_GB2312"/>
                <w:color w:val="00B0F0"/>
                <w:sz w:val="24"/>
                <w:highlight w:val="none"/>
              </w:rPr>
              <w:t>年</w:t>
            </w:r>
            <w:r>
              <w:rPr>
                <w:rFonts w:hint="eastAsia" w:ascii="仿宋_GB2312" w:hAnsi="仿宋_GB2312" w:eastAsia="仿宋_GB2312" w:cs="仿宋_GB2312"/>
                <w:color w:val="00B0F0"/>
                <w:sz w:val="24"/>
                <w:highlight w:val="none"/>
                <w:lang w:val="en-US" w:eastAsia="zh-CN"/>
              </w:rPr>
              <w:t>7</w:t>
            </w:r>
            <w:r>
              <w:rPr>
                <w:rFonts w:hint="eastAsia" w:ascii="仿宋_GB2312" w:hAnsi="仿宋_GB2312" w:eastAsia="仿宋_GB2312" w:cs="仿宋_GB2312"/>
                <w:color w:val="00B0F0"/>
                <w:sz w:val="24"/>
                <w:highlight w:val="none"/>
              </w:rPr>
              <w:t>月</w:t>
            </w:r>
            <w:r>
              <w:rPr>
                <w:rFonts w:hint="eastAsia" w:ascii="仿宋_GB2312" w:hAnsi="仿宋_GB2312" w:eastAsia="仿宋_GB2312" w:cs="仿宋_GB2312"/>
                <w:color w:val="00B0F0"/>
                <w:sz w:val="24"/>
                <w:highlight w:val="none"/>
                <w:lang w:val="en-US" w:eastAsia="zh-CN"/>
              </w:rPr>
              <w:t>21</w:t>
            </w:r>
            <w:r>
              <w:rPr>
                <w:rFonts w:hint="eastAsia" w:ascii="仿宋_GB2312" w:hAnsi="仿宋_GB2312" w:eastAsia="仿宋_GB2312" w:cs="仿宋_GB2312"/>
                <w:color w:val="00B0F0"/>
                <w:sz w:val="24"/>
                <w:highlight w:val="none"/>
              </w:rPr>
              <w:t>日1</w:t>
            </w:r>
            <w:r>
              <w:rPr>
                <w:rFonts w:hint="eastAsia" w:ascii="仿宋_GB2312" w:hAnsi="仿宋_GB2312" w:eastAsia="仿宋_GB2312" w:cs="仿宋_GB2312"/>
                <w:color w:val="00B0F0"/>
                <w:sz w:val="24"/>
                <w:highlight w:val="none"/>
                <w:lang w:val="en-US" w:eastAsia="zh-CN"/>
              </w:rPr>
              <w:t>1</w:t>
            </w:r>
            <w:r>
              <w:rPr>
                <w:rFonts w:hint="eastAsia" w:ascii="仿宋_GB2312" w:hAnsi="仿宋_GB2312" w:eastAsia="仿宋_GB2312" w:cs="仿宋_GB2312"/>
                <w:color w:val="00B0F0"/>
                <w:sz w:val="24"/>
                <w:highlight w:val="none"/>
              </w:rPr>
              <w:t>：</w:t>
            </w:r>
            <w:r>
              <w:rPr>
                <w:rFonts w:hint="eastAsia" w:ascii="仿宋_GB2312" w:hAnsi="仿宋_GB2312" w:eastAsia="仿宋_GB2312" w:cs="仿宋_GB2312"/>
                <w:color w:val="00B0F0"/>
                <w:sz w:val="24"/>
                <w:highlight w:val="none"/>
                <w:lang w:val="en-US" w:eastAsia="zh-CN"/>
              </w:rPr>
              <w:t>0</w:t>
            </w:r>
            <w:r>
              <w:rPr>
                <w:rFonts w:hint="eastAsia" w:ascii="仿宋_GB2312" w:hAnsi="仿宋_GB2312" w:eastAsia="仿宋_GB2312" w:cs="仿宋_GB2312"/>
                <w:color w:val="00B0F0"/>
                <w:sz w:val="24"/>
                <w:highlight w:val="none"/>
              </w:rPr>
              <w:t>0</w:t>
            </w:r>
            <w:r>
              <w:rPr>
                <w:rFonts w:hint="eastAsia" w:ascii="仿宋_GB2312" w:hAnsi="仿宋_GB2312" w:eastAsia="仿宋_GB2312" w:cs="仿宋_GB2312"/>
                <w:color w:val="auto"/>
                <w:sz w:val="24"/>
                <w:highlight w:val="none"/>
              </w:rPr>
              <w:t>（北京时间）</w:t>
            </w:r>
          </w:p>
          <w:p w14:paraId="4FDF1D6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开标地点：</w:t>
            </w:r>
            <w:r>
              <w:rPr>
                <w:rFonts w:hint="eastAsia" w:ascii="仿宋_GB2312" w:hAnsi="仿宋_GB2312" w:eastAsia="仿宋_GB2312" w:cs="仿宋_GB2312"/>
                <w:color w:val="auto"/>
                <w:sz w:val="24"/>
                <w:highlight w:val="none"/>
                <w:lang w:val="en-US" w:eastAsia="zh-CN"/>
              </w:rPr>
              <w:t>（https://login.zcygov.cn/user-login/#/login）</w:t>
            </w:r>
          </w:p>
        </w:tc>
      </w:tr>
      <w:tr w14:paraId="3E4171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5" w:hRule="atLeast"/>
        </w:trPr>
        <w:tc>
          <w:tcPr>
            <w:tcW w:w="898" w:type="dxa"/>
            <w:noWrap w:val="0"/>
            <w:vAlign w:val="center"/>
          </w:tcPr>
          <w:p w14:paraId="5B0AD259">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23.2</w:t>
            </w:r>
          </w:p>
        </w:tc>
        <w:tc>
          <w:tcPr>
            <w:tcW w:w="7382" w:type="dxa"/>
            <w:noWrap w:val="0"/>
            <w:vAlign w:val="center"/>
          </w:tcPr>
          <w:p w14:paraId="4EE00B6B">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i/>
                <w:color w:val="auto"/>
                <w:sz w:val="24"/>
                <w:highlight w:val="none"/>
              </w:rPr>
            </w:pPr>
            <w:r>
              <w:rPr>
                <w:rFonts w:hint="eastAsia" w:ascii="仿宋_GB2312" w:hAnsi="仿宋_GB2312" w:eastAsia="仿宋_GB2312" w:cs="仿宋_GB2312"/>
                <w:color w:val="auto"/>
                <w:sz w:val="24"/>
                <w:highlight w:val="none"/>
              </w:rPr>
              <w:t>本项目评标方法：适用综合评分法　　　　　</w:t>
            </w:r>
          </w:p>
        </w:tc>
      </w:tr>
      <w:tr w14:paraId="5C149F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4" w:hRule="atLeast"/>
        </w:trPr>
        <w:tc>
          <w:tcPr>
            <w:tcW w:w="898" w:type="dxa"/>
            <w:noWrap w:val="0"/>
            <w:vAlign w:val="center"/>
          </w:tcPr>
          <w:p w14:paraId="78BC3C8E">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27</w:t>
            </w:r>
          </w:p>
        </w:tc>
        <w:tc>
          <w:tcPr>
            <w:tcW w:w="7382" w:type="dxa"/>
            <w:noWrap w:val="0"/>
            <w:vAlign w:val="center"/>
          </w:tcPr>
          <w:p w14:paraId="5E7DC9D5">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color w:val="auto"/>
                <w:sz w:val="24"/>
                <w:highlight w:val="none"/>
              </w:rPr>
            </w:pPr>
            <w:r>
              <w:rPr>
                <w:rFonts w:hint="eastAsia" w:ascii="仿宋" w:hAnsi="仿宋" w:eastAsia="仿宋" w:cs="仿宋"/>
                <w:sz w:val="24"/>
                <w:highlight w:val="none"/>
              </w:rPr>
              <w:t>推荐中标候选供应商的数量：每个标段</w:t>
            </w:r>
            <w:r>
              <w:rPr>
                <w:rFonts w:hint="eastAsia" w:ascii="仿宋" w:hAnsi="仿宋" w:eastAsia="仿宋" w:cs="仿宋"/>
                <w:color w:val="FF0000"/>
                <w:sz w:val="24"/>
                <w:highlight w:val="none"/>
                <w:u w:val="single"/>
              </w:rPr>
              <w:t>3个</w:t>
            </w:r>
            <w:r>
              <w:rPr>
                <w:rFonts w:hint="eastAsia" w:ascii="仿宋" w:hAnsi="仿宋" w:eastAsia="仿宋" w:cs="仿宋"/>
                <w:sz w:val="24"/>
                <w:highlight w:val="none"/>
                <w:u w:val="single"/>
              </w:rPr>
              <w:t xml:space="preserve"> </w:t>
            </w:r>
          </w:p>
        </w:tc>
      </w:tr>
      <w:tr w14:paraId="573E0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trPr>
        <w:tc>
          <w:tcPr>
            <w:tcW w:w="898" w:type="dxa"/>
            <w:noWrap w:val="0"/>
            <w:vAlign w:val="center"/>
          </w:tcPr>
          <w:p w14:paraId="7C72DF34">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31.1</w:t>
            </w:r>
          </w:p>
        </w:tc>
        <w:tc>
          <w:tcPr>
            <w:tcW w:w="7382" w:type="dxa"/>
            <w:noWrap w:val="0"/>
            <w:vAlign w:val="center"/>
          </w:tcPr>
          <w:p w14:paraId="589663C0">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color w:val="00B0F0"/>
                <w:sz w:val="24"/>
                <w:highlight w:val="none"/>
                <w:u w:val="single"/>
                <w:lang w:val="en-US" w:eastAsia="zh-CN"/>
              </w:rPr>
            </w:pPr>
            <w:r>
              <w:rPr>
                <w:rFonts w:hint="eastAsia" w:ascii="仿宋_GB2312" w:hAnsi="仿宋_GB2312" w:eastAsia="仿宋_GB2312" w:cs="仿宋_GB2312"/>
                <w:sz w:val="24"/>
                <w:highlight w:val="none"/>
              </w:rPr>
              <w:t>履约保证金金额：合同总价金额的</w:t>
            </w:r>
            <w:r>
              <w:rPr>
                <w:rFonts w:hint="eastAsia" w:ascii="仿宋_GB2312" w:hAnsi="仿宋_GB2312" w:eastAsia="仿宋_GB2312" w:cs="仿宋_GB2312"/>
                <w:color w:val="00B0F0"/>
                <w:sz w:val="24"/>
                <w:highlight w:val="none"/>
                <w:u w:val="single"/>
                <w:lang w:val="en-US" w:eastAsia="zh-CN"/>
              </w:rPr>
              <w:t>5%；</w:t>
            </w:r>
          </w:p>
          <w:p w14:paraId="06388521">
            <w:pPr>
              <w:keepNext w:val="0"/>
              <w:keepLines w:val="0"/>
              <w:suppressLineNumbers w:val="0"/>
              <w:spacing w:before="0" w:beforeAutospacing="0" w:after="0" w:afterAutospacing="0" w:line="240" w:lineRule="atLeast"/>
              <w:ind w:left="0" w:right="0"/>
              <w:rPr>
                <w:rFonts w:hint="default" w:ascii="仿宋_GB2312" w:hAnsi="仿宋_GB2312" w:eastAsia="仿宋_GB2312" w:cs="仿宋_GB2312"/>
                <w:color w:val="00B0F0"/>
                <w:sz w:val="24"/>
                <w:highlight w:val="none"/>
                <w:u w:val="single"/>
                <w:lang w:val="en-US" w:eastAsia="zh-CN"/>
              </w:rPr>
            </w:pPr>
            <w:r>
              <w:rPr>
                <w:rFonts w:hint="eastAsia" w:ascii="仿宋_GB2312" w:hAnsi="仿宋_GB2312" w:eastAsia="仿宋_GB2312" w:cs="仿宋_GB2312"/>
                <w:sz w:val="24"/>
                <w:highlight w:val="none"/>
              </w:rPr>
              <w:t>履约保证金形式：</w:t>
            </w:r>
            <w:r>
              <w:rPr>
                <w:rFonts w:hint="eastAsia" w:ascii="仿宋_GB2312" w:hAnsi="仿宋_GB2312" w:eastAsia="仿宋_GB2312" w:cs="仿宋_GB2312"/>
                <w:color w:val="00B0F0"/>
                <w:sz w:val="24"/>
                <w:highlight w:val="none"/>
                <w:u w:val="single"/>
                <w:lang w:val="en-US" w:eastAsia="zh-CN"/>
              </w:rPr>
              <w:t>公对公转账或电子保函；</w:t>
            </w:r>
          </w:p>
          <w:p w14:paraId="3635F9D4">
            <w:pPr>
              <w:keepNext w:val="0"/>
              <w:keepLines w:val="0"/>
              <w:suppressLineNumbers w:val="0"/>
              <w:spacing w:before="0" w:beforeAutospacing="0" w:after="0" w:afterAutospacing="0" w:line="240" w:lineRule="atLeast"/>
              <w:ind w:left="0" w:right="0"/>
              <w:rPr>
                <w:rFonts w:hint="default" w:ascii="Times New Roman" w:hAnsi="Times New Roman" w:cs="Times New Roman"/>
                <w:highlight w:val="none"/>
                <w:lang w:val="en-US"/>
              </w:rPr>
            </w:pPr>
            <w:r>
              <w:rPr>
                <w:rFonts w:hint="eastAsia" w:ascii="仿宋_GB2312" w:hAnsi="仿宋_GB2312" w:eastAsia="仿宋_GB2312" w:cs="仿宋_GB2312"/>
                <w:sz w:val="24"/>
                <w:highlight w:val="none"/>
              </w:rPr>
              <w:t>提交履约保证金的时间：</w:t>
            </w:r>
            <w:r>
              <w:rPr>
                <w:rFonts w:hint="eastAsia" w:ascii="仿宋_GB2312" w:hAnsi="仿宋_GB2312" w:eastAsia="仿宋_GB2312" w:cs="仿宋_GB2312"/>
                <w:color w:val="00B0F0"/>
                <w:sz w:val="24"/>
                <w:highlight w:val="none"/>
                <w:u w:val="single"/>
                <w:lang w:val="en-US" w:eastAsia="zh-CN"/>
              </w:rPr>
              <w:t>接到中标通知书后7日内</w:t>
            </w:r>
            <w:r>
              <w:rPr>
                <w:rFonts w:hint="eastAsia" w:ascii="仿宋_GB2312" w:hAnsi="仿宋_GB2312" w:eastAsia="仿宋_GB2312" w:cs="仿宋_GB2312"/>
                <w:color w:val="00B0F0"/>
                <w:sz w:val="24"/>
                <w:highlight w:val="none"/>
                <w:u w:val="single"/>
                <w:lang w:val="zh-CN" w:eastAsia="zh-CN"/>
              </w:rPr>
              <w:t>。</w:t>
            </w:r>
          </w:p>
        </w:tc>
      </w:tr>
      <w:tr w14:paraId="000CBF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5" w:hRule="atLeast"/>
        </w:trPr>
        <w:tc>
          <w:tcPr>
            <w:tcW w:w="898" w:type="dxa"/>
            <w:noWrap w:val="0"/>
            <w:vAlign w:val="center"/>
          </w:tcPr>
          <w:p w14:paraId="2E3A1698">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w:t>
            </w:r>
          </w:p>
        </w:tc>
        <w:tc>
          <w:tcPr>
            <w:tcW w:w="7382" w:type="dxa"/>
            <w:noWrap w:val="0"/>
            <w:vAlign w:val="center"/>
          </w:tcPr>
          <w:p w14:paraId="519EBBDB">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中标服务费：本项目不收取中标服务费</w:t>
            </w:r>
          </w:p>
        </w:tc>
      </w:tr>
      <w:tr w14:paraId="2B902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5" w:hRule="atLeast"/>
        </w:trPr>
        <w:tc>
          <w:tcPr>
            <w:tcW w:w="898" w:type="dxa"/>
            <w:noWrap w:val="0"/>
            <w:vAlign w:val="center"/>
          </w:tcPr>
          <w:p w14:paraId="1FA84BDD">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33.1</w:t>
            </w:r>
          </w:p>
        </w:tc>
        <w:tc>
          <w:tcPr>
            <w:tcW w:w="7382" w:type="dxa"/>
            <w:noWrap w:val="0"/>
            <w:vAlign w:val="center"/>
          </w:tcPr>
          <w:p w14:paraId="0EC35CE2">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本项目是否属于信用担保试点范围：否 </w:t>
            </w:r>
          </w:p>
        </w:tc>
      </w:tr>
      <w:tr w14:paraId="5CE2A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8" w:hRule="atLeast"/>
        </w:trPr>
        <w:tc>
          <w:tcPr>
            <w:tcW w:w="898" w:type="dxa"/>
            <w:noWrap w:val="0"/>
            <w:vAlign w:val="center"/>
          </w:tcPr>
          <w:p w14:paraId="167A552B">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33.2</w:t>
            </w:r>
          </w:p>
        </w:tc>
        <w:tc>
          <w:tcPr>
            <w:tcW w:w="7382" w:type="dxa"/>
            <w:noWrap w:val="0"/>
            <w:vAlign w:val="center"/>
          </w:tcPr>
          <w:p w14:paraId="5CCD31C1">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政府采购专业担保机构：无</w:t>
            </w:r>
          </w:p>
          <w:p w14:paraId="7D51FC60">
            <w:pPr>
              <w:keepNext w:val="0"/>
              <w:keepLines w:val="0"/>
              <w:suppressLineNumbers w:val="0"/>
              <w:spacing w:before="0" w:beforeAutospacing="0" w:after="0" w:afterAutospacing="0" w:line="240" w:lineRule="atLeast"/>
              <w:ind w:left="-48" w:leftChars="-23" w:right="0" w:firstLine="48" w:firstLineChars="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本项目采购人本级和上级财政部门政府采购有关规定增加的担保机构：无</w:t>
            </w:r>
          </w:p>
        </w:tc>
      </w:tr>
      <w:tr w14:paraId="37D6B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1" w:hRule="atLeast"/>
        </w:trPr>
        <w:tc>
          <w:tcPr>
            <w:tcW w:w="898" w:type="dxa"/>
            <w:noWrap w:val="0"/>
            <w:vAlign w:val="center"/>
          </w:tcPr>
          <w:p w14:paraId="11BDD9BC">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34.3</w:t>
            </w:r>
          </w:p>
        </w:tc>
        <w:tc>
          <w:tcPr>
            <w:tcW w:w="7382" w:type="dxa"/>
            <w:noWrap w:val="0"/>
            <w:vAlign w:val="center"/>
          </w:tcPr>
          <w:p w14:paraId="616AD70B">
            <w:pPr>
              <w:keepNext w:val="0"/>
              <w:keepLines w:val="0"/>
              <w:suppressLineNumbers w:val="0"/>
              <w:spacing w:before="0" w:beforeAutospacing="0" w:after="0" w:afterAutospacing="0" w:line="240" w:lineRule="atLeast"/>
              <w:ind w:left="710" w:leftChars="-23" w:right="0" w:hanging="758" w:hangingChars="316"/>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反腐倡廉监督电话/邮箱：</w:t>
            </w:r>
            <w:r>
              <w:rPr>
                <w:rFonts w:hint="eastAsia" w:ascii="仿宋_GB2312" w:hAnsi="仿宋_GB2312" w:eastAsia="仿宋_GB2312" w:cs="仿宋_GB2312"/>
                <w:sz w:val="24"/>
                <w:highlight w:val="none"/>
                <w:u w:val="single"/>
              </w:rPr>
              <w:t>0998-325665</w:t>
            </w:r>
            <w:r>
              <w:rPr>
                <w:rFonts w:hint="eastAsia" w:ascii="仿宋_GB2312" w:hAnsi="仿宋_GB2312" w:eastAsia="仿宋_GB2312" w:cs="仿宋_GB2312"/>
                <w:sz w:val="24"/>
                <w:highlight w:val="none"/>
                <w:u w:val="single"/>
                <w:lang w:val="en-US" w:eastAsia="zh-CN"/>
              </w:rPr>
              <w:t>3</w:t>
            </w:r>
          </w:p>
        </w:tc>
      </w:tr>
      <w:tr w14:paraId="75BEA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4" w:hRule="atLeast"/>
        </w:trPr>
        <w:tc>
          <w:tcPr>
            <w:tcW w:w="898" w:type="dxa"/>
            <w:noWrap w:val="0"/>
            <w:vAlign w:val="center"/>
          </w:tcPr>
          <w:p w14:paraId="24662E95">
            <w:pPr>
              <w:keepNext w:val="0"/>
              <w:keepLines w:val="0"/>
              <w:suppressLineNumbers w:val="0"/>
              <w:spacing w:before="0" w:beforeAutospacing="0" w:after="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36.3</w:t>
            </w:r>
          </w:p>
        </w:tc>
        <w:tc>
          <w:tcPr>
            <w:tcW w:w="7382" w:type="dxa"/>
            <w:noWrap w:val="0"/>
            <w:vAlign w:val="center"/>
          </w:tcPr>
          <w:p w14:paraId="58EB9B82">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u w:val="single"/>
              </w:rPr>
              <w:t>接收部门：疏附县财政局采购办</w:t>
            </w:r>
          </w:p>
          <w:p w14:paraId="0A75BFC6">
            <w:pPr>
              <w:keepNext w:val="0"/>
              <w:keepLines w:val="0"/>
              <w:suppressLineNumbers w:val="0"/>
              <w:spacing w:before="0" w:beforeAutospacing="0" w:after="0" w:afterAutospacing="0" w:line="240" w:lineRule="atLeast"/>
              <w:ind w:left="0" w:right="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u w:val="single"/>
              </w:rPr>
              <w:t>联系电话：0998-3256562</w:t>
            </w:r>
          </w:p>
          <w:p w14:paraId="26F951BD">
            <w:pPr>
              <w:keepNext w:val="0"/>
              <w:keepLines w:val="0"/>
              <w:suppressLineNumbers w:val="0"/>
              <w:spacing w:before="0" w:beforeAutospacing="0" w:after="0" w:afterAutospacing="0" w:line="240" w:lineRule="atLeast"/>
              <w:ind w:left="710" w:leftChars="-23" w:right="0" w:hanging="758" w:hangingChars="316"/>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u w:val="single"/>
              </w:rPr>
              <w:t xml:space="preserve">通讯地址：疏附县财政局 </w:t>
            </w:r>
          </w:p>
        </w:tc>
      </w:tr>
    </w:tbl>
    <w:p w14:paraId="13305065">
      <w:pPr>
        <w:spacing w:line="240" w:lineRule="atLeast"/>
        <w:ind w:left="1080" w:leftChars="257" w:hanging="540"/>
        <w:rPr>
          <w:rFonts w:hint="eastAsia" w:ascii="仿宋_GB2312" w:hAnsi="仿宋_GB2312" w:eastAsia="仿宋_GB2312" w:cs="仿宋_GB2312"/>
          <w:sz w:val="24"/>
          <w:highlight w:val="none"/>
        </w:rPr>
        <w:sectPr>
          <w:headerReference r:id="rId11" w:type="default"/>
          <w:footerReference r:id="rId13" w:type="default"/>
          <w:headerReference r:id="rId12" w:type="even"/>
          <w:footerReference r:id="rId14" w:type="even"/>
          <w:pgSz w:w="11906" w:h="16838"/>
          <w:pgMar w:top="1440" w:right="1797" w:bottom="1440" w:left="1797" w:header="851" w:footer="992" w:gutter="0"/>
          <w:cols w:space="720" w:num="1"/>
          <w:docGrid w:linePitch="312" w:charSpace="0"/>
        </w:sectPr>
      </w:pPr>
      <w:bookmarkStart w:id="1232" w:name="_GoBack"/>
      <w:bookmarkEnd w:id="1232"/>
    </w:p>
    <w:p w14:paraId="7EA2B967">
      <w:pPr>
        <w:pStyle w:val="3"/>
        <w:tabs>
          <w:tab w:val="left" w:pos="0"/>
        </w:tabs>
        <w:spacing w:before="0" w:after="0" w:line="240" w:lineRule="atLeast"/>
        <w:rPr>
          <w:rFonts w:hint="eastAsia"/>
          <w:b/>
          <w:bCs/>
          <w:sz w:val="30"/>
          <w:szCs w:val="30"/>
          <w:highlight w:val="none"/>
          <w:lang w:val="en-US" w:eastAsia="zh-CN"/>
        </w:rPr>
      </w:pPr>
      <w:bookmarkStart w:id="1026" w:name="_Toc9032"/>
      <w:bookmarkStart w:id="1027" w:name="_Toc218935354"/>
      <w:bookmarkStart w:id="1028" w:name="_Toc219175638"/>
      <w:bookmarkStart w:id="1029" w:name="_Toc515647831"/>
      <w:bookmarkStart w:id="1030" w:name="_Toc6780"/>
      <w:bookmarkStart w:id="1031" w:name="_Toc507399906"/>
      <w:bookmarkStart w:id="1032" w:name="_Toc216582825"/>
      <w:bookmarkStart w:id="1033" w:name="_Toc22779"/>
      <w:bookmarkStart w:id="1034" w:name="_Toc9887"/>
      <w:bookmarkStart w:id="1035" w:name="_Toc512937852"/>
      <w:r>
        <w:rPr>
          <w:rFonts w:hint="eastAsia" w:ascii="方正小标宋简体" w:hAnsi="方正小标宋简体" w:eastAsia="方正小标宋简体" w:cs="方正小标宋简体"/>
          <w:color w:val="auto"/>
          <w:sz w:val="36"/>
          <w:szCs w:val="36"/>
          <w:highlight w:val="none"/>
        </w:rPr>
        <w:t xml:space="preserve">第五章  </w:t>
      </w:r>
      <w:bookmarkEnd w:id="1026"/>
      <w:bookmarkEnd w:id="1027"/>
      <w:bookmarkEnd w:id="1028"/>
      <w:bookmarkEnd w:id="1029"/>
      <w:bookmarkEnd w:id="1030"/>
      <w:bookmarkEnd w:id="1031"/>
      <w:bookmarkEnd w:id="1032"/>
      <w:bookmarkEnd w:id="1033"/>
      <w:bookmarkEnd w:id="1034"/>
      <w:r>
        <w:rPr>
          <w:rFonts w:hint="eastAsia" w:ascii="方正小标宋简体" w:hAnsi="方正小标宋简体" w:eastAsia="方正小标宋简体" w:cs="方正小标宋简体"/>
          <w:color w:val="auto"/>
          <w:sz w:val="36"/>
          <w:szCs w:val="36"/>
          <w:highlight w:val="none"/>
          <w:lang w:eastAsia="zh-CN"/>
        </w:rPr>
        <w:t>项目说明、采购内容</w:t>
      </w:r>
      <w:bookmarkEnd w:id="1020"/>
      <w:bookmarkEnd w:id="1021"/>
      <w:bookmarkEnd w:id="1022"/>
      <w:bookmarkEnd w:id="1023"/>
      <w:bookmarkEnd w:id="1024"/>
      <w:bookmarkEnd w:id="1025"/>
      <w:bookmarkEnd w:id="1035"/>
      <w:bookmarkStart w:id="1036" w:name="_Toc4555"/>
      <w:bookmarkStart w:id="1037" w:name="_Toc21382"/>
    </w:p>
    <w:p w14:paraId="7891D1B4">
      <w:pPr>
        <w:keepNext w:val="0"/>
        <w:keepLines w:val="0"/>
        <w:widowControl/>
        <w:numPr>
          <w:ilvl w:val="0"/>
          <w:numId w:val="0"/>
        </w:numPr>
        <w:suppressLineNumbers w:val="0"/>
        <w:ind w:firstLine="482" w:firstLineChars="200"/>
        <w:jc w:val="left"/>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一、项目概括：</w:t>
      </w:r>
      <w:r>
        <w:rPr>
          <w:rFonts w:hint="eastAsia" w:ascii="仿宋_GB2312" w:hAnsi="仿宋_GB2312" w:eastAsia="仿宋_GB2312" w:cs="仿宋_GB2312"/>
          <w:b w:val="0"/>
          <w:i w:val="0"/>
          <w:iCs/>
          <w:caps w:val="0"/>
          <w:spacing w:val="0"/>
          <w:w w:val="100"/>
          <w:kern w:val="2"/>
          <w:sz w:val="24"/>
          <w:szCs w:val="24"/>
          <w:lang w:val="en-US" w:eastAsia="zh-CN" w:bidi="ar-SA"/>
        </w:rPr>
        <w:t>新疆维吾尔自治区喀什某单位2025年食堂劳务服务。通过公开招标的方式采购2025年食堂劳务服务，为甲方内部员工提供餐饮服务，预计配备人数约52人，预算来源为财政预算拨款，预算资金：200万元，日期为7个月。</w:t>
      </w:r>
    </w:p>
    <w:p w14:paraId="563F310C">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bCs/>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二、项目技术服务要求：</w:t>
      </w:r>
    </w:p>
    <w:p w14:paraId="2FF40E6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1、乙方须持有《食品经营许可证》，并作为资格审查必备条件。</w:t>
      </w:r>
    </w:p>
    <w:p w14:paraId="07A6DA5F">
      <w:pPr>
        <w:keepNext w:val="0"/>
        <w:keepLines w:val="0"/>
        <w:widowControl/>
        <w:numPr>
          <w:ilvl w:val="0"/>
          <w:numId w:val="0"/>
        </w:numPr>
        <w:suppressLineNumbers w:val="0"/>
        <w:ind w:firstLine="480" w:firstLineChars="200"/>
        <w:jc w:val="left"/>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2、此项目专门面向中小企业采购。</w:t>
      </w:r>
    </w:p>
    <w:p w14:paraId="0503A1C0">
      <w:pPr>
        <w:keepNext w:val="0"/>
        <w:keepLines w:val="0"/>
        <w:widowControl/>
        <w:numPr>
          <w:ilvl w:val="0"/>
          <w:numId w:val="0"/>
        </w:numPr>
        <w:suppressLineNumbers w:val="0"/>
        <w:ind w:firstLine="480" w:firstLineChars="200"/>
        <w:jc w:val="left"/>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3、乙方为甲方内部员工提供餐饮服务(早餐、午餐、晚餐及加班餐服务等),餐厅分为1号餐厅和2号餐厅，采取自助餐模式。</w:t>
      </w:r>
    </w:p>
    <w:p w14:paraId="1041B7D8">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bCs/>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三、商务要求：</w:t>
      </w:r>
    </w:p>
    <w:p w14:paraId="444CC6B7">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(一)合同履约期限：合同签订期限为7个月。</w:t>
      </w:r>
    </w:p>
    <w:p w14:paraId="6BB5B340">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(二)服务地点：采购人指定地点</w:t>
      </w:r>
    </w:p>
    <w:p w14:paraId="442BC500">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(三)付款方式：</w:t>
      </w:r>
    </w:p>
    <w:p w14:paraId="354B7A82">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1.具体以签订合同为准。</w:t>
      </w:r>
    </w:p>
    <w:p w14:paraId="17AFAF3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2.中标人在接到中标通知书后7日内向采购人提交中标金额5%的履约保证金（中标人按合同规定完成服务且验收合格后，如中标人未发生违约行为，采购单位将履约保证金无息退还）。</w:t>
      </w:r>
    </w:p>
    <w:p w14:paraId="69BF7841">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bCs/>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四、服务要求：</w:t>
      </w:r>
    </w:p>
    <w:p w14:paraId="12F3561E">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中标后乙方必须先由甲方试菜，如菜品口感不满足甲方要求，招标人可随时要求乙方更换厨师人员，投标人必须配备足够的管理人员、厨师及其他人员。投标人必须储备一名高级厨师为招标人作为临时性调用。</w:t>
      </w:r>
    </w:p>
    <w:p w14:paraId="68D3E2AF">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2、相关人员配置：根据甲方单位用餐人数及用餐情况，配备人员至少52人；包括但不限于以下人员：</w:t>
      </w:r>
    </w:p>
    <w:tbl>
      <w:tblPr>
        <w:tblStyle w:val="101"/>
        <w:tblW w:w="94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830"/>
        <w:gridCol w:w="4903"/>
      </w:tblGrid>
      <w:tr w14:paraId="2BC7B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center"/>
          </w:tcPr>
          <w:p w14:paraId="14633803">
            <w:pPr>
              <w:keepNext w:val="0"/>
              <w:keepLines w:val="0"/>
              <w:widowControl/>
              <w:numPr>
                <w:ilvl w:val="0"/>
                <w:numId w:val="0"/>
              </w:numPr>
              <w:suppressLineNumbers w:val="0"/>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序号</w:t>
            </w:r>
          </w:p>
        </w:tc>
        <w:tc>
          <w:tcPr>
            <w:tcW w:w="2830" w:type="dxa"/>
            <w:shd w:val="clear" w:color="auto" w:fill="D9D9D9"/>
            <w:noWrap w:val="0"/>
            <w:vAlign w:val="center"/>
          </w:tcPr>
          <w:p w14:paraId="159EEDFA">
            <w:pPr>
              <w:keepNext w:val="0"/>
              <w:keepLines w:val="0"/>
              <w:widowControl/>
              <w:numPr>
                <w:ilvl w:val="0"/>
                <w:numId w:val="0"/>
              </w:numPr>
              <w:suppressLineNumbers w:val="0"/>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岗位</w:t>
            </w:r>
          </w:p>
        </w:tc>
        <w:tc>
          <w:tcPr>
            <w:tcW w:w="4903" w:type="dxa"/>
            <w:shd w:val="clear" w:color="auto" w:fill="D9D9D9"/>
            <w:noWrap w:val="0"/>
            <w:vAlign w:val="center"/>
          </w:tcPr>
          <w:p w14:paraId="5F3FC56A">
            <w:pPr>
              <w:keepNext w:val="0"/>
              <w:keepLines w:val="0"/>
              <w:widowControl/>
              <w:numPr>
                <w:ilvl w:val="0"/>
                <w:numId w:val="0"/>
              </w:numPr>
              <w:suppressLineNumbers w:val="0"/>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人数</w:t>
            </w:r>
          </w:p>
        </w:tc>
      </w:tr>
      <w:tr w14:paraId="5E0A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5B71B750">
            <w:pPr>
              <w:pStyle w:val="102"/>
              <w:numPr>
                <w:ilvl w:val="0"/>
                <w:numId w:val="7"/>
              </w:numPr>
              <w:spacing w:before="163" w:line="190"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3FDC53A9">
            <w:pPr>
              <w:pStyle w:val="102"/>
              <w:spacing w:before="133" w:line="228"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项目负责人</w:t>
            </w:r>
          </w:p>
        </w:tc>
        <w:tc>
          <w:tcPr>
            <w:tcW w:w="4903" w:type="dxa"/>
            <w:noWrap w:val="0"/>
            <w:vAlign w:val="top"/>
          </w:tcPr>
          <w:p w14:paraId="2FF26DE3">
            <w:pPr>
              <w:pStyle w:val="102"/>
              <w:spacing w:before="163" w:line="190" w:lineRule="auto"/>
              <w:ind w:left="2075"/>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w:t>
            </w:r>
          </w:p>
        </w:tc>
      </w:tr>
      <w:tr w14:paraId="630D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015C3BF6">
            <w:pPr>
              <w:pStyle w:val="102"/>
              <w:numPr>
                <w:ilvl w:val="0"/>
                <w:numId w:val="7"/>
              </w:numPr>
              <w:spacing w:before="174" w:line="189"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7AEA85A8">
            <w:pPr>
              <w:pStyle w:val="102"/>
              <w:spacing w:before="143" w:line="228"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厨师长</w:t>
            </w:r>
          </w:p>
        </w:tc>
        <w:tc>
          <w:tcPr>
            <w:tcW w:w="4903" w:type="dxa"/>
            <w:noWrap w:val="0"/>
            <w:vAlign w:val="top"/>
          </w:tcPr>
          <w:p w14:paraId="2891C9C0">
            <w:pPr>
              <w:pStyle w:val="102"/>
              <w:spacing w:before="174" w:line="189" w:lineRule="auto"/>
              <w:ind w:left="2063"/>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6</w:t>
            </w:r>
          </w:p>
        </w:tc>
      </w:tr>
      <w:tr w14:paraId="39667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7060AD4A">
            <w:pPr>
              <w:pStyle w:val="102"/>
              <w:numPr>
                <w:ilvl w:val="0"/>
                <w:numId w:val="7"/>
              </w:numPr>
              <w:spacing w:before="183" w:line="189"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1DFCD349">
            <w:pPr>
              <w:pStyle w:val="102"/>
              <w:spacing w:before="152" w:line="228"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副厨</w:t>
            </w:r>
          </w:p>
        </w:tc>
        <w:tc>
          <w:tcPr>
            <w:tcW w:w="4903" w:type="dxa"/>
            <w:noWrap w:val="0"/>
            <w:vAlign w:val="top"/>
          </w:tcPr>
          <w:p w14:paraId="65C28AEB">
            <w:pPr>
              <w:pStyle w:val="102"/>
              <w:spacing w:before="182" w:line="190" w:lineRule="auto"/>
              <w:ind w:left="2075"/>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6</w:t>
            </w:r>
          </w:p>
        </w:tc>
      </w:tr>
      <w:tr w14:paraId="2EE22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5713F930">
            <w:pPr>
              <w:pStyle w:val="102"/>
              <w:numPr>
                <w:ilvl w:val="0"/>
                <w:numId w:val="7"/>
              </w:numPr>
              <w:spacing w:before="215" w:line="188"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6594C551">
            <w:pPr>
              <w:pStyle w:val="102"/>
              <w:spacing w:before="183" w:line="229"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拉面师</w:t>
            </w:r>
          </w:p>
        </w:tc>
        <w:tc>
          <w:tcPr>
            <w:tcW w:w="4903" w:type="dxa"/>
            <w:noWrap w:val="0"/>
            <w:vAlign w:val="top"/>
          </w:tcPr>
          <w:p w14:paraId="5523BB2B">
            <w:pPr>
              <w:pStyle w:val="102"/>
              <w:spacing w:before="213" w:line="190" w:lineRule="auto"/>
              <w:ind w:left="2075"/>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w:t>
            </w:r>
          </w:p>
        </w:tc>
      </w:tr>
      <w:tr w14:paraId="607A1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5F8F878D">
            <w:pPr>
              <w:pStyle w:val="102"/>
              <w:numPr>
                <w:ilvl w:val="0"/>
                <w:numId w:val="7"/>
              </w:numPr>
              <w:spacing w:before="215" w:line="188"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163F481F">
            <w:pPr>
              <w:pStyle w:val="102"/>
              <w:spacing w:before="183" w:line="229"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面点师</w:t>
            </w:r>
          </w:p>
        </w:tc>
        <w:tc>
          <w:tcPr>
            <w:tcW w:w="4903" w:type="dxa"/>
            <w:noWrap w:val="0"/>
            <w:vAlign w:val="top"/>
          </w:tcPr>
          <w:p w14:paraId="1D29E20B">
            <w:pPr>
              <w:pStyle w:val="102"/>
              <w:spacing w:before="213" w:line="190" w:lineRule="auto"/>
              <w:ind w:left="2075"/>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w:t>
            </w:r>
          </w:p>
        </w:tc>
      </w:tr>
      <w:tr w14:paraId="724A0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74638F75">
            <w:pPr>
              <w:pStyle w:val="102"/>
              <w:numPr>
                <w:ilvl w:val="0"/>
                <w:numId w:val="7"/>
              </w:numPr>
              <w:spacing w:before="215" w:line="188"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4239DC0D">
            <w:pPr>
              <w:pStyle w:val="102"/>
              <w:spacing w:before="183" w:line="229"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切配</w:t>
            </w:r>
          </w:p>
        </w:tc>
        <w:tc>
          <w:tcPr>
            <w:tcW w:w="4903" w:type="dxa"/>
            <w:noWrap w:val="0"/>
            <w:vAlign w:val="top"/>
          </w:tcPr>
          <w:p w14:paraId="7E6D5989">
            <w:pPr>
              <w:pStyle w:val="102"/>
              <w:spacing w:before="213" w:line="190" w:lineRule="auto"/>
              <w:ind w:left="2075"/>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8</w:t>
            </w:r>
          </w:p>
        </w:tc>
      </w:tr>
      <w:tr w14:paraId="24123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21DDFBF2">
            <w:pPr>
              <w:pStyle w:val="102"/>
              <w:numPr>
                <w:ilvl w:val="0"/>
                <w:numId w:val="7"/>
              </w:numPr>
              <w:spacing w:before="215" w:line="188"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744EC7F0">
            <w:pPr>
              <w:pStyle w:val="102"/>
              <w:spacing w:before="183" w:line="229"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服务员</w:t>
            </w:r>
          </w:p>
        </w:tc>
        <w:tc>
          <w:tcPr>
            <w:tcW w:w="4903" w:type="dxa"/>
            <w:noWrap w:val="0"/>
            <w:vAlign w:val="top"/>
          </w:tcPr>
          <w:p w14:paraId="3EED67E2">
            <w:pPr>
              <w:pStyle w:val="102"/>
              <w:spacing w:before="213" w:line="190" w:lineRule="auto"/>
              <w:ind w:left="2075"/>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16</w:t>
            </w:r>
          </w:p>
        </w:tc>
      </w:tr>
      <w:tr w14:paraId="0DEB1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1574C3CF">
            <w:pPr>
              <w:pStyle w:val="102"/>
              <w:numPr>
                <w:ilvl w:val="0"/>
                <w:numId w:val="7"/>
              </w:numPr>
              <w:spacing w:before="215" w:line="188"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028C9EA9">
            <w:pPr>
              <w:pStyle w:val="102"/>
              <w:spacing w:before="183" w:line="229"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洗碗工</w:t>
            </w:r>
          </w:p>
        </w:tc>
        <w:tc>
          <w:tcPr>
            <w:tcW w:w="4903" w:type="dxa"/>
            <w:noWrap w:val="0"/>
            <w:vAlign w:val="top"/>
          </w:tcPr>
          <w:p w14:paraId="7631E5B3">
            <w:pPr>
              <w:pStyle w:val="102"/>
              <w:spacing w:before="213" w:line="190" w:lineRule="auto"/>
              <w:ind w:left="2075"/>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6</w:t>
            </w:r>
          </w:p>
        </w:tc>
      </w:tr>
      <w:tr w14:paraId="70110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05" w:type="dxa"/>
            <w:shd w:val="clear" w:color="auto" w:fill="D9D9D9"/>
            <w:noWrap w:val="0"/>
            <w:vAlign w:val="top"/>
          </w:tcPr>
          <w:p w14:paraId="3F6DBA14">
            <w:pPr>
              <w:pStyle w:val="102"/>
              <w:numPr>
                <w:ilvl w:val="0"/>
                <w:numId w:val="7"/>
              </w:numPr>
              <w:spacing w:before="217" w:line="188" w:lineRule="auto"/>
              <w:ind w:left="425" w:leftChars="0" w:hanging="425" w:firstLineChars="0"/>
              <w:jc w:val="center"/>
              <w:rPr>
                <w:rFonts w:hint="eastAsia" w:ascii="仿宋_GB2312" w:hAnsi="仿宋_GB2312" w:eastAsia="仿宋_GB2312" w:cs="仿宋_GB2312"/>
                <w:b w:val="0"/>
                <w:i w:val="0"/>
                <w:iCs/>
                <w:caps w:val="0"/>
                <w:spacing w:val="0"/>
                <w:w w:val="100"/>
                <w:kern w:val="2"/>
                <w:sz w:val="24"/>
                <w:szCs w:val="24"/>
                <w:lang w:val="en-US" w:eastAsia="zh-CN" w:bidi="ar-SA"/>
              </w:rPr>
            </w:pPr>
          </w:p>
        </w:tc>
        <w:tc>
          <w:tcPr>
            <w:tcW w:w="2830" w:type="dxa"/>
            <w:noWrap w:val="0"/>
            <w:vAlign w:val="top"/>
          </w:tcPr>
          <w:p w14:paraId="153A8AB9">
            <w:pPr>
              <w:pStyle w:val="102"/>
              <w:spacing w:before="184" w:line="230" w:lineRule="auto"/>
              <w:jc w:val="center"/>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合计</w:t>
            </w:r>
          </w:p>
        </w:tc>
        <w:tc>
          <w:tcPr>
            <w:tcW w:w="4903" w:type="dxa"/>
            <w:noWrap w:val="0"/>
            <w:vAlign w:val="top"/>
          </w:tcPr>
          <w:p w14:paraId="0BDA1936">
            <w:pPr>
              <w:pStyle w:val="102"/>
              <w:spacing w:before="217" w:line="188" w:lineRule="auto"/>
              <w:ind w:left="2065"/>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52</w:t>
            </w:r>
          </w:p>
        </w:tc>
      </w:tr>
      <w:tr w14:paraId="2E053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438" w:type="dxa"/>
            <w:gridSpan w:val="3"/>
            <w:shd w:val="clear" w:color="auto" w:fill="D9D9D9"/>
            <w:noWrap w:val="0"/>
            <w:vAlign w:val="top"/>
          </w:tcPr>
          <w:p w14:paraId="6C496195">
            <w:pPr>
              <w:keepNext w:val="0"/>
              <w:keepLines w:val="0"/>
              <w:widowControl/>
              <w:numPr>
                <w:ilvl w:val="0"/>
                <w:numId w:val="0"/>
              </w:numPr>
              <w:suppressLineNumbers w:val="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备注：1、每日各岗位派驻人数与上表一样。</w:t>
            </w:r>
          </w:p>
          <w:p w14:paraId="4BD15435">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对工作人员的素质要求:①政治思想素质高、热爱党的卫生事业，认真贯彻党的卫生工作方针、政策，品行端正、作风正派。②遵纪守法，无违法违纪记录（提供有效期内无犯罪记录证明），身体健康(提供本年度医院正规体检报告)，以本公司连续三个月社保证明或劳动合同为依据。</w:t>
            </w:r>
          </w:p>
          <w:p w14:paraId="4595A449">
            <w:pPr>
              <w:keepNext w:val="0"/>
              <w:keepLines w:val="0"/>
              <w:widowControl/>
              <w:numPr>
                <w:ilvl w:val="0"/>
                <w:numId w:val="0"/>
              </w:numPr>
              <w:suppressLineNumbers w:val="0"/>
              <w:ind w:firstLine="480" w:firstLineChars="200"/>
              <w:jc w:val="left"/>
              <w:rPr>
                <w:rFonts w:hint="default"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3、项目负责人须具备餐饮管理相关资格证书、厨师具有厨师资格证、面点师具有面点师资格证。</w:t>
            </w:r>
          </w:p>
        </w:tc>
      </w:tr>
    </w:tbl>
    <w:p w14:paraId="5A3DDDA5">
      <w:pPr>
        <w:keepNext w:val="0"/>
        <w:keepLines w:val="0"/>
        <w:widowControl/>
        <w:numPr>
          <w:ilvl w:val="0"/>
          <w:numId w:val="8"/>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为甲方内部员工提供餐饮服务(早餐、午餐、晚餐及加班餐服务等),早餐供应标准为：4种菜，热菜2种，凉菜2种，主食2种，粥2种，牛奶、鸡蛋各1种等、午餐供应标准为：6个菜(包含2种汉餐4 种清餐),(四荤两素),主食2种、面点1种、杂粮1种，汤品2种，2种水果、酸奶、杂粮各1种等、晚餐供应标准为：热菜4种(2荤2素)、主食2种，小吃1种，点心1种，汤1种。加班餐供应标准为：根据实际需求由甲方确定后告知乙方。</w:t>
      </w:r>
    </w:p>
    <w:p w14:paraId="4A07D2BE">
      <w:pPr>
        <w:keepNext w:val="0"/>
        <w:keepLines w:val="0"/>
        <w:widowControl/>
        <w:numPr>
          <w:ilvl w:val="0"/>
          <w:numId w:val="8"/>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甲方可随时变更菜品的数量和种类等，乙方必须配合。乙方须经常变更饭菜花样，搞好主食和副食的搭配，从而保证用餐人员能够吃得健康。</w:t>
      </w:r>
    </w:p>
    <w:p w14:paraId="6CC6ACBB">
      <w:pPr>
        <w:keepNext w:val="0"/>
        <w:keepLines w:val="0"/>
        <w:widowControl/>
        <w:numPr>
          <w:ilvl w:val="0"/>
          <w:numId w:val="8"/>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乙方必须为所属员工缴纳法律法规规定的相关社会保险、意外保险等。包括但不限于社保、医保、绩效、福利待遇等一切费用均由乙方自行承担；</w:t>
      </w:r>
    </w:p>
    <w:p w14:paraId="03C8C2F7">
      <w:pPr>
        <w:keepNext w:val="0"/>
        <w:keepLines w:val="0"/>
        <w:widowControl/>
        <w:numPr>
          <w:ilvl w:val="0"/>
          <w:numId w:val="8"/>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乙方须建立健全劳动安全、卫生制度、工作流程、安全操作守则等规章制度。乙方工作人员在工作中以及在上班、下班途中所造成的任何事故、人身伤亡等，一切法律责任及经济损失均由乙方承担，乙方人员的人身安全由乙方全权负责；</w:t>
      </w:r>
    </w:p>
    <w:p w14:paraId="1AA7A265">
      <w:pPr>
        <w:keepNext w:val="0"/>
        <w:keepLines w:val="0"/>
        <w:widowControl/>
        <w:numPr>
          <w:ilvl w:val="0"/>
          <w:numId w:val="8"/>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供餐时间：供餐时间根据甲方规定执行。用餐人员吃饭时，保证都是最新鲜、热腾腾的饭菜。完善合理、健康的饮食结构，推出养生菜式，让用餐更多样、更健康。</w:t>
      </w:r>
    </w:p>
    <w:p w14:paraId="125C34AC">
      <w:pPr>
        <w:keepNext w:val="0"/>
        <w:keepLines w:val="0"/>
        <w:widowControl/>
        <w:numPr>
          <w:ilvl w:val="0"/>
          <w:numId w:val="8"/>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乙方制定食谱，报甲方进行审核，每周五公示下周食谱，乙方按照食谱保障餐饮。乙方按照50人左右规模，每月免费提供生日餐的加工等服务。根据甲方要求做好公务接待餐等服务。</w:t>
      </w:r>
    </w:p>
    <w:p w14:paraId="441802A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①招牌类(挑选出品最好的，最拿手的菜式为招牌);</w:t>
      </w:r>
    </w:p>
    <w:p w14:paraId="47C6D584">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②特色类(根据本地特色的、具有浓厚地方色彩的菜式);</w:t>
      </w:r>
    </w:p>
    <w:p w14:paraId="7C70A0A3">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③养生类(制作一些健康养生的菜肴);</w:t>
      </w:r>
    </w:p>
    <w:p w14:paraId="4E4FF49E">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④经济实惠型的家常菜。</w:t>
      </w:r>
    </w:p>
    <w:p w14:paraId="1AE750E5">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9、乙方在甲方服务期间，出现甲方人员对乙方餐饮公司员或者对乙方工作人员进行投诉或者建议的情况下,乙方应出具相应合理的处理方案，提供的方案具有实用性、针对性，满足甲方建议，未满足甲方要求，乙方须接受甲方对乙方的处罚：2000元/次。(处罚金额从履约保证金中扣除，履约保证金扣除后乙方应在7日内补足),乙方须签订处罚确认书。</w:t>
      </w:r>
    </w:p>
    <w:p w14:paraId="7823C792">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10、用餐时甲方若发现食材过期、变色、变味等问题，乙方须接受甲方对乙方的食品安全处罚：5000元/次。(处罚金额从履约保证金中扣除，履约保证金扣除后乙方应在7日内补足),乙方须签订处罚确认书。</w:t>
      </w:r>
    </w:p>
    <w:p w14:paraId="0A535880">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11、在用餐时若出现群体(10人及以上)腹泻等事件，乙方应接受甲方对乙方的食品安全处罚5000元/次,乙方须签订处罚确认书。并由乙方承担所有事件人员的医药费及误工费，费用从履约保证金中扣除，履约保证金不足的从乙方劳务费中扣除。(处罚金额从履约保证金中扣除，履约保证金扣除后乙方应在7日内补足)</w:t>
      </w:r>
    </w:p>
    <w:p w14:paraId="2ECAFBCA">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bCs/>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五、乙方工作人员要求</w:t>
      </w:r>
    </w:p>
    <w:p w14:paraId="7B7A0106">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1、从业人员应统一工服,佩戴工牌。注重仪容仪表,工服保持干净整洁。不留长发、长指甲，不留胡须，勤洗头洗澡换衣，不得戴歪帽， 斜穿衣或不扣钮扣；工作时间穿好工衣，戴好工帽、供餐时必须戴好口罩、手套。</w:t>
      </w:r>
    </w:p>
    <w:p w14:paraId="4065E16F">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2、加工制作人员应保持良好的个人卫生,操作时应保持手部清洁。加工制作不同食品或离开食品处理区后,应重新洗手。制作食品前要用洗手液洗手，不得用手直接拿放熟食。</w:t>
      </w:r>
    </w:p>
    <w:p w14:paraId="3277136B">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3、不得在厨房、就餐区工作间内吸烟，随地吐痰，在洗碗（菜）池内洗涤衣物鞋袜及其它物品。</w:t>
      </w:r>
    </w:p>
    <w:p w14:paraId="0093E5D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4、从业人员应熟悉食品安全相关知识,具备岗位食品安全规范操作和风险防控的能力, 自觉遵守相关法规。</w:t>
      </w:r>
    </w:p>
    <w:p w14:paraId="7F36A640">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5、乙方应对本项目服务的人员定期开展食品安全的法律法规知识、食品安全管理制度、加工制作规程与营养健康等知识培训,经考核合格后,方可上岗。并做好培训记录。</w:t>
      </w:r>
    </w:p>
    <w:p w14:paraId="4C22C699">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6、应建立从业人员健康管理档案。一线从业人员健康体检合格率 100%,均应持有效的健康证。每年还需进行健康检查必要时应进行临时健康检查。</w:t>
      </w:r>
    </w:p>
    <w:p w14:paraId="71A31339">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7、乙方人员应爱护甲方场地及固有设施，乙方人员对所制菜品/半成品、甲方所购菜品的质量和保管负责。</w:t>
      </w:r>
    </w:p>
    <w:p w14:paraId="61A72801">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bCs/>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六、食堂卫生要求</w:t>
      </w:r>
    </w:p>
    <w:p w14:paraId="39135B0E">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食堂食品卫生</w:t>
      </w:r>
    </w:p>
    <w:p w14:paraId="6C22C5D8">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1、蔬菜发现变质等问题须立即丢弃处理；加工时先去掉老、黄叶再进行浸泡切洗。</w:t>
      </w:r>
    </w:p>
    <w:p w14:paraId="2D703D90">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2、蒸煮米饭前大米要多次清洗直至白净，无砂粒才能进蒸柜，瓜果要去皮、洗净。</w:t>
      </w:r>
    </w:p>
    <w:p w14:paraId="4D4E5ED5">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3、肉食、鱼类等要保持鲜活。</w:t>
      </w:r>
    </w:p>
    <w:p w14:paraId="6ECEB374">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4、菜要炒熟煮透，油炸食品不能炸糊。</w:t>
      </w:r>
    </w:p>
    <w:p w14:paraId="75F33C0B">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5、熟食必须使用专一熟食工具，不得用手拿放，生、熟食品必须分开存放。</w:t>
      </w:r>
    </w:p>
    <w:p w14:paraId="4BAE2C8C">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6、过餐蔬菜和变质变味食品不得再进行食用。</w:t>
      </w:r>
    </w:p>
    <w:p w14:paraId="2FE4F13F">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7、鲜菜、肉类、干货成品和半成品必须分类存放，不得混放或放置地上。</w:t>
      </w:r>
    </w:p>
    <w:p w14:paraId="19F831B2">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食堂餐具卫生</w:t>
      </w:r>
    </w:p>
    <w:p w14:paraId="19D64004">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1、打菜勺、饭勺、汤勺必须用盘托放，不能直接放在台面。</w:t>
      </w:r>
    </w:p>
    <w:p w14:paraId="2A589CB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2、用过的食具要经过初洗、清洁剂清洗、清水清洗、消毒四道工序处理。食具内外要干净干燥，无油迹、无洗洁剂。</w:t>
      </w:r>
    </w:p>
    <w:p w14:paraId="1A3ABC4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厨房卫生</w:t>
      </w:r>
    </w:p>
    <w:p w14:paraId="618FA64E">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1、砧板、刀、锅、铲、桶、盆等用具在使用前后要清洗干净，按规定消毒处理；菜刀及砧板要生熟分开，熟食刀要每天用沸水消毒，砧板每班次必须用沸水消毒。</w:t>
      </w:r>
    </w:p>
    <w:p w14:paraId="6FA37D90">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2、切配完成及时清洗工作台面、地面及清理垃圾。</w:t>
      </w:r>
    </w:p>
    <w:p w14:paraId="7D138F63">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3、洗菜池、洗碗池、货架、油烟罩、蒸柜、炉灶等每天须保证清洗干净。</w:t>
      </w:r>
    </w:p>
    <w:p w14:paraId="06F1F16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4、油盐、酱油等配料和未用完的米、菜下班提前放至冷藏区。</w:t>
      </w:r>
    </w:p>
    <w:p w14:paraId="7D3749A8">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5、特别注意清除卫生死角，防止老鼠、苍蝇、蟑螂等污染食物。</w:t>
      </w:r>
    </w:p>
    <w:p w14:paraId="6518B3BE">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6、定期清洗冰箱雪柜，每周两次对冰箱雪柜大清洁，每天小清理，保证清洁卫生。</w:t>
      </w:r>
    </w:p>
    <w:p w14:paraId="5559AFF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就餐区卫生</w:t>
      </w:r>
    </w:p>
    <w:p w14:paraId="51015754">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1、地面须保持无垃圾杂物，无积水，干净清爽。</w:t>
      </w:r>
    </w:p>
    <w:p w14:paraId="42687396">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2、桌面台凳于餐前、餐中、餐后均要及时清洁，保持干净无尘。</w:t>
      </w:r>
    </w:p>
    <w:p w14:paraId="47A9CA4C">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3、墙壁、门窗、风扇、灯管等定期清洁。</w:t>
      </w:r>
    </w:p>
    <w:p w14:paraId="71FA54E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4、每周两次大扫除，用清洁剂清洗台面、地面，做到餐厅内无蝇、蚊、蟑螂等。</w:t>
      </w:r>
    </w:p>
    <w:p w14:paraId="5A772DF5">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5、专人负责回收食具，剩饭剩菜要及时运走，保证餐厅无异味。</w:t>
      </w:r>
    </w:p>
    <w:p w14:paraId="4C1966D8">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食品安全</w:t>
      </w:r>
    </w:p>
    <w:p w14:paraId="5D4AFF96">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1、宜设立食品安全管理机构，食堂应配备专职或兼职食品安全管理人员。</w:t>
      </w:r>
    </w:p>
    <w:p w14:paraId="39908103">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2、食堂应制定食品中毒和人员安全管理制度，明确各岗位的食品安全责任，保障食品加工过程的安全性。</w:t>
      </w:r>
    </w:p>
    <w:p w14:paraId="5A5B9F7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3、应建立满足食堂使用需要的追溯体系，明确食品追溯工作组织机构、追溯范围、追溯程序、应急管理预案等内容结合食堂监控系统实现食材从采购、出入库、到使用的全过程可追溯。</w:t>
      </w:r>
    </w:p>
    <w:p w14:paraId="0D53AEC4">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4、做好的防尘、防腐、防蝇、防鼠、防虫等工作。</w:t>
      </w:r>
    </w:p>
    <w:p w14:paraId="4E79A325">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七、经济责任：</w:t>
      </w:r>
    </w:p>
    <w:p w14:paraId="78DF7158">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1、乙方不得以甲方名义对外赊欠货物或借贷。凡乙方经济上的一切行为均与甲方无关。乙方应缴纳的各项税款应自觉缴纳，若有偷税漏税逃税等事宜发生应自行承担责任。</w:t>
      </w:r>
    </w:p>
    <w:p w14:paraId="7A6BAF5D">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2、乙方拖欠员工工资、出现上访等情况均与甲方无关。</w:t>
      </w:r>
    </w:p>
    <w:p w14:paraId="70A76438">
      <w:pPr>
        <w:keepNext w:val="0"/>
        <w:keepLines w:val="0"/>
        <w:widowControl/>
        <w:numPr>
          <w:ilvl w:val="0"/>
          <w:numId w:val="0"/>
        </w:numPr>
        <w:suppressLineNumbers w:val="0"/>
        <w:ind w:firstLine="482" w:firstLineChars="200"/>
        <w:jc w:val="left"/>
        <w:rPr>
          <w:rFonts w:hint="eastAsia" w:ascii="仿宋_GB2312" w:hAnsi="仿宋_GB2312" w:eastAsia="仿宋_GB2312" w:cs="仿宋_GB2312"/>
          <w:b/>
          <w:bCs/>
          <w:i w:val="0"/>
          <w:iCs/>
          <w:caps w:val="0"/>
          <w:spacing w:val="0"/>
          <w:w w:val="100"/>
          <w:kern w:val="2"/>
          <w:sz w:val="24"/>
          <w:szCs w:val="24"/>
          <w:lang w:val="en-US" w:eastAsia="zh-CN" w:bidi="ar-SA"/>
        </w:rPr>
      </w:pPr>
      <w:r>
        <w:rPr>
          <w:rFonts w:hint="eastAsia" w:ascii="仿宋_GB2312" w:hAnsi="仿宋_GB2312" w:eastAsia="仿宋_GB2312" w:cs="仿宋_GB2312"/>
          <w:b/>
          <w:bCs/>
          <w:i w:val="0"/>
          <w:iCs/>
          <w:caps w:val="0"/>
          <w:spacing w:val="0"/>
          <w:w w:val="100"/>
          <w:kern w:val="2"/>
          <w:sz w:val="24"/>
          <w:szCs w:val="24"/>
          <w:lang w:val="en-US" w:eastAsia="zh-CN" w:bidi="ar-SA"/>
        </w:rPr>
        <w:t>八、安全生产责任：</w:t>
      </w:r>
    </w:p>
    <w:p w14:paraId="4149C0CC">
      <w:pPr>
        <w:keepNext w:val="0"/>
        <w:keepLines w:val="0"/>
        <w:widowControl/>
        <w:numPr>
          <w:ilvl w:val="0"/>
          <w:numId w:val="0"/>
        </w:numPr>
        <w:suppressLineNumbers w:val="0"/>
        <w:ind w:firstLine="480" w:firstLineChars="200"/>
        <w:jc w:val="left"/>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kern w:val="2"/>
          <w:sz w:val="24"/>
          <w:szCs w:val="24"/>
          <w:lang w:val="en-US" w:eastAsia="zh-CN" w:bidi="ar-SA"/>
        </w:rPr>
        <w:t>乙方每天对设施及设备进行检查，若需修缮及维护的必须及时报给甲方相关负责人进行处理，不得隐瞒安全隐患；每天下班前安排专人对水电气进行检查并关闭阀门。若因水电气发生的意外伤亡均与甲方无关，由乙方负全责。</w:t>
      </w:r>
    </w:p>
    <w:p w14:paraId="5C5E89BE">
      <w:pPr>
        <w:keepNext w:val="0"/>
        <w:keepLines w:val="0"/>
        <w:pageBreakBefore w:val="0"/>
        <w:kinsoku/>
        <w:wordWrap/>
        <w:overflowPunct/>
        <w:topLinePunct w:val="0"/>
        <w:autoSpaceDE/>
        <w:autoSpaceDN/>
        <w:bidi w:val="0"/>
        <w:adjustRightInd/>
        <w:snapToGrid/>
        <w:spacing w:line="360" w:lineRule="exact"/>
        <w:textAlignment w:val="auto"/>
        <w:rPr>
          <w:rFonts w:hint="eastAsia"/>
        </w:rPr>
      </w:pPr>
      <w:r>
        <w:rPr>
          <w:rFonts w:hint="eastAsia" w:ascii="仿宋_GB2312" w:hAnsi="仿宋_GB2312" w:eastAsia="仿宋_GB2312" w:cs="仿宋_GB2312"/>
          <w:b w:val="0"/>
          <w:i w:val="0"/>
          <w:iCs/>
          <w:caps w:val="0"/>
          <w:spacing w:val="0"/>
          <w:w w:val="100"/>
          <w:kern w:val="2"/>
          <w:sz w:val="24"/>
          <w:szCs w:val="24"/>
          <w:lang w:val="en-US" w:eastAsia="zh-CN" w:bidi="ar-SA"/>
        </w:rPr>
        <w:t>甲方对乙方进行各种行政管理，如：卫生、安全、治安、</w:t>
      </w:r>
      <w:r>
        <w:rPr>
          <w:rFonts w:hint="default" w:ascii="仿宋_GB2312" w:hAnsi="仿宋_GB2312" w:eastAsia="仿宋_GB2312" w:cs="仿宋_GB2312"/>
          <w:b w:val="0"/>
          <w:i w:val="0"/>
          <w:iCs/>
          <w:caps w:val="0"/>
          <w:spacing w:val="0"/>
          <w:w w:val="100"/>
          <w:kern w:val="2"/>
          <w:sz w:val="24"/>
          <w:szCs w:val="24"/>
          <w:lang w:val="en-US" w:eastAsia="zh-CN" w:bidi="ar-SA"/>
        </w:rPr>
        <w:t>消防、综合治理、监督等。如有问题也进行相应处罚扣款。</w:t>
      </w:r>
    </w:p>
    <w:p w14:paraId="63D353BC">
      <w:pPr>
        <w:pStyle w:val="3"/>
        <w:keepNext/>
        <w:keepLines/>
        <w:pageBreakBefore w:val="0"/>
        <w:widowControl/>
        <w:tabs>
          <w:tab w:val="left" w:pos="0"/>
        </w:tabs>
        <w:kinsoku/>
        <w:wordWrap/>
        <w:overflowPunct/>
        <w:topLinePunct w:val="0"/>
        <w:autoSpaceDE w:val="0"/>
        <w:autoSpaceDN w:val="0"/>
        <w:bidi w:val="0"/>
        <w:adjustRightInd w:val="0"/>
        <w:snapToGrid w:val="0"/>
        <w:spacing w:before="0" w:beforeAutospacing="0" w:after="0" w:afterAutospacing="0" w:line="240" w:lineRule="atLeast"/>
        <w:ind w:firstLine="2168" w:firstLineChars="600"/>
        <w:jc w:val="both"/>
        <w:textAlignment w:val="baseline"/>
        <w:rPr>
          <w:rFonts w:hint="eastAsia" w:ascii="仿宋_GB2312" w:hAnsi="仿宋_GB2312" w:eastAsia="仿宋_GB2312" w:cs="仿宋_GB2312"/>
          <w:b/>
          <w:i w:val="0"/>
          <w:caps w:val="0"/>
          <w:spacing w:val="0"/>
          <w:w w:val="100"/>
          <w:sz w:val="36"/>
          <w:szCs w:val="36"/>
        </w:rPr>
      </w:pPr>
    </w:p>
    <w:p w14:paraId="3C45401D">
      <w:pPr>
        <w:pStyle w:val="3"/>
        <w:keepNext/>
        <w:keepLines/>
        <w:pageBreakBefore w:val="0"/>
        <w:widowControl/>
        <w:tabs>
          <w:tab w:val="left" w:pos="0"/>
        </w:tabs>
        <w:kinsoku/>
        <w:wordWrap/>
        <w:overflowPunct/>
        <w:topLinePunct w:val="0"/>
        <w:autoSpaceDE w:val="0"/>
        <w:autoSpaceDN w:val="0"/>
        <w:bidi w:val="0"/>
        <w:adjustRightInd w:val="0"/>
        <w:snapToGrid w:val="0"/>
        <w:spacing w:before="0" w:beforeAutospacing="0" w:after="0" w:afterAutospacing="0" w:line="240" w:lineRule="atLeast"/>
        <w:ind w:firstLine="2168" w:firstLineChars="600"/>
        <w:jc w:val="both"/>
        <w:textAlignment w:val="baseline"/>
        <w:rPr>
          <w:rFonts w:ascii="仿宋_GB2312" w:hAnsi="仿宋_GB2312" w:eastAsia="仿宋_GB2312" w:cs="仿宋_GB2312"/>
          <w:b w:val="0"/>
          <w:i w:val="0"/>
          <w:caps w:val="0"/>
          <w:spacing w:val="0"/>
          <w:w w:val="100"/>
          <w:sz w:val="24"/>
        </w:rPr>
      </w:pPr>
      <w:r>
        <w:rPr>
          <w:rFonts w:hint="eastAsia" w:ascii="仿宋_GB2312" w:hAnsi="仿宋_GB2312" w:eastAsia="仿宋_GB2312" w:cs="仿宋_GB2312"/>
          <w:b/>
          <w:i w:val="0"/>
          <w:caps w:val="0"/>
          <w:spacing w:val="0"/>
          <w:w w:val="100"/>
          <w:sz w:val="36"/>
          <w:szCs w:val="36"/>
        </w:rPr>
        <w:t xml:space="preserve">第六章  </w:t>
      </w:r>
      <w:bookmarkStart w:id="1038" w:name="_Toc32647"/>
      <w:bookmarkStart w:id="1039" w:name="_Toc23331"/>
      <w:bookmarkStart w:id="1040" w:name="_Toc7971"/>
      <w:bookmarkStart w:id="1041" w:name="_Toc515647832"/>
      <w:bookmarkStart w:id="1042" w:name="_Toc507399907"/>
      <w:r>
        <w:rPr>
          <w:rFonts w:hint="eastAsia" w:ascii="仿宋_GB2312" w:hAnsi="仿宋_GB2312" w:eastAsia="仿宋_GB2312" w:cs="仿宋_GB2312"/>
          <w:b/>
          <w:i w:val="0"/>
          <w:caps w:val="0"/>
          <w:spacing w:val="0"/>
          <w:w w:val="100"/>
          <w:sz w:val="36"/>
          <w:szCs w:val="36"/>
        </w:rPr>
        <w:t>评标方法和标准</w:t>
      </w:r>
      <w:bookmarkEnd w:id="1036"/>
      <w:bookmarkEnd w:id="1037"/>
      <w:bookmarkEnd w:id="1038"/>
      <w:bookmarkEnd w:id="1039"/>
      <w:bookmarkEnd w:id="1040"/>
      <w:bookmarkEnd w:id="1041"/>
      <w:bookmarkEnd w:id="1042"/>
    </w:p>
    <w:p w14:paraId="771F51BF">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 总则</w:t>
      </w:r>
    </w:p>
    <w:p w14:paraId="05223BB6">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1.1 根据《中华人民共和国政府采购法》、《中华人民共和国政府采购法实施条例》、《政府采购货物和服务招标投标管理办法（财政部第87号令）》等法律制度，结合采购项目特点制定本评标办法。</w:t>
      </w:r>
    </w:p>
    <w:p w14:paraId="1A4E3625">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1.2 评标工作由采购代理机构负责组织，具体评标事务由采购代理机构依法组建的评标委员会负责。评标委员会由采购人代表和有关技术、经济、法律等方面的专家组成。</w:t>
      </w:r>
    </w:p>
    <w:p w14:paraId="1673F879">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1.3 评标工作应遵循公平、公正、科学及择优的原则，并以相同的评标程序和标准对待所有的投标人。</w:t>
      </w:r>
    </w:p>
    <w:p w14:paraId="30601557">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1.4 评标委员会按照招标文件规定的评标方法和标准进行评标，并独立履行下列职责：</w:t>
      </w:r>
    </w:p>
    <w:p w14:paraId="75E0A473">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（一）审查、评价投标文件是否符合招标文件的商务、技术等实质性要求；</w:t>
      </w:r>
    </w:p>
    <w:p w14:paraId="6181BCAD">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（二）要求投标人对投标文件有关事项作出澄清或者说明；</w:t>
      </w:r>
    </w:p>
    <w:p w14:paraId="443AF2AA">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（三）对投标文件进行比较和评价；</w:t>
      </w:r>
    </w:p>
    <w:p w14:paraId="2AAD02B0">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（四）确定中标候选人名单，以及根据采购人委托直接确定中标人；</w:t>
      </w:r>
    </w:p>
    <w:p w14:paraId="64F2505F">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（五）向采购人、采购代理机构或者有关部门报告评标中发现的违法行为。</w:t>
      </w:r>
    </w:p>
    <w:p w14:paraId="3E701F94">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（六）法律、法规和规章规定的其他职责。</w:t>
      </w:r>
    </w:p>
    <w:p w14:paraId="42130DC2">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1.5 评标过程独立、保密。投标人非法干预评标过程的行为将导致其投标文件作为无效处理。</w:t>
      </w:r>
    </w:p>
    <w:p w14:paraId="672CDFCE">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1.6评标委员会评价投标文件的响应性，对于投标人而言，除评标委员会要求其澄清、说明或者更正而提供的资料外，仅依据投标文件本身的内容，不寻求其他外部证据。</w:t>
      </w:r>
    </w:p>
    <w:p w14:paraId="725C6292">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 xml:space="preserve"> 1.7采购人或者采购代理机构负责组织评标工作，并履行下列职责：</w:t>
      </w:r>
    </w:p>
    <w:p w14:paraId="1E9D0086">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（一）核对评审专家身份和采购人代表信息，对评审专家在政府采购活动中的职责履行情况予以记录，并及时将有关违法违规行为向财政部门报告；</w:t>
      </w:r>
    </w:p>
    <w:p w14:paraId="3F013B7C">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（二）宣布评标纪律；</w:t>
      </w:r>
    </w:p>
    <w:p w14:paraId="48B181A3">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（三）公布投标人名单，告知评审专家应当回避的情形；</w:t>
      </w:r>
    </w:p>
    <w:p w14:paraId="51AC9099">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（四）组织评标委员会推选评标组长，采购人代表不得担任组长；</w:t>
      </w:r>
    </w:p>
    <w:p w14:paraId="78B16CFF">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（五）在评标期间采取必要的通讯管理措施，保证评标活动不受外界干扰；</w:t>
      </w:r>
    </w:p>
    <w:p w14:paraId="58A0711F">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（六）根据评标委员会的要求介绍政府采购相关政策法规、招标文件；</w:t>
      </w:r>
    </w:p>
    <w:p w14:paraId="4FD09C4B">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（七）维护评标秩序，监督评标委员会依照招标文件规定的评标程序、方法和标准进行独立评审，及时制止和纠正采购人代表、评审专家的倾向性言论或者违法违规行为；</w:t>
      </w:r>
    </w:p>
    <w:p w14:paraId="3ADF22FF">
      <w:pPr>
        <w:pStyle w:val="10"/>
        <w:snapToGrid w:val="0"/>
        <w:spacing w:before="0" w:beforeAutospacing="0" w:after="0" w:afterAutospacing="0" w:line="360" w:lineRule="auto"/>
        <w:ind w:firstLine="240" w:firstLineChars="1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（八）核对评标结果，有财政部87号令第六十四条规定情形的，要求评标委员会复核或者书面说明理由，评标委员会拒绝的，应予记录并向本级财政部门报告；</w:t>
      </w:r>
    </w:p>
    <w:p w14:paraId="6F830BB2">
      <w:pPr>
        <w:pStyle w:val="10"/>
        <w:snapToGrid w:val="0"/>
        <w:spacing w:before="0" w:beforeAutospacing="0" w:after="0" w:afterAutospacing="0" w:line="360" w:lineRule="auto"/>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　（九）处理与评标有关的其他事项。</w:t>
      </w:r>
    </w:p>
    <w:p w14:paraId="7900EF67">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采购人可以在评标前说明项目背景和采购需求，说明内容不得含有歧视性、倾向性意见，不得超出招标文件所述范围。说明应当提交书面材料，并随采购文件一并存档。</w:t>
      </w:r>
    </w:p>
    <w:p w14:paraId="1378F6C7">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2、评标方法</w:t>
      </w:r>
    </w:p>
    <w:p w14:paraId="7AECCA37">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本项目评标方法为：综合评分法。</w:t>
      </w:r>
    </w:p>
    <w:p w14:paraId="6D20BC96">
      <w:pPr>
        <w:pStyle w:val="10"/>
        <w:snapToGrid w:val="0"/>
        <w:spacing w:before="0" w:beforeAutospacing="0" w:after="0" w:afterAutospacing="0" w:line="360" w:lineRule="auto"/>
        <w:ind w:firstLine="480" w:firstLineChars="200"/>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3、 评标程序</w:t>
      </w:r>
    </w:p>
    <w:p w14:paraId="5EBA08C3">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3.1熟悉和理解招标文件和停止评标。</w:t>
      </w:r>
    </w:p>
    <w:p w14:paraId="15B43C6E">
      <w:pPr>
        <w:pStyle w:val="10"/>
        <w:snapToGrid w:val="0"/>
        <w:spacing w:before="0" w:beforeAutospacing="0" w:after="0" w:afterAutospacing="0" w:line="360" w:lineRule="auto"/>
        <w:ind w:left="-181" w:leftChars="-86" w:firstLine="660" w:firstLineChars="275"/>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3.1.1评标委员会正式评标前，应当对招标文件进行熟悉和理解，内容主要包括招标文件中采购项目技术、服务和商务要求、评标方法和标准以及可能涉及签订政府采购合同的内容等。</w:t>
      </w:r>
    </w:p>
    <w:p w14:paraId="469FA44B">
      <w:pPr>
        <w:pStyle w:val="10"/>
        <w:snapToGrid w:val="0"/>
        <w:spacing w:before="0" w:beforeAutospacing="0" w:after="0" w:afterAutospacing="0" w:line="360" w:lineRule="auto"/>
        <w:ind w:left="-199" w:leftChars="-95" w:firstLine="199" w:firstLineChars="83"/>
        <w:jc w:val="both"/>
        <w:textAlignment w:val="baseline"/>
        <w:rPr>
          <w:rFonts w:ascii="仿宋_GB2312" w:hAnsi="仿宋_GB2312" w:eastAsia="仿宋_GB2312" w:cs="仿宋_GB2312"/>
          <w:b w:val="0"/>
          <w:i w:val="0"/>
          <w:iCs/>
          <w:caps w:val="0"/>
          <w:spacing w:val="0"/>
          <w:w w:val="100"/>
          <w:sz w:val="24"/>
        </w:rPr>
      </w:pPr>
      <w:r>
        <w:rPr>
          <w:rFonts w:hint="eastAsia" w:ascii="仿宋_GB2312" w:hAnsi="仿宋_GB2312" w:eastAsia="仿宋_GB2312" w:cs="仿宋_GB2312"/>
          <w:b w:val="0"/>
          <w:i w:val="0"/>
          <w:iCs/>
          <w:caps w:val="0"/>
          <w:spacing w:val="0"/>
          <w:w w:val="100"/>
          <w:sz w:val="24"/>
        </w:rPr>
        <w:t xml:space="preserve">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55EFE31">
      <w:pPr>
        <w:pStyle w:val="10"/>
        <w:tabs>
          <w:tab w:val="clear" w:pos="567"/>
        </w:tabs>
        <w:spacing w:before="0" w:line="360" w:lineRule="auto"/>
        <w:ind w:left="-181" w:leftChars="-86" w:firstLine="663" w:firstLineChars="275"/>
        <w:jc w:val="both"/>
        <w:rPr>
          <w:rFonts w:hint="eastAsia" w:ascii="仿宋_GB2312" w:hAnsi="仿宋_GB2312" w:eastAsia="仿宋_GB2312" w:cs="仿宋_GB2312"/>
          <w:b/>
          <w:bCs/>
          <w:iCs/>
        </w:rPr>
      </w:pPr>
      <w:r>
        <w:rPr>
          <w:rFonts w:hint="eastAsia" w:ascii="仿宋_GB2312" w:hAnsi="仿宋_GB2312" w:eastAsia="仿宋_GB2312" w:cs="仿宋_GB2312"/>
          <w:b/>
          <w:bCs/>
          <w:iCs/>
        </w:rPr>
        <w:t>3.2资格性检查</w:t>
      </w:r>
    </w:p>
    <w:tbl>
      <w:tblPr>
        <w:tblStyle w:val="36"/>
        <w:tblW w:w="9097" w:type="dxa"/>
        <w:tblInd w:w="113" w:type="dxa"/>
        <w:tblLayout w:type="fixed"/>
        <w:tblCellMar>
          <w:top w:w="0" w:type="dxa"/>
          <w:left w:w="108" w:type="dxa"/>
          <w:bottom w:w="0" w:type="dxa"/>
          <w:right w:w="108" w:type="dxa"/>
        </w:tblCellMar>
      </w:tblPr>
      <w:tblGrid>
        <w:gridCol w:w="546"/>
        <w:gridCol w:w="6075"/>
        <w:gridCol w:w="619"/>
        <w:gridCol w:w="619"/>
        <w:gridCol w:w="619"/>
        <w:gridCol w:w="619"/>
      </w:tblGrid>
      <w:tr w14:paraId="2031F6F8">
        <w:tblPrEx>
          <w:tblCellMar>
            <w:top w:w="0" w:type="dxa"/>
            <w:left w:w="108" w:type="dxa"/>
            <w:bottom w:w="0" w:type="dxa"/>
            <w:right w:w="108" w:type="dxa"/>
          </w:tblCellMar>
        </w:tblPrEx>
        <w:trPr>
          <w:trHeight w:val="410" w:hRule="atLeast"/>
        </w:trPr>
        <w:tc>
          <w:tcPr>
            <w:tcW w:w="546"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0741A8D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序号</w:t>
            </w:r>
          </w:p>
        </w:tc>
        <w:tc>
          <w:tcPr>
            <w:tcW w:w="6075"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62711C0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审核项目</w:t>
            </w:r>
          </w:p>
        </w:tc>
        <w:tc>
          <w:tcPr>
            <w:tcW w:w="1238" w:type="dxa"/>
            <w:gridSpan w:val="2"/>
            <w:tcBorders>
              <w:top w:val="single" w:color="auto" w:sz="4" w:space="0"/>
              <w:left w:val="nil"/>
              <w:bottom w:val="single" w:color="auto" w:sz="4" w:space="0"/>
              <w:right w:val="single" w:color="auto" w:sz="4" w:space="0"/>
            </w:tcBorders>
            <w:shd w:val="clear" w:color="auto" w:fill="FFFFFF"/>
            <w:noWrap w:val="0"/>
            <w:vAlign w:val="center"/>
          </w:tcPr>
          <w:p w14:paraId="72ABD96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投标人</w:t>
            </w:r>
          </w:p>
        </w:tc>
        <w:tc>
          <w:tcPr>
            <w:tcW w:w="1238" w:type="dxa"/>
            <w:gridSpan w:val="2"/>
            <w:tcBorders>
              <w:top w:val="single" w:color="auto" w:sz="4" w:space="0"/>
              <w:left w:val="nil"/>
              <w:bottom w:val="single" w:color="auto" w:sz="4" w:space="0"/>
              <w:right w:val="single" w:color="auto" w:sz="4" w:space="0"/>
            </w:tcBorders>
            <w:shd w:val="clear" w:color="auto" w:fill="FFFFFF"/>
            <w:noWrap w:val="0"/>
            <w:vAlign w:val="center"/>
          </w:tcPr>
          <w:p w14:paraId="3CF6748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投标人</w:t>
            </w:r>
          </w:p>
        </w:tc>
      </w:tr>
      <w:tr w14:paraId="776D1476">
        <w:tblPrEx>
          <w:tblCellMar>
            <w:top w:w="0" w:type="dxa"/>
            <w:left w:w="108" w:type="dxa"/>
            <w:bottom w:w="0" w:type="dxa"/>
            <w:right w:w="108" w:type="dxa"/>
          </w:tblCellMar>
        </w:tblPrEx>
        <w:trPr>
          <w:trHeight w:val="90" w:hRule="atLeast"/>
        </w:trPr>
        <w:tc>
          <w:tcPr>
            <w:tcW w:w="546"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456AAF1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p>
        </w:tc>
        <w:tc>
          <w:tcPr>
            <w:tcW w:w="6075"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26732161">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b/>
                <w:bCs/>
                <w:color w:val="000000"/>
                <w:kern w:val="0"/>
                <w:sz w:val="22"/>
                <w:szCs w:val="22"/>
                <w:highlight w:val="none"/>
                <w:shd w:val="clear" w:color="auto" w:fill="auto"/>
              </w:rPr>
            </w:pPr>
          </w:p>
        </w:tc>
        <w:tc>
          <w:tcPr>
            <w:tcW w:w="619" w:type="dxa"/>
            <w:tcBorders>
              <w:top w:val="nil"/>
              <w:left w:val="nil"/>
              <w:bottom w:val="single" w:color="auto" w:sz="4" w:space="0"/>
              <w:right w:val="single" w:color="auto" w:sz="4" w:space="0"/>
            </w:tcBorders>
            <w:shd w:val="clear" w:color="auto" w:fill="FFFFFF"/>
            <w:noWrap w:val="0"/>
            <w:vAlign w:val="center"/>
          </w:tcPr>
          <w:p w14:paraId="3AF030B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是</w:t>
            </w:r>
          </w:p>
        </w:tc>
        <w:tc>
          <w:tcPr>
            <w:tcW w:w="619" w:type="dxa"/>
            <w:tcBorders>
              <w:top w:val="nil"/>
              <w:left w:val="nil"/>
              <w:bottom w:val="single" w:color="auto" w:sz="4" w:space="0"/>
              <w:right w:val="single" w:color="auto" w:sz="4" w:space="0"/>
            </w:tcBorders>
            <w:shd w:val="clear" w:color="auto" w:fill="FFFFFF"/>
            <w:noWrap w:val="0"/>
            <w:vAlign w:val="center"/>
          </w:tcPr>
          <w:p w14:paraId="5265722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否</w:t>
            </w:r>
          </w:p>
        </w:tc>
        <w:tc>
          <w:tcPr>
            <w:tcW w:w="619" w:type="dxa"/>
            <w:tcBorders>
              <w:top w:val="nil"/>
              <w:left w:val="nil"/>
              <w:bottom w:val="single" w:color="auto" w:sz="4" w:space="0"/>
              <w:right w:val="single" w:color="auto" w:sz="4" w:space="0"/>
            </w:tcBorders>
            <w:shd w:val="clear" w:color="auto" w:fill="FFFFFF"/>
            <w:noWrap w:val="0"/>
            <w:vAlign w:val="center"/>
          </w:tcPr>
          <w:p w14:paraId="14E8E37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是</w:t>
            </w:r>
          </w:p>
        </w:tc>
        <w:tc>
          <w:tcPr>
            <w:tcW w:w="619" w:type="dxa"/>
            <w:tcBorders>
              <w:top w:val="nil"/>
              <w:left w:val="nil"/>
              <w:bottom w:val="single" w:color="auto" w:sz="4" w:space="0"/>
              <w:right w:val="single" w:color="auto" w:sz="4" w:space="0"/>
            </w:tcBorders>
            <w:shd w:val="clear" w:color="auto" w:fill="FFFFFF"/>
            <w:noWrap w:val="0"/>
            <w:vAlign w:val="center"/>
          </w:tcPr>
          <w:p w14:paraId="749C627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b/>
                <w:bCs/>
                <w:color w:val="000000"/>
                <w:kern w:val="0"/>
                <w:sz w:val="22"/>
                <w:szCs w:val="22"/>
                <w:highlight w:val="none"/>
                <w:shd w:val="clear" w:color="auto" w:fill="auto"/>
              </w:rPr>
            </w:pPr>
            <w:r>
              <w:rPr>
                <w:rFonts w:hint="default" w:ascii="Times New Roman" w:hAnsi="Times New Roman" w:eastAsia="仿宋" w:cs="Times New Roman"/>
                <w:b/>
                <w:bCs/>
                <w:color w:val="000000"/>
                <w:kern w:val="0"/>
                <w:sz w:val="22"/>
                <w:szCs w:val="22"/>
                <w:highlight w:val="none"/>
                <w:shd w:val="clear" w:color="auto" w:fill="auto"/>
              </w:rPr>
              <w:t>否</w:t>
            </w:r>
          </w:p>
        </w:tc>
      </w:tr>
      <w:tr w14:paraId="0ABEB91D">
        <w:tblPrEx>
          <w:tblCellMar>
            <w:top w:w="0" w:type="dxa"/>
            <w:left w:w="108" w:type="dxa"/>
            <w:bottom w:w="0" w:type="dxa"/>
            <w:right w:w="108" w:type="dxa"/>
          </w:tblCellMar>
        </w:tblPrEx>
        <w:trPr>
          <w:trHeight w:val="90" w:hRule="atLeast"/>
        </w:trPr>
        <w:tc>
          <w:tcPr>
            <w:tcW w:w="546" w:type="dxa"/>
            <w:tcBorders>
              <w:top w:val="nil"/>
              <w:left w:val="single" w:color="auto" w:sz="4" w:space="0"/>
              <w:bottom w:val="single" w:color="auto" w:sz="4" w:space="0"/>
              <w:right w:val="single" w:color="auto" w:sz="4" w:space="0"/>
            </w:tcBorders>
            <w:noWrap w:val="0"/>
            <w:vAlign w:val="center"/>
          </w:tcPr>
          <w:p w14:paraId="5794481B">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1</w:t>
            </w:r>
          </w:p>
        </w:tc>
        <w:tc>
          <w:tcPr>
            <w:tcW w:w="6075" w:type="dxa"/>
            <w:tcBorders>
              <w:top w:val="nil"/>
              <w:left w:val="nil"/>
              <w:bottom w:val="single" w:color="auto" w:sz="4" w:space="0"/>
              <w:right w:val="single" w:color="auto" w:sz="4" w:space="0"/>
            </w:tcBorders>
            <w:noWrap w:val="0"/>
            <w:vAlign w:val="center"/>
          </w:tcPr>
          <w:p w14:paraId="4F983C0B">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提供有效期内且年检合格的营业执照</w:t>
            </w:r>
            <w:r>
              <w:rPr>
                <w:rFonts w:hint="eastAsia" w:ascii="仿宋" w:hAnsi="仿宋" w:eastAsia="仿宋" w:cs="宋体"/>
                <w:kern w:val="0"/>
                <w:szCs w:val="21"/>
                <w:lang w:val="en-US" w:eastAsia="zh-CN" w:bidi="ar"/>
              </w:rPr>
              <w:t>；</w:t>
            </w:r>
          </w:p>
        </w:tc>
        <w:tc>
          <w:tcPr>
            <w:tcW w:w="619" w:type="dxa"/>
            <w:tcBorders>
              <w:top w:val="nil"/>
              <w:left w:val="nil"/>
              <w:bottom w:val="single" w:color="auto" w:sz="4" w:space="0"/>
              <w:right w:val="single" w:color="auto" w:sz="4" w:space="0"/>
            </w:tcBorders>
            <w:noWrap w:val="0"/>
            <w:vAlign w:val="center"/>
          </w:tcPr>
          <w:p w14:paraId="00CF089A">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07E0B645">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1A97F6D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6B7FC809">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4E203D95">
        <w:tblPrEx>
          <w:tblCellMar>
            <w:top w:w="0" w:type="dxa"/>
            <w:left w:w="108" w:type="dxa"/>
            <w:bottom w:w="0" w:type="dxa"/>
            <w:right w:w="108" w:type="dxa"/>
          </w:tblCellMar>
        </w:tblPrEx>
        <w:trPr>
          <w:trHeight w:val="501" w:hRule="atLeast"/>
        </w:trPr>
        <w:tc>
          <w:tcPr>
            <w:tcW w:w="546" w:type="dxa"/>
            <w:tcBorders>
              <w:top w:val="nil"/>
              <w:left w:val="single" w:color="auto" w:sz="4" w:space="0"/>
              <w:bottom w:val="single" w:color="auto" w:sz="4" w:space="0"/>
              <w:right w:val="single" w:color="auto" w:sz="4" w:space="0"/>
            </w:tcBorders>
            <w:noWrap w:val="0"/>
            <w:vAlign w:val="center"/>
          </w:tcPr>
          <w:p w14:paraId="4FE2327D">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2</w:t>
            </w:r>
          </w:p>
        </w:tc>
        <w:tc>
          <w:tcPr>
            <w:tcW w:w="6075" w:type="dxa"/>
            <w:tcBorders>
              <w:top w:val="nil"/>
              <w:left w:val="nil"/>
              <w:bottom w:val="single" w:color="auto" w:sz="4" w:space="0"/>
              <w:right w:val="single" w:color="auto" w:sz="4" w:space="0"/>
            </w:tcBorders>
            <w:noWrap w:val="0"/>
            <w:vAlign w:val="center"/>
          </w:tcPr>
          <w:p w14:paraId="437D2EC9">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bidi="ar"/>
              </w:rPr>
            </w:pPr>
            <w:r>
              <w:rPr>
                <w:rFonts w:hint="eastAsia" w:ascii="仿宋" w:hAnsi="仿宋" w:eastAsia="仿宋" w:cs="宋体"/>
                <w:kern w:val="0"/>
                <w:szCs w:val="21"/>
                <w:lang w:val="en-US" w:eastAsia="zh-CN" w:bidi="ar"/>
              </w:rPr>
              <w:t>法定代表人资格证明及授权书、被授权人身份证(法定代表人投标需提供法定代表人身份证)；</w:t>
            </w:r>
          </w:p>
        </w:tc>
        <w:tc>
          <w:tcPr>
            <w:tcW w:w="619" w:type="dxa"/>
            <w:tcBorders>
              <w:top w:val="nil"/>
              <w:left w:val="nil"/>
              <w:bottom w:val="single" w:color="auto" w:sz="4" w:space="0"/>
              <w:right w:val="single" w:color="auto" w:sz="4" w:space="0"/>
            </w:tcBorders>
            <w:noWrap w:val="0"/>
            <w:vAlign w:val="center"/>
          </w:tcPr>
          <w:p w14:paraId="14839AD2">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66A91CE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3E770317">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0617AC5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07288E8A">
        <w:tblPrEx>
          <w:tblCellMar>
            <w:top w:w="0" w:type="dxa"/>
            <w:left w:w="108" w:type="dxa"/>
            <w:bottom w:w="0" w:type="dxa"/>
            <w:right w:w="108" w:type="dxa"/>
          </w:tblCellMar>
        </w:tblPrEx>
        <w:trPr>
          <w:trHeight w:val="211" w:hRule="atLeast"/>
        </w:trPr>
        <w:tc>
          <w:tcPr>
            <w:tcW w:w="546" w:type="dxa"/>
            <w:tcBorders>
              <w:top w:val="nil"/>
              <w:left w:val="single" w:color="auto" w:sz="4" w:space="0"/>
              <w:bottom w:val="single" w:color="auto" w:sz="4" w:space="0"/>
              <w:right w:val="single" w:color="auto" w:sz="4" w:space="0"/>
            </w:tcBorders>
            <w:noWrap w:val="0"/>
            <w:vAlign w:val="center"/>
          </w:tcPr>
          <w:p w14:paraId="338EF5FB">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3</w:t>
            </w:r>
          </w:p>
        </w:tc>
        <w:tc>
          <w:tcPr>
            <w:tcW w:w="6075" w:type="dxa"/>
            <w:tcBorders>
              <w:top w:val="nil"/>
              <w:left w:val="nil"/>
              <w:bottom w:val="single" w:color="auto" w:sz="4" w:space="0"/>
              <w:right w:val="single" w:color="auto" w:sz="4" w:space="0"/>
            </w:tcBorders>
            <w:noWrap w:val="0"/>
            <w:vAlign w:val="center"/>
          </w:tcPr>
          <w:p w14:paraId="061AD065">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提供近两年内任意一年的财务审计报告（新成立的公司可提供近一个月的银行资信证明）；</w:t>
            </w:r>
          </w:p>
        </w:tc>
        <w:tc>
          <w:tcPr>
            <w:tcW w:w="619" w:type="dxa"/>
            <w:tcBorders>
              <w:top w:val="nil"/>
              <w:left w:val="nil"/>
              <w:bottom w:val="single" w:color="auto" w:sz="4" w:space="0"/>
              <w:right w:val="single" w:color="auto" w:sz="4" w:space="0"/>
            </w:tcBorders>
            <w:noWrap w:val="0"/>
            <w:vAlign w:val="center"/>
          </w:tcPr>
          <w:p w14:paraId="7061C32E">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22182CDC">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65CED5DB">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648E6BBB">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19DD58F7">
        <w:tblPrEx>
          <w:tblCellMar>
            <w:top w:w="0" w:type="dxa"/>
            <w:left w:w="108" w:type="dxa"/>
            <w:bottom w:w="0" w:type="dxa"/>
            <w:right w:w="108" w:type="dxa"/>
          </w:tblCellMar>
        </w:tblPrEx>
        <w:trPr>
          <w:trHeight w:val="185" w:hRule="atLeast"/>
        </w:trPr>
        <w:tc>
          <w:tcPr>
            <w:tcW w:w="546" w:type="dxa"/>
            <w:tcBorders>
              <w:top w:val="nil"/>
              <w:left w:val="single" w:color="auto" w:sz="4" w:space="0"/>
              <w:bottom w:val="single" w:color="auto" w:sz="4" w:space="0"/>
              <w:right w:val="single" w:color="auto" w:sz="4" w:space="0"/>
            </w:tcBorders>
            <w:noWrap w:val="0"/>
            <w:vAlign w:val="center"/>
          </w:tcPr>
          <w:p w14:paraId="697E4D76">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4</w:t>
            </w:r>
          </w:p>
        </w:tc>
        <w:tc>
          <w:tcPr>
            <w:tcW w:w="6075" w:type="dxa"/>
            <w:tcBorders>
              <w:top w:val="nil"/>
              <w:left w:val="nil"/>
              <w:bottom w:val="single" w:color="auto" w:sz="4" w:space="0"/>
              <w:right w:val="single" w:color="auto" w:sz="4" w:space="0"/>
            </w:tcBorders>
            <w:noWrap w:val="0"/>
            <w:vAlign w:val="center"/>
          </w:tcPr>
          <w:p w14:paraId="2B2F61A6">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投标企业依法缴纳近 3个月内其中任意1个月的社会保险凭据；</w:t>
            </w:r>
          </w:p>
        </w:tc>
        <w:tc>
          <w:tcPr>
            <w:tcW w:w="619" w:type="dxa"/>
            <w:tcBorders>
              <w:top w:val="nil"/>
              <w:left w:val="nil"/>
              <w:bottom w:val="single" w:color="auto" w:sz="4" w:space="0"/>
              <w:right w:val="single" w:color="auto" w:sz="4" w:space="0"/>
            </w:tcBorders>
            <w:noWrap w:val="0"/>
            <w:vAlign w:val="center"/>
          </w:tcPr>
          <w:p w14:paraId="7B81FF5A">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3EFAF67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269A1B9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171AD5F4">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4A40F0BE">
        <w:tblPrEx>
          <w:tblCellMar>
            <w:top w:w="0" w:type="dxa"/>
            <w:left w:w="108" w:type="dxa"/>
            <w:bottom w:w="0" w:type="dxa"/>
            <w:right w:w="108" w:type="dxa"/>
          </w:tblCellMar>
        </w:tblPrEx>
        <w:trPr>
          <w:trHeight w:val="398" w:hRule="atLeast"/>
        </w:trPr>
        <w:tc>
          <w:tcPr>
            <w:tcW w:w="546" w:type="dxa"/>
            <w:tcBorders>
              <w:top w:val="nil"/>
              <w:left w:val="single" w:color="auto" w:sz="4" w:space="0"/>
              <w:bottom w:val="single" w:color="auto" w:sz="4" w:space="0"/>
              <w:right w:val="single" w:color="auto" w:sz="4" w:space="0"/>
            </w:tcBorders>
            <w:noWrap w:val="0"/>
            <w:vAlign w:val="center"/>
          </w:tcPr>
          <w:p w14:paraId="695D7671">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5</w:t>
            </w:r>
          </w:p>
        </w:tc>
        <w:tc>
          <w:tcPr>
            <w:tcW w:w="6075" w:type="dxa"/>
            <w:tcBorders>
              <w:top w:val="nil"/>
              <w:left w:val="nil"/>
              <w:bottom w:val="single" w:color="auto" w:sz="4" w:space="0"/>
              <w:right w:val="single" w:color="auto" w:sz="4" w:space="0"/>
            </w:tcBorders>
            <w:noWrap w:val="0"/>
            <w:vAlign w:val="center"/>
          </w:tcPr>
          <w:p w14:paraId="4837E4F9">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投标企业提供税务部门出具的近3个月内其中任意1个月的完税证明（零申报需加盖税务机关鲜章），非社会保险类；</w:t>
            </w:r>
          </w:p>
        </w:tc>
        <w:tc>
          <w:tcPr>
            <w:tcW w:w="619" w:type="dxa"/>
            <w:tcBorders>
              <w:top w:val="nil"/>
              <w:left w:val="nil"/>
              <w:bottom w:val="single" w:color="auto" w:sz="4" w:space="0"/>
              <w:right w:val="single" w:color="auto" w:sz="4" w:space="0"/>
            </w:tcBorders>
            <w:noWrap w:val="0"/>
            <w:vAlign w:val="center"/>
          </w:tcPr>
          <w:p w14:paraId="3B3171B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2E059933">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57455E4C">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4AFF3A4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027A078D">
        <w:tblPrEx>
          <w:tblCellMar>
            <w:top w:w="0" w:type="dxa"/>
            <w:left w:w="108" w:type="dxa"/>
            <w:bottom w:w="0" w:type="dxa"/>
            <w:right w:w="108" w:type="dxa"/>
          </w:tblCellMar>
        </w:tblPrEx>
        <w:trPr>
          <w:trHeight w:val="3482" w:hRule="atLeast"/>
        </w:trPr>
        <w:tc>
          <w:tcPr>
            <w:tcW w:w="546" w:type="dxa"/>
            <w:tcBorders>
              <w:top w:val="nil"/>
              <w:left w:val="single" w:color="auto" w:sz="4" w:space="0"/>
              <w:bottom w:val="single" w:color="auto" w:sz="4" w:space="0"/>
              <w:right w:val="single" w:color="auto" w:sz="4" w:space="0"/>
            </w:tcBorders>
            <w:noWrap w:val="0"/>
            <w:vAlign w:val="center"/>
          </w:tcPr>
          <w:p w14:paraId="14445CC8">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6</w:t>
            </w:r>
          </w:p>
        </w:tc>
        <w:tc>
          <w:tcPr>
            <w:tcW w:w="6075" w:type="dxa"/>
            <w:tcBorders>
              <w:top w:val="nil"/>
              <w:left w:val="nil"/>
              <w:bottom w:val="single" w:color="auto" w:sz="4" w:space="0"/>
              <w:right w:val="single" w:color="auto" w:sz="4" w:space="0"/>
            </w:tcBorders>
            <w:noWrap w:val="0"/>
            <w:vAlign w:val="center"/>
          </w:tcPr>
          <w:p w14:paraId="38FE73E9">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列入严重违法失信名单（黑名单）信息；将拒绝其参加本次招标活动；</w:t>
            </w:r>
          </w:p>
        </w:tc>
        <w:tc>
          <w:tcPr>
            <w:tcW w:w="619" w:type="dxa"/>
            <w:tcBorders>
              <w:top w:val="nil"/>
              <w:left w:val="nil"/>
              <w:bottom w:val="single" w:color="auto" w:sz="4" w:space="0"/>
              <w:right w:val="single" w:color="auto" w:sz="4" w:space="0"/>
            </w:tcBorders>
            <w:noWrap w:val="0"/>
            <w:vAlign w:val="center"/>
          </w:tcPr>
          <w:p w14:paraId="4586C6DE">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11FC115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5BE4FCB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3046DC32">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095A4AA1">
        <w:tblPrEx>
          <w:tblCellMar>
            <w:top w:w="0" w:type="dxa"/>
            <w:left w:w="108" w:type="dxa"/>
            <w:bottom w:w="0" w:type="dxa"/>
            <w:right w:w="108" w:type="dxa"/>
          </w:tblCellMar>
        </w:tblPrEx>
        <w:trPr>
          <w:trHeight w:val="90" w:hRule="atLeast"/>
        </w:trPr>
        <w:tc>
          <w:tcPr>
            <w:tcW w:w="546" w:type="dxa"/>
            <w:tcBorders>
              <w:top w:val="nil"/>
              <w:left w:val="single" w:color="auto" w:sz="4" w:space="0"/>
              <w:bottom w:val="single" w:color="auto" w:sz="4" w:space="0"/>
              <w:right w:val="single" w:color="auto" w:sz="4" w:space="0"/>
            </w:tcBorders>
            <w:noWrap w:val="0"/>
            <w:vAlign w:val="center"/>
          </w:tcPr>
          <w:p w14:paraId="26F39A1E">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7</w:t>
            </w:r>
          </w:p>
        </w:tc>
        <w:tc>
          <w:tcPr>
            <w:tcW w:w="6075" w:type="dxa"/>
            <w:tcBorders>
              <w:top w:val="nil"/>
              <w:left w:val="nil"/>
              <w:bottom w:val="single" w:color="auto" w:sz="4" w:space="0"/>
              <w:right w:val="single" w:color="auto" w:sz="4" w:space="0"/>
            </w:tcBorders>
            <w:noWrap w:val="0"/>
            <w:vAlign w:val="center"/>
          </w:tcPr>
          <w:p w14:paraId="503432E5">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参与政府采购活动前3年内未被列入失信、重大税收违法案件、财政部门禁止参加政府采购活动的承诺书；</w:t>
            </w:r>
          </w:p>
        </w:tc>
        <w:tc>
          <w:tcPr>
            <w:tcW w:w="619" w:type="dxa"/>
            <w:tcBorders>
              <w:top w:val="nil"/>
              <w:left w:val="nil"/>
              <w:bottom w:val="single" w:color="auto" w:sz="4" w:space="0"/>
              <w:right w:val="single" w:color="auto" w:sz="4" w:space="0"/>
            </w:tcBorders>
            <w:noWrap w:val="0"/>
            <w:vAlign w:val="center"/>
          </w:tcPr>
          <w:p w14:paraId="3A7B4E6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7610C425">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143ABE77">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72DDCE77">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7C7A7983">
        <w:tblPrEx>
          <w:tblCellMar>
            <w:top w:w="0" w:type="dxa"/>
            <w:left w:w="108" w:type="dxa"/>
            <w:bottom w:w="0" w:type="dxa"/>
            <w:right w:w="108" w:type="dxa"/>
          </w:tblCellMar>
        </w:tblPrEx>
        <w:trPr>
          <w:trHeight w:val="350" w:hRule="atLeast"/>
        </w:trPr>
        <w:tc>
          <w:tcPr>
            <w:tcW w:w="546" w:type="dxa"/>
            <w:tcBorders>
              <w:top w:val="nil"/>
              <w:left w:val="single" w:color="auto" w:sz="4" w:space="0"/>
              <w:bottom w:val="single" w:color="auto" w:sz="4" w:space="0"/>
              <w:right w:val="single" w:color="auto" w:sz="4" w:space="0"/>
            </w:tcBorders>
            <w:noWrap w:val="0"/>
            <w:vAlign w:val="center"/>
          </w:tcPr>
          <w:p w14:paraId="2608C134">
            <w:pPr>
              <w:keepNext w:val="0"/>
              <w:keepLines w:val="0"/>
              <w:widowControl/>
              <w:suppressLineNumbers w:val="0"/>
              <w:spacing w:before="0" w:beforeAutospacing="0" w:after="0" w:afterAutospacing="0" w:line="300" w:lineRule="auto"/>
              <w:ind w:left="0" w:right="0"/>
              <w:jc w:val="center"/>
              <w:textAlignment w:val="center"/>
              <w:rPr>
                <w:rFonts w:hint="eastAsia" w:ascii="仿宋" w:hAnsi="仿宋" w:eastAsia="仿宋" w:cs="宋体"/>
                <w:kern w:val="0"/>
                <w:szCs w:val="21"/>
                <w:lang w:bidi="ar"/>
              </w:rPr>
            </w:pPr>
            <w:r>
              <w:rPr>
                <w:rFonts w:hint="eastAsia" w:ascii="仿宋" w:hAnsi="仿宋" w:eastAsia="仿宋" w:cs="宋体"/>
                <w:kern w:val="0"/>
                <w:szCs w:val="21"/>
                <w:lang w:bidi="ar"/>
              </w:rPr>
              <w:t>8</w:t>
            </w:r>
          </w:p>
        </w:tc>
        <w:tc>
          <w:tcPr>
            <w:tcW w:w="6075" w:type="dxa"/>
            <w:tcBorders>
              <w:top w:val="nil"/>
              <w:left w:val="nil"/>
              <w:bottom w:val="single" w:color="auto" w:sz="4" w:space="0"/>
              <w:right w:val="single" w:color="auto" w:sz="4" w:space="0"/>
            </w:tcBorders>
            <w:noWrap w:val="0"/>
            <w:vAlign w:val="center"/>
          </w:tcPr>
          <w:p w14:paraId="3135D372">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提供针对本次项目《反商业贿赂承诺书》 ；</w:t>
            </w:r>
          </w:p>
        </w:tc>
        <w:tc>
          <w:tcPr>
            <w:tcW w:w="619" w:type="dxa"/>
            <w:tcBorders>
              <w:top w:val="nil"/>
              <w:left w:val="nil"/>
              <w:bottom w:val="single" w:color="auto" w:sz="4" w:space="0"/>
              <w:right w:val="single" w:color="auto" w:sz="4" w:space="0"/>
            </w:tcBorders>
            <w:noWrap w:val="0"/>
            <w:vAlign w:val="center"/>
          </w:tcPr>
          <w:p w14:paraId="7D499429">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275CFD89">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5263DF21">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743BAA5B">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r>
      <w:tr w14:paraId="4DB3F6B0">
        <w:tblPrEx>
          <w:tblCellMar>
            <w:top w:w="0" w:type="dxa"/>
            <w:left w:w="108" w:type="dxa"/>
            <w:bottom w:w="0" w:type="dxa"/>
            <w:right w:w="108" w:type="dxa"/>
          </w:tblCellMar>
        </w:tblPrEx>
        <w:trPr>
          <w:trHeight w:val="204" w:hRule="atLeast"/>
        </w:trPr>
        <w:tc>
          <w:tcPr>
            <w:tcW w:w="546" w:type="dxa"/>
            <w:tcBorders>
              <w:top w:val="nil"/>
              <w:left w:val="single" w:color="auto" w:sz="4" w:space="0"/>
              <w:bottom w:val="single" w:color="auto" w:sz="4" w:space="0"/>
              <w:right w:val="single" w:color="auto" w:sz="4" w:space="0"/>
            </w:tcBorders>
            <w:noWrap w:val="0"/>
            <w:vAlign w:val="center"/>
          </w:tcPr>
          <w:p w14:paraId="37F245D2">
            <w:pPr>
              <w:keepNext w:val="0"/>
              <w:keepLines w:val="0"/>
              <w:widowControl/>
              <w:suppressLineNumbers w:val="0"/>
              <w:spacing w:before="0" w:beforeAutospacing="0" w:after="0" w:afterAutospacing="0" w:line="300" w:lineRule="auto"/>
              <w:ind w:left="0" w:right="0"/>
              <w:jc w:val="center"/>
              <w:textAlignment w:val="center"/>
              <w:rPr>
                <w:rFonts w:hint="default" w:ascii="仿宋" w:hAnsi="仿宋" w:eastAsia="仿宋" w:cs="宋体"/>
                <w:kern w:val="0"/>
                <w:szCs w:val="21"/>
                <w:lang w:val="en-US" w:eastAsia="zh-CN" w:bidi="ar"/>
              </w:rPr>
            </w:pPr>
            <w:r>
              <w:rPr>
                <w:rFonts w:hint="eastAsia" w:ascii="仿宋" w:hAnsi="仿宋" w:eastAsia="仿宋" w:cs="宋体"/>
                <w:kern w:val="0"/>
                <w:szCs w:val="21"/>
                <w:lang w:val="en-US" w:eastAsia="zh-CN" w:bidi="ar"/>
              </w:rPr>
              <w:t>9</w:t>
            </w:r>
          </w:p>
        </w:tc>
        <w:tc>
          <w:tcPr>
            <w:tcW w:w="6075" w:type="dxa"/>
            <w:tcBorders>
              <w:top w:val="nil"/>
              <w:left w:val="nil"/>
              <w:bottom w:val="single" w:color="auto" w:sz="4" w:space="0"/>
              <w:right w:val="single" w:color="auto" w:sz="4" w:space="0"/>
            </w:tcBorders>
            <w:noWrap w:val="0"/>
            <w:vAlign w:val="center"/>
          </w:tcPr>
          <w:p w14:paraId="393B90EC">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提供投标单位按招标文件要求缴纳投标保证金的缴款凭证或金融机构、担保机构出具的保函。</w:t>
            </w:r>
          </w:p>
        </w:tc>
        <w:tc>
          <w:tcPr>
            <w:tcW w:w="619" w:type="dxa"/>
            <w:tcBorders>
              <w:top w:val="nil"/>
              <w:left w:val="nil"/>
              <w:bottom w:val="single" w:color="auto" w:sz="4" w:space="0"/>
              <w:right w:val="single" w:color="auto" w:sz="4" w:space="0"/>
            </w:tcBorders>
            <w:noWrap w:val="0"/>
            <w:vAlign w:val="center"/>
          </w:tcPr>
          <w:p w14:paraId="57B5FCD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25585164">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118C26AF">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c>
          <w:tcPr>
            <w:tcW w:w="619" w:type="dxa"/>
            <w:tcBorders>
              <w:top w:val="nil"/>
              <w:left w:val="nil"/>
              <w:bottom w:val="single" w:color="auto" w:sz="4" w:space="0"/>
              <w:right w:val="single" w:color="auto" w:sz="4" w:space="0"/>
            </w:tcBorders>
            <w:noWrap w:val="0"/>
            <w:vAlign w:val="center"/>
          </w:tcPr>
          <w:p w14:paraId="4F0B2DD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r>
              <w:rPr>
                <w:rFonts w:hint="default" w:ascii="Times New Roman" w:hAnsi="Times New Roman" w:eastAsia="仿宋" w:cs="Times New Roman"/>
                <w:color w:val="000000"/>
                <w:kern w:val="0"/>
                <w:sz w:val="22"/>
                <w:szCs w:val="22"/>
              </w:rPr>
              <w:t xml:space="preserve">  </w:t>
            </w:r>
          </w:p>
        </w:tc>
      </w:tr>
      <w:tr w14:paraId="4B5648D9">
        <w:tblPrEx>
          <w:tblCellMar>
            <w:top w:w="0" w:type="dxa"/>
            <w:left w:w="108" w:type="dxa"/>
            <w:bottom w:w="0" w:type="dxa"/>
            <w:right w:w="108" w:type="dxa"/>
          </w:tblCellMar>
        </w:tblPrEx>
        <w:trPr>
          <w:trHeight w:val="204" w:hRule="atLeast"/>
        </w:trPr>
        <w:tc>
          <w:tcPr>
            <w:tcW w:w="546" w:type="dxa"/>
            <w:tcBorders>
              <w:top w:val="nil"/>
              <w:left w:val="single" w:color="auto" w:sz="4" w:space="0"/>
              <w:bottom w:val="single" w:color="auto" w:sz="4" w:space="0"/>
              <w:right w:val="single" w:color="auto" w:sz="4" w:space="0"/>
            </w:tcBorders>
            <w:noWrap w:val="0"/>
            <w:vAlign w:val="center"/>
          </w:tcPr>
          <w:p w14:paraId="2B1FA103">
            <w:pPr>
              <w:keepNext w:val="0"/>
              <w:keepLines w:val="0"/>
              <w:widowControl/>
              <w:suppressLineNumbers w:val="0"/>
              <w:spacing w:before="0" w:beforeAutospacing="0" w:after="0" w:afterAutospacing="0" w:line="300" w:lineRule="auto"/>
              <w:ind w:left="0" w:right="0"/>
              <w:jc w:val="left"/>
              <w:textAlignment w:val="center"/>
              <w:rPr>
                <w:rFonts w:hint="default" w:ascii="仿宋" w:hAnsi="仿宋" w:eastAsia="仿宋" w:cs="宋体"/>
                <w:kern w:val="0"/>
                <w:szCs w:val="21"/>
                <w:lang w:val="en-US" w:eastAsia="zh-CN" w:bidi="ar"/>
              </w:rPr>
            </w:pPr>
            <w:r>
              <w:rPr>
                <w:rFonts w:hint="eastAsia" w:ascii="仿宋" w:hAnsi="仿宋" w:eastAsia="仿宋" w:cs="宋体"/>
                <w:kern w:val="0"/>
                <w:szCs w:val="21"/>
                <w:lang w:val="en-US" w:eastAsia="zh-CN" w:bidi="ar"/>
              </w:rPr>
              <w:t>10</w:t>
            </w:r>
          </w:p>
        </w:tc>
        <w:tc>
          <w:tcPr>
            <w:tcW w:w="6075" w:type="dxa"/>
            <w:tcBorders>
              <w:top w:val="nil"/>
              <w:left w:val="nil"/>
              <w:bottom w:val="single" w:color="auto" w:sz="4" w:space="0"/>
              <w:right w:val="single" w:color="auto" w:sz="4" w:space="0"/>
            </w:tcBorders>
            <w:noWrap w:val="0"/>
            <w:vAlign w:val="center"/>
          </w:tcPr>
          <w:p w14:paraId="75B96136">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eastAsia" w:ascii="仿宋" w:hAnsi="仿宋" w:eastAsia="仿宋" w:cs="宋体"/>
                <w:kern w:val="0"/>
                <w:szCs w:val="21"/>
                <w:lang w:val="en-US" w:eastAsia="zh-CN" w:bidi="ar"/>
              </w:rPr>
              <w:t>提供中小企业声明函；</w:t>
            </w:r>
          </w:p>
        </w:tc>
        <w:tc>
          <w:tcPr>
            <w:tcW w:w="619" w:type="dxa"/>
            <w:tcBorders>
              <w:top w:val="nil"/>
              <w:left w:val="nil"/>
              <w:bottom w:val="single" w:color="auto" w:sz="4" w:space="0"/>
              <w:right w:val="single" w:color="auto" w:sz="4" w:space="0"/>
            </w:tcBorders>
            <w:noWrap w:val="0"/>
            <w:vAlign w:val="center"/>
          </w:tcPr>
          <w:p w14:paraId="1AE199D1">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031658F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539E1231">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6A1F9A4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r>
      <w:tr w14:paraId="6F3129B8">
        <w:tblPrEx>
          <w:tblCellMar>
            <w:top w:w="0" w:type="dxa"/>
            <w:left w:w="108" w:type="dxa"/>
            <w:bottom w:w="0" w:type="dxa"/>
            <w:right w:w="108" w:type="dxa"/>
          </w:tblCellMar>
        </w:tblPrEx>
        <w:trPr>
          <w:trHeight w:val="204" w:hRule="atLeast"/>
        </w:trPr>
        <w:tc>
          <w:tcPr>
            <w:tcW w:w="546" w:type="dxa"/>
            <w:tcBorders>
              <w:top w:val="nil"/>
              <w:left w:val="single" w:color="auto" w:sz="4" w:space="0"/>
              <w:bottom w:val="single" w:color="auto" w:sz="4" w:space="0"/>
              <w:right w:val="single" w:color="auto" w:sz="4" w:space="0"/>
            </w:tcBorders>
            <w:noWrap w:val="0"/>
            <w:vAlign w:val="center"/>
          </w:tcPr>
          <w:p w14:paraId="7AE314B5">
            <w:pPr>
              <w:keepNext w:val="0"/>
              <w:keepLines w:val="0"/>
              <w:widowControl/>
              <w:suppressLineNumbers w:val="0"/>
              <w:spacing w:before="0" w:beforeAutospacing="0" w:after="0" w:afterAutospacing="0" w:line="300" w:lineRule="auto"/>
              <w:ind w:left="0" w:right="0"/>
              <w:jc w:val="left"/>
              <w:textAlignment w:val="center"/>
              <w:rPr>
                <w:rFonts w:hint="default" w:ascii="仿宋" w:hAnsi="仿宋" w:eastAsia="仿宋" w:cs="宋体"/>
                <w:kern w:val="0"/>
                <w:szCs w:val="21"/>
                <w:lang w:val="en-US" w:eastAsia="zh-CN" w:bidi="ar"/>
              </w:rPr>
            </w:pPr>
            <w:r>
              <w:rPr>
                <w:rFonts w:hint="eastAsia" w:ascii="仿宋" w:hAnsi="仿宋" w:eastAsia="仿宋" w:cs="宋体"/>
                <w:kern w:val="0"/>
                <w:szCs w:val="21"/>
                <w:lang w:val="en-US" w:eastAsia="zh-CN" w:bidi="ar"/>
              </w:rPr>
              <w:t>11</w:t>
            </w:r>
          </w:p>
        </w:tc>
        <w:tc>
          <w:tcPr>
            <w:tcW w:w="6075" w:type="dxa"/>
            <w:tcBorders>
              <w:top w:val="nil"/>
              <w:left w:val="nil"/>
              <w:bottom w:val="single" w:color="auto" w:sz="4" w:space="0"/>
              <w:right w:val="single" w:color="auto" w:sz="4" w:space="0"/>
            </w:tcBorders>
            <w:noWrap w:val="0"/>
            <w:vAlign w:val="center"/>
          </w:tcPr>
          <w:p w14:paraId="193EF4CB">
            <w:pPr>
              <w:keepNext w:val="0"/>
              <w:keepLines w:val="0"/>
              <w:widowControl/>
              <w:suppressLineNumbers w:val="0"/>
              <w:spacing w:before="0" w:beforeAutospacing="0" w:after="0" w:afterAutospacing="0" w:line="300" w:lineRule="auto"/>
              <w:ind w:left="0" w:right="0"/>
              <w:jc w:val="left"/>
              <w:textAlignment w:val="center"/>
              <w:rPr>
                <w:rFonts w:hint="eastAsia" w:ascii="仿宋" w:hAnsi="仿宋" w:eastAsia="仿宋" w:cs="宋体"/>
                <w:kern w:val="0"/>
                <w:szCs w:val="21"/>
                <w:lang w:val="en-US" w:eastAsia="zh-CN" w:bidi="ar"/>
              </w:rPr>
            </w:pPr>
            <w:r>
              <w:rPr>
                <w:rFonts w:hint="default" w:ascii="仿宋" w:hAnsi="仿宋" w:eastAsia="仿宋" w:cs="宋体"/>
                <w:kern w:val="0"/>
                <w:szCs w:val="21"/>
                <w:lang w:val="en-US" w:eastAsia="zh-CN" w:bidi="ar"/>
              </w:rPr>
              <w:t>供应商需提供有效期《食品经营许可证》</w:t>
            </w:r>
            <w:r>
              <w:rPr>
                <w:rFonts w:hint="eastAsia" w:ascii="仿宋" w:hAnsi="仿宋" w:eastAsia="仿宋" w:cs="宋体"/>
                <w:kern w:val="0"/>
                <w:szCs w:val="21"/>
                <w:lang w:val="en-US" w:eastAsia="zh-CN" w:bidi="ar"/>
              </w:rPr>
              <w:t>。</w:t>
            </w:r>
          </w:p>
        </w:tc>
        <w:tc>
          <w:tcPr>
            <w:tcW w:w="619" w:type="dxa"/>
            <w:tcBorders>
              <w:top w:val="nil"/>
              <w:left w:val="nil"/>
              <w:bottom w:val="single" w:color="auto" w:sz="4" w:space="0"/>
              <w:right w:val="single" w:color="auto" w:sz="4" w:space="0"/>
            </w:tcBorders>
            <w:noWrap w:val="0"/>
            <w:vAlign w:val="center"/>
          </w:tcPr>
          <w:p w14:paraId="146AAC8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5EFDBDD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21489A01">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nil"/>
              <w:left w:val="nil"/>
              <w:bottom w:val="single" w:color="auto" w:sz="4" w:space="0"/>
              <w:right w:val="single" w:color="auto" w:sz="4" w:space="0"/>
            </w:tcBorders>
            <w:noWrap w:val="0"/>
            <w:vAlign w:val="center"/>
          </w:tcPr>
          <w:p w14:paraId="08A6838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r>
      <w:tr w14:paraId="792E5B44">
        <w:tblPrEx>
          <w:tblCellMar>
            <w:top w:w="0" w:type="dxa"/>
            <w:left w:w="108" w:type="dxa"/>
            <w:bottom w:w="0" w:type="dxa"/>
            <w:right w:w="108" w:type="dxa"/>
          </w:tblCellMar>
        </w:tblPrEx>
        <w:trPr>
          <w:trHeight w:val="320" w:hRule="atLeast"/>
        </w:trPr>
        <w:tc>
          <w:tcPr>
            <w:tcW w:w="546" w:type="dxa"/>
            <w:tcBorders>
              <w:top w:val="single" w:color="auto" w:sz="4" w:space="0"/>
              <w:left w:val="single" w:color="auto" w:sz="4" w:space="0"/>
              <w:bottom w:val="single" w:color="auto" w:sz="4" w:space="0"/>
              <w:right w:val="single" w:color="auto" w:sz="4" w:space="0"/>
            </w:tcBorders>
            <w:noWrap w:val="0"/>
            <w:vAlign w:val="center"/>
          </w:tcPr>
          <w:p w14:paraId="2C44552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仿宋" w:cs="Times New Roman"/>
                <w:color w:val="000000"/>
                <w:kern w:val="0"/>
                <w:sz w:val="22"/>
                <w:szCs w:val="22"/>
              </w:rPr>
            </w:pPr>
          </w:p>
        </w:tc>
        <w:tc>
          <w:tcPr>
            <w:tcW w:w="6075" w:type="dxa"/>
            <w:tcBorders>
              <w:top w:val="single" w:color="auto" w:sz="4" w:space="0"/>
              <w:left w:val="nil"/>
              <w:bottom w:val="single" w:color="auto" w:sz="4" w:space="0"/>
              <w:right w:val="single" w:color="auto" w:sz="4" w:space="0"/>
            </w:tcBorders>
            <w:noWrap w:val="0"/>
            <w:vAlign w:val="center"/>
          </w:tcPr>
          <w:p w14:paraId="54FCDB3C">
            <w:pPr>
              <w:keepNext w:val="0"/>
              <w:keepLines w:val="0"/>
              <w:suppressLineNumbers w:val="0"/>
              <w:spacing w:before="0" w:beforeAutospacing="0" w:after="0" w:afterAutospacing="0" w:line="360" w:lineRule="auto"/>
              <w:ind w:left="0" w:right="0"/>
              <w:jc w:val="center"/>
              <w:rPr>
                <w:rFonts w:hint="default" w:ascii="Times New Roman" w:hAnsi="Times New Roman" w:eastAsia="仿宋" w:cs="Times New Roman"/>
                <w:b/>
                <w:bCs/>
              </w:rPr>
            </w:pPr>
            <w:r>
              <w:rPr>
                <w:rFonts w:hint="default" w:ascii="Times New Roman" w:hAnsi="Times New Roman" w:eastAsia="仿宋" w:cs="Times New Roman"/>
                <w:b/>
                <w:bCs/>
                <w:color w:val="000000"/>
                <w:kern w:val="0"/>
                <w:sz w:val="22"/>
                <w:szCs w:val="22"/>
              </w:rPr>
              <w:t>结论</w:t>
            </w:r>
          </w:p>
        </w:tc>
        <w:tc>
          <w:tcPr>
            <w:tcW w:w="619" w:type="dxa"/>
            <w:tcBorders>
              <w:top w:val="single" w:color="auto" w:sz="4" w:space="0"/>
              <w:left w:val="nil"/>
              <w:bottom w:val="single" w:color="auto" w:sz="4" w:space="0"/>
              <w:right w:val="single" w:color="auto" w:sz="4" w:space="0"/>
            </w:tcBorders>
            <w:noWrap w:val="0"/>
            <w:vAlign w:val="center"/>
          </w:tcPr>
          <w:p w14:paraId="500C25CC">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single" w:color="auto" w:sz="4" w:space="0"/>
              <w:left w:val="nil"/>
              <w:bottom w:val="single" w:color="auto" w:sz="4" w:space="0"/>
              <w:right w:val="single" w:color="auto" w:sz="4" w:space="0"/>
            </w:tcBorders>
            <w:noWrap w:val="0"/>
            <w:vAlign w:val="center"/>
          </w:tcPr>
          <w:p w14:paraId="37B44331">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single" w:color="auto" w:sz="4" w:space="0"/>
              <w:left w:val="nil"/>
              <w:bottom w:val="single" w:color="auto" w:sz="4" w:space="0"/>
              <w:right w:val="single" w:color="auto" w:sz="4" w:space="0"/>
            </w:tcBorders>
            <w:noWrap w:val="0"/>
            <w:vAlign w:val="center"/>
          </w:tcPr>
          <w:p w14:paraId="13040FEF">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c>
          <w:tcPr>
            <w:tcW w:w="619" w:type="dxa"/>
            <w:tcBorders>
              <w:top w:val="single" w:color="auto" w:sz="4" w:space="0"/>
              <w:left w:val="nil"/>
              <w:bottom w:val="single" w:color="auto" w:sz="4" w:space="0"/>
              <w:right w:val="single" w:color="auto" w:sz="4" w:space="0"/>
            </w:tcBorders>
            <w:noWrap w:val="0"/>
            <w:vAlign w:val="center"/>
          </w:tcPr>
          <w:p w14:paraId="028FA09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仿宋" w:cs="Times New Roman"/>
                <w:color w:val="000000"/>
                <w:kern w:val="0"/>
                <w:sz w:val="22"/>
                <w:szCs w:val="22"/>
              </w:rPr>
            </w:pPr>
          </w:p>
        </w:tc>
      </w:tr>
    </w:tbl>
    <w:p w14:paraId="77E9527F">
      <w:pPr>
        <w:pStyle w:val="10"/>
        <w:tabs>
          <w:tab w:val="clear" w:pos="567"/>
        </w:tabs>
        <w:spacing w:before="0" w:line="360" w:lineRule="auto"/>
        <w:ind w:left="-181" w:leftChars="-86" w:firstLine="607" w:firstLineChars="275"/>
        <w:rPr>
          <w:rFonts w:hint="eastAsia" w:ascii="仿宋_GB2312" w:hAnsi="仿宋_GB2312" w:eastAsia="仿宋_GB2312" w:cs="仿宋_GB2312"/>
          <w:b/>
          <w:bCs/>
          <w:iCs/>
        </w:rPr>
      </w:pPr>
      <w:r>
        <w:rPr>
          <w:rFonts w:ascii="仿宋_GB2312" w:eastAsia="仿宋_GB2312" w:cs="仿宋_GB2312"/>
          <w:b/>
          <w:kern w:val="0"/>
          <w:sz w:val="22"/>
          <w:szCs w:val="22"/>
          <w:lang w:bidi="ar"/>
        </w:rPr>
        <w:t>注：按评审标准对上述内容评审，满足要求的在对应的框内打“√”，不满足要求的在对应的框内打“×”。对可以进入详评的投标人，在该投标人所对应的“是否通过评审“栏中打“√”。一项未提供，则不通过。</w:t>
      </w:r>
    </w:p>
    <w:p w14:paraId="33AEB808">
      <w:pPr>
        <w:pStyle w:val="10"/>
        <w:tabs>
          <w:tab w:val="clear" w:pos="567"/>
        </w:tabs>
        <w:spacing w:before="0" w:line="360" w:lineRule="auto"/>
        <w:ind w:left="-181" w:leftChars="-86" w:firstLine="663" w:firstLineChars="275"/>
        <w:rPr>
          <w:rFonts w:hint="eastAsia" w:ascii="仿宋_GB2312" w:hAnsi="仿宋_GB2312" w:eastAsia="仿宋_GB2312" w:cs="仿宋_GB2312"/>
          <w:b/>
          <w:bCs/>
          <w:iCs/>
        </w:rPr>
      </w:pPr>
      <w:bookmarkStart w:id="1043" w:name="_Hlk60248002"/>
      <w:r>
        <w:rPr>
          <w:rFonts w:hint="eastAsia" w:ascii="仿宋_GB2312" w:hAnsi="仿宋_GB2312" w:eastAsia="仿宋_GB2312" w:cs="仿宋_GB2312"/>
          <w:b/>
          <w:bCs/>
          <w:iCs/>
        </w:rPr>
        <w:t>3.3</w:t>
      </w:r>
      <w:r>
        <w:rPr>
          <w:rFonts w:hint="eastAsia" w:ascii="仿宋" w:hAnsi="仿宋" w:eastAsia="仿宋"/>
          <w:b/>
          <w:color w:val="000000"/>
          <w:spacing w:val="-2"/>
        </w:rPr>
        <w:t>商务</w:t>
      </w:r>
      <w:r>
        <w:rPr>
          <w:rFonts w:hint="eastAsia" w:ascii="仿宋_GB2312" w:hAnsi="仿宋_GB2312" w:eastAsia="仿宋_GB2312" w:cs="仿宋_GB2312"/>
          <w:b/>
          <w:bCs/>
          <w:iCs/>
        </w:rPr>
        <w:t>符合性检查。</w:t>
      </w:r>
    </w:p>
    <w:p w14:paraId="5697FDF3">
      <w:pPr>
        <w:pStyle w:val="10"/>
        <w:tabs>
          <w:tab w:val="clear" w:pos="567"/>
        </w:tabs>
        <w:spacing w:before="0" w:line="360" w:lineRule="auto"/>
        <w:ind w:left="-181" w:leftChars="-86" w:firstLine="660" w:firstLineChars="275"/>
        <w:rPr>
          <w:rFonts w:hint="eastAsia" w:ascii="仿宋" w:hAnsi="仿宋" w:eastAsia="仿宋"/>
          <w:b/>
          <w:color w:val="000000"/>
          <w:spacing w:val="-2"/>
        </w:rPr>
      </w:pPr>
      <w:r>
        <w:rPr>
          <w:rFonts w:hint="eastAsia" w:ascii="仿宋_GB2312" w:hAnsi="仿宋_GB2312" w:eastAsia="仿宋_GB2312" w:cs="仿宋_GB2312"/>
          <w:iCs/>
        </w:rPr>
        <w:t>评标委员会依据本招标文件的实质性要求，对符合资格的投标文件进行审查，以确定其是否满足本招标文件的实质性要求。</w:t>
      </w:r>
    </w:p>
    <w:p w14:paraId="4A2B11E4">
      <w:pPr>
        <w:pStyle w:val="103"/>
        <w:tabs>
          <w:tab w:val="clear" w:pos="567"/>
        </w:tabs>
        <w:spacing w:before="0" w:line="240" w:lineRule="auto"/>
        <w:ind w:firstLine="474" w:firstLineChars="200"/>
        <w:jc w:val="center"/>
        <w:rPr>
          <w:rFonts w:hint="eastAsia" w:ascii="仿宋" w:hAnsi="仿宋" w:eastAsia="仿宋"/>
          <w:b/>
          <w:color w:val="000000"/>
          <w:spacing w:val="-2"/>
        </w:rPr>
      </w:pPr>
      <w:r>
        <w:rPr>
          <w:rFonts w:hint="eastAsia" w:ascii="仿宋" w:hAnsi="仿宋" w:eastAsia="仿宋"/>
          <w:b/>
          <w:color w:val="000000"/>
          <w:spacing w:val="-2"/>
        </w:rPr>
        <w:t>商务符合性审查表</w:t>
      </w:r>
    </w:p>
    <w:tbl>
      <w:tblPr>
        <w:tblStyle w:val="36"/>
        <w:tblpPr w:leftFromText="180" w:rightFromText="180" w:vertAnchor="text" w:horzAnchor="page" w:tblpX="1505" w:tblpY="141"/>
        <w:tblOverlap w:val="never"/>
        <w:tblW w:w="89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7391"/>
        <w:gridCol w:w="453"/>
        <w:gridCol w:w="515"/>
      </w:tblGrid>
      <w:tr w14:paraId="3CB8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vMerge w:val="restart"/>
            <w:noWrap w:val="0"/>
            <w:vAlign w:val="center"/>
          </w:tcPr>
          <w:p w14:paraId="25E2B4DF">
            <w:pPr>
              <w:keepNext w:val="0"/>
              <w:keepLines w:val="0"/>
              <w:suppressLineNumbers w:val="0"/>
              <w:spacing w:before="0" w:beforeAutospacing="0" w:after="0" w:afterAutospacing="0"/>
              <w:ind w:left="0" w:right="0"/>
              <w:jc w:val="center"/>
              <w:rPr>
                <w:rFonts w:hint="default" w:ascii="仿宋" w:hAnsi="仿宋" w:eastAsia="仿宋"/>
                <w:b/>
                <w:color w:val="000000"/>
              </w:rPr>
            </w:pPr>
            <w:r>
              <w:rPr>
                <w:rFonts w:hint="eastAsia" w:ascii="仿宋" w:hAnsi="仿宋" w:eastAsia="仿宋"/>
                <w:b/>
                <w:color w:val="000000"/>
              </w:rPr>
              <w:t>序号</w:t>
            </w:r>
          </w:p>
        </w:tc>
        <w:tc>
          <w:tcPr>
            <w:tcW w:w="7391" w:type="dxa"/>
            <w:vMerge w:val="restart"/>
            <w:noWrap w:val="0"/>
            <w:vAlign w:val="center"/>
          </w:tcPr>
          <w:p w14:paraId="7F82CEA2">
            <w:pPr>
              <w:keepNext w:val="0"/>
              <w:keepLines w:val="0"/>
              <w:suppressLineNumbers w:val="0"/>
              <w:spacing w:before="0" w:beforeAutospacing="0" w:after="0" w:afterAutospacing="0"/>
              <w:ind w:left="0" w:right="0" w:firstLine="480"/>
              <w:jc w:val="center"/>
              <w:rPr>
                <w:rFonts w:hint="default" w:ascii="仿宋" w:hAnsi="仿宋" w:eastAsia="仿宋"/>
                <w:b/>
                <w:color w:val="000000"/>
              </w:rPr>
            </w:pPr>
            <w:r>
              <w:rPr>
                <w:rFonts w:hint="eastAsia" w:ascii="仿宋" w:hAnsi="仿宋" w:eastAsia="仿宋"/>
                <w:b/>
                <w:color w:val="000000"/>
              </w:rPr>
              <w:t>审查标准</w:t>
            </w:r>
          </w:p>
        </w:tc>
        <w:tc>
          <w:tcPr>
            <w:tcW w:w="968" w:type="dxa"/>
            <w:gridSpan w:val="2"/>
            <w:noWrap w:val="0"/>
            <w:vAlign w:val="center"/>
          </w:tcPr>
          <w:p w14:paraId="23C773D2">
            <w:pPr>
              <w:keepNext w:val="0"/>
              <w:keepLines w:val="0"/>
              <w:suppressLineNumbers w:val="0"/>
              <w:spacing w:before="0" w:beforeAutospacing="0" w:after="0" w:afterAutospacing="0"/>
              <w:ind w:left="0" w:right="0"/>
              <w:jc w:val="center"/>
              <w:rPr>
                <w:rFonts w:hint="default" w:ascii="仿宋" w:hAnsi="仿宋" w:eastAsia="仿宋"/>
                <w:b/>
                <w:color w:val="000000"/>
              </w:rPr>
            </w:pPr>
            <w:r>
              <w:rPr>
                <w:rFonts w:hint="eastAsia" w:ascii="仿宋" w:hAnsi="仿宋" w:eastAsia="仿宋"/>
                <w:b/>
                <w:color w:val="000000"/>
              </w:rPr>
              <w:t>投标人</w:t>
            </w:r>
          </w:p>
        </w:tc>
      </w:tr>
      <w:tr w14:paraId="40A8D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6" w:hRule="atLeast"/>
        </w:trPr>
        <w:tc>
          <w:tcPr>
            <w:tcW w:w="640" w:type="dxa"/>
            <w:vMerge w:val="continue"/>
            <w:noWrap w:val="0"/>
            <w:vAlign w:val="center"/>
          </w:tcPr>
          <w:p w14:paraId="0BF579E0">
            <w:pPr>
              <w:keepNext w:val="0"/>
              <w:keepLines w:val="0"/>
              <w:suppressLineNumbers w:val="0"/>
              <w:spacing w:before="0" w:beforeAutospacing="0" w:after="0" w:afterAutospacing="0"/>
              <w:ind w:left="0" w:right="0"/>
              <w:jc w:val="center"/>
              <w:rPr>
                <w:rFonts w:hint="default" w:ascii="仿宋" w:hAnsi="仿宋" w:eastAsia="仿宋"/>
                <w:b/>
                <w:color w:val="000000"/>
              </w:rPr>
            </w:pPr>
          </w:p>
        </w:tc>
        <w:tc>
          <w:tcPr>
            <w:tcW w:w="7391" w:type="dxa"/>
            <w:vMerge w:val="continue"/>
            <w:noWrap w:val="0"/>
            <w:vAlign w:val="center"/>
          </w:tcPr>
          <w:p w14:paraId="7B13E277">
            <w:pPr>
              <w:keepNext w:val="0"/>
              <w:keepLines w:val="0"/>
              <w:suppressLineNumbers w:val="0"/>
              <w:spacing w:before="0" w:beforeAutospacing="0" w:after="0" w:afterAutospacing="0"/>
              <w:ind w:left="0" w:right="0" w:firstLine="480"/>
              <w:jc w:val="center"/>
              <w:rPr>
                <w:rFonts w:hint="default" w:ascii="仿宋" w:hAnsi="仿宋" w:eastAsia="仿宋"/>
                <w:b/>
                <w:color w:val="000000"/>
              </w:rPr>
            </w:pPr>
          </w:p>
        </w:tc>
        <w:tc>
          <w:tcPr>
            <w:tcW w:w="453" w:type="dxa"/>
            <w:noWrap w:val="0"/>
            <w:vAlign w:val="center"/>
          </w:tcPr>
          <w:p w14:paraId="53A985E7">
            <w:pPr>
              <w:keepNext w:val="0"/>
              <w:keepLines w:val="0"/>
              <w:suppressLineNumbers w:val="0"/>
              <w:spacing w:before="0" w:beforeAutospacing="0" w:after="0" w:afterAutospacing="0"/>
              <w:ind w:left="0" w:right="0"/>
              <w:jc w:val="center"/>
              <w:rPr>
                <w:rFonts w:hint="default" w:ascii="仿宋" w:hAnsi="仿宋" w:eastAsia="仿宋"/>
                <w:b/>
                <w:color w:val="000000"/>
              </w:rPr>
            </w:pPr>
            <w:r>
              <w:rPr>
                <w:rFonts w:hint="eastAsia" w:ascii="仿宋" w:hAnsi="仿宋" w:eastAsia="仿宋"/>
                <w:b/>
                <w:color w:val="000000"/>
              </w:rPr>
              <w:t>是</w:t>
            </w:r>
          </w:p>
        </w:tc>
        <w:tc>
          <w:tcPr>
            <w:tcW w:w="515" w:type="dxa"/>
            <w:noWrap w:val="0"/>
            <w:vAlign w:val="center"/>
          </w:tcPr>
          <w:p w14:paraId="37F69049">
            <w:pPr>
              <w:keepNext w:val="0"/>
              <w:keepLines w:val="0"/>
              <w:suppressLineNumbers w:val="0"/>
              <w:spacing w:before="0" w:beforeAutospacing="0" w:after="0" w:afterAutospacing="0"/>
              <w:ind w:left="0" w:right="0"/>
              <w:jc w:val="center"/>
              <w:rPr>
                <w:rFonts w:hint="default" w:ascii="仿宋" w:hAnsi="仿宋" w:eastAsia="仿宋"/>
                <w:b/>
                <w:color w:val="000000"/>
              </w:rPr>
            </w:pPr>
            <w:r>
              <w:rPr>
                <w:rFonts w:hint="eastAsia" w:ascii="仿宋" w:hAnsi="仿宋" w:eastAsia="仿宋"/>
                <w:b/>
                <w:color w:val="000000"/>
              </w:rPr>
              <w:t>否</w:t>
            </w:r>
          </w:p>
        </w:tc>
      </w:tr>
      <w:tr w14:paraId="4BA8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9" w:hRule="atLeast"/>
        </w:trPr>
        <w:tc>
          <w:tcPr>
            <w:tcW w:w="640" w:type="dxa"/>
            <w:noWrap w:val="0"/>
            <w:vAlign w:val="bottom"/>
          </w:tcPr>
          <w:p w14:paraId="572845BE">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1</w:t>
            </w:r>
          </w:p>
        </w:tc>
        <w:tc>
          <w:tcPr>
            <w:tcW w:w="7391" w:type="dxa"/>
            <w:noWrap w:val="0"/>
            <w:vAlign w:val="center"/>
          </w:tcPr>
          <w:p w14:paraId="43009135">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r>
              <w:rPr>
                <w:rFonts w:hint="eastAsia" w:ascii="仿宋" w:hAnsi="仿宋" w:eastAsia="仿宋"/>
                <w:bCs/>
                <w:color w:val="000000"/>
              </w:rPr>
              <w:t>投标文件</w:t>
            </w:r>
            <w:r>
              <w:rPr>
                <w:rFonts w:hint="eastAsia" w:ascii="仿宋" w:hAnsi="仿宋" w:eastAsia="仿宋"/>
                <w:bCs/>
                <w:color w:val="000000"/>
                <w:kern w:val="0"/>
              </w:rPr>
              <w:t>是否按招标文件要求编制、</w:t>
            </w:r>
            <w:r>
              <w:rPr>
                <w:rFonts w:hint="eastAsia" w:ascii="仿宋" w:hAnsi="仿宋" w:eastAsia="仿宋"/>
                <w:bCs/>
                <w:color w:val="000000"/>
                <w:spacing w:val="-2"/>
              </w:rPr>
              <w:t>签署、盖章；</w:t>
            </w:r>
            <w:r>
              <w:rPr>
                <w:rFonts w:hint="eastAsia" w:ascii="仿宋" w:hAnsi="仿宋" w:eastAsia="仿宋"/>
                <w:bCs/>
                <w:color w:val="000000"/>
                <w:kern w:val="0"/>
              </w:rPr>
              <w:t>内容是否全面或字迹是否模糊、辨认不清的；</w:t>
            </w:r>
          </w:p>
        </w:tc>
        <w:tc>
          <w:tcPr>
            <w:tcW w:w="453" w:type="dxa"/>
            <w:noWrap w:val="0"/>
            <w:vAlign w:val="center"/>
          </w:tcPr>
          <w:p w14:paraId="54D19952">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p>
        </w:tc>
        <w:tc>
          <w:tcPr>
            <w:tcW w:w="515" w:type="dxa"/>
            <w:noWrap w:val="0"/>
            <w:vAlign w:val="center"/>
          </w:tcPr>
          <w:p w14:paraId="6F985FE8">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p>
        </w:tc>
      </w:tr>
      <w:tr w14:paraId="640D6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0" w:hRule="atLeast"/>
        </w:trPr>
        <w:tc>
          <w:tcPr>
            <w:tcW w:w="640" w:type="dxa"/>
            <w:noWrap w:val="0"/>
            <w:vAlign w:val="bottom"/>
          </w:tcPr>
          <w:p w14:paraId="0FA8E577">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2</w:t>
            </w:r>
          </w:p>
        </w:tc>
        <w:tc>
          <w:tcPr>
            <w:tcW w:w="7391" w:type="dxa"/>
            <w:noWrap w:val="0"/>
            <w:vAlign w:val="center"/>
          </w:tcPr>
          <w:p w14:paraId="08C4D727">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投标文件</w:t>
            </w:r>
            <w:r>
              <w:rPr>
                <w:rFonts w:hint="eastAsia" w:ascii="仿宋" w:hAnsi="仿宋" w:eastAsia="仿宋"/>
                <w:bCs/>
                <w:color w:val="000000"/>
                <w:szCs w:val="21"/>
              </w:rPr>
              <w:t>记载的招标项目完成期限是否未超过招标文件规定的完成期限</w:t>
            </w:r>
            <w:r>
              <w:rPr>
                <w:rFonts w:hint="eastAsia" w:ascii="仿宋" w:hAnsi="仿宋" w:eastAsia="仿宋"/>
                <w:bCs/>
                <w:color w:val="000000"/>
                <w:kern w:val="0"/>
              </w:rPr>
              <w:t>；</w:t>
            </w:r>
          </w:p>
        </w:tc>
        <w:tc>
          <w:tcPr>
            <w:tcW w:w="453" w:type="dxa"/>
            <w:noWrap w:val="0"/>
            <w:vAlign w:val="center"/>
          </w:tcPr>
          <w:p w14:paraId="1D836966">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188415F6">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20C87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68AAB9E5">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3</w:t>
            </w:r>
          </w:p>
        </w:tc>
        <w:tc>
          <w:tcPr>
            <w:tcW w:w="7391" w:type="dxa"/>
            <w:noWrap w:val="0"/>
            <w:vAlign w:val="center"/>
          </w:tcPr>
          <w:p w14:paraId="6B0B43F5">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r>
              <w:rPr>
                <w:rFonts w:hint="eastAsia" w:ascii="仿宋" w:hAnsi="仿宋" w:eastAsia="仿宋"/>
                <w:bCs/>
                <w:color w:val="000000"/>
              </w:rPr>
              <w:t>评审小组共同确定没有实质上不响应</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453" w:type="dxa"/>
            <w:noWrap w:val="0"/>
            <w:vAlign w:val="center"/>
          </w:tcPr>
          <w:p w14:paraId="370D2A48">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p>
        </w:tc>
        <w:tc>
          <w:tcPr>
            <w:tcW w:w="515" w:type="dxa"/>
            <w:noWrap w:val="0"/>
            <w:vAlign w:val="center"/>
          </w:tcPr>
          <w:p w14:paraId="7BF6755B">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p>
        </w:tc>
      </w:tr>
      <w:tr w14:paraId="04135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0B3BE9C5">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4</w:t>
            </w:r>
          </w:p>
        </w:tc>
        <w:tc>
          <w:tcPr>
            <w:tcW w:w="7391" w:type="dxa"/>
            <w:noWrap w:val="0"/>
            <w:vAlign w:val="center"/>
          </w:tcPr>
          <w:p w14:paraId="01099716">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r>
              <w:rPr>
                <w:rFonts w:hint="eastAsia" w:ascii="仿宋" w:hAnsi="仿宋" w:eastAsia="仿宋"/>
                <w:bCs/>
                <w:color w:val="000000"/>
              </w:rPr>
              <w:t>投标有效期是否满足</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453" w:type="dxa"/>
            <w:noWrap w:val="0"/>
            <w:vAlign w:val="center"/>
          </w:tcPr>
          <w:p w14:paraId="7E3BDE16">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p>
        </w:tc>
        <w:tc>
          <w:tcPr>
            <w:tcW w:w="515" w:type="dxa"/>
            <w:noWrap w:val="0"/>
            <w:vAlign w:val="center"/>
          </w:tcPr>
          <w:p w14:paraId="289D1DA2">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rPr>
            </w:pPr>
          </w:p>
        </w:tc>
      </w:tr>
      <w:tr w14:paraId="1DC3E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579AC691">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5</w:t>
            </w:r>
          </w:p>
        </w:tc>
        <w:tc>
          <w:tcPr>
            <w:tcW w:w="7391" w:type="dxa"/>
            <w:noWrap w:val="0"/>
            <w:vAlign w:val="center"/>
          </w:tcPr>
          <w:p w14:paraId="7813574A">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投标报价是否高于采购预算价；</w:t>
            </w:r>
          </w:p>
        </w:tc>
        <w:tc>
          <w:tcPr>
            <w:tcW w:w="453" w:type="dxa"/>
            <w:noWrap w:val="0"/>
            <w:vAlign w:val="center"/>
          </w:tcPr>
          <w:p w14:paraId="0F4F6B6A">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0BA13FC5">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756FB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2FE5DA8B">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6</w:t>
            </w:r>
          </w:p>
        </w:tc>
        <w:tc>
          <w:tcPr>
            <w:tcW w:w="7391" w:type="dxa"/>
            <w:noWrap w:val="0"/>
            <w:vAlign w:val="center"/>
          </w:tcPr>
          <w:p w14:paraId="59B69C68">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是否缴纳投标保证金并与</w:t>
            </w:r>
            <w:r>
              <w:rPr>
                <w:rFonts w:hint="eastAsia" w:ascii="仿宋" w:hAnsi="仿宋" w:eastAsia="仿宋"/>
                <w:bCs/>
                <w:color w:val="000000"/>
                <w:szCs w:val="21"/>
              </w:rPr>
              <w:t>招标</w:t>
            </w:r>
            <w:r>
              <w:rPr>
                <w:rFonts w:hint="eastAsia" w:ascii="仿宋" w:hAnsi="仿宋" w:eastAsia="仿宋"/>
                <w:bCs/>
                <w:color w:val="000000"/>
                <w:kern w:val="0"/>
              </w:rPr>
              <w:t>文件金额一致</w:t>
            </w:r>
          </w:p>
        </w:tc>
        <w:tc>
          <w:tcPr>
            <w:tcW w:w="453" w:type="dxa"/>
            <w:noWrap w:val="0"/>
            <w:vAlign w:val="center"/>
          </w:tcPr>
          <w:p w14:paraId="6038C1DA">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566C1CB8">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462E5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1B8734F3">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7</w:t>
            </w:r>
          </w:p>
        </w:tc>
        <w:tc>
          <w:tcPr>
            <w:tcW w:w="7391" w:type="dxa"/>
            <w:noWrap w:val="0"/>
            <w:vAlign w:val="center"/>
          </w:tcPr>
          <w:p w14:paraId="16BD778C">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明显不符合技术规格和技术标准</w:t>
            </w:r>
          </w:p>
        </w:tc>
        <w:tc>
          <w:tcPr>
            <w:tcW w:w="453" w:type="dxa"/>
            <w:noWrap w:val="0"/>
            <w:vAlign w:val="center"/>
          </w:tcPr>
          <w:p w14:paraId="787C7579">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04DA48D6">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3CADB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5F28D0B5">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8</w:t>
            </w:r>
          </w:p>
        </w:tc>
        <w:tc>
          <w:tcPr>
            <w:tcW w:w="7391" w:type="dxa"/>
            <w:noWrap w:val="0"/>
            <w:vAlign w:val="center"/>
          </w:tcPr>
          <w:p w14:paraId="4D7A9A8B">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商务条款是否有偏离情况的；</w:t>
            </w:r>
          </w:p>
        </w:tc>
        <w:tc>
          <w:tcPr>
            <w:tcW w:w="453" w:type="dxa"/>
            <w:noWrap w:val="0"/>
            <w:vAlign w:val="center"/>
          </w:tcPr>
          <w:p w14:paraId="5519B630">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1E3F456D">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5086B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2D6E59E3">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9</w:t>
            </w:r>
          </w:p>
        </w:tc>
        <w:tc>
          <w:tcPr>
            <w:tcW w:w="7391" w:type="dxa"/>
            <w:noWrap w:val="0"/>
            <w:vAlign w:val="center"/>
          </w:tcPr>
          <w:p w14:paraId="74A7E0CF">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投标文件是否附有招标人不能接受条件的；</w:t>
            </w:r>
          </w:p>
        </w:tc>
        <w:tc>
          <w:tcPr>
            <w:tcW w:w="453" w:type="dxa"/>
            <w:noWrap w:val="0"/>
            <w:vAlign w:val="center"/>
          </w:tcPr>
          <w:p w14:paraId="7AB3171D">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16EE4D8B">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04ECE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9" w:hRule="atLeast"/>
        </w:trPr>
        <w:tc>
          <w:tcPr>
            <w:tcW w:w="640" w:type="dxa"/>
            <w:noWrap w:val="0"/>
            <w:vAlign w:val="bottom"/>
          </w:tcPr>
          <w:p w14:paraId="7E8130E1">
            <w:pPr>
              <w:keepNext w:val="0"/>
              <w:keepLines w:val="0"/>
              <w:suppressLineNumbers w:val="0"/>
              <w:spacing w:before="0" w:beforeAutospacing="0" w:after="0" w:afterAutospacing="0"/>
              <w:ind w:left="0" w:right="0"/>
              <w:jc w:val="center"/>
              <w:rPr>
                <w:rFonts w:hint="default" w:ascii="仿宋" w:hAnsi="仿宋" w:eastAsia="仿宋"/>
                <w:bCs/>
                <w:color w:val="000000"/>
              </w:rPr>
            </w:pPr>
            <w:r>
              <w:rPr>
                <w:rFonts w:hint="eastAsia" w:ascii="仿宋" w:hAnsi="仿宋" w:eastAsia="仿宋"/>
                <w:bCs/>
                <w:color w:val="000000"/>
              </w:rPr>
              <w:t>10</w:t>
            </w:r>
          </w:p>
        </w:tc>
        <w:tc>
          <w:tcPr>
            <w:tcW w:w="7391" w:type="dxa"/>
            <w:noWrap w:val="0"/>
            <w:vAlign w:val="center"/>
          </w:tcPr>
          <w:p w14:paraId="347C9994">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是否存在法律、法规和招标文件规定的其他无效情形；</w:t>
            </w:r>
          </w:p>
        </w:tc>
        <w:tc>
          <w:tcPr>
            <w:tcW w:w="453" w:type="dxa"/>
            <w:noWrap w:val="0"/>
            <w:vAlign w:val="center"/>
          </w:tcPr>
          <w:p w14:paraId="611E5570">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7D722C60">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r w14:paraId="72DFB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33" w:hRule="atLeast"/>
        </w:trPr>
        <w:tc>
          <w:tcPr>
            <w:tcW w:w="8031" w:type="dxa"/>
            <w:gridSpan w:val="2"/>
            <w:noWrap w:val="0"/>
            <w:vAlign w:val="bottom"/>
          </w:tcPr>
          <w:p w14:paraId="48EB8A0D">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结论：是否通过评审（须填写通过或不通过）</w:t>
            </w:r>
          </w:p>
          <w:p w14:paraId="5AC87E2D">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r>
              <w:rPr>
                <w:rFonts w:hint="eastAsia" w:ascii="仿宋" w:hAnsi="仿宋" w:eastAsia="仿宋"/>
                <w:bCs/>
                <w:color w:val="000000"/>
                <w:kern w:val="0"/>
              </w:rPr>
              <w:t xml:space="preserve"> 注： 如有一项不合格， 作废标处理。</w:t>
            </w:r>
          </w:p>
        </w:tc>
        <w:tc>
          <w:tcPr>
            <w:tcW w:w="453" w:type="dxa"/>
            <w:noWrap w:val="0"/>
            <w:vAlign w:val="center"/>
          </w:tcPr>
          <w:p w14:paraId="30120E5D">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c>
          <w:tcPr>
            <w:tcW w:w="515" w:type="dxa"/>
            <w:noWrap w:val="0"/>
            <w:vAlign w:val="center"/>
          </w:tcPr>
          <w:p w14:paraId="6AE96FB3">
            <w:pPr>
              <w:keepNext w:val="0"/>
              <w:keepLines w:val="0"/>
              <w:suppressLineNumbers w:val="0"/>
              <w:spacing w:before="0" w:beforeAutospacing="0" w:after="0" w:afterAutospacing="0"/>
              <w:ind w:left="105" w:right="62" w:hanging="105" w:hangingChars="50"/>
              <w:jc w:val="left"/>
              <w:rPr>
                <w:rFonts w:hint="default" w:ascii="仿宋" w:hAnsi="仿宋" w:eastAsia="仿宋"/>
                <w:bCs/>
                <w:color w:val="000000"/>
                <w:kern w:val="0"/>
              </w:rPr>
            </w:pPr>
          </w:p>
        </w:tc>
      </w:tr>
    </w:tbl>
    <w:p w14:paraId="437458B2">
      <w:pPr>
        <w:rPr>
          <w:rFonts w:ascii="仿宋" w:hAnsi="仿宋" w:eastAsia="仿宋"/>
          <w:bCs/>
          <w:color w:val="000000"/>
          <w:szCs w:val="21"/>
        </w:rPr>
      </w:pPr>
      <w:r>
        <w:rPr>
          <w:rFonts w:hint="eastAsia" w:ascii="仿宋" w:hAnsi="仿宋" w:eastAsia="仿宋"/>
          <w:bCs/>
          <w:color w:val="000000"/>
          <w:szCs w:val="21"/>
        </w:rPr>
        <w:t>备注：1.如果投标文件中有一项未通过上述审查标准，评标委员会将认定整个投标文件未响应招标文件而予以废标处理。</w:t>
      </w:r>
    </w:p>
    <w:p w14:paraId="73BB837C">
      <w:pPr>
        <w:pStyle w:val="10"/>
        <w:numPr>
          <w:ilvl w:val="0"/>
          <w:numId w:val="9"/>
        </w:numPr>
        <w:tabs>
          <w:tab w:val="clear" w:pos="312"/>
          <w:tab w:val="clear" w:pos="567"/>
        </w:tabs>
        <w:spacing w:before="0" w:line="360" w:lineRule="auto"/>
        <w:ind w:firstLine="630" w:firstLineChars="300"/>
        <w:rPr>
          <w:rFonts w:hint="eastAsia"/>
          <w:lang w:val="en-US" w:eastAsia="zh-CN"/>
        </w:rPr>
      </w:pPr>
      <w:r>
        <w:rPr>
          <w:rFonts w:hint="eastAsia" w:ascii="仿宋" w:hAnsi="仿宋" w:eastAsia="仿宋" w:cs="Times New Roman"/>
          <w:bCs/>
          <w:color w:val="000000"/>
          <w:kern w:val="2"/>
          <w:sz w:val="21"/>
          <w:szCs w:val="21"/>
          <w:lang w:val="en-US" w:eastAsia="zh-CN" w:bidi="ar-SA"/>
        </w:rPr>
        <w:t>表中所述分项评审结果分两种：（1）合格用“√”表示；（2）不合格用“×”表示。</w:t>
      </w:r>
    </w:p>
    <w:p w14:paraId="2CE9FD63">
      <w:pPr>
        <w:pStyle w:val="6"/>
        <w:jc w:val="center"/>
        <w:rPr>
          <w:rFonts w:hint="eastAsia" w:asciiTheme="minorEastAsia" w:hAnsiTheme="minorEastAsia" w:eastAsiaTheme="minorEastAsia" w:cstheme="minorEastAsia"/>
          <w:sz w:val="22"/>
          <w:szCs w:val="18"/>
          <w:lang w:val="en-US" w:eastAsia="zh-CN"/>
        </w:rPr>
      </w:pPr>
      <w:r>
        <w:rPr>
          <w:rFonts w:hint="eastAsia" w:asciiTheme="minorEastAsia" w:hAnsiTheme="minorEastAsia" w:eastAsiaTheme="minorEastAsia" w:cstheme="minorEastAsia"/>
          <w:b/>
          <w:bCs/>
          <w:color w:val="auto"/>
          <w:kern w:val="0"/>
          <w:sz w:val="28"/>
          <w:szCs w:val="28"/>
          <w:highlight w:val="none"/>
        </w:rPr>
        <w:t>评分标准</w:t>
      </w:r>
    </w:p>
    <w:tbl>
      <w:tblPr>
        <w:tblStyle w:val="36"/>
        <w:tblW w:w="9071" w:type="dxa"/>
        <w:jc w:val="center"/>
        <w:tblLayout w:type="fixed"/>
        <w:tblCellMar>
          <w:top w:w="0" w:type="dxa"/>
          <w:left w:w="0" w:type="dxa"/>
          <w:bottom w:w="0" w:type="dxa"/>
          <w:right w:w="0" w:type="dxa"/>
        </w:tblCellMar>
      </w:tblPr>
      <w:tblGrid>
        <w:gridCol w:w="562"/>
        <w:gridCol w:w="683"/>
        <w:gridCol w:w="394"/>
        <w:gridCol w:w="7432"/>
      </w:tblGrid>
      <w:tr w14:paraId="61E9D311">
        <w:tblPrEx>
          <w:tblCellMar>
            <w:top w:w="0" w:type="dxa"/>
            <w:left w:w="0" w:type="dxa"/>
            <w:bottom w:w="0" w:type="dxa"/>
            <w:right w:w="0" w:type="dxa"/>
          </w:tblCellMar>
        </w:tblPrEx>
        <w:trPr>
          <w:trHeight w:val="581" w:hRule="atLeast"/>
          <w:jc w:val="center"/>
        </w:trPr>
        <w:tc>
          <w:tcPr>
            <w:tcW w:w="562" w:type="dxa"/>
            <w:tcBorders>
              <w:top w:val="single" w:color="000000" w:sz="4" w:space="0"/>
              <w:left w:val="single" w:color="000000" w:sz="4" w:space="0"/>
              <w:bottom w:val="single" w:color="auto" w:sz="4" w:space="0"/>
              <w:right w:val="single" w:color="000000" w:sz="4" w:space="0"/>
            </w:tcBorders>
            <w:noWrap w:val="0"/>
            <w:vAlign w:val="center"/>
          </w:tcPr>
          <w:p w14:paraId="67650494">
            <w:pPr>
              <w:keepNext w:val="0"/>
              <w:keepLines w:val="0"/>
              <w:suppressLineNumbers w:val="0"/>
              <w:shd w:val="clear" w:color="auto" w:fill="FFFFFF"/>
              <w:adjustRightInd w:val="0"/>
              <w:snapToGrid w:val="0"/>
              <w:spacing w:before="0" w:beforeAutospacing="0" w:after="0" w:afterAutospacing="0"/>
              <w:ind w:left="0" w:right="0"/>
              <w:jc w:val="center"/>
              <w:rPr>
                <w:rFonts w:hint="eastAsia" w:asciiTheme="minorEastAsia" w:hAnsiTheme="minorEastAsia" w:eastAsiaTheme="minorEastAsia" w:cstheme="minorEastAsia"/>
                <w:b w:val="0"/>
                <w:bCs w:val="0"/>
                <w:color w:val="auto"/>
                <w:sz w:val="22"/>
                <w:szCs w:val="18"/>
                <w:highlight w:val="none"/>
                <w:lang w:val="en-US" w:eastAsia="zh-CN"/>
              </w:rPr>
            </w:pPr>
            <w:r>
              <w:rPr>
                <w:rFonts w:hint="eastAsia" w:asciiTheme="minorEastAsia" w:hAnsiTheme="minorEastAsia" w:eastAsiaTheme="minorEastAsia" w:cstheme="minorEastAsia"/>
                <w:b w:val="0"/>
                <w:bCs w:val="0"/>
                <w:color w:val="auto"/>
                <w:sz w:val="22"/>
                <w:szCs w:val="18"/>
                <w:highlight w:val="none"/>
                <w:lang w:val="en-US" w:eastAsia="zh-CN"/>
              </w:rPr>
              <w:t>评审因素</w:t>
            </w:r>
          </w:p>
        </w:tc>
        <w:tc>
          <w:tcPr>
            <w:tcW w:w="683" w:type="dxa"/>
            <w:tcBorders>
              <w:top w:val="single" w:color="000000" w:sz="4" w:space="0"/>
              <w:left w:val="single" w:color="000000" w:sz="4" w:space="0"/>
              <w:bottom w:val="single" w:color="auto" w:sz="4" w:space="0"/>
              <w:right w:val="single" w:color="000000" w:sz="4" w:space="0"/>
            </w:tcBorders>
            <w:noWrap w:val="0"/>
            <w:vAlign w:val="center"/>
          </w:tcPr>
          <w:p w14:paraId="2FD8B40C">
            <w:pPr>
              <w:keepNext w:val="0"/>
              <w:keepLines w:val="0"/>
              <w:suppressLineNumbers w:val="0"/>
              <w:shd w:val="clear" w:color="auto" w:fill="FFFFFF"/>
              <w:adjustRightInd w:val="0"/>
              <w:snapToGrid w:val="0"/>
              <w:spacing w:before="0" w:beforeAutospacing="0" w:after="0" w:afterAutospacing="0"/>
              <w:ind w:left="0" w:right="0"/>
              <w:jc w:val="center"/>
              <w:rPr>
                <w:rFonts w:hint="eastAsia" w:asciiTheme="minorEastAsia" w:hAnsiTheme="minorEastAsia" w:eastAsiaTheme="minorEastAsia" w:cstheme="minorEastAsia"/>
                <w:b w:val="0"/>
                <w:bCs w:val="0"/>
                <w:color w:val="auto"/>
                <w:sz w:val="22"/>
                <w:szCs w:val="18"/>
                <w:highlight w:val="none"/>
                <w:lang w:val="en-US" w:eastAsia="zh-CN"/>
              </w:rPr>
            </w:pPr>
            <w:r>
              <w:rPr>
                <w:rFonts w:hint="eastAsia" w:asciiTheme="minorEastAsia" w:hAnsiTheme="minorEastAsia" w:eastAsiaTheme="minorEastAsia" w:cstheme="minorEastAsia"/>
                <w:b w:val="0"/>
                <w:bCs w:val="0"/>
                <w:color w:val="auto"/>
                <w:sz w:val="22"/>
                <w:szCs w:val="18"/>
                <w:highlight w:val="none"/>
              </w:rPr>
              <w:t>评审内容</w:t>
            </w:r>
          </w:p>
        </w:tc>
        <w:tc>
          <w:tcPr>
            <w:tcW w:w="394" w:type="dxa"/>
            <w:tcBorders>
              <w:top w:val="single" w:color="000000" w:sz="4" w:space="0"/>
              <w:left w:val="single" w:color="000000" w:sz="4" w:space="0"/>
              <w:bottom w:val="single" w:color="auto" w:sz="4" w:space="0"/>
              <w:right w:val="single" w:color="000000" w:sz="4" w:space="0"/>
            </w:tcBorders>
            <w:noWrap w:val="0"/>
            <w:vAlign w:val="center"/>
          </w:tcPr>
          <w:p w14:paraId="42C51DCC">
            <w:pPr>
              <w:keepNext w:val="0"/>
              <w:keepLines w:val="0"/>
              <w:suppressLineNumbers w:val="0"/>
              <w:shd w:val="clear" w:color="auto" w:fill="FFFFFF"/>
              <w:adjustRightInd w:val="0"/>
              <w:snapToGrid w:val="0"/>
              <w:spacing w:before="0" w:beforeAutospacing="0" w:after="0" w:afterAutospacing="0"/>
              <w:ind w:left="0" w:right="0"/>
              <w:jc w:val="center"/>
              <w:rPr>
                <w:rFonts w:hint="eastAsia" w:asciiTheme="minorEastAsia" w:hAnsiTheme="minorEastAsia" w:eastAsiaTheme="minorEastAsia" w:cstheme="minorEastAsia"/>
                <w:b w:val="0"/>
                <w:bCs w:val="0"/>
                <w:color w:val="auto"/>
                <w:sz w:val="22"/>
                <w:szCs w:val="18"/>
                <w:highlight w:val="none"/>
                <w:lang w:val="en-US" w:eastAsia="zh-CN"/>
              </w:rPr>
            </w:pPr>
            <w:r>
              <w:rPr>
                <w:rFonts w:hint="eastAsia" w:asciiTheme="minorEastAsia" w:hAnsiTheme="minorEastAsia" w:eastAsiaTheme="minorEastAsia" w:cstheme="minorEastAsia"/>
                <w:b w:val="0"/>
                <w:bCs w:val="0"/>
                <w:color w:val="auto"/>
                <w:sz w:val="22"/>
                <w:szCs w:val="18"/>
                <w:highlight w:val="none"/>
              </w:rPr>
              <w:t>分值</w:t>
            </w:r>
          </w:p>
        </w:tc>
        <w:tc>
          <w:tcPr>
            <w:tcW w:w="7432" w:type="dxa"/>
            <w:tcBorders>
              <w:top w:val="single" w:color="000000" w:sz="4" w:space="0"/>
              <w:left w:val="single" w:color="000000" w:sz="4" w:space="0"/>
              <w:bottom w:val="single" w:color="auto" w:sz="4" w:space="0"/>
              <w:right w:val="single" w:color="000000" w:sz="4" w:space="0"/>
            </w:tcBorders>
            <w:noWrap w:val="0"/>
            <w:vAlign w:val="center"/>
          </w:tcPr>
          <w:p w14:paraId="2D98479B">
            <w:pPr>
              <w:keepNext w:val="0"/>
              <w:keepLines w:val="0"/>
              <w:suppressLineNumbers w:val="0"/>
              <w:shd w:val="clear" w:color="auto" w:fill="FFFFFF"/>
              <w:adjustRightInd w:val="0"/>
              <w:snapToGrid w:val="0"/>
              <w:spacing w:before="0" w:beforeAutospacing="0" w:after="0" w:afterAutospacing="0"/>
              <w:ind w:left="0" w:right="0"/>
              <w:jc w:val="center"/>
              <w:rPr>
                <w:rFonts w:hint="eastAsia" w:asciiTheme="minorEastAsia" w:hAnsiTheme="minorEastAsia" w:eastAsiaTheme="minorEastAsia" w:cstheme="minorEastAsia"/>
                <w:b w:val="0"/>
                <w:bCs w:val="0"/>
                <w:color w:val="auto"/>
                <w:sz w:val="22"/>
                <w:szCs w:val="18"/>
                <w:highlight w:val="none"/>
                <w:lang w:val="en-US" w:eastAsia="zh-CN"/>
              </w:rPr>
            </w:pPr>
            <w:r>
              <w:rPr>
                <w:rFonts w:hint="eastAsia" w:asciiTheme="minorEastAsia" w:hAnsiTheme="minorEastAsia" w:eastAsiaTheme="minorEastAsia" w:cstheme="minorEastAsia"/>
                <w:b w:val="0"/>
                <w:bCs w:val="0"/>
                <w:color w:val="auto"/>
                <w:sz w:val="22"/>
                <w:szCs w:val="18"/>
                <w:highlight w:val="none"/>
              </w:rPr>
              <w:t>评分标准</w:t>
            </w:r>
          </w:p>
        </w:tc>
      </w:tr>
      <w:tr w14:paraId="28E6E24B">
        <w:tblPrEx>
          <w:tblCellMar>
            <w:top w:w="0" w:type="dxa"/>
            <w:left w:w="0" w:type="dxa"/>
            <w:bottom w:w="0" w:type="dxa"/>
            <w:right w:w="0" w:type="dxa"/>
          </w:tblCellMar>
        </w:tblPrEx>
        <w:trPr>
          <w:trHeight w:val="520"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35737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18"/>
                <w:szCs w:val="18"/>
                <w:highlight w:val="none"/>
                <w:lang w:eastAsia="zh-CN"/>
              </w:rPr>
              <w:t>报价部分（</w:t>
            </w:r>
            <w:r>
              <w:rPr>
                <w:rFonts w:hint="eastAsia" w:ascii="CESI仿宋-GB2312" w:hAnsi="CESI仿宋-GB2312" w:eastAsia="CESI仿宋-GB2312" w:cs="CESI仿宋-GB2312"/>
                <w:color w:val="auto"/>
                <w:sz w:val="18"/>
                <w:szCs w:val="18"/>
                <w:highlight w:val="none"/>
                <w:lang w:val="en-US" w:eastAsia="zh-CN"/>
              </w:rPr>
              <w:t>30分</w:t>
            </w:r>
            <w:r>
              <w:rPr>
                <w:rFonts w:hint="eastAsia" w:ascii="CESI仿宋-GB2312" w:hAnsi="CESI仿宋-GB2312" w:eastAsia="CESI仿宋-GB2312" w:cs="CESI仿宋-GB2312"/>
                <w:color w:val="auto"/>
                <w:sz w:val="18"/>
                <w:szCs w:val="18"/>
                <w:highlight w:val="none"/>
                <w:lang w:eastAsia="zh-CN"/>
              </w:rPr>
              <w:t>）</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4FBAD12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投标报价</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31ACC683">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30分</w:t>
            </w:r>
          </w:p>
        </w:tc>
        <w:tc>
          <w:tcPr>
            <w:tcW w:w="7432" w:type="dxa"/>
            <w:tcBorders>
              <w:top w:val="single" w:color="auto" w:sz="4" w:space="0"/>
              <w:left w:val="single" w:color="auto" w:sz="4" w:space="0"/>
              <w:bottom w:val="single" w:color="auto" w:sz="4" w:space="0"/>
              <w:right w:val="single" w:color="auto" w:sz="4" w:space="0"/>
            </w:tcBorders>
            <w:noWrap w:val="0"/>
            <w:vAlign w:val="center"/>
          </w:tcPr>
          <w:p w14:paraId="58926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CESI仿宋-GB2312" w:hAnsi="CESI仿宋-GB2312" w:eastAsia="CESI仿宋-GB2312" w:cs="CESI仿宋-GB2312"/>
                <w:kern w:val="2"/>
                <w:sz w:val="22"/>
                <w:szCs w:val="22"/>
                <w:highlight w:val="none"/>
                <w:lang w:val="en-US" w:eastAsia="zh-CN"/>
              </w:rPr>
            </w:pPr>
            <w:r>
              <w:rPr>
                <w:rFonts w:hint="eastAsia" w:ascii="CESI仿宋-GB2312" w:hAnsi="CESI仿宋-GB2312" w:eastAsia="CESI仿宋-GB2312" w:cs="CESI仿宋-GB2312"/>
                <w:kern w:val="2"/>
                <w:sz w:val="22"/>
                <w:szCs w:val="22"/>
                <w:highlight w:val="none"/>
                <w:lang w:val="en-US" w:eastAsia="zh-CN"/>
              </w:rPr>
              <w:t>综合评分法中的价格分统一采用低价优先法计算，即满足招标文件要求且投标价格最低的投标报价为评标基准价，其价格分为满分30分；</w:t>
            </w:r>
          </w:p>
          <w:p w14:paraId="1038D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CESI仿宋-GB2312" w:hAnsi="CESI仿宋-GB2312" w:eastAsia="CESI仿宋-GB2312" w:cs="CESI仿宋-GB2312"/>
                <w:kern w:val="2"/>
                <w:sz w:val="22"/>
                <w:szCs w:val="22"/>
                <w:highlight w:val="none"/>
                <w:lang w:val="en-US" w:eastAsia="zh-CN"/>
              </w:rPr>
            </w:pPr>
            <w:r>
              <w:rPr>
                <w:rFonts w:hint="eastAsia" w:ascii="CESI仿宋-GB2312" w:hAnsi="CESI仿宋-GB2312" w:eastAsia="CESI仿宋-GB2312" w:cs="CESI仿宋-GB2312"/>
                <w:kern w:val="2"/>
                <w:sz w:val="22"/>
                <w:szCs w:val="22"/>
                <w:highlight w:val="none"/>
                <w:lang w:val="en-US" w:eastAsia="zh-CN"/>
              </w:rPr>
              <w:t>适用价格扣除方法政府采购项目价格及得分计算方法：</w:t>
            </w:r>
          </w:p>
          <w:p w14:paraId="03C07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CESI仿宋-GB2312" w:hAnsi="CESI仿宋-GB2312" w:eastAsia="CESI仿宋-GB2312" w:cs="CESI仿宋-GB2312"/>
                <w:kern w:val="2"/>
                <w:sz w:val="22"/>
                <w:szCs w:val="22"/>
                <w:highlight w:val="none"/>
                <w:lang w:val="en-US" w:eastAsia="zh-CN"/>
              </w:rPr>
            </w:pPr>
            <w:r>
              <w:rPr>
                <w:rFonts w:hint="eastAsia" w:ascii="CESI仿宋-GB2312" w:hAnsi="CESI仿宋-GB2312" w:eastAsia="CESI仿宋-GB2312" w:cs="CESI仿宋-GB2312"/>
                <w:kern w:val="2"/>
                <w:sz w:val="22"/>
                <w:szCs w:val="22"/>
                <w:highlight w:val="none"/>
                <w:lang w:val="en-US" w:eastAsia="zh-CN"/>
              </w:rPr>
              <w:t>投标报价得分=（评标基准价/评标价格）×价格权值×100</w:t>
            </w:r>
          </w:p>
          <w:p w14:paraId="14000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CESI仿宋-GB2312" w:hAnsi="CESI仿宋-GB2312" w:eastAsia="CESI仿宋-GB2312" w:cs="CESI仿宋-GB2312"/>
                <w:b/>
                <w:bCs/>
                <w:kern w:val="2"/>
                <w:sz w:val="22"/>
                <w:szCs w:val="22"/>
                <w:highlight w:val="none"/>
                <w:lang w:val="en-US" w:eastAsia="zh-CN"/>
              </w:rPr>
            </w:pPr>
            <w:r>
              <w:rPr>
                <w:rFonts w:hint="eastAsia" w:ascii="CESI仿宋-GB2312" w:hAnsi="CESI仿宋-GB2312" w:eastAsia="CESI仿宋-GB2312" w:cs="CESI仿宋-GB2312"/>
                <w:b/>
                <w:bCs/>
                <w:kern w:val="2"/>
                <w:sz w:val="22"/>
                <w:szCs w:val="22"/>
                <w:highlight w:val="none"/>
                <w:lang w:val="en-US" w:eastAsia="zh-CN"/>
              </w:rPr>
              <w:t>备注：</w:t>
            </w:r>
          </w:p>
          <w:p w14:paraId="2C595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CESI仿宋-GB2312" w:hAnsi="CESI仿宋-GB2312" w:eastAsia="CESI仿宋-GB2312" w:cs="CESI仿宋-GB2312"/>
                <w:b/>
                <w:bCs/>
                <w:kern w:val="2"/>
                <w:sz w:val="22"/>
                <w:szCs w:val="22"/>
                <w:highlight w:val="none"/>
                <w:lang w:val="en-US" w:eastAsia="zh-CN"/>
              </w:rPr>
            </w:pPr>
            <w:r>
              <w:rPr>
                <w:rFonts w:hint="eastAsia" w:ascii="CESI仿宋-GB2312" w:hAnsi="CESI仿宋-GB2312" w:eastAsia="CESI仿宋-GB2312" w:cs="CESI仿宋-GB2312"/>
                <w:b/>
                <w:bCs/>
                <w:kern w:val="2"/>
                <w:sz w:val="22"/>
                <w:szCs w:val="22"/>
                <w:highlight w:val="none"/>
                <w:lang w:val="en-US" w:eastAsia="zh-CN"/>
              </w:rPr>
              <w:t>①若投标人投标价格超出采购预算，则该投标人的综合评分为0分；若投标人投标价格均超过采购预算，做废标处理。</w:t>
            </w:r>
          </w:p>
          <w:p w14:paraId="1C9E51A4">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b/>
                <w:bCs/>
                <w:kern w:val="2"/>
                <w:sz w:val="22"/>
                <w:szCs w:val="22"/>
                <w:highlight w:val="none"/>
                <w:lang w:val="en-US" w:eastAsia="zh-CN"/>
              </w:rPr>
              <w:t>②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tc>
      </w:tr>
      <w:tr w14:paraId="06A0E65C">
        <w:tblPrEx>
          <w:tblCellMar>
            <w:top w:w="0" w:type="dxa"/>
            <w:left w:w="0" w:type="dxa"/>
            <w:bottom w:w="0" w:type="dxa"/>
            <w:right w:w="0" w:type="dxa"/>
          </w:tblCellMar>
        </w:tblPrEx>
        <w:trPr>
          <w:trHeight w:val="520" w:hRule="atLeast"/>
          <w:jc w:val="center"/>
        </w:trPr>
        <w:tc>
          <w:tcPr>
            <w:tcW w:w="562" w:type="dxa"/>
            <w:vMerge w:val="restart"/>
            <w:tcBorders>
              <w:top w:val="single" w:color="auto" w:sz="4" w:space="0"/>
              <w:left w:val="single" w:color="auto" w:sz="4" w:space="0"/>
              <w:right w:val="single" w:color="auto" w:sz="4" w:space="0"/>
            </w:tcBorders>
            <w:noWrap w:val="0"/>
            <w:vAlign w:val="center"/>
          </w:tcPr>
          <w:p w14:paraId="62F86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18"/>
                <w:szCs w:val="18"/>
                <w:highlight w:val="none"/>
                <w:lang w:eastAsia="zh-CN"/>
              </w:rPr>
            </w:pPr>
            <w:r>
              <w:rPr>
                <w:rFonts w:hint="eastAsia" w:ascii="CESI仿宋-GB2312" w:hAnsi="CESI仿宋-GB2312" w:eastAsia="CESI仿宋-GB2312" w:cs="CESI仿宋-GB2312"/>
                <w:color w:val="auto"/>
                <w:sz w:val="22"/>
                <w:szCs w:val="18"/>
                <w:highlight w:val="none"/>
                <w:lang w:val="en-US" w:eastAsia="zh-CN"/>
              </w:rPr>
              <w:t>商务部分（14分）</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52686D91">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rPr>
              <w:t>培训服务及人员规范要求</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49F43A13">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8分</w:t>
            </w:r>
          </w:p>
        </w:tc>
        <w:tc>
          <w:tcPr>
            <w:tcW w:w="7432" w:type="dxa"/>
            <w:tcBorders>
              <w:top w:val="single" w:color="auto" w:sz="4" w:space="0"/>
              <w:left w:val="single" w:color="auto" w:sz="4" w:space="0"/>
              <w:bottom w:val="single" w:color="auto" w:sz="4" w:space="0"/>
              <w:right w:val="single" w:color="auto" w:sz="4" w:space="0"/>
            </w:tcBorders>
            <w:noWrap w:val="0"/>
            <w:vAlign w:val="center"/>
          </w:tcPr>
          <w:p w14:paraId="6A626A52">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服务期间</w:t>
            </w:r>
            <w:r>
              <w:rPr>
                <w:rFonts w:hint="eastAsia" w:ascii="CESI仿宋-GB2312" w:hAnsi="CESI仿宋-GB2312" w:eastAsia="CESI仿宋-GB2312" w:cs="CESI仿宋-GB2312"/>
                <w:color w:val="auto"/>
                <w:sz w:val="22"/>
                <w:szCs w:val="18"/>
                <w:highlight w:val="none"/>
              </w:rPr>
              <w:t>对员工开展安全</w:t>
            </w:r>
            <w:r>
              <w:rPr>
                <w:rFonts w:hint="eastAsia" w:ascii="CESI仿宋-GB2312" w:hAnsi="CESI仿宋-GB2312" w:eastAsia="CESI仿宋-GB2312" w:cs="CESI仿宋-GB2312"/>
                <w:color w:val="auto"/>
                <w:sz w:val="22"/>
                <w:szCs w:val="18"/>
                <w:highlight w:val="none"/>
                <w:lang w:eastAsia="zh-CN"/>
              </w:rPr>
              <w:t>教育</w:t>
            </w:r>
            <w:r>
              <w:rPr>
                <w:rFonts w:hint="eastAsia" w:ascii="CESI仿宋-GB2312" w:hAnsi="CESI仿宋-GB2312" w:eastAsia="CESI仿宋-GB2312" w:cs="CESI仿宋-GB2312"/>
                <w:color w:val="auto"/>
                <w:sz w:val="22"/>
                <w:szCs w:val="18"/>
                <w:highlight w:val="none"/>
              </w:rPr>
              <w:t>、技能培训</w:t>
            </w:r>
            <w:r>
              <w:rPr>
                <w:rFonts w:hint="eastAsia" w:ascii="CESI仿宋-GB2312" w:hAnsi="CESI仿宋-GB2312" w:eastAsia="CESI仿宋-GB2312" w:cs="CESI仿宋-GB2312"/>
                <w:color w:val="auto"/>
                <w:sz w:val="22"/>
                <w:szCs w:val="18"/>
                <w:highlight w:val="none"/>
                <w:lang w:eastAsia="zh-CN"/>
              </w:rPr>
              <w:t>、仪表仪容规范培训</w:t>
            </w:r>
            <w:r>
              <w:rPr>
                <w:rFonts w:hint="eastAsia" w:ascii="CESI仿宋-GB2312" w:hAnsi="CESI仿宋-GB2312" w:eastAsia="CESI仿宋-GB2312" w:cs="CESI仿宋-GB2312"/>
                <w:color w:val="auto"/>
                <w:sz w:val="22"/>
                <w:szCs w:val="18"/>
                <w:highlight w:val="none"/>
                <w:lang w:val="en-US" w:eastAsia="zh-CN"/>
              </w:rPr>
              <w:t>（包括</w:t>
            </w:r>
            <w:r>
              <w:rPr>
                <w:rFonts w:hint="eastAsia" w:ascii="CESI仿宋-GB2312" w:hAnsi="CESI仿宋-GB2312" w:eastAsia="CESI仿宋-GB2312" w:cs="CESI仿宋-GB2312"/>
                <w:color w:val="auto"/>
                <w:sz w:val="22"/>
                <w:szCs w:val="18"/>
                <w:highlight w:val="none"/>
                <w:lang w:val="ru-RU" w:eastAsia="zh-CN"/>
              </w:rPr>
              <w:t>①</w:t>
            </w:r>
            <w:r>
              <w:rPr>
                <w:rFonts w:hint="eastAsia" w:ascii="CESI仿宋-GB2312" w:hAnsi="CESI仿宋-GB2312" w:eastAsia="CESI仿宋-GB2312" w:cs="CESI仿宋-GB2312"/>
                <w:color w:val="auto"/>
                <w:sz w:val="22"/>
                <w:szCs w:val="18"/>
                <w:highlight w:val="none"/>
                <w:lang w:val="en-US" w:eastAsia="zh-CN"/>
              </w:rPr>
              <w:t>岗前和在岗培训；</w:t>
            </w:r>
            <w:r>
              <w:rPr>
                <w:rFonts w:hint="eastAsia" w:ascii="CESI仿宋-GB2312" w:hAnsi="CESI仿宋-GB2312" w:eastAsia="CESI仿宋-GB2312" w:cs="CESI仿宋-GB2312"/>
                <w:color w:val="auto"/>
                <w:sz w:val="22"/>
                <w:szCs w:val="18"/>
                <w:highlight w:val="none"/>
                <w:lang w:val="ru-RU" w:eastAsia="zh-CN"/>
              </w:rPr>
              <w:t>②</w:t>
            </w:r>
            <w:r>
              <w:rPr>
                <w:rFonts w:hint="eastAsia" w:ascii="CESI仿宋-GB2312" w:hAnsi="CESI仿宋-GB2312" w:eastAsia="CESI仿宋-GB2312" w:cs="CESI仿宋-GB2312"/>
                <w:color w:val="auto"/>
                <w:sz w:val="22"/>
                <w:szCs w:val="18"/>
                <w:highlight w:val="none"/>
                <w:lang w:val="en-US" w:eastAsia="zh-CN"/>
              </w:rPr>
              <w:t>针对食品安全、消防安全、用火、用电、用气培训等；</w:t>
            </w:r>
            <w:r>
              <w:rPr>
                <w:rFonts w:hint="eastAsia" w:ascii="CESI仿宋-GB2312" w:hAnsi="CESI仿宋-GB2312" w:eastAsia="CESI仿宋-GB2312" w:cs="CESI仿宋-GB2312"/>
                <w:color w:val="auto"/>
                <w:sz w:val="22"/>
                <w:szCs w:val="18"/>
                <w:highlight w:val="none"/>
                <w:lang w:val="ru-RU" w:eastAsia="zh-CN"/>
              </w:rPr>
              <w:t>③</w:t>
            </w:r>
            <w:r>
              <w:rPr>
                <w:rFonts w:hint="eastAsia" w:ascii="CESI仿宋-GB2312" w:hAnsi="CESI仿宋-GB2312" w:eastAsia="CESI仿宋-GB2312" w:cs="CESI仿宋-GB2312"/>
                <w:color w:val="auto"/>
                <w:sz w:val="22"/>
                <w:szCs w:val="18"/>
                <w:highlight w:val="none"/>
                <w:lang w:val="en-US" w:eastAsia="zh-CN"/>
              </w:rPr>
              <w:t>岗位职责培训；</w:t>
            </w:r>
            <w:r>
              <w:rPr>
                <w:rFonts w:hint="eastAsia" w:ascii="CESI仿宋-GB2312" w:hAnsi="CESI仿宋-GB2312" w:eastAsia="CESI仿宋-GB2312" w:cs="CESI仿宋-GB2312"/>
                <w:color w:val="auto"/>
                <w:sz w:val="22"/>
                <w:szCs w:val="18"/>
                <w:highlight w:val="none"/>
                <w:lang w:val="ru-RU" w:eastAsia="zh-CN"/>
              </w:rPr>
              <w:t>④</w:t>
            </w:r>
            <w:r>
              <w:rPr>
                <w:rFonts w:hint="eastAsia" w:ascii="CESI仿宋-GB2312" w:hAnsi="CESI仿宋-GB2312" w:eastAsia="CESI仿宋-GB2312" w:cs="CESI仿宋-GB2312"/>
                <w:color w:val="auto"/>
                <w:sz w:val="22"/>
                <w:szCs w:val="18"/>
                <w:highlight w:val="none"/>
                <w:lang w:val="en-US" w:eastAsia="zh-CN"/>
              </w:rPr>
              <w:t>保密措施等；</w:t>
            </w:r>
          </w:p>
          <w:p w14:paraId="6DF8F334">
            <w:pPr>
              <w:keepNext w:val="0"/>
              <w:keepLines w:val="0"/>
              <w:pageBreakBefore w:val="0"/>
              <w:numPr>
                <w:ilvl w:val="0"/>
                <w:numId w:val="10"/>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以上措施内容完整清晰明确、科学合理、可行性高、具有针对性，</w:t>
            </w:r>
            <w:r>
              <w:rPr>
                <w:rFonts w:hint="eastAsia" w:ascii="CESI仿宋-GB2312" w:hAnsi="CESI仿宋-GB2312" w:eastAsia="CESI仿宋-GB2312" w:cs="CESI仿宋-GB2312"/>
                <w:color w:val="auto"/>
                <w:sz w:val="22"/>
                <w:szCs w:val="18"/>
                <w:highlight w:val="none"/>
              </w:rPr>
              <w:t>用工规范</w:t>
            </w:r>
            <w:r>
              <w:rPr>
                <w:rFonts w:hint="eastAsia" w:ascii="CESI仿宋-GB2312" w:hAnsi="CESI仿宋-GB2312" w:eastAsia="CESI仿宋-GB2312" w:cs="CESI仿宋-GB2312"/>
                <w:color w:val="auto"/>
                <w:sz w:val="22"/>
                <w:szCs w:val="18"/>
                <w:highlight w:val="none"/>
                <w:lang w:eastAsia="zh-CN"/>
              </w:rPr>
              <w:t>、</w:t>
            </w:r>
            <w:r>
              <w:rPr>
                <w:rFonts w:hint="eastAsia" w:ascii="CESI仿宋-GB2312" w:hAnsi="CESI仿宋-GB2312" w:eastAsia="CESI仿宋-GB2312" w:cs="CESI仿宋-GB2312"/>
                <w:color w:val="auto"/>
                <w:sz w:val="22"/>
                <w:szCs w:val="18"/>
                <w:highlight w:val="none"/>
              </w:rPr>
              <w:t>员工服务规范</w:t>
            </w:r>
            <w:r>
              <w:rPr>
                <w:rFonts w:hint="eastAsia" w:ascii="CESI仿宋-GB2312" w:hAnsi="CESI仿宋-GB2312" w:eastAsia="CESI仿宋-GB2312" w:cs="CESI仿宋-GB2312"/>
                <w:color w:val="auto"/>
                <w:sz w:val="22"/>
                <w:szCs w:val="18"/>
                <w:highlight w:val="none"/>
                <w:lang w:eastAsia="zh-CN"/>
              </w:rPr>
              <w:t>、</w:t>
            </w:r>
            <w:r>
              <w:rPr>
                <w:rFonts w:hint="eastAsia" w:ascii="CESI仿宋-GB2312" w:hAnsi="CESI仿宋-GB2312" w:eastAsia="CESI仿宋-GB2312" w:cs="CESI仿宋-GB2312"/>
                <w:color w:val="auto"/>
                <w:sz w:val="22"/>
                <w:szCs w:val="18"/>
                <w:highlight w:val="none"/>
              </w:rPr>
              <w:t>着装统一整洁</w:t>
            </w:r>
            <w:r>
              <w:rPr>
                <w:rFonts w:hint="eastAsia" w:ascii="CESI仿宋-GB2312" w:hAnsi="CESI仿宋-GB2312" w:eastAsia="CESI仿宋-GB2312" w:cs="CESI仿宋-GB2312"/>
                <w:color w:val="auto"/>
                <w:sz w:val="22"/>
                <w:szCs w:val="18"/>
                <w:highlight w:val="none"/>
                <w:lang w:eastAsia="zh-CN"/>
              </w:rPr>
              <w:t>，</w:t>
            </w:r>
            <w:r>
              <w:rPr>
                <w:rFonts w:hint="eastAsia" w:ascii="CESI仿宋-GB2312" w:hAnsi="CESI仿宋-GB2312" w:eastAsia="CESI仿宋-GB2312" w:cs="CESI仿宋-GB2312"/>
                <w:color w:val="auto"/>
                <w:sz w:val="22"/>
                <w:szCs w:val="18"/>
                <w:highlight w:val="none"/>
                <w:lang w:val="en-US" w:eastAsia="zh-CN"/>
              </w:rPr>
              <w:t>并满足服务需求的，得8分；</w:t>
            </w:r>
          </w:p>
          <w:p w14:paraId="4DCD7122">
            <w:pPr>
              <w:keepNext w:val="0"/>
              <w:keepLines w:val="0"/>
              <w:pageBreakBefore w:val="0"/>
              <w:numPr>
                <w:ilvl w:val="0"/>
                <w:numId w:val="10"/>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以上措施内容较完整清晰明确、较科学合理、可行性较好、具有一定针对性，</w:t>
            </w:r>
            <w:r>
              <w:rPr>
                <w:rFonts w:hint="eastAsia" w:ascii="CESI仿宋-GB2312" w:hAnsi="CESI仿宋-GB2312" w:eastAsia="CESI仿宋-GB2312" w:cs="CESI仿宋-GB2312"/>
                <w:color w:val="auto"/>
                <w:sz w:val="22"/>
                <w:szCs w:val="18"/>
                <w:highlight w:val="none"/>
              </w:rPr>
              <w:t>用工规范</w:t>
            </w:r>
            <w:r>
              <w:rPr>
                <w:rFonts w:hint="eastAsia" w:ascii="CESI仿宋-GB2312" w:hAnsi="CESI仿宋-GB2312" w:eastAsia="CESI仿宋-GB2312" w:cs="CESI仿宋-GB2312"/>
                <w:color w:val="auto"/>
                <w:sz w:val="22"/>
                <w:szCs w:val="18"/>
                <w:highlight w:val="none"/>
                <w:lang w:eastAsia="zh-CN"/>
              </w:rPr>
              <w:t>、</w:t>
            </w:r>
            <w:r>
              <w:rPr>
                <w:rFonts w:hint="eastAsia" w:ascii="CESI仿宋-GB2312" w:hAnsi="CESI仿宋-GB2312" w:eastAsia="CESI仿宋-GB2312" w:cs="CESI仿宋-GB2312"/>
                <w:color w:val="auto"/>
                <w:sz w:val="22"/>
                <w:szCs w:val="18"/>
                <w:highlight w:val="none"/>
              </w:rPr>
              <w:t>员工服务规范</w:t>
            </w:r>
            <w:r>
              <w:rPr>
                <w:rFonts w:hint="eastAsia" w:ascii="CESI仿宋-GB2312" w:hAnsi="CESI仿宋-GB2312" w:eastAsia="CESI仿宋-GB2312" w:cs="CESI仿宋-GB2312"/>
                <w:color w:val="auto"/>
                <w:sz w:val="22"/>
                <w:szCs w:val="18"/>
                <w:highlight w:val="none"/>
                <w:lang w:eastAsia="zh-CN"/>
              </w:rPr>
              <w:t>、</w:t>
            </w:r>
            <w:r>
              <w:rPr>
                <w:rFonts w:hint="eastAsia" w:ascii="CESI仿宋-GB2312" w:hAnsi="CESI仿宋-GB2312" w:eastAsia="CESI仿宋-GB2312" w:cs="CESI仿宋-GB2312"/>
                <w:color w:val="auto"/>
                <w:sz w:val="22"/>
                <w:szCs w:val="18"/>
                <w:highlight w:val="none"/>
              </w:rPr>
              <w:t>着装统一整洁</w:t>
            </w:r>
            <w:r>
              <w:rPr>
                <w:rFonts w:hint="eastAsia" w:ascii="CESI仿宋-GB2312" w:hAnsi="CESI仿宋-GB2312" w:eastAsia="CESI仿宋-GB2312" w:cs="CESI仿宋-GB2312"/>
                <w:color w:val="auto"/>
                <w:sz w:val="22"/>
                <w:szCs w:val="18"/>
                <w:highlight w:val="none"/>
                <w:lang w:eastAsia="zh-CN"/>
              </w:rPr>
              <w:t>，</w:t>
            </w:r>
            <w:r>
              <w:rPr>
                <w:rFonts w:hint="eastAsia" w:ascii="CESI仿宋-GB2312" w:hAnsi="CESI仿宋-GB2312" w:eastAsia="CESI仿宋-GB2312" w:cs="CESI仿宋-GB2312"/>
                <w:color w:val="auto"/>
                <w:sz w:val="22"/>
                <w:szCs w:val="18"/>
                <w:highlight w:val="none"/>
                <w:lang w:val="en-US" w:eastAsia="zh-CN"/>
              </w:rPr>
              <w:t>并满足服务需求的，得5分；</w:t>
            </w:r>
          </w:p>
          <w:p w14:paraId="208A2305">
            <w:pPr>
              <w:keepNext w:val="0"/>
              <w:keepLines w:val="0"/>
              <w:pageBreakBefore w:val="0"/>
              <w:numPr>
                <w:ilvl w:val="0"/>
                <w:numId w:val="10"/>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以上措施内容一般，基本满足服务需求的，得2分；</w:t>
            </w:r>
          </w:p>
          <w:p w14:paraId="1C916341">
            <w:pPr>
              <w:keepNext w:val="0"/>
              <w:keepLines w:val="0"/>
              <w:pageBreakBefore w:val="0"/>
              <w:numPr>
                <w:ilvl w:val="0"/>
                <w:numId w:val="10"/>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以上措施内容差的，得1人；</w:t>
            </w:r>
          </w:p>
          <w:p w14:paraId="3390F1D6">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CESI仿宋-GB2312" w:hAnsi="CESI仿宋-GB2312" w:eastAsia="CESI仿宋-GB2312" w:cs="CESI仿宋-GB2312"/>
                <w:b/>
                <w:bCs/>
                <w:kern w:val="2"/>
                <w:sz w:val="22"/>
                <w:szCs w:val="22"/>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以上措施内容未提供的不得分。</w:t>
            </w:r>
          </w:p>
        </w:tc>
      </w:tr>
      <w:tr w14:paraId="03274DBA">
        <w:tblPrEx>
          <w:tblCellMar>
            <w:top w:w="0" w:type="dxa"/>
            <w:left w:w="0" w:type="dxa"/>
            <w:bottom w:w="0" w:type="dxa"/>
            <w:right w:w="0" w:type="dxa"/>
          </w:tblCellMar>
        </w:tblPrEx>
        <w:trPr>
          <w:trHeight w:val="1576" w:hRule="atLeast"/>
          <w:jc w:val="center"/>
        </w:trPr>
        <w:tc>
          <w:tcPr>
            <w:tcW w:w="562" w:type="dxa"/>
            <w:vMerge w:val="continue"/>
            <w:tcBorders>
              <w:left w:val="single" w:color="auto" w:sz="4" w:space="0"/>
              <w:right w:val="single" w:color="auto" w:sz="4" w:space="0"/>
            </w:tcBorders>
            <w:noWrap w:val="0"/>
            <w:vAlign w:val="center"/>
          </w:tcPr>
          <w:p w14:paraId="6DDED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18"/>
                <w:szCs w:val="18"/>
                <w:highlight w:val="none"/>
                <w:lang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1DBE0546">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业绩</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30FC8A41">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3分</w:t>
            </w:r>
          </w:p>
        </w:tc>
        <w:tc>
          <w:tcPr>
            <w:tcW w:w="7432" w:type="dxa"/>
            <w:tcBorders>
              <w:top w:val="single" w:color="auto" w:sz="4" w:space="0"/>
              <w:left w:val="single" w:color="auto" w:sz="4" w:space="0"/>
              <w:bottom w:val="single" w:color="auto" w:sz="4" w:space="0"/>
              <w:right w:val="single" w:color="auto" w:sz="4" w:space="0"/>
            </w:tcBorders>
            <w:noWrap w:val="0"/>
            <w:vAlign w:val="center"/>
          </w:tcPr>
          <w:p w14:paraId="304004A9">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sz w:val="22"/>
                <w:szCs w:val="22"/>
                <w:highlight w:val="none"/>
              </w:rPr>
              <w:t>投</w:t>
            </w:r>
            <w:r>
              <w:rPr>
                <w:rFonts w:hint="eastAsia" w:ascii="CESI仿宋-GB2312" w:hAnsi="CESI仿宋-GB2312" w:eastAsia="CESI仿宋-GB2312" w:cs="CESI仿宋-GB2312"/>
                <w:color w:val="auto"/>
                <w:sz w:val="22"/>
                <w:szCs w:val="18"/>
                <w:highlight w:val="none"/>
                <w:lang w:val="en-US" w:eastAsia="zh-CN"/>
              </w:rPr>
              <w:t>标人近三年内（2022年01月01日至今，以合同签订日期为准）已完成类似项目业绩，须提供合同或中标通知书复印件加盖公章，每提供一项得1分，最多得3分。</w:t>
            </w:r>
          </w:p>
          <w:p w14:paraId="6826D940">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CESI仿宋-GB2312" w:hAnsi="CESI仿宋-GB2312" w:eastAsia="CESI仿宋-GB2312" w:cs="CESI仿宋-GB2312"/>
                <w:b/>
                <w:bCs/>
                <w:kern w:val="2"/>
                <w:sz w:val="22"/>
                <w:szCs w:val="22"/>
                <w:highlight w:val="none"/>
                <w:lang w:val="en-US" w:eastAsia="zh-CN"/>
              </w:rPr>
            </w:pPr>
            <w:r>
              <w:rPr>
                <w:rFonts w:hint="eastAsia" w:ascii="CESI仿宋-GB2312" w:hAnsi="CESI仿宋-GB2312" w:eastAsia="CESI仿宋-GB2312" w:cs="CESI仿宋-GB2312"/>
                <w:color w:val="auto"/>
                <w:sz w:val="22"/>
                <w:szCs w:val="18"/>
                <w:highlight w:val="none"/>
                <w:lang w:val="en-US" w:eastAsia="zh-CN"/>
              </w:rPr>
              <w:t>注：投标文件中须附合同原件的扫描件。需提供业主单位证明，以上未提供或内容不全或内容模糊不清的，其业绩不予认定。未提供者本项不得分。</w:t>
            </w:r>
          </w:p>
        </w:tc>
      </w:tr>
      <w:tr w14:paraId="63BCE952">
        <w:tblPrEx>
          <w:tblCellMar>
            <w:top w:w="0" w:type="dxa"/>
            <w:left w:w="0" w:type="dxa"/>
            <w:bottom w:w="0" w:type="dxa"/>
            <w:right w:w="0" w:type="dxa"/>
          </w:tblCellMar>
        </w:tblPrEx>
        <w:trPr>
          <w:trHeight w:val="1962" w:hRule="atLeast"/>
          <w:jc w:val="center"/>
        </w:trPr>
        <w:tc>
          <w:tcPr>
            <w:tcW w:w="562" w:type="dxa"/>
            <w:vMerge w:val="continue"/>
            <w:tcBorders>
              <w:left w:val="single" w:color="auto" w:sz="4" w:space="0"/>
              <w:bottom w:val="single" w:color="auto" w:sz="4" w:space="0"/>
              <w:right w:val="single" w:color="auto" w:sz="4" w:space="0"/>
            </w:tcBorders>
            <w:noWrap w:val="0"/>
            <w:vAlign w:val="center"/>
          </w:tcPr>
          <w:p w14:paraId="65FF2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18"/>
                <w:szCs w:val="18"/>
                <w:highlight w:val="none"/>
                <w:lang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13A1BF73">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rPr>
              <w:t>菜谱设计</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0E19664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3分</w:t>
            </w:r>
          </w:p>
        </w:tc>
        <w:tc>
          <w:tcPr>
            <w:tcW w:w="7432" w:type="dxa"/>
            <w:tcBorders>
              <w:top w:val="single" w:color="auto" w:sz="4" w:space="0"/>
              <w:left w:val="single" w:color="auto" w:sz="4" w:space="0"/>
              <w:bottom w:val="single" w:color="auto" w:sz="4" w:space="0"/>
              <w:right w:val="single" w:color="auto" w:sz="4" w:space="0"/>
            </w:tcBorders>
            <w:noWrap w:val="0"/>
            <w:vAlign w:val="center"/>
          </w:tcPr>
          <w:p w14:paraId="204220B3">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ru-RU" w:eastAsia="zh-CN"/>
              </w:rPr>
            </w:pPr>
            <w:r>
              <w:rPr>
                <w:rFonts w:hint="eastAsia" w:ascii="CESI仿宋-GB2312" w:hAnsi="CESI仿宋-GB2312" w:eastAsia="CESI仿宋-GB2312" w:cs="CESI仿宋-GB2312"/>
                <w:color w:val="auto"/>
                <w:sz w:val="22"/>
                <w:szCs w:val="18"/>
                <w:highlight w:val="none"/>
                <w:lang w:val="en-US" w:eastAsia="zh-CN"/>
              </w:rPr>
              <w:t>投标单位在满足服务需求菜品供应基础上，对菜品种类、数量、营养搭配合理方面进行评审，</w:t>
            </w:r>
            <w:r>
              <w:rPr>
                <w:rFonts w:hint="eastAsia" w:ascii="CESI仿宋-GB2312" w:hAnsi="CESI仿宋-GB2312" w:eastAsia="CESI仿宋-GB2312" w:cs="CESI仿宋-GB2312"/>
                <w:color w:val="auto"/>
                <w:sz w:val="22"/>
                <w:szCs w:val="18"/>
                <w:highlight w:val="none"/>
                <w:lang w:val="ru-RU" w:eastAsia="zh-CN"/>
              </w:rPr>
              <w:t>包含但不限于</w:t>
            </w:r>
            <w:r>
              <w:rPr>
                <w:rFonts w:hint="eastAsia" w:ascii="CESI仿宋-GB2312" w:hAnsi="CESI仿宋-GB2312" w:eastAsia="CESI仿宋-GB2312" w:cs="CESI仿宋-GB2312"/>
                <w:color w:val="auto"/>
                <w:sz w:val="22"/>
                <w:szCs w:val="18"/>
                <w:highlight w:val="none"/>
                <w:lang w:val="en-US" w:eastAsia="zh-CN"/>
              </w:rPr>
              <w:t>以下内容</w:t>
            </w:r>
            <w:r>
              <w:rPr>
                <w:rFonts w:hint="eastAsia" w:ascii="CESI仿宋-GB2312" w:hAnsi="CESI仿宋-GB2312" w:eastAsia="CESI仿宋-GB2312" w:cs="CESI仿宋-GB2312"/>
                <w:color w:val="auto"/>
                <w:sz w:val="22"/>
                <w:szCs w:val="18"/>
                <w:highlight w:val="none"/>
                <w:lang w:val="ru-RU" w:eastAsia="zh-CN"/>
              </w:rPr>
              <w:t>：</w:t>
            </w:r>
          </w:p>
          <w:p w14:paraId="4B2D25D2">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ru-RU" w:eastAsia="zh-CN"/>
              </w:rPr>
              <w:t>①</w:t>
            </w:r>
            <w:r>
              <w:rPr>
                <w:rFonts w:hint="eastAsia" w:ascii="CESI仿宋-GB2312" w:hAnsi="CESI仿宋-GB2312" w:eastAsia="CESI仿宋-GB2312" w:cs="CESI仿宋-GB2312"/>
                <w:color w:val="auto"/>
                <w:sz w:val="22"/>
                <w:szCs w:val="18"/>
                <w:highlight w:val="none"/>
                <w:lang w:val="en-US" w:eastAsia="zh-CN"/>
              </w:rPr>
              <w:t>四季菜品搭配合理、饮食特色鲜明；</w:t>
            </w:r>
            <w:r>
              <w:rPr>
                <w:rFonts w:hint="eastAsia" w:ascii="CESI仿宋-GB2312" w:hAnsi="CESI仿宋-GB2312" w:eastAsia="CESI仿宋-GB2312" w:cs="CESI仿宋-GB2312"/>
                <w:color w:val="auto"/>
                <w:sz w:val="22"/>
                <w:szCs w:val="18"/>
                <w:highlight w:val="none"/>
                <w:lang w:val="ru-RU" w:eastAsia="zh-CN"/>
              </w:rPr>
              <w:t>②</w:t>
            </w:r>
            <w:r>
              <w:rPr>
                <w:rFonts w:hint="eastAsia" w:ascii="CESI仿宋-GB2312" w:hAnsi="CESI仿宋-GB2312" w:eastAsia="CESI仿宋-GB2312" w:cs="CESI仿宋-GB2312"/>
                <w:color w:val="auto"/>
                <w:sz w:val="22"/>
                <w:szCs w:val="18"/>
                <w:highlight w:val="none"/>
                <w:lang w:val="en-US" w:eastAsia="zh-CN"/>
              </w:rPr>
              <w:t>花色品种丰富；</w:t>
            </w:r>
            <w:r>
              <w:rPr>
                <w:rFonts w:hint="eastAsia" w:ascii="CESI仿宋-GB2312" w:hAnsi="CESI仿宋-GB2312" w:eastAsia="CESI仿宋-GB2312" w:cs="CESI仿宋-GB2312"/>
                <w:color w:val="auto"/>
                <w:sz w:val="22"/>
                <w:szCs w:val="18"/>
                <w:highlight w:val="none"/>
                <w:lang w:val="ru-RU" w:eastAsia="zh-CN"/>
              </w:rPr>
              <w:t>③</w:t>
            </w:r>
            <w:r>
              <w:rPr>
                <w:rFonts w:hint="eastAsia" w:ascii="CESI仿宋-GB2312" w:hAnsi="CESI仿宋-GB2312" w:eastAsia="CESI仿宋-GB2312" w:cs="CESI仿宋-GB2312"/>
                <w:color w:val="auto"/>
                <w:sz w:val="22"/>
                <w:szCs w:val="18"/>
                <w:highlight w:val="none"/>
                <w:lang w:val="en-US" w:eastAsia="zh-CN"/>
              </w:rPr>
              <w:t>营养搭配合理，品质高；</w:t>
            </w:r>
          </w:p>
          <w:p w14:paraId="0C928A9C">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left"/>
              <w:textAlignment w:val="auto"/>
              <w:rPr>
                <w:rFonts w:hint="eastAsia" w:ascii="CESI仿宋-GB2312" w:hAnsi="CESI仿宋-GB2312" w:eastAsia="CESI仿宋-GB2312" w:cs="CESI仿宋-GB2312"/>
                <w:b/>
                <w:bCs/>
                <w:kern w:val="2"/>
                <w:sz w:val="22"/>
                <w:szCs w:val="22"/>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以上内容每有一项菜谱设计完整、新颖、全面、品质有保障的得1分，最高得3分。未提供不得分。</w:t>
            </w:r>
          </w:p>
        </w:tc>
      </w:tr>
      <w:tr w14:paraId="2D67FB26">
        <w:tblPrEx>
          <w:tblCellMar>
            <w:top w:w="0" w:type="dxa"/>
            <w:left w:w="0" w:type="dxa"/>
            <w:bottom w:w="0" w:type="dxa"/>
            <w:right w:w="0" w:type="dxa"/>
          </w:tblCellMar>
        </w:tblPrEx>
        <w:trPr>
          <w:trHeight w:val="520" w:hRule="atLeast"/>
          <w:jc w:val="center"/>
        </w:trPr>
        <w:tc>
          <w:tcPr>
            <w:tcW w:w="562" w:type="dxa"/>
            <w:vMerge w:val="restart"/>
            <w:tcBorders>
              <w:top w:val="single" w:color="auto" w:sz="4" w:space="0"/>
              <w:left w:val="single" w:color="auto" w:sz="4" w:space="0"/>
              <w:bottom w:val="single" w:color="auto" w:sz="4" w:space="0"/>
              <w:right w:val="single" w:color="auto" w:sz="4" w:space="0"/>
            </w:tcBorders>
            <w:noWrap w:val="0"/>
            <w:vAlign w:val="center"/>
          </w:tcPr>
          <w:p w14:paraId="0096A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技术部分</w:t>
            </w:r>
          </w:p>
          <w:p w14:paraId="4A8CB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（54分）</w:t>
            </w:r>
          </w:p>
          <w:p w14:paraId="629566D7">
            <w:pPr>
              <w:pStyle w:val="6"/>
              <w:keepNext w:val="0"/>
              <w:keepLines w:val="0"/>
              <w:suppressLineNumbers w:val="0"/>
              <w:spacing w:before="0" w:beforeAutospacing="0" w:after="0" w:afterAutospacing="0"/>
              <w:ind w:left="0" w:right="0"/>
              <w:rPr>
                <w:rFonts w:hint="eastAsia"/>
                <w:sz w:val="22"/>
                <w:szCs w:val="18"/>
                <w:lang w:val="en-US" w:eastAsia="zh-CN"/>
              </w:rPr>
            </w:pPr>
          </w:p>
          <w:p w14:paraId="2E8EE2FF">
            <w:pPr>
              <w:pStyle w:val="6"/>
              <w:keepNext w:val="0"/>
              <w:keepLines w:val="0"/>
              <w:suppressLineNumbers w:val="0"/>
              <w:spacing w:before="0" w:beforeAutospacing="0" w:after="0" w:afterAutospacing="0"/>
              <w:ind w:left="0" w:leftChars="0" w:right="0" w:firstLine="0" w:firstLineChars="0"/>
              <w:rPr>
                <w:rFonts w:hint="default"/>
                <w:sz w:val="22"/>
                <w:szCs w:val="18"/>
                <w:lang w:val="en-US"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785B8BA2">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rPr>
              <w:t>服务方案</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0966D710">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9分</w:t>
            </w:r>
          </w:p>
        </w:tc>
        <w:tc>
          <w:tcPr>
            <w:tcW w:w="7432" w:type="dxa"/>
            <w:tcBorders>
              <w:top w:val="single" w:color="auto" w:sz="4" w:space="0"/>
              <w:left w:val="single" w:color="auto" w:sz="4" w:space="0"/>
              <w:bottom w:val="single" w:color="auto" w:sz="4" w:space="0"/>
              <w:right w:val="single" w:color="auto" w:sz="4" w:space="0"/>
            </w:tcBorders>
            <w:noWrap w:val="0"/>
            <w:vAlign w:val="top"/>
          </w:tcPr>
          <w:p w14:paraId="31A5C781">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ru-RU" w:eastAsia="zh-CN"/>
              </w:rPr>
            </w:pPr>
            <w:r>
              <w:rPr>
                <w:rFonts w:hint="eastAsia" w:ascii="CESI仿宋-GB2312" w:hAnsi="CESI仿宋-GB2312" w:eastAsia="CESI仿宋-GB2312" w:cs="CESI仿宋-GB2312"/>
                <w:color w:val="auto"/>
                <w:sz w:val="22"/>
                <w:szCs w:val="18"/>
                <w:highlight w:val="none"/>
                <w:lang w:val="ru-RU" w:eastAsia="zh-CN"/>
              </w:rPr>
              <w:t>针对本项目提供的</w:t>
            </w:r>
            <w:r>
              <w:rPr>
                <w:rFonts w:hint="eastAsia" w:ascii="CESI仿宋-GB2312" w:hAnsi="CESI仿宋-GB2312" w:eastAsia="CESI仿宋-GB2312" w:cs="CESI仿宋-GB2312"/>
                <w:color w:val="auto"/>
                <w:sz w:val="22"/>
                <w:szCs w:val="18"/>
                <w:highlight w:val="none"/>
                <w:lang w:val="en-US" w:eastAsia="zh-CN"/>
              </w:rPr>
              <w:t>服务</w:t>
            </w:r>
            <w:r>
              <w:rPr>
                <w:rFonts w:hint="eastAsia" w:ascii="CESI仿宋-GB2312" w:hAnsi="CESI仿宋-GB2312" w:eastAsia="CESI仿宋-GB2312" w:cs="CESI仿宋-GB2312"/>
                <w:color w:val="auto"/>
                <w:sz w:val="22"/>
                <w:szCs w:val="18"/>
                <w:highlight w:val="none"/>
                <w:lang w:val="ru-RU" w:eastAsia="zh-CN"/>
              </w:rPr>
              <w:t>方案，内容包含但不限于：</w:t>
            </w:r>
          </w:p>
          <w:p w14:paraId="2B943587">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ru-RU" w:eastAsia="zh-CN"/>
              </w:rPr>
            </w:pPr>
            <w:r>
              <w:rPr>
                <w:rFonts w:hint="eastAsia" w:ascii="CESI仿宋-GB2312" w:hAnsi="CESI仿宋-GB2312" w:eastAsia="CESI仿宋-GB2312" w:cs="CESI仿宋-GB2312"/>
                <w:color w:val="auto"/>
                <w:sz w:val="22"/>
                <w:szCs w:val="18"/>
                <w:highlight w:val="none"/>
                <w:lang w:val="ru-RU" w:eastAsia="zh-CN"/>
              </w:rPr>
              <w:t>①项目服务工作计划；②设备操作流程、生产流程；③服务标准和服务质量；④厨房操作间及食堂环境卫生、保洁服务方案；⑤设施设备用具管理制度、餐具清洗消毒管理制度；</w:t>
            </w:r>
          </w:p>
          <w:p w14:paraId="0352E371">
            <w:pPr>
              <w:keepNext w:val="0"/>
              <w:keepLines w:val="0"/>
              <w:pageBreakBefore w:val="0"/>
              <w:numPr>
                <w:ilvl w:val="0"/>
                <w:numId w:val="11"/>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以上方案内容完整清晰明确、科学合理、可行性高、具有针对性的并满足服务需求的，，得9分；</w:t>
            </w:r>
          </w:p>
          <w:p w14:paraId="067DEFF4">
            <w:pPr>
              <w:keepNext w:val="0"/>
              <w:keepLines w:val="0"/>
              <w:pageBreakBefore w:val="0"/>
              <w:numPr>
                <w:ilvl w:val="0"/>
                <w:numId w:val="11"/>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以上方案内容较完整清晰明确、科学较合理、可行性较好、具有一定针对性的并满足服务需求的，，得6分；</w:t>
            </w:r>
          </w:p>
          <w:p w14:paraId="08A9FA46">
            <w:pPr>
              <w:keepNext w:val="0"/>
              <w:keepLines w:val="0"/>
              <w:pageBreakBefore w:val="0"/>
              <w:numPr>
                <w:ilvl w:val="0"/>
                <w:numId w:val="11"/>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以上方案内容一般的，基本满足服务需求的，，得3分；</w:t>
            </w:r>
          </w:p>
          <w:p w14:paraId="69126868">
            <w:pPr>
              <w:keepNext w:val="0"/>
              <w:keepLines w:val="0"/>
              <w:pageBreakBefore w:val="0"/>
              <w:numPr>
                <w:ilvl w:val="0"/>
                <w:numId w:val="11"/>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以上方案差的，得1分；</w:t>
            </w:r>
          </w:p>
          <w:p w14:paraId="18A5556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sz w:val="22"/>
                <w:szCs w:val="22"/>
                <w:lang w:val="en-US" w:eastAsia="zh-CN" w:bidi="zh-CN"/>
              </w:rPr>
            </w:pPr>
            <w:r>
              <w:rPr>
                <w:rFonts w:hint="eastAsia" w:ascii="CESI仿宋-GB2312" w:hAnsi="CESI仿宋-GB2312" w:eastAsia="CESI仿宋-GB2312" w:cs="CESI仿宋-GB2312"/>
                <w:color w:val="auto"/>
                <w:sz w:val="22"/>
                <w:szCs w:val="18"/>
                <w:highlight w:val="none"/>
                <w:lang w:val="en-US" w:eastAsia="zh-CN"/>
              </w:rPr>
              <w:t>以上方案未提供的不得分</w:t>
            </w:r>
          </w:p>
        </w:tc>
      </w:tr>
      <w:tr w14:paraId="263FBCE7">
        <w:tblPrEx>
          <w:tblCellMar>
            <w:top w:w="0" w:type="dxa"/>
            <w:left w:w="0" w:type="dxa"/>
            <w:bottom w:w="0" w:type="dxa"/>
            <w:right w:w="0" w:type="dxa"/>
          </w:tblCellMar>
        </w:tblPrEx>
        <w:trPr>
          <w:trHeight w:val="2765" w:hRule="atLeast"/>
          <w:jc w:val="center"/>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14:paraId="58ABB40D">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153BC581">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rPr>
              <w:t>食品质量保证体系及措施</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53D5156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9分</w:t>
            </w:r>
          </w:p>
        </w:tc>
        <w:tc>
          <w:tcPr>
            <w:tcW w:w="7432" w:type="dxa"/>
            <w:tcBorders>
              <w:top w:val="single" w:color="auto" w:sz="4" w:space="0"/>
              <w:left w:val="single" w:color="auto" w:sz="4" w:space="0"/>
              <w:bottom w:val="single" w:color="auto" w:sz="4" w:space="0"/>
              <w:right w:val="single" w:color="auto" w:sz="4" w:space="0"/>
            </w:tcBorders>
            <w:noWrap w:val="0"/>
            <w:vAlign w:val="top"/>
          </w:tcPr>
          <w:p w14:paraId="298024BF">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ru-RU" w:eastAsia="zh-CN"/>
              </w:rPr>
            </w:pPr>
            <w:r>
              <w:rPr>
                <w:rFonts w:hint="eastAsia" w:ascii="CESI仿宋-GB2312" w:hAnsi="CESI仿宋-GB2312" w:eastAsia="CESI仿宋-GB2312" w:cs="CESI仿宋-GB2312"/>
                <w:color w:val="auto"/>
                <w:sz w:val="22"/>
                <w:szCs w:val="18"/>
                <w:highlight w:val="none"/>
                <w:lang w:val="ru-RU" w:eastAsia="zh-CN"/>
              </w:rPr>
              <w:t>食品质量保证体系健全，包括但不限于：①食品原材料管理；②仓储管理；③食品加工管理；④食品留样制度；⑤餐厨垃圾处理；</w:t>
            </w:r>
          </w:p>
          <w:p w14:paraId="5B3FE930">
            <w:pPr>
              <w:keepNext w:val="0"/>
              <w:keepLines w:val="0"/>
              <w:pageBreakBefore w:val="0"/>
              <w:numPr>
                <w:ilvl w:val="0"/>
                <w:numId w:val="12"/>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以上方案内容完整清晰明确、科学合理、可行性高、具有针对性的并满足服务需求的，，得9分；</w:t>
            </w:r>
          </w:p>
          <w:p w14:paraId="455C5A26">
            <w:pPr>
              <w:keepNext w:val="0"/>
              <w:keepLines w:val="0"/>
              <w:pageBreakBefore w:val="0"/>
              <w:numPr>
                <w:ilvl w:val="0"/>
                <w:numId w:val="12"/>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以上方案内容较完整清晰明确、科学较合理、可行性较好、具有一定针对性的并满足服务需求的，得6分；</w:t>
            </w:r>
          </w:p>
          <w:p w14:paraId="5A0553DA">
            <w:pPr>
              <w:keepNext w:val="0"/>
              <w:keepLines w:val="0"/>
              <w:pageBreakBefore w:val="0"/>
              <w:numPr>
                <w:ilvl w:val="0"/>
                <w:numId w:val="12"/>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以上方案内容一般的，基本满足服务需求的，，得3分；</w:t>
            </w:r>
          </w:p>
          <w:p w14:paraId="4A953C06">
            <w:pPr>
              <w:keepNext w:val="0"/>
              <w:keepLines w:val="0"/>
              <w:pageBreakBefore w:val="0"/>
              <w:numPr>
                <w:ilvl w:val="0"/>
                <w:numId w:val="12"/>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以上方案差的，得1分；</w:t>
            </w:r>
          </w:p>
          <w:p w14:paraId="2746582C">
            <w:pPr>
              <w:keepNext w:val="0"/>
              <w:keepLines w:val="0"/>
              <w:pageBreakBefore w:val="0"/>
              <w:numPr>
                <w:ilvl w:val="0"/>
                <w:numId w:val="12"/>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以上方案未提供的不得分。</w:t>
            </w:r>
          </w:p>
        </w:tc>
      </w:tr>
      <w:tr w14:paraId="420307AF">
        <w:tblPrEx>
          <w:tblCellMar>
            <w:top w:w="0" w:type="dxa"/>
            <w:left w:w="0" w:type="dxa"/>
            <w:bottom w:w="0" w:type="dxa"/>
            <w:right w:w="0" w:type="dxa"/>
          </w:tblCellMar>
        </w:tblPrEx>
        <w:trPr>
          <w:trHeight w:val="2463" w:hRule="atLeast"/>
          <w:jc w:val="center"/>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14:paraId="6FC38A9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4D5862E6">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岗位及人员配置</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4EE8398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22分</w:t>
            </w:r>
          </w:p>
        </w:tc>
        <w:tc>
          <w:tcPr>
            <w:tcW w:w="7432" w:type="dxa"/>
            <w:tcBorders>
              <w:top w:val="single" w:color="auto" w:sz="4" w:space="0"/>
              <w:left w:val="single" w:color="auto" w:sz="4" w:space="0"/>
              <w:bottom w:val="single" w:color="auto" w:sz="4" w:space="0"/>
              <w:right w:val="single" w:color="auto" w:sz="4" w:space="0"/>
            </w:tcBorders>
            <w:noWrap w:val="0"/>
            <w:vAlign w:val="top"/>
          </w:tcPr>
          <w:p w14:paraId="67891576">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sz w:val="22"/>
                <w:szCs w:val="22"/>
                <w:lang w:bidi="zh-CN"/>
              </w:rPr>
              <w:t>配</w:t>
            </w:r>
            <w:r>
              <w:rPr>
                <w:rFonts w:hint="eastAsia" w:ascii="CESI仿宋-GB2312" w:hAnsi="CESI仿宋-GB2312" w:eastAsia="CESI仿宋-GB2312" w:cs="CESI仿宋-GB2312"/>
                <w:color w:val="auto"/>
                <w:sz w:val="22"/>
                <w:szCs w:val="18"/>
                <w:highlight w:val="none"/>
                <w:lang w:val="en-US" w:eastAsia="zh-CN"/>
              </w:rPr>
              <w:t>备的厨师中，每有1名高级厨师证书的，得3分，最高得6分；配备的人员中，有1名营养师（高级）证书的，得3分；</w:t>
            </w:r>
          </w:p>
          <w:p w14:paraId="53C44DE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有4名或以上中级厨师的，得4分；</w:t>
            </w:r>
          </w:p>
          <w:p w14:paraId="51AA720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2、项目负责人须具有3年及以上工作经验的（提供劳动合同），得3分；</w:t>
            </w:r>
          </w:p>
          <w:p w14:paraId="3E064C63">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3、项目负责人具备食品安全管理总监证书，得3分。项目负责人具备职业经理人（高级）证书，得3分。</w:t>
            </w:r>
          </w:p>
          <w:p w14:paraId="578EA0D0">
            <w:pPr>
              <w:keepNext w:val="0"/>
              <w:keepLines w:val="0"/>
              <w:pageBreakBefore w:val="0"/>
              <w:numPr>
                <w:ilvl w:val="0"/>
                <w:numId w:val="10"/>
              </w:numPr>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注：须提供身份证、健康证、餐饮管理员业绩、食品安全管理员证书、有效期内的无犯罪记录证明、近三个月连续社保证明。</w:t>
            </w:r>
          </w:p>
        </w:tc>
      </w:tr>
      <w:tr w14:paraId="57D68B95">
        <w:tblPrEx>
          <w:tblCellMar>
            <w:top w:w="0" w:type="dxa"/>
            <w:left w:w="0" w:type="dxa"/>
            <w:bottom w:w="0" w:type="dxa"/>
            <w:right w:w="0" w:type="dxa"/>
          </w:tblCellMar>
        </w:tblPrEx>
        <w:trPr>
          <w:trHeight w:val="1815" w:hRule="atLeast"/>
          <w:jc w:val="center"/>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14:paraId="3F91CE97">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7001172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rPr>
              <w:t>应急预案</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0CE9B0F9">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6分</w:t>
            </w:r>
          </w:p>
        </w:tc>
        <w:tc>
          <w:tcPr>
            <w:tcW w:w="7432" w:type="dxa"/>
            <w:tcBorders>
              <w:top w:val="single" w:color="auto" w:sz="4" w:space="0"/>
              <w:left w:val="single" w:color="auto" w:sz="4" w:space="0"/>
              <w:bottom w:val="single" w:color="auto" w:sz="4" w:space="0"/>
              <w:right w:val="single" w:color="auto" w:sz="4" w:space="0"/>
            </w:tcBorders>
            <w:noWrap w:val="0"/>
            <w:vAlign w:val="top"/>
          </w:tcPr>
          <w:p w14:paraId="6EDF38D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ru-RU" w:eastAsia="zh-CN"/>
              </w:rPr>
            </w:pPr>
            <w:r>
              <w:rPr>
                <w:rFonts w:hint="eastAsia" w:ascii="CESI仿宋-GB2312" w:hAnsi="CESI仿宋-GB2312" w:eastAsia="CESI仿宋-GB2312" w:cs="CESI仿宋-GB2312"/>
                <w:color w:val="auto"/>
                <w:sz w:val="22"/>
                <w:szCs w:val="18"/>
                <w:highlight w:val="none"/>
                <w:lang w:val="en-US" w:eastAsia="zh-CN"/>
              </w:rPr>
              <w:t>对突发事件的应急预案，</w:t>
            </w:r>
            <w:r>
              <w:rPr>
                <w:rFonts w:hint="eastAsia" w:ascii="CESI仿宋-GB2312" w:hAnsi="CESI仿宋-GB2312" w:eastAsia="CESI仿宋-GB2312" w:cs="CESI仿宋-GB2312"/>
                <w:color w:val="auto"/>
                <w:sz w:val="22"/>
                <w:szCs w:val="18"/>
                <w:highlight w:val="none"/>
                <w:lang w:val="ru-RU" w:eastAsia="zh-CN"/>
              </w:rPr>
              <w:t>内容包含但不限于：</w:t>
            </w:r>
          </w:p>
          <w:p w14:paraId="2C2C95C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ru-RU" w:eastAsia="zh-CN"/>
              </w:rPr>
            </w:pPr>
            <w:r>
              <w:rPr>
                <w:rFonts w:hint="eastAsia" w:ascii="CESI仿宋-GB2312" w:hAnsi="CESI仿宋-GB2312" w:eastAsia="CESI仿宋-GB2312" w:cs="CESI仿宋-GB2312"/>
                <w:color w:val="auto"/>
                <w:sz w:val="22"/>
                <w:szCs w:val="18"/>
                <w:highlight w:val="none"/>
                <w:lang w:val="ru-RU" w:eastAsia="zh-CN"/>
              </w:rPr>
              <w:t>①</w:t>
            </w:r>
            <w:r>
              <w:rPr>
                <w:rFonts w:hint="eastAsia" w:ascii="CESI仿宋-GB2312" w:hAnsi="CESI仿宋-GB2312" w:eastAsia="CESI仿宋-GB2312" w:cs="CESI仿宋-GB2312"/>
                <w:color w:val="auto"/>
                <w:sz w:val="22"/>
                <w:szCs w:val="18"/>
                <w:highlight w:val="none"/>
                <w:lang w:val="en-US" w:eastAsia="zh-CN"/>
              </w:rPr>
              <w:t>公共卫生事件；</w:t>
            </w:r>
            <w:r>
              <w:rPr>
                <w:rFonts w:hint="eastAsia" w:ascii="CESI仿宋-GB2312" w:hAnsi="CESI仿宋-GB2312" w:eastAsia="CESI仿宋-GB2312" w:cs="CESI仿宋-GB2312"/>
                <w:color w:val="auto"/>
                <w:sz w:val="22"/>
                <w:szCs w:val="18"/>
                <w:highlight w:val="none"/>
                <w:lang w:val="ru-RU" w:eastAsia="zh-CN"/>
              </w:rPr>
              <w:t>②消防、治安、</w:t>
            </w:r>
            <w:r>
              <w:rPr>
                <w:rFonts w:hint="eastAsia" w:ascii="CESI仿宋-GB2312" w:hAnsi="CESI仿宋-GB2312" w:eastAsia="CESI仿宋-GB2312" w:cs="CESI仿宋-GB2312"/>
                <w:color w:val="auto"/>
                <w:sz w:val="22"/>
                <w:szCs w:val="18"/>
                <w:highlight w:val="none"/>
                <w:lang w:val="en-US" w:eastAsia="zh-CN"/>
              </w:rPr>
              <w:t>停电、停水</w:t>
            </w:r>
            <w:r>
              <w:rPr>
                <w:rFonts w:hint="eastAsia" w:ascii="CESI仿宋-GB2312" w:hAnsi="CESI仿宋-GB2312" w:eastAsia="CESI仿宋-GB2312" w:cs="CESI仿宋-GB2312"/>
                <w:color w:val="auto"/>
                <w:sz w:val="22"/>
                <w:szCs w:val="18"/>
                <w:highlight w:val="none"/>
                <w:lang w:val="ru-RU" w:eastAsia="zh-CN"/>
              </w:rPr>
              <w:t>；③意外事故及日常投诉等突发事件；</w:t>
            </w:r>
          </w:p>
          <w:p w14:paraId="6B6BF5D5">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以上预案内容完整清晰明确且科学合理、可行性高、贴合项目的实际要求，具有针对性并满足服务需求的得6分，每缺少一项内容扣2分，每有一项预案内容不完整，但针对性较弱的扣1分；扣完为止。</w:t>
            </w:r>
          </w:p>
        </w:tc>
      </w:tr>
      <w:tr w14:paraId="62605ACC">
        <w:tblPrEx>
          <w:tblCellMar>
            <w:top w:w="0" w:type="dxa"/>
            <w:left w:w="0" w:type="dxa"/>
            <w:bottom w:w="0" w:type="dxa"/>
            <w:right w:w="0" w:type="dxa"/>
          </w:tblCellMar>
        </w:tblPrEx>
        <w:trPr>
          <w:trHeight w:val="412" w:hRule="atLeast"/>
          <w:jc w:val="center"/>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14:paraId="4DD3FDCD">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4A215E85">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000000" w:themeColor="text1"/>
                <w:sz w:val="22"/>
                <w:szCs w:val="18"/>
                <w:highlight w:val="none"/>
                <w:lang w:val="en-US" w:eastAsia="zh-CN"/>
                <w14:textFill>
                  <w14:solidFill>
                    <w14:schemeClr w14:val="tx1"/>
                  </w14:solidFill>
                </w14:textFill>
              </w:rPr>
              <w:t>投诉建议处理方案 及整改措施</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62BB316D">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5分</w:t>
            </w:r>
          </w:p>
        </w:tc>
        <w:tc>
          <w:tcPr>
            <w:tcW w:w="7432" w:type="dxa"/>
            <w:tcBorders>
              <w:top w:val="single" w:color="auto" w:sz="4" w:space="0"/>
              <w:left w:val="single" w:color="auto" w:sz="4" w:space="0"/>
              <w:bottom w:val="single" w:color="auto" w:sz="4" w:space="0"/>
              <w:right w:val="single" w:color="auto" w:sz="4" w:space="0"/>
            </w:tcBorders>
            <w:noWrap w:val="0"/>
            <w:vAlign w:val="top"/>
          </w:tcPr>
          <w:p w14:paraId="5481CAAA">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 xml:space="preserve">投标供应商提供遇到投诉建议的处理方案、整改措施，内容全面无缺漏项，条理清晰方案合理、操作性强的得5分； </w:t>
            </w:r>
          </w:p>
          <w:p w14:paraId="29BDDB09">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提供的方案具有实用性、针对性，满足本项目需求的，得2分；不具有实用性，基本满足本项目需求的，得1分；其他的</w:t>
            </w:r>
            <w:r>
              <w:rPr>
                <w:rFonts w:hint="eastAsia" w:ascii="CESI仿宋-GB2312" w:hAnsi="CESI仿宋-GB2312" w:eastAsia="CESI仿宋-GB2312" w:cs="CESI仿宋-GB2312"/>
                <w:color w:val="auto"/>
                <w:sz w:val="22"/>
                <w:szCs w:val="18"/>
                <w:highlight w:val="none"/>
                <w:lang w:val="zh-CN"/>
              </w:rPr>
              <w:t>不得分。</w:t>
            </w:r>
            <w:r>
              <w:rPr>
                <w:rFonts w:hint="eastAsia" w:ascii="CESI仿宋-GB2312" w:hAnsi="CESI仿宋-GB2312" w:eastAsia="CESI仿宋-GB2312" w:cs="CESI仿宋-GB2312"/>
                <w:color w:val="auto"/>
                <w:sz w:val="22"/>
                <w:szCs w:val="18"/>
                <w:highlight w:val="none"/>
                <w:lang w:val="en-US" w:eastAsia="zh-CN"/>
              </w:rPr>
              <w:t>；</w:t>
            </w:r>
          </w:p>
          <w:p w14:paraId="5A8A11EF">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未提供不得分。</w:t>
            </w:r>
          </w:p>
        </w:tc>
      </w:tr>
      <w:tr w14:paraId="34FA6FB0">
        <w:tblPrEx>
          <w:tblCellMar>
            <w:top w:w="0" w:type="dxa"/>
            <w:left w:w="0" w:type="dxa"/>
            <w:bottom w:w="0" w:type="dxa"/>
            <w:right w:w="0" w:type="dxa"/>
          </w:tblCellMar>
        </w:tblPrEx>
        <w:trPr>
          <w:trHeight w:val="418" w:hRule="atLeast"/>
          <w:jc w:val="center"/>
        </w:trPr>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14:paraId="466FA58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126D748B">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节能控制措施</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3EA0EAD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5分</w:t>
            </w:r>
          </w:p>
        </w:tc>
        <w:tc>
          <w:tcPr>
            <w:tcW w:w="7432" w:type="dxa"/>
            <w:tcBorders>
              <w:top w:val="single" w:color="auto" w:sz="4" w:space="0"/>
              <w:left w:val="single" w:color="auto" w:sz="4" w:space="0"/>
              <w:bottom w:val="single" w:color="auto" w:sz="4" w:space="0"/>
              <w:right w:val="single" w:color="auto" w:sz="4" w:space="0"/>
            </w:tcBorders>
            <w:noWrap w:val="0"/>
            <w:vAlign w:val="top"/>
          </w:tcPr>
          <w:p w14:paraId="36FFB446">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提供日常服务中节能控制措施方案，包括（水、电、燃气、餐具及器材），具有实用性、可操作性和针对性的，完全满足且优于本项目需求的，得5分；</w:t>
            </w:r>
          </w:p>
          <w:p w14:paraId="768E7A30">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具有实用性、可操作性和针对性的，满足本项目需求的，得2分；不具有实用性，基本满足本项目需求的，得1分；其他的</w:t>
            </w:r>
            <w:r>
              <w:rPr>
                <w:rFonts w:hint="eastAsia" w:ascii="CESI仿宋-GB2312" w:hAnsi="CESI仿宋-GB2312" w:eastAsia="CESI仿宋-GB2312" w:cs="CESI仿宋-GB2312"/>
                <w:color w:val="auto"/>
                <w:sz w:val="22"/>
                <w:szCs w:val="18"/>
                <w:highlight w:val="none"/>
                <w:lang w:val="zh-CN"/>
              </w:rPr>
              <w:t>不得分。</w:t>
            </w:r>
            <w:r>
              <w:rPr>
                <w:rFonts w:hint="eastAsia" w:ascii="CESI仿宋-GB2312" w:hAnsi="CESI仿宋-GB2312" w:eastAsia="CESI仿宋-GB2312" w:cs="CESI仿宋-GB2312"/>
                <w:color w:val="auto"/>
                <w:sz w:val="22"/>
                <w:szCs w:val="18"/>
                <w:highlight w:val="none"/>
                <w:lang w:val="en-US" w:eastAsia="zh-CN"/>
              </w:rPr>
              <w:t>；</w:t>
            </w:r>
          </w:p>
          <w:p w14:paraId="1846E0E5">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Autospacing="0" w:after="0" w:afterAutospacing="0" w:line="300" w:lineRule="exact"/>
              <w:ind w:left="0" w:right="0"/>
              <w:textAlignment w:val="auto"/>
              <w:rPr>
                <w:rFonts w:hint="eastAsia" w:ascii="CESI仿宋-GB2312" w:hAnsi="CESI仿宋-GB2312" w:eastAsia="CESI仿宋-GB2312" w:cs="CESI仿宋-GB2312"/>
                <w:color w:val="auto"/>
                <w:sz w:val="22"/>
                <w:szCs w:val="18"/>
                <w:highlight w:val="none"/>
                <w:lang w:val="en-US" w:eastAsia="zh-CN"/>
              </w:rPr>
            </w:pPr>
            <w:r>
              <w:rPr>
                <w:rFonts w:hint="eastAsia" w:ascii="CESI仿宋-GB2312" w:hAnsi="CESI仿宋-GB2312" w:eastAsia="CESI仿宋-GB2312" w:cs="CESI仿宋-GB2312"/>
                <w:color w:val="auto"/>
                <w:sz w:val="22"/>
                <w:szCs w:val="18"/>
                <w:highlight w:val="none"/>
                <w:lang w:val="en-US" w:eastAsia="zh-CN"/>
              </w:rPr>
              <w:t>未提供不得分。</w:t>
            </w:r>
          </w:p>
        </w:tc>
      </w:tr>
    </w:tbl>
    <w:p w14:paraId="18E40578">
      <w:pPr>
        <w:pStyle w:val="26"/>
        <w:spacing w:line="500" w:lineRule="exact"/>
        <w:ind w:left="0" w:leftChars="0" w:firstLine="240" w:firstLineChars="100"/>
        <w:rPr>
          <w:rFonts w:ascii="仿宋_GB2312" w:hAnsi="仿宋_GB2312" w:eastAsia="仿宋_GB2312" w:cs="仿宋_GB2312"/>
          <w:iCs/>
          <w:kern w:val="2"/>
          <w:szCs w:val="24"/>
        </w:rPr>
      </w:pPr>
      <w:r>
        <w:rPr>
          <w:rFonts w:hint="eastAsia" w:ascii="仿宋_GB2312" w:hAnsi="仿宋_GB2312" w:eastAsia="仿宋_GB2312" w:cs="仿宋_GB2312"/>
          <w:iCs/>
          <w:kern w:val="2"/>
          <w:szCs w:val="24"/>
        </w:rPr>
        <w:t>审完毕，评标委员会根据汇总各投标企业的综合得分，按照得分高低进行排序，取前三名作为中标候选人推荐给招标委员会。如果两投标人的得分相同，投标价格低者排在前。</w:t>
      </w:r>
      <w:bookmarkEnd w:id="1043"/>
    </w:p>
    <w:p w14:paraId="03594008">
      <w:pPr>
        <w:pStyle w:val="26"/>
        <w:spacing w:line="500" w:lineRule="exact"/>
        <w:ind w:left="0" w:firstLineChars="200"/>
        <w:rPr>
          <w:rFonts w:ascii="仿宋_GB2312" w:hAnsi="仿宋_GB2312" w:eastAsia="仿宋_GB2312" w:cs="仿宋_GB2312"/>
          <w:iCs/>
          <w:szCs w:val="24"/>
        </w:rPr>
      </w:pPr>
      <w:r>
        <w:rPr>
          <w:rFonts w:hint="eastAsia" w:ascii="仿宋_GB2312" w:hAnsi="仿宋_GB2312" w:eastAsia="仿宋_GB2312" w:cs="仿宋_GB2312"/>
          <w:iCs/>
          <w:szCs w:val="24"/>
        </w:rPr>
        <w:t>本项目参数要求、评审内容如有指向性，仅作为招标参考，投标产品不应低于招标要求，如有不符合要求，视为不响应招标文件规定。</w:t>
      </w:r>
    </w:p>
    <w:p w14:paraId="2972ECE5">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3.5</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复核。评分汇总结束后，评标委员会应当进行复核，特别要对拟推荐为中标候选供应商的、报价最低的、投标文件被认定为无效的进行重点复核。</w:t>
      </w:r>
    </w:p>
    <w:p w14:paraId="6B374805">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3.6</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推荐中标候选供应商。中标候选供应商应当排序。</w:t>
      </w:r>
    </w:p>
    <w:p w14:paraId="7A1D68DD">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3.7</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出具评标报告。评标委员会推荐中标候选供应商后，应当向招标采购单位出具评标报告。评标报告应当包括下列内容：</w:t>
      </w:r>
    </w:p>
    <w:p w14:paraId="7FB6FA4A">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（一）招标公告刊登的媒体名称、开标日期和地点；</w:t>
      </w:r>
    </w:p>
    <w:p w14:paraId="6BEC560A">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（二）评标委员会成员名单；</w:t>
      </w:r>
    </w:p>
    <w:p w14:paraId="20225286">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（三）评标方法和标准；</w:t>
      </w:r>
    </w:p>
    <w:p w14:paraId="66455FF7">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（四）开标记录和评标情况及说明，包括无效投标人名单及原因；</w:t>
      </w:r>
    </w:p>
    <w:p w14:paraId="2109BB74">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（五）评标结果，确定的中标候选人名单或者经采购人委托直接确定的中标人；</w:t>
      </w:r>
    </w:p>
    <w:p w14:paraId="61676475">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（六）其他需要说明的情况，包括评标过程中投标人根据评标委员会要求进行的澄清、说明或者补正，评标委员会成员的更换等。</w:t>
      </w:r>
    </w:p>
    <w:p w14:paraId="0245AF14">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6263176">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3.8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5E7CB96">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3.9</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供应商应当书面澄清、说明或者更正。</w:t>
      </w:r>
    </w:p>
    <w:p w14:paraId="543249E9">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3.9.1</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2FFD3F96">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 xml:space="preserve">  3.9.2</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但投标人的澄清、说明或者补正不得超出投标文件的范围或者改变投标文件的实质性内容。</w:t>
      </w:r>
    </w:p>
    <w:p w14:paraId="26D6E39C">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3.9.3</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评标委员会要求供应商澄清、说明或者更正，不得超出招标文件的范围，不得以此让供应商实质改变投标文件的内容，不得影响供应商公平竞争。本项目下列内容不得澄清：</w:t>
      </w:r>
    </w:p>
    <w:p w14:paraId="67F5B552">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（一）按财政部规定应当在评标时不予承认的投标文件内容事项；</w:t>
      </w:r>
    </w:p>
    <w:p w14:paraId="04826BFF">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（二）投标文件中已经明确的内容事项；</w:t>
      </w:r>
    </w:p>
    <w:p w14:paraId="758C3D1F">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（三）投标文件未提供的材料。</w:t>
      </w:r>
    </w:p>
    <w:p w14:paraId="2EB1462A">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3.10</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E2118E5">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19D785EC">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3.11</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招标采购单位现场复核评标结果。</w:t>
      </w:r>
    </w:p>
    <w:p w14:paraId="3C2689D8">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3.11.1</w:t>
      </w:r>
      <w:r>
        <w:rPr>
          <w:rFonts w:hint="eastAsia" w:ascii="仿宋_GB2312" w:hAnsi="仿宋_GB2312" w:eastAsia="仿宋_GB2312" w:cs="仿宋_GB2312"/>
          <w:iCs/>
          <w:kern w:val="2"/>
          <w:szCs w:val="24"/>
          <w:lang w:val="en-US" w:eastAsia="zh-CN"/>
        </w:rPr>
        <w:t xml:space="preserve"> </w:t>
      </w:r>
      <w:r>
        <w:rPr>
          <w:rFonts w:hint="eastAsia" w:ascii="仿宋_GB2312" w:hAnsi="仿宋_GB2312" w:eastAsia="仿宋_GB2312" w:cs="仿宋_GB2312"/>
          <w:iCs/>
          <w:kern w:val="2"/>
          <w:szCs w:val="24"/>
        </w:rPr>
        <w:t>评标结果汇总完成后，评标委员会拟出具评标报告前，招标采购单位应当组织本单位工作人员，在采购现场监督人员的监督之下，依据有关的法律制度和采购文件对评标结果进行复核，提出复核意见。</w:t>
      </w:r>
    </w:p>
    <w:p w14:paraId="7CD7B309">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评标报告签署前，经复核发现存在实质性错误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6B7DAE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 xml:space="preserve">4. </w:t>
      </w:r>
      <w:r>
        <w:rPr>
          <w:rFonts w:hint="eastAsia" w:ascii="方正仿宋_GBK" w:hAnsi="方正仿宋_GBK" w:eastAsia="方正仿宋_GBK" w:cs="方正仿宋_GBK"/>
          <w:sz w:val="24"/>
          <w:szCs w:val="24"/>
        </w:rPr>
        <w:t xml:space="preserve">落实中小企业政策 </w:t>
      </w:r>
    </w:p>
    <w:p w14:paraId="514BC0FF">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 xml:space="preserve">4.1 </w:t>
      </w:r>
      <w:r>
        <w:rPr>
          <w:rFonts w:hint="eastAsia" w:ascii="方正仿宋_GBK" w:hAnsi="方正仿宋_GBK" w:eastAsia="方正仿宋_GBK" w:cs="方正仿宋_GBK"/>
          <w:sz w:val="24"/>
          <w:szCs w:val="24"/>
        </w:rPr>
        <w:t>本项目</w:t>
      </w:r>
      <w:r>
        <w:rPr>
          <w:rFonts w:hint="eastAsia" w:ascii="方正仿宋_GBK" w:hAnsi="方正仿宋_GBK" w:eastAsia="方正仿宋_GBK" w:cs="方正仿宋_GBK"/>
          <w:sz w:val="24"/>
          <w:szCs w:val="24"/>
          <w:lang w:val="en-US" w:eastAsia="zh-CN"/>
        </w:rPr>
        <w:t>不</w:t>
      </w:r>
      <w:r>
        <w:rPr>
          <w:rFonts w:hint="eastAsia" w:ascii="方正仿宋_GBK" w:hAnsi="方正仿宋_GBK" w:eastAsia="方正仿宋_GBK" w:cs="方正仿宋_GBK"/>
          <w:sz w:val="24"/>
          <w:szCs w:val="24"/>
        </w:rPr>
        <w:t>专门面向中小企业采购，潜在投标企业属于中小企业的，请在投标文件中提供“中小企业声明函”，如果未提供或提供虚假的“中小企业声明函”，投标企业将承担由此造成的一切不利后果。</w:t>
      </w:r>
    </w:p>
    <w:p w14:paraId="4B2F6B9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 xml:space="preserve">4.2  </w:t>
      </w:r>
      <w:r>
        <w:rPr>
          <w:rFonts w:hint="eastAsia" w:ascii="方正仿宋_GBK" w:hAnsi="方正仿宋_GBK" w:eastAsia="方正仿宋_GBK" w:cs="方正仿宋_GBK"/>
          <w:sz w:val="24"/>
          <w:szCs w:val="24"/>
        </w:rPr>
        <w:t xml:space="preserve">根据《政府采购促进中小企业发展管理办法》（财库〔2020〕46 号）、 《财政部 司法部关于政府采购支持监狱企业发展有关问题的通知》（财库 〔2014〕68 号）和《三部门联合发布关于促进残疾人就业政府采购政策的通知》 （财库〔2017〕141 号）的规定，对满足价格扣除条件且在投标文件中提交了《投标人企业类型声明函》、《残疾人福利性单位声明函》或省级以上监狱管理局、戒毒管理局（含新疆生产建设兵团）出具的属于监狱企业的证明文件的投标人，其投标报价扣除 10 %后参与评审。对于同时属于小微企业、监狱企业或残疾人福利性单位的，不重复进行投标报价扣除。 </w:t>
      </w:r>
    </w:p>
    <w:p w14:paraId="2F1FE3BF">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（本项目不接受联合体投标）联合协议中约定，小型、微型企业和监狱企业的协议合同金额占到联合体协议合同总金额 30%以上的，可给予联合体 4 %的价格扣除。 联合体各方均为小型、微型企业和监狱企业的，联合体视同为小型、微型 企业和监狱企业。</w:t>
      </w:r>
    </w:p>
    <w:p w14:paraId="4F29C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baseline"/>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sz w:val="24"/>
          <w:lang w:val="en-US" w:eastAsia="zh-CN"/>
        </w:rPr>
        <w:t xml:space="preserve">4.4 </w:t>
      </w:r>
      <w:r>
        <w:rPr>
          <w:rFonts w:hint="eastAsia" w:ascii="仿宋_GB2312" w:hAnsi="仿宋_GB2312" w:eastAsia="仿宋_GB2312" w:cs="仿宋_GB2312"/>
          <w:b w:val="0"/>
          <w:i w:val="0"/>
          <w:iCs/>
          <w:caps w:val="0"/>
          <w:spacing w:val="0"/>
          <w:w w:val="100"/>
          <w:kern w:val="2"/>
          <w:sz w:val="24"/>
          <w:szCs w:val="24"/>
          <w:lang w:val="en-US" w:eastAsia="zh-CN" w:bidi="ar-SA"/>
        </w:rPr>
        <w:t>投标人所投产品如被列入财政部与国家主管部门颁发的节能产品目录《</w:t>
      </w:r>
      <w:r>
        <w:rPr>
          <w:rFonts w:hint="eastAsia" w:ascii="仿宋_GB2312" w:hAnsi="仿宋_GB2312" w:eastAsia="仿宋_GB2312" w:cs="仿宋_GB2312"/>
          <w:b w:val="0"/>
          <w:i w:val="0"/>
          <w:iCs/>
          <w:caps w:val="0"/>
          <w:spacing w:val="0"/>
          <w:w w:val="100"/>
          <w:kern w:val="2"/>
          <w:sz w:val="24"/>
          <w:szCs w:val="24"/>
          <w:lang w:val="en-US" w:eastAsia="zh-CN" w:bidi="ar-SA"/>
        </w:rPr>
        <w:fldChar w:fldCharType="begin"/>
      </w:r>
      <w:r>
        <w:rPr>
          <w:rFonts w:hint="eastAsia" w:ascii="仿宋_GB2312" w:hAnsi="仿宋_GB2312" w:eastAsia="仿宋_GB2312" w:cs="仿宋_GB2312"/>
          <w:b w:val="0"/>
          <w:i w:val="0"/>
          <w:iCs/>
          <w:caps w:val="0"/>
          <w:spacing w:val="0"/>
          <w:w w:val="100"/>
          <w:kern w:val="2"/>
          <w:sz w:val="24"/>
          <w:szCs w:val="24"/>
          <w:lang w:val="en-US" w:eastAsia="zh-CN" w:bidi="ar-SA"/>
        </w:rPr>
        <w:instrText xml:space="preserve"> HYPERLINK "http://www.ccgp.gov.cn/zcfg/mof/201904/t20190403_11849836.htm" \o "关于印发节能产品政府采购品目清单的通知（财库〔2019〕19号）" \t "http://www.ccgp.gov.cn/jnhb/jnhbqd/_blank" </w:instrText>
      </w:r>
      <w:r>
        <w:rPr>
          <w:rFonts w:hint="eastAsia" w:ascii="仿宋_GB2312" w:hAnsi="仿宋_GB2312" w:eastAsia="仿宋_GB2312" w:cs="仿宋_GB2312"/>
          <w:b w:val="0"/>
          <w:i w:val="0"/>
          <w:iCs/>
          <w:caps w:val="0"/>
          <w:spacing w:val="0"/>
          <w:w w:val="100"/>
          <w:kern w:val="2"/>
          <w:sz w:val="24"/>
          <w:szCs w:val="24"/>
          <w:lang w:val="en-US" w:eastAsia="zh-CN" w:bidi="ar-SA"/>
        </w:rPr>
        <w:fldChar w:fldCharType="separate"/>
      </w:r>
      <w:r>
        <w:rPr>
          <w:rFonts w:hint="eastAsia" w:ascii="仿宋_GB2312" w:hAnsi="仿宋_GB2312" w:eastAsia="仿宋_GB2312" w:cs="仿宋_GB2312"/>
          <w:b w:val="0"/>
          <w:i w:val="0"/>
          <w:iCs/>
          <w:caps w:val="0"/>
          <w:spacing w:val="0"/>
          <w:w w:val="100"/>
          <w:kern w:val="2"/>
          <w:sz w:val="24"/>
          <w:szCs w:val="24"/>
          <w:lang w:val="en-US" w:eastAsia="zh-CN" w:bidi="ar-SA"/>
        </w:rPr>
        <w:t>关于印发节能产品政府采购品目清单的通知</w:t>
      </w:r>
      <w:r>
        <w:rPr>
          <w:rFonts w:hint="eastAsia" w:ascii="仿宋_GB2312" w:hAnsi="仿宋_GB2312" w:eastAsia="仿宋_GB2312" w:cs="仿宋_GB2312"/>
          <w:b w:val="0"/>
          <w:i w:val="0"/>
          <w:iCs/>
          <w:caps w:val="0"/>
          <w:spacing w:val="0"/>
          <w:w w:val="100"/>
          <w:kern w:val="2"/>
          <w:sz w:val="24"/>
          <w:szCs w:val="24"/>
          <w:lang w:val="en-US" w:eastAsia="zh-CN" w:bidi="ar-SA"/>
        </w:rPr>
        <w:fldChar w:fldCharType="end"/>
      </w:r>
      <w:r>
        <w:rPr>
          <w:rFonts w:hint="eastAsia" w:ascii="仿宋_GB2312" w:hAnsi="仿宋_GB2312" w:eastAsia="仿宋_GB2312" w:cs="仿宋_GB2312"/>
          <w:b w:val="0"/>
          <w:i w:val="0"/>
          <w:iCs/>
          <w:caps w:val="0"/>
          <w:spacing w:val="0"/>
          <w:w w:val="100"/>
          <w:kern w:val="2"/>
          <w:sz w:val="24"/>
          <w:szCs w:val="24"/>
          <w:lang w:val="en-US" w:eastAsia="zh-CN" w:bidi="ar-SA"/>
        </w:rPr>
        <w:t>》（财库〔2019〕19号）、环境标志产品目录《</w:t>
      </w:r>
      <w:r>
        <w:rPr>
          <w:rFonts w:hint="eastAsia" w:ascii="仿宋_GB2312" w:hAnsi="仿宋_GB2312" w:eastAsia="仿宋_GB2312" w:cs="仿宋_GB2312"/>
          <w:b w:val="0"/>
          <w:i w:val="0"/>
          <w:iCs/>
          <w:caps w:val="0"/>
          <w:spacing w:val="0"/>
          <w:w w:val="100"/>
          <w:kern w:val="2"/>
          <w:sz w:val="24"/>
          <w:szCs w:val="24"/>
          <w:lang w:val="en-US" w:eastAsia="zh-CN" w:bidi="ar-SA"/>
        </w:rPr>
        <w:fldChar w:fldCharType="begin"/>
      </w:r>
      <w:r>
        <w:rPr>
          <w:rFonts w:hint="eastAsia" w:ascii="仿宋_GB2312" w:hAnsi="仿宋_GB2312" w:eastAsia="仿宋_GB2312" w:cs="仿宋_GB2312"/>
          <w:b w:val="0"/>
          <w:i w:val="0"/>
          <w:iCs/>
          <w:caps w:val="0"/>
          <w:spacing w:val="0"/>
          <w:w w:val="100"/>
          <w:kern w:val="2"/>
          <w:sz w:val="24"/>
          <w:szCs w:val="24"/>
          <w:lang w:val="en-US" w:eastAsia="zh-CN" w:bidi="ar-SA"/>
        </w:rPr>
        <w:instrText xml:space="preserve"> HYPERLINK "http://www.ccgp.gov.cn/zcfg/mof/201903/t20190330_11833800.htm" \o "关于印发环境标志产品政府采购品目清单的通知（财库〔2019〕18号）" \t "http://www.ccgp.gov.cn/jnhb/jnhbqd/_blank" </w:instrText>
      </w:r>
      <w:r>
        <w:rPr>
          <w:rFonts w:hint="eastAsia" w:ascii="仿宋_GB2312" w:hAnsi="仿宋_GB2312" w:eastAsia="仿宋_GB2312" w:cs="仿宋_GB2312"/>
          <w:b w:val="0"/>
          <w:i w:val="0"/>
          <w:iCs/>
          <w:caps w:val="0"/>
          <w:spacing w:val="0"/>
          <w:w w:val="100"/>
          <w:kern w:val="2"/>
          <w:sz w:val="24"/>
          <w:szCs w:val="24"/>
          <w:lang w:val="en-US" w:eastAsia="zh-CN" w:bidi="ar-SA"/>
        </w:rPr>
        <w:fldChar w:fldCharType="separate"/>
      </w:r>
      <w:r>
        <w:rPr>
          <w:rFonts w:hint="eastAsia" w:ascii="仿宋_GB2312" w:hAnsi="仿宋_GB2312" w:eastAsia="仿宋_GB2312" w:cs="仿宋_GB2312"/>
          <w:b w:val="0"/>
          <w:i w:val="0"/>
          <w:iCs/>
          <w:caps w:val="0"/>
          <w:spacing w:val="0"/>
          <w:w w:val="100"/>
          <w:kern w:val="2"/>
          <w:sz w:val="24"/>
          <w:szCs w:val="24"/>
          <w:lang w:val="en-US" w:eastAsia="zh-CN" w:bidi="ar-SA"/>
        </w:rPr>
        <w:t>关于印发环境标志产品政府采购品目清单的通知</w:t>
      </w:r>
      <w:r>
        <w:rPr>
          <w:rFonts w:hint="eastAsia" w:ascii="仿宋_GB2312" w:hAnsi="仿宋_GB2312" w:eastAsia="仿宋_GB2312" w:cs="仿宋_GB2312"/>
          <w:b w:val="0"/>
          <w:i w:val="0"/>
          <w:iCs/>
          <w:caps w:val="0"/>
          <w:spacing w:val="0"/>
          <w:w w:val="100"/>
          <w:kern w:val="2"/>
          <w:sz w:val="24"/>
          <w:szCs w:val="24"/>
          <w:lang w:val="en-US" w:eastAsia="zh-CN" w:bidi="ar-SA"/>
        </w:rPr>
        <w:fldChar w:fldCharType="end"/>
      </w:r>
      <w:r>
        <w:rPr>
          <w:rFonts w:hint="eastAsia" w:ascii="仿宋_GB2312" w:hAnsi="仿宋_GB2312" w:eastAsia="仿宋_GB2312" w:cs="仿宋_GB2312"/>
          <w:b w:val="0"/>
          <w:i w:val="0"/>
          <w:iCs/>
          <w:caps w:val="0"/>
          <w:spacing w:val="0"/>
          <w:w w:val="100"/>
          <w:kern w:val="2"/>
          <w:sz w:val="24"/>
          <w:szCs w:val="24"/>
          <w:lang w:val="en-US" w:eastAsia="zh-CN" w:bidi="ar-SA"/>
        </w:rPr>
        <w:t>》（财库〔2019〕18</w:t>
      </w:r>
      <w:r>
        <w:rPr>
          <w:rFonts w:hint="eastAsia" w:ascii="仿宋_GB2312" w:hAnsi="仿宋_GB2312" w:eastAsia="仿宋_GB2312" w:cs="仿宋_GB2312"/>
          <w:b w:val="0"/>
          <w:i w:val="0"/>
          <w:iCs/>
          <w:caps w:val="0"/>
          <w:color w:val="auto"/>
          <w:spacing w:val="0"/>
          <w:w w:val="100"/>
          <w:kern w:val="2"/>
          <w:sz w:val="24"/>
          <w:szCs w:val="24"/>
          <w:lang w:val="en-US" w:eastAsia="zh-CN" w:bidi="ar-SA"/>
        </w:rPr>
        <w:t>号）</w:t>
      </w:r>
      <w:r>
        <w:rPr>
          <w:rFonts w:hint="eastAsia" w:ascii="仿宋_GB2312" w:hAnsi="仿宋_GB2312" w:eastAsia="仿宋_GB2312" w:cs="仿宋_GB2312"/>
          <w:b w:val="0"/>
          <w:bCs w:val="0"/>
          <w:i w:val="0"/>
          <w:iCs/>
          <w:caps w:val="0"/>
          <w:color w:val="auto"/>
          <w:spacing w:val="0"/>
          <w:w w:val="100"/>
          <w:kern w:val="2"/>
          <w:sz w:val="24"/>
          <w:szCs w:val="24"/>
          <w:lang w:val="en-US" w:eastAsia="zh-CN" w:bidi="ar-SA"/>
        </w:rPr>
        <w:t>（须提供节能、环保认证证书复印件加盖公章，未提供的不予以认可），</w:t>
      </w:r>
      <w:r>
        <w:rPr>
          <w:rFonts w:hint="eastAsia" w:ascii="仿宋_GB2312" w:hAnsi="仿宋_GB2312" w:eastAsia="仿宋_GB2312" w:cs="仿宋_GB2312"/>
          <w:b w:val="0"/>
          <w:i w:val="0"/>
          <w:iCs/>
          <w:caps w:val="0"/>
          <w:spacing w:val="0"/>
          <w:w w:val="100"/>
          <w:kern w:val="2"/>
          <w:sz w:val="24"/>
          <w:szCs w:val="24"/>
          <w:lang w:val="en-US" w:eastAsia="zh-CN" w:bidi="ar-SA"/>
        </w:rPr>
        <w:t>无线局域网产品目录应提供相关证明，在评标时予以优先采购。</w:t>
      </w:r>
    </w:p>
    <w:p w14:paraId="49BA1DA4">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baseline"/>
        <w:rPr>
          <w:rFonts w:hint="eastAsia" w:ascii="仿宋_GB2312" w:hAnsi="仿宋_GB2312" w:eastAsia="仿宋_GB2312" w:cs="仿宋_GB2312"/>
          <w:b w:val="0"/>
          <w:i w:val="0"/>
          <w:iCs/>
          <w:caps w:val="0"/>
          <w:spacing w:val="0"/>
          <w:w w:val="100"/>
          <w:kern w:val="2"/>
          <w:sz w:val="24"/>
          <w:szCs w:val="24"/>
          <w:lang w:val="en-US" w:eastAsia="zh-CN" w:bidi="ar-SA"/>
        </w:rPr>
      </w:pPr>
      <w:r>
        <w:rPr>
          <w:rFonts w:hint="eastAsia" w:ascii="仿宋_GB2312" w:hAnsi="仿宋_GB2312" w:eastAsia="仿宋_GB2312" w:cs="仿宋_GB2312"/>
          <w:b w:val="0"/>
          <w:i w:val="0"/>
          <w:iCs/>
          <w:caps w:val="0"/>
          <w:spacing w:val="0"/>
          <w:w w:val="100"/>
          <w:sz w:val="24"/>
          <w:lang w:val="en-US" w:eastAsia="zh-CN"/>
        </w:rPr>
        <w:t>4.5、</w:t>
      </w:r>
      <w:r>
        <w:rPr>
          <w:rFonts w:hint="eastAsia" w:ascii="仿宋_GB2312" w:hAnsi="仿宋_GB2312" w:eastAsia="仿宋_GB2312" w:cs="仿宋_GB2312"/>
          <w:b w:val="0"/>
          <w:i w:val="0"/>
          <w:iCs/>
          <w:caps w:val="0"/>
          <w:spacing w:val="0"/>
          <w:w w:val="100"/>
          <w:kern w:val="2"/>
          <w:sz w:val="24"/>
          <w:szCs w:val="24"/>
          <w:lang w:val="en-US" w:eastAsia="zh-CN" w:bidi="ar-SA"/>
        </w:rPr>
        <w:t>如采购人所采购产品为政府强制采购的节能产品，投标人所投产品的品牌及型号必须为清单中有效期内产品并提供证明文件，否则其投标将被认定为投标无效。</w:t>
      </w:r>
    </w:p>
    <w:p w14:paraId="4E56E259">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5</w:t>
      </w:r>
      <w:r>
        <w:rPr>
          <w:rFonts w:hint="eastAsia" w:ascii="仿宋_GB2312" w:hAnsi="仿宋_GB2312" w:eastAsia="仿宋_GB2312" w:cs="仿宋_GB2312"/>
          <w:iCs/>
          <w:kern w:val="2"/>
          <w:szCs w:val="24"/>
          <w:lang w:val="en-US" w:eastAsia="zh-CN"/>
        </w:rPr>
        <w:t>.</w:t>
      </w:r>
      <w:r>
        <w:rPr>
          <w:rFonts w:hint="eastAsia" w:ascii="仿宋_GB2312" w:hAnsi="仿宋_GB2312" w:eastAsia="仿宋_GB2312" w:cs="仿宋_GB2312"/>
          <w:iCs/>
          <w:kern w:val="2"/>
          <w:szCs w:val="24"/>
        </w:rPr>
        <w:t>废 标</w:t>
      </w:r>
    </w:p>
    <w:p w14:paraId="75553FC6">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废标后，采购代理机构应在网上公告。投标人需要知晓导致废标情形的具体原因和理由的，可以通过书面形式询问招标采购单位。</w:t>
      </w:r>
    </w:p>
    <w:p w14:paraId="7AD76731">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对于评标过程中废标的采购项目，评标委员会应当对招标文件是否存在倾向性和歧视性、是否存在不合理条款进行论证，并出具书面论证意见。</w:t>
      </w:r>
    </w:p>
    <w:p w14:paraId="63895219">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w:t>
      </w:r>
      <w:r>
        <w:rPr>
          <w:rFonts w:hint="eastAsia" w:ascii="仿宋_GB2312" w:hAnsi="仿宋_GB2312" w:eastAsia="仿宋_GB2312" w:cs="仿宋_GB2312"/>
          <w:iCs/>
          <w:kern w:val="2"/>
          <w:szCs w:val="24"/>
          <w:lang w:val="en-US" w:eastAsia="zh-CN"/>
        </w:rPr>
        <w:t>.</w:t>
      </w:r>
      <w:r>
        <w:rPr>
          <w:rFonts w:hint="eastAsia" w:ascii="仿宋_GB2312" w:hAnsi="仿宋_GB2312" w:eastAsia="仿宋_GB2312" w:cs="仿宋_GB2312"/>
          <w:iCs/>
          <w:kern w:val="2"/>
          <w:szCs w:val="24"/>
        </w:rPr>
        <w:t>定标</w:t>
      </w:r>
    </w:p>
    <w:p w14:paraId="11914F37">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6.1. 定标原则：由采购人根据评标委员会的推荐意见确定中标供应商。</w:t>
      </w:r>
    </w:p>
    <w:p w14:paraId="572C637C">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6.2. 定标程序</w:t>
      </w:r>
    </w:p>
    <w:p w14:paraId="662FE082">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6.2.1 评标委员会将评标情况写出书面报告，推荐中标候选供应商。</w:t>
      </w:r>
    </w:p>
    <w:p w14:paraId="0F7FA9E7">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6.2.2 采购代理机构在评标结束后2个工作日内将评标报告送采购人。</w:t>
      </w:r>
    </w:p>
    <w:p w14:paraId="77F5B414">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6.2.3 采购人在收到评标报告后5个工作日内，按照评标报告中推荐的中标候选供应商顺序确定中标供应商。采用综合评分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20EA9357">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6.2.4 根据采购人确定的中标供应商，采购代理机构在新疆政府采购网上发布中标公告，并自采购人确定中标之日起3个工作日内向中标供应商发出中标通知书。</w:t>
      </w:r>
    </w:p>
    <w:p w14:paraId="6EBF5018">
      <w:pPr>
        <w:pStyle w:val="26"/>
        <w:spacing w:line="500" w:lineRule="exact"/>
        <w:ind w:left="0" w:firstLineChars="200"/>
        <w:rPr>
          <w:rFonts w:hint="eastAsia" w:ascii="仿宋_GB2312" w:hAnsi="仿宋_GB2312" w:eastAsia="仿宋_GB2312" w:cs="仿宋_GB2312"/>
          <w:iCs/>
          <w:kern w:val="2"/>
          <w:szCs w:val="24"/>
        </w:rPr>
      </w:pPr>
      <w:r>
        <w:rPr>
          <w:rFonts w:hint="eastAsia" w:ascii="仿宋_GB2312" w:hAnsi="仿宋_GB2312" w:eastAsia="仿宋_GB2312" w:cs="仿宋_GB2312"/>
          <w:iCs/>
          <w:kern w:val="2"/>
          <w:szCs w:val="24"/>
        </w:rPr>
        <w:t>6.2.5 招标采购单位不退回投标人投标文件和其他投标资料。</w:t>
      </w:r>
      <w:bookmarkStart w:id="1044" w:name="_Toc507399904"/>
    </w:p>
    <w:p w14:paraId="42D7B311">
      <w:pPr>
        <w:pStyle w:val="6"/>
        <w:rPr>
          <w:rFonts w:hint="eastAsia" w:ascii="仿宋_GB2312" w:hAnsi="仿宋_GB2312" w:eastAsia="仿宋_GB2312" w:cs="仿宋_GB2312"/>
          <w:b/>
          <w:sz w:val="52"/>
          <w:szCs w:val="52"/>
          <w:lang w:val="en-US" w:eastAsia="zh-CN"/>
        </w:rPr>
      </w:pPr>
    </w:p>
    <w:p w14:paraId="0DA59509">
      <w:pPr>
        <w:rPr>
          <w:rFonts w:hint="eastAsia" w:ascii="仿宋_GB2312" w:hAnsi="仿宋_GB2312" w:eastAsia="仿宋_GB2312" w:cs="仿宋_GB2312"/>
          <w:b/>
          <w:sz w:val="52"/>
          <w:szCs w:val="52"/>
          <w:lang w:val="en-US" w:eastAsia="zh-CN"/>
        </w:rPr>
      </w:pPr>
    </w:p>
    <w:p w14:paraId="740C5A6E">
      <w:pPr>
        <w:rPr>
          <w:rFonts w:hint="eastAsia" w:ascii="仿宋_GB2312" w:hAnsi="仿宋_GB2312" w:eastAsia="仿宋_GB2312" w:cs="仿宋_GB2312"/>
          <w:b/>
          <w:sz w:val="52"/>
          <w:szCs w:val="52"/>
          <w:lang w:val="en-US" w:eastAsia="zh-CN"/>
        </w:rPr>
      </w:pPr>
    </w:p>
    <w:p w14:paraId="2B7694B3">
      <w:pPr>
        <w:rPr>
          <w:rFonts w:hint="eastAsia"/>
          <w:lang w:val="en-US" w:eastAsia="zh-CN"/>
        </w:rPr>
      </w:pPr>
    </w:p>
    <w:p w14:paraId="11F79EAE">
      <w:pPr>
        <w:spacing w:line="240" w:lineRule="atLeast"/>
        <w:jc w:val="center"/>
        <w:rPr>
          <w:rFonts w:hint="eastAsia" w:ascii="仿宋_GB2312" w:hAnsi="仿宋_GB2312" w:eastAsia="仿宋_GB2312" w:cs="仿宋_GB2312"/>
          <w:b/>
          <w:sz w:val="52"/>
          <w:szCs w:val="52"/>
          <w:lang w:val="en-US" w:eastAsia="zh-CN"/>
        </w:rPr>
      </w:pPr>
    </w:p>
    <w:p w14:paraId="0EC24A24">
      <w:pPr>
        <w:spacing w:line="240" w:lineRule="atLeast"/>
        <w:jc w:val="center"/>
        <w:rPr>
          <w:rFonts w:hint="eastAsia" w:ascii="仿宋_GB2312" w:hAnsi="仿宋_GB2312" w:eastAsia="仿宋_GB2312" w:cs="仿宋_GB2312"/>
          <w:b/>
          <w:sz w:val="52"/>
          <w:szCs w:val="52"/>
          <w:lang w:val="en-US" w:eastAsia="zh-CN"/>
        </w:rPr>
      </w:pPr>
    </w:p>
    <w:p w14:paraId="75088CB2">
      <w:pPr>
        <w:spacing w:line="240" w:lineRule="atLeast"/>
        <w:jc w:val="center"/>
        <w:rPr>
          <w:rFonts w:hint="eastAsia" w:ascii="仿宋_GB2312" w:hAnsi="仿宋_GB2312" w:eastAsia="仿宋_GB2312" w:cs="仿宋_GB2312"/>
          <w:b/>
          <w:sz w:val="52"/>
          <w:szCs w:val="52"/>
        </w:rPr>
      </w:pPr>
      <w:r>
        <w:rPr>
          <w:rFonts w:hint="eastAsia" w:ascii="仿宋_GB2312" w:hAnsi="仿宋_GB2312" w:eastAsia="仿宋_GB2312" w:cs="仿宋_GB2312"/>
          <w:b/>
          <w:sz w:val="52"/>
          <w:szCs w:val="52"/>
          <w:lang w:val="en-US" w:eastAsia="zh-CN"/>
        </w:rPr>
        <w:t>服务</w:t>
      </w:r>
      <w:r>
        <w:rPr>
          <w:rFonts w:hint="eastAsia" w:ascii="仿宋_GB2312" w:hAnsi="仿宋_GB2312" w:eastAsia="仿宋_GB2312" w:cs="仿宋_GB2312"/>
          <w:b/>
          <w:sz w:val="52"/>
          <w:szCs w:val="52"/>
        </w:rPr>
        <w:t>类</w:t>
      </w:r>
    </w:p>
    <w:p w14:paraId="4D9B6E2C">
      <w:pPr>
        <w:pStyle w:val="26"/>
        <w:spacing w:line="500" w:lineRule="exact"/>
        <w:ind w:left="0" w:firstLineChars="200"/>
        <w:rPr>
          <w:rFonts w:hint="eastAsia" w:ascii="仿宋_GB2312" w:hAnsi="仿宋_GB2312" w:eastAsia="仿宋_GB2312" w:cs="仿宋_GB2312"/>
          <w:iCs/>
          <w:kern w:val="2"/>
          <w:szCs w:val="24"/>
        </w:rPr>
      </w:pPr>
    </w:p>
    <w:p w14:paraId="7B18016C">
      <w:pPr>
        <w:spacing w:line="240" w:lineRule="atLeast"/>
        <w:ind w:left="1080" w:leftChars="257" w:hanging="540"/>
        <w:jc w:val="center"/>
        <w:rPr>
          <w:rFonts w:hint="eastAsia" w:ascii="仿宋_GB2312" w:hAnsi="仿宋_GB2312" w:eastAsia="仿宋_GB2312" w:cs="仿宋_GB2312"/>
          <w:b/>
          <w:sz w:val="52"/>
          <w:szCs w:val="52"/>
        </w:rPr>
      </w:pPr>
    </w:p>
    <w:p w14:paraId="4A7D4B76">
      <w:pPr>
        <w:spacing w:line="240" w:lineRule="atLeast"/>
        <w:ind w:left="1080" w:leftChars="257" w:hanging="540"/>
        <w:jc w:val="center"/>
        <w:rPr>
          <w:rFonts w:hint="eastAsia" w:ascii="仿宋_GB2312" w:hAnsi="仿宋_GB2312" w:eastAsia="仿宋_GB2312" w:cs="仿宋_GB2312"/>
          <w:b/>
          <w:sz w:val="52"/>
          <w:szCs w:val="52"/>
        </w:rPr>
      </w:pPr>
      <w:r>
        <w:rPr>
          <w:rFonts w:hint="eastAsia" w:ascii="仿宋_GB2312" w:hAnsi="仿宋_GB2312" w:eastAsia="仿宋_GB2312" w:cs="仿宋_GB2312"/>
          <w:b/>
          <w:sz w:val="52"/>
          <w:szCs w:val="52"/>
        </w:rPr>
        <w:t>政府采购公开招标文件</w:t>
      </w:r>
    </w:p>
    <w:p w14:paraId="1405D85E">
      <w:pPr>
        <w:spacing w:line="240" w:lineRule="atLeast"/>
        <w:ind w:left="1080" w:leftChars="257" w:hanging="540"/>
        <w:jc w:val="center"/>
        <w:rPr>
          <w:rFonts w:hint="eastAsia" w:ascii="仿宋_GB2312" w:hAnsi="仿宋_GB2312" w:eastAsia="仿宋_GB2312" w:cs="仿宋_GB2312"/>
          <w:b/>
          <w:sz w:val="32"/>
          <w:szCs w:val="32"/>
        </w:rPr>
      </w:pPr>
    </w:p>
    <w:p w14:paraId="386AD829">
      <w:pPr>
        <w:spacing w:line="240" w:lineRule="atLeast"/>
        <w:ind w:left="1080" w:leftChars="257" w:hanging="540"/>
        <w:jc w:val="center"/>
        <w:rPr>
          <w:rFonts w:hint="eastAsia" w:ascii="仿宋_GB2312" w:hAnsi="仿宋_GB2312" w:eastAsia="仿宋_GB2312" w:cs="仿宋_GB2312"/>
          <w:b/>
          <w:sz w:val="32"/>
          <w:szCs w:val="32"/>
        </w:rPr>
      </w:pPr>
    </w:p>
    <w:p w14:paraId="6BE70573">
      <w:pPr>
        <w:spacing w:line="240" w:lineRule="atLeast"/>
        <w:ind w:left="1080" w:leftChars="257" w:hanging="540"/>
        <w:jc w:val="center"/>
        <w:rPr>
          <w:rFonts w:hint="eastAsia" w:ascii="仿宋_GB2312" w:hAnsi="仿宋_GB2312" w:eastAsia="仿宋_GB2312" w:cs="仿宋_GB2312"/>
          <w:b/>
          <w:sz w:val="32"/>
          <w:szCs w:val="32"/>
        </w:rPr>
      </w:pPr>
    </w:p>
    <w:p w14:paraId="61EB9138">
      <w:pPr>
        <w:spacing w:line="240" w:lineRule="atLeast"/>
        <w:ind w:left="1080" w:leftChars="257" w:hanging="540"/>
        <w:jc w:val="center"/>
        <w:rPr>
          <w:rFonts w:hint="eastAsia" w:ascii="仿宋_GB2312" w:hAnsi="仿宋_GB2312" w:eastAsia="仿宋_GB2312" w:cs="仿宋_GB2312"/>
          <w:b/>
          <w:sz w:val="32"/>
          <w:szCs w:val="32"/>
        </w:rPr>
      </w:pPr>
    </w:p>
    <w:p w14:paraId="3805D512">
      <w:pPr>
        <w:spacing w:line="240" w:lineRule="atLeast"/>
        <w:ind w:left="1080" w:leftChars="257" w:hanging="540"/>
        <w:jc w:val="center"/>
        <w:rPr>
          <w:rFonts w:hint="eastAsia" w:ascii="仿宋_GB2312" w:hAnsi="仿宋_GB2312" w:eastAsia="仿宋_GB2312" w:cs="仿宋_GB2312"/>
          <w:b/>
          <w:sz w:val="32"/>
          <w:szCs w:val="32"/>
        </w:rPr>
      </w:pPr>
    </w:p>
    <w:p w14:paraId="660A76CA">
      <w:pPr>
        <w:spacing w:line="240" w:lineRule="atLeast"/>
        <w:ind w:left="1080" w:leftChars="257" w:hanging="540"/>
        <w:jc w:val="center"/>
        <w:rPr>
          <w:rFonts w:hint="eastAsia" w:ascii="仿宋_GB2312" w:hAnsi="仿宋_GB2312" w:eastAsia="仿宋_GB2312" w:cs="仿宋_GB2312"/>
          <w:b/>
          <w:sz w:val="32"/>
          <w:szCs w:val="32"/>
        </w:rPr>
      </w:pPr>
    </w:p>
    <w:p w14:paraId="2322A997">
      <w:pPr>
        <w:spacing w:line="240" w:lineRule="atLeast"/>
        <w:ind w:left="1080" w:leftChars="257" w:hanging="540"/>
        <w:rPr>
          <w:rFonts w:hint="eastAsia" w:ascii="仿宋_GB2312" w:hAnsi="仿宋_GB2312" w:eastAsia="仿宋_GB2312" w:cs="仿宋_GB2312"/>
          <w:b/>
          <w:sz w:val="28"/>
        </w:rPr>
      </w:pPr>
    </w:p>
    <w:p w14:paraId="4B015E77">
      <w:pPr>
        <w:spacing w:line="240" w:lineRule="atLeast"/>
        <w:ind w:left="1080" w:leftChars="257" w:hanging="540"/>
        <w:jc w:val="center"/>
        <w:rPr>
          <w:rFonts w:hint="eastAsia" w:ascii="仿宋_GB2312" w:hAnsi="仿宋_GB2312" w:eastAsia="仿宋_GB2312" w:cs="仿宋_GB2312"/>
          <w:b/>
          <w:sz w:val="48"/>
          <w:szCs w:val="48"/>
        </w:rPr>
      </w:pPr>
      <w:r>
        <w:rPr>
          <w:rFonts w:hint="eastAsia" w:ascii="仿宋_GB2312" w:hAnsi="仿宋_GB2312" w:eastAsia="仿宋_GB2312" w:cs="仿宋_GB2312"/>
          <w:b/>
          <w:sz w:val="48"/>
          <w:szCs w:val="48"/>
        </w:rPr>
        <w:t>第三册</w:t>
      </w:r>
    </w:p>
    <w:p w14:paraId="4F823A25">
      <w:pPr>
        <w:spacing w:line="240" w:lineRule="atLeast"/>
        <w:ind w:left="1080" w:leftChars="257" w:hanging="540"/>
        <w:jc w:val="center"/>
        <w:rPr>
          <w:rFonts w:hint="eastAsia" w:ascii="仿宋_GB2312" w:hAnsi="仿宋_GB2312" w:eastAsia="仿宋_GB2312" w:cs="仿宋_GB2312"/>
          <w:b/>
          <w:sz w:val="52"/>
        </w:rPr>
      </w:pPr>
    </w:p>
    <w:p w14:paraId="5B0895DB">
      <w:pPr>
        <w:pStyle w:val="24"/>
        <w:rPr>
          <w:rFonts w:hint="eastAsia" w:ascii="仿宋_GB2312" w:hAnsi="仿宋_GB2312" w:eastAsia="仿宋_GB2312" w:cs="仿宋_GB2312"/>
          <w:b/>
          <w:sz w:val="52"/>
        </w:rPr>
      </w:pPr>
    </w:p>
    <w:p w14:paraId="6BC7BD1F">
      <w:pPr>
        <w:pStyle w:val="24"/>
        <w:rPr>
          <w:rFonts w:hint="eastAsia" w:ascii="仿宋_GB2312" w:hAnsi="仿宋_GB2312" w:eastAsia="仿宋_GB2312" w:cs="仿宋_GB2312"/>
          <w:b/>
          <w:sz w:val="52"/>
        </w:rPr>
      </w:pPr>
    </w:p>
    <w:p w14:paraId="7A26C7E3">
      <w:pPr>
        <w:pStyle w:val="24"/>
        <w:rPr>
          <w:rFonts w:hint="eastAsia" w:ascii="仿宋_GB2312" w:hAnsi="仿宋_GB2312" w:eastAsia="仿宋_GB2312" w:cs="仿宋_GB2312"/>
          <w:b/>
          <w:sz w:val="52"/>
        </w:rPr>
      </w:pPr>
    </w:p>
    <w:p w14:paraId="0643AF02">
      <w:pPr>
        <w:pStyle w:val="24"/>
        <w:rPr>
          <w:rFonts w:hint="eastAsia" w:ascii="仿宋_GB2312" w:hAnsi="仿宋_GB2312" w:eastAsia="仿宋_GB2312" w:cs="仿宋_GB2312"/>
          <w:b/>
          <w:sz w:val="52"/>
        </w:rPr>
      </w:pPr>
    </w:p>
    <w:p w14:paraId="728DC470">
      <w:pPr>
        <w:pStyle w:val="3"/>
        <w:tabs>
          <w:tab w:val="left" w:pos="0"/>
        </w:tabs>
        <w:spacing w:before="0" w:after="0" w:line="240" w:lineRule="atLeast"/>
        <w:rPr>
          <w:rFonts w:hint="eastAsia" w:ascii="仿宋_GB2312" w:hAnsi="仿宋_GB2312" w:eastAsia="仿宋_GB2312" w:cs="仿宋_GB2312"/>
          <w:sz w:val="44"/>
          <w:szCs w:val="44"/>
        </w:rPr>
      </w:pPr>
      <w:bookmarkStart w:id="1045" w:name="_Toc6865"/>
      <w:bookmarkStart w:id="1046" w:name="_Toc515647833"/>
      <w:bookmarkStart w:id="1047" w:name="_Toc4337"/>
      <w:bookmarkStart w:id="1048" w:name="_Toc31150"/>
      <w:bookmarkStart w:id="1049" w:name="_Toc4796"/>
    </w:p>
    <w:p w14:paraId="17FD39F3">
      <w:pPr>
        <w:pStyle w:val="3"/>
        <w:tabs>
          <w:tab w:val="left" w:pos="0"/>
        </w:tabs>
        <w:spacing w:before="0" w:after="0" w:line="240" w:lineRule="atLeas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第七章  政府采购合同</w:t>
      </w:r>
      <w:bookmarkEnd w:id="1044"/>
      <w:bookmarkEnd w:id="1045"/>
      <w:bookmarkEnd w:id="1046"/>
      <w:bookmarkEnd w:id="1047"/>
      <w:bookmarkEnd w:id="1048"/>
      <w:bookmarkEnd w:id="1049"/>
      <w:bookmarkStart w:id="1050" w:name="_Hlt487972895"/>
      <w:bookmarkEnd w:id="1050"/>
      <w:bookmarkStart w:id="1051" w:name="_Toc216513788"/>
      <w:bookmarkStart w:id="1052" w:name="_Toc487900382"/>
    </w:p>
    <w:bookmarkEnd w:id="1051"/>
    <w:bookmarkEnd w:id="1052"/>
    <w:p w14:paraId="0DA1044E">
      <w:pPr>
        <w:pageBreakBefore w:val="0"/>
        <w:kinsoku/>
        <w:wordWrap/>
        <w:overflowPunct/>
        <w:topLinePunct w:val="0"/>
        <w:bidi w:val="0"/>
        <w:snapToGrid/>
        <w:spacing w:line="240" w:lineRule="atLeast"/>
        <w:textAlignment w:val="auto"/>
        <w:outlineLvl w:val="9"/>
        <w:rPr>
          <w:rFonts w:hint="eastAsia" w:ascii="仿宋_GB2312" w:hAnsi="仿宋_GB2312" w:eastAsia="仿宋_GB2312" w:cs="仿宋_GB2312"/>
          <w:b/>
          <w:kern w:val="44"/>
          <w:sz w:val="32"/>
          <w:szCs w:val="20"/>
        </w:rPr>
      </w:pPr>
    </w:p>
    <w:p w14:paraId="480F575D">
      <w:pPr>
        <w:pageBreakBefore w:val="0"/>
        <w:kinsoku/>
        <w:wordWrap/>
        <w:overflowPunct/>
        <w:topLinePunct w:val="0"/>
        <w:bidi w:val="0"/>
        <w:snapToGrid/>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合同编号：</w:t>
      </w:r>
      <w:r>
        <w:rPr>
          <w:rFonts w:hint="eastAsia" w:ascii="仿宋_GB2312" w:hAnsi="仿宋_GB2312" w:eastAsia="仿宋_GB2312" w:cs="仿宋_GB2312"/>
          <w:sz w:val="24"/>
          <w:u w:val="single"/>
        </w:rPr>
        <w:t xml:space="preserve">           </w:t>
      </w:r>
    </w:p>
    <w:p w14:paraId="1F4873C5">
      <w:pPr>
        <w:pageBreakBefore w:val="0"/>
        <w:kinsoku/>
        <w:wordWrap/>
        <w:overflowPunct/>
        <w:topLinePunct w:val="0"/>
        <w:bidi w:val="0"/>
        <w:snapToGrid/>
        <w:spacing w:line="480" w:lineRule="auto"/>
        <w:jc w:val="center"/>
        <w:textAlignment w:val="auto"/>
        <w:outlineLvl w:val="9"/>
        <w:rPr>
          <w:rFonts w:hint="eastAsia" w:ascii="仿宋_GB2312" w:hAnsi="仿宋_GB2312" w:eastAsia="仿宋_GB2312" w:cs="仿宋_GB2312"/>
          <w:b/>
          <w:sz w:val="28"/>
          <w:szCs w:val="28"/>
        </w:rPr>
      </w:pPr>
    </w:p>
    <w:p w14:paraId="4F65F7D6">
      <w:pPr>
        <w:pageBreakBefore w:val="0"/>
        <w:kinsoku/>
        <w:wordWrap/>
        <w:overflowPunct/>
        <w:topLinePunct w:val="0"/>
        <w:bidi w:val="0"/>
        <w:snapToGrid/>
        <w:spacing w:line="480" w:lineRule="auto"/>
        <w:jc w:val="center"/>
        <w:textAlignment w:val="auto"/>
        <w:outlineLvl w:val="9"/>
        <w:rPr>
          <w:rFonts w:hint="eastAsia" w:ascii="仿宋_GB2312" w:hAnsi="仿宋_GB2312" w:eastAsia="仿宋_GB2312" w:cs="仿宋_GB2312"/>
          <w:b/>
          <w:sz w:val="28"/>
          <w:szCs w:val="28"/>
        </w:rPr>
      </w:pPr>
    </w:p>
    <w:p w14:paraId="76813ED7">
      <w:pPr>
        <w:pageBreakBefore w:val="0"/>
        <w:kinsoku/>
        <w:wordWrap/>
        <w:overflowPunct/>
        <w:topLinePunct w:val="0"/>
        <w:bidi w:val="0"/>
        <w:snapToGrid/>
        <w:spacing w:line="340" w:lineRule="exact"/>
        <w:jc w:val="center"/>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b/>
          <w:sz w:val="24"/>
        </w:rPr>
        <w:t>政府采购合同参考范本</w:t>
      </w:r>
    </w:p>
    <w:p w14:paraId="6E9B3192">
      <w:pPr>
        <w:pageBreakBefore w:val="0"/>
        <w:kinsoku/>
        <w:wordWrap/>
        <w:overflowPunct/>
        <w:topLinePunct w:val="0"/>
        <w:bidi w:val="0"/>
        <w:snapToGrid/>
        <w:spacing w:line="340" w:lineRule="exact"/>
        <w:jc w:val="center"/>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b/>
          <w:sz w:val="24"/>
        </w:rPr>
        <w:t>（服务类）</w:t>
      </w:r>
    </w:p>
    <w:p w14:paraId="4668F23F">
      <w:pPr>
        <w:pStyle w:val="56"/>
        <w:pageBreakBefore w:val="0"/>
        <w:kinsoku/>
        <w:wordWrap/>
        <w:overflowPunct/>
        <w:topLinePunct w:val="0"/>
        <w:bidi w:val="0"/>
        <w:snapToGrid/>
        <w:spacing w:line="340" w:lineRule="exact"/>
        <w:ind w:firstLine="0"/>
        <w:textAlignment w:val="auto"/>
        <w:outlineLvl w:val="9"/>
        <w:rPr>
          <w:rFonts w:hint="eastAsia" w:ascii="仿宋_GB2312" w:hAnsi="仿宋_GB2312" w:eastAsia="仿宋_GB2312" w:cs="仿宋_GB2312"/>
          <w:szCs w:val="24"/>
        </w:rPr>
      </w:pPr>
    </w:p>
    <w:p w14:paraId="71087251">
      <w:pPr>
        <w:pStyle w:val="56"/>
        <w:pageBreakBefore w:val="0"/>
        <w:kinsoku/>
        <w:wordWrap/>
        <w:overflowPunct/>
        <w:topLinePunct w:val="0"/>
        <w:bidi w:val="0"/>
        <w:snapToGrid/>
        <w:spacing w:line="340" w:lineRule="exact"/>
        <w:ind w:firstLine="0"/>
        <w:textAlignment w:val="auto"/>
        <w:outlineLvl w:val="9"/>
        <w:rPr>
          <w:rFonts w:hint="eastAsia" w:ascii="仿宋_GB2312" w:hAnsi="仿宋_GB2312" w:eastAsia="仿宋_GB2312" w:cs="仿宋_GB2312"/>
          <w:szCs w:val="24"/>
        </w:rPr>
      </w:pPr>
    </w:p>
    <w:p w14:paraId="38B753A3">
      <w:pPr>
        <w:pStyle w:val="56"/>
        <w:pageBreakBefore w:val="0"/>
        <w:kinsoku/>
        <w:wordWrap/>
        <w:overflowPunct/>
        <w:topLinePunct w:val="0"/>
        <w:bidi w:val="0"/>
        <w:snapToGrid/>
        <w:spacing w:line="340" w:lineRule="exact"/>
        <w:ind w:firstLine="0"/>
        <w:textAlignment w:val="auto"/>
        <w:outlineLvl w:val="9"/>
        <w:rPr>
          <w:rFonts w:hint="eastAsia" w:ascii="仿宋_GB2312" w:hAnsi="仿宋_GB2312" w:eastAsia="仿宋_GB2312" w:cs="仿宋_GB2312"/>
          <w:szCs w:val="24"/>
        </w:rPr>
      </w:pPr>
    </w:p>
    <w:p w14:paraId="3D855542">
      <w:pPr>
        <w:pStyle w:val="56"/>
        <w:pageBreakBefore w:val="0"/>
        <w:kinsoku/>
        <w:wordWrap/>
        <w:overflowPunct/>
        <w:topLinePunct w:val="0"/>
        <w:bidi w:val="0"/>
        <w:snapToGrid/>
        <w:spacing w:line="340" w:lineRule="exact"/>
        <w:ind w:firstLine="0"/>
        <w:jc w:val="center"/>
        <w:textAlignment w:val="auto"/>
        <w:outlineLvl w:val="9"/>
        <w:rPr>
          <w:rFonts w:hint="eastAsia" w:ascii="仿宋_GB2312" w:hAnsi="仿宋_GB2312" w:eastAsia="仿宋_GB2312" w:cs="仿宋_GB2312"/>
          <w:b/>
          <w:szCs w:val="24"/>
        </w:rPr>
      </w:pPr>
      <w:r>
        <w:rPr>
          <w:rFonts w:hint="eastAsia" w:ascii="仿宋_GB2312" w:hAnsi="仿宋_GB2312" w:eastAsia="仿宋_GB2312" w:cs="仿宋_GB2312"/>
          <w:b/>
          <w:szCs w:val="24"/>
        </w:rPr>
        <w:t>第一部分 合同书</w:t>
      </w:r>
    </w:p>
    <w:p w14:paraId="0CCC5A0C">
      <w:pPr>
        <w:pStyle w:val="56"/>
        <w:pageBreakBefore w:val="0"/>
        <w:kinsoku/>
        <w:wordWrap/>
        <w:overflowPunct/>
        <w:topLinePunct w:val="0"/>
        <w:bidi w:val="0"/>
        <w:snapToGrid/>
        <w:spacing w:line="340" w:lineRule="exact"/>
        <w:ind w:firstLine="0"/>
        <w:textAlignment w:val="auto"/>
        <w:outlineLvl w:val="9"/>
        <w:rPr>
          <w:rFonts w:hint="eastAsia" w:ascii="仿宋_GB2312" w:hAnsi="仿宋_GB2312" w:eastAsia="仿宋_GB2312" w:cs="仿宋_GB2312"/>
          <w:szCs w:val="24"/>
        </w:rPr>
      </w:pPr>
    </w:p>
    <w:p w14:paraId="5B0EADCE">
      <w:pPr>
        <w:pStyle w:val="56"/>
        <w:pageBreakBefore w:val="0"/>
        <w:kinsoku/>
        <w:wordWrap/>
        <w:overflowPunct/>
        <w:topLinePunct w:val="0"/>
        <w:bidi w:val="0"/>
        <w:snapToGrid/>
        <w:spacing w:line="340" w:lineRule="exact"/>
        <w:ind w:firstLine="0"/>
        <w:textAlignment w:val="auto"/>
        <w:outlineLvl w:val="9"/>
        <w:rPr>
          <w:rFonts w:hint="eastAsia" w:ascii="仿宋_GB2312" w:hAnsi="仿宋_GB2312" w:eastAsia="仿宋_GB2312" w:cs="仿宋_GB2312"/>
          <w:szCs w:val="24"/>
        </w:rPr>
      </w:pPr>
    </w:p>
    <w:p w14:paraId="10BB3C34">
      <w:pPr>
        <w:pageBreakBefore w:val="0"/>
        <w:kinsoku/>
        <w:wordWrap/>
        <w:overflowPunct/>
        <w:topLinePunct w:val="0"/>
        <w:bidi w:val="0"/>
        <w:snapToGrid/>
        <w:spacing w:before="120" w:line="340" w:lineRule="exact"/>
        <w:textAlignment w:val="auto"/>
        <w:outlineLvl w:val="9"/>
        <w:rPr>
          <w:rFonts w:hint="eastAsia" w:ascii="仿宋_GB2312" w:hAnsi="仿宋_GB2312" w:eastAsia="仿宋_GB2312" w:cs="仿宋_GB2312"/>
          <w:sz w:val="24"/>
        </w:rPr>
      </w:pPr>
    </w:p>
    <w:p w14:paraId="42338132">
      <w:pPr>
        <w:pageBreakBefore w:val="0"/>
        <w:kinsoku/>
        <w:wordWrap/>
        <w:overflowPunct/>
        <w:topLinePunct w:val="0"/>
        <w:bidi w:val="0"/>
        <w:snapToGrid/>
        <w:spacing w:before="120" w:line="340" w:lineRule="exact"/>
        <w:ind w:left="96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项目名称：</w:t>
      </w:r>
      <w:r>
        <w:rPr>
          <w:rFonts w:hint="eastAsia" w:ascii="仿宋_GB2312" w:hAnsi="仿宋_GB2312" w:eastAsia="仿宋_GB2312" w:cs="仿宋_GB2312"/>
          <w:sz w:val="24"/>
          <w:u w:val="single"/>
        </w:rPr>
        <w:t xml:space="preserve">                                   </w:t>
      </w:r>
    </w:p>
    <w:p w14:paraId="0E727ED1">
      <w:pPr>
        <w:pStyle w:val="93"/>
        <w:pageBreakBefore w:val="0"/>
        <w:kinsoku/>
        <w:wordWrap/>
        <w:overflowPunct/>
        <w:topLinePunct w:val="0"/>
        <w:bidi w:val="0"/>
        <w:snapToGrid/>
        <w:spacing w:before="120" w:line="340" w:lineRule="exact"/>
        <w:textAlignment w:val="auto"/>
        <w:outlineLvl w:val="9"/>
        <w:rPr>
          <w:rFonts w:hint="eastAsia" w:hAnsi="仿宋_GB2312" w:cs="仿宋_GB2312"/>
          <w:szCs w:val="24"/>
        </w:rPr>
      </w:pPr>
    </w:p>
    <w:p w14:paraId="1AFCE9CA">
      <w:pPr>
        <w:pageBreakBefore w:val="0"/>
        <w:kinsoku/>
        <w:wordWrap/>
        <w:overflowPunct/>
        <w:topLinePunct w:val="0"/>
        <w:bidi w:val="0"/>
        <w:snapToGrid/>
        <w:spacing w:line="340" w:lineRule="exact"/>
        <w:textAlignment w:val="auto"/>
        <w:outlineLvl w:val="9"/>
        <w:rPr>
          <w:rFonts w:hint="eastAsia" w:ascii="仿宋_GB2312" w:hAnsi="仿宋_GB2312" w:eastAsia="仿宋_GB2312" w:cs="仿宋_GB2312"/>
          <w:sz w:val="24"/>
        </w:rPr>
      </w:pPr>
    </w:p>
    <w:p w14:paraId="5302756A">
      <w:pPr>
        <w:pageBreakBefore w:val="0"/>
        <w:kinsoku/>
        <w:wordWrap/>
        <w:overflowPunct/>
        <w:topLinePunct w:val="0"/>
        <w:bidi w:val="0"/>
        <w:snapToGrid/>
        <w:spacing w:before="120" w:line="340" w:lineRule="exact"/>
        <w:ind w:left="96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甲方：</w:t>
      </w:r>
      <w:r>
        <w:rPr>
          <w:rFonts w:hint="eastAsia" w:ascii="仿宋_GB2312" w:hAnsi="仿宋_GB2312" w:eastAsia="仿宋_GB2312" w:cs="仿宋_GB2312"/>
          <w:sz w:val="24"/>
          <w:u w:val="single"/>
        </w:rPr>
        <w:t xml:space="preserve">                                       </w:t>
      </w:r>
    </w:p>
    <w:p w14:paraId="6E49160B">
      <w:pPr>
        <w:pageBreakBefore w:val="0"/>
        <w:kinsoku/>
        <w:wordWrap/>
        <w:overflowPunct/>
        <w:topLinePunct w:val="0"/>
        <w:bidi w:val="0"/>
        <w:snapToGrid/>
        <w:spacing w:before="120" w:line="340" w:lineRule="exact"/>
        <w:textAlignment w:val="auto"/>
        <w:outlineLvl w:val="9"/>
        <w:rPr>
          <w:rFonts w:hint="eastAsia" w:ascii="仿宋_GB2312" w:hAnsi="仿宋_GB2312" w:eastAsia="仿宋_GB2312" w:cs="仿宋_GB2312"/>
          <w:sz w:val="24"/>
        </w:rPr>
      </w:pPr>
    </w:p>
    <w:p w14:paraId="582DB440">
      <w:pPr>
        <w:pageBreakBefore w:val="0"/>
        <w:kinsoku/>
        <w:wordWrap/>
        <w:overflowPunct/>
        <w:topLinePunct w:val="0"/>
        <w:bidi w:val="0"/>
        <w:snapToGrid/>
        <w:spacing w:before="120" w:line="340" w:lineRule="exact"/>
        <w:ind w:left="96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乙方：</w:t>
      </w:r>
      <w:r>
        <w:rPr>
          <w:rFonts w:hint="eastAsia" w:ascii="仿宋_GB2312" w:hAnsi="仿宋_GB2312" w:eastAsia="仿宋_GB2312" w:cs="仿宋_GB2312"/>
          <w:sz w:val="24"/>
          <w:u w:val="single"/>
        </w:rPr>
        <w:t xml:space="preserve">                                       </w:t>
      </w:r>
    </w:p>
    <w:p w14:paraId="1E4C0C41">
      <w:pPr>
        <w:pageBreakBefore w:val="0"/>
        <w:kinsoku/>
        <w:wordWrap/>
        <w:overflowPunct/>
        <w:topLinePunct w:val="0"/>
        <w:bidi w:val="0"/>
        <w:snapToGrid/>
        <w:spacing w:before="120" w:line="340" w:lineRule="exact"/>
        <w:textAlignment w:val="auto"/>
        <w:outlineLvl w:val="9"/>
        <w:rPr>
          <w:rFonts w:hint="eastAsia" w:ascii="仿宋_GB2312" w:hAnsi="仿宋_GB2312" w:eastAsia="仿宋_GB2312" w:cs="仿宋_GB2312"/>
          <w:sz w:val="24"/>
        </w:rPr>
      </w:pPr>
    </w:p>
    <w:p w14:paraId="5B0A898F">
      <w:pPr>
        <w:pageBreakBefore w:val="0"/>
        <w:kinsoku/>
        <w:wordWrap/>
        <w:overflowPunct/>
        <w:topLinePunct w:val="0"/>
        <w:bidi w:val="0"/>
        <w:snapToGrid/>
        <w:spacing w:before="120" w:line="340" w:lineRule="exact"/>
        <w:ind w:firstLine="960" w:firstLineChars="40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签订地：</w:t>
      </w:r>
      <w:r>
        <w:rPr>
          <w:rFonts w:hint="eastAsia" w:ascii="仿宋_GB2312" w:hAnsi="仿宋_GB2312" w:eastAsia="仿宋_GB2312" w:cs="仿宋_GB2312"/>
          <w:sz w:val="24"/>
          <w:u w:val="single"/>
        </w:rPr>
        <w:t xml:space="preserve">                                     </w:t>
      </w:r>
    </w:p>
    <w:p w14:paraId="074F7213">
      <w:pPr>
        <w:pageBreakBefore w:val="0"/>
        <w:kinsoku/>
        <w:wordWrap/>
        <w:overflowPunct/>
        <w:topLinePunct w:val="0"/>
        <w:bidi w:val="0"/>
        <w:snapToGrid/>
        <w:spacing w:before="120" w:line="340" w:lineRule="exact"/>
        <w:textAlignment w:val="auto"/>
        <w:outlineLvl w:val="9"/>
        <w:rPr>
          <w:rFonts w:hint="eastAsia" w:ascii="仿宋_GB2312" w:hAnsi="仿宋_GB2312" w:eastAsia="仿宋_GB2312" w:cs="仿宋_GB2312"/>
          <w:sz w:val="24"/>
        </w:rPr>
      </w:pPr>
    </w:p>
    <w:p w14:paraId="225C5279">
      <w:pPr>
        <w:pageBreakBefore w:val="0"/>
        <w:kinsoku/>
        <w:wordWrap/>
        <w:overflowPunct/>
        <w:topLinePunct w:val="0"/>
        <w:bidi w:val="0"/>
        <w:snapToGrid/>
        <w:spacing w:before="120" w:line="340" w:lineRule="exact"/>
        <w:ind w:firstLine="960" w:firstLineChars="40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签订日期：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14:paraId="31475C73">
      <w:pPr>
        <w:pageBreakBefore w:val="0"/>
        <w:kinsoku/>
        <w:wordWrap/>
        <w:overflowPunct/>
        <w:topLinePunct w:val="0"/>
        <w:autoSpaceDE w:val="0"/>
        <w:autoSpaceDN w:val="0"/>
        <w:bidi w:val="0"/>
        <w:adjustRightInd w:val="0"/>
        <w:snapToGrid/>
        <w:spacing w:line="340" w:lineRule="exact"/>
        <w:ind w:firstLine="640"/>
        <w:jc w:val="center"/>
        <w:textAlignment w:val="auto"/>
        <w:outlineLvl w:val="9"/>
        <w:rPr>
          <w:rFonts w:hint="eastAsia" w:ascii="仿宋_GB2312" w:hAnsi="仿宋_GB2312" w:eastAsia="仿宋_GB2312" w:cs="仿宋_GB2312"/>
          <w:sz w:val="24"/>
        </w:rPr>
        <w:sectPr>
          <w:headerReference r:id="rId15" w:type="default"/>
          <w:footerReference r:id="rId16" w:type="default"/>
          <w:pgSz w:w="11907" w:h="16840"/>
          <w:pgMar w:top="1474" w:right="1361" w:bottom="1474" w:left="1361" w:header="851" w:footer="851" w:gutter="0"/>
          <w:pgNumType w:fmt="decimal"/>
          <w:cols w:space="720" w:num="1"/>
          <w:docGrid w:linePitch="462" w:charSpace="0"/>
        </w:sectPr>
      </w:pPr>
    </w:p>
    <w:p w14:paraId="1E6C6509">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月</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（采购人名称）   </w:t>
      </w:r>
      <w:r>
        <w:rPr>
          <w:rFonts w:hint="eastAsia" w:ascii="仿宋_GB2312" w:hAnsi="仿宋_GB2312" w:eastAsia="仿宋_GB2312" w:cs="仿宋_GB2312"/>
          <w:sz w:val="24"/>
        </w:rPr>
        <w:t>以</w:t>
      </w:r>
      <w:r>
        <w:rPr>
          <w:rFonts w:hint="eastAsia" w:ascii="仿宋_GB2312" w:hAnsi="仿宋_GB2312" w:eastAsia="仿宋_GB2312" w:cs="仿宋_GB2312"/>
          <w:sz w:val="24"/>
          <w:u w:val="single"/>
        </w:rPr>
        <w:t xml:space="preserve">   （政府采购方式）  </w:t>
      </w:r>
      <w:r>
        <w:rPr>
          <w:rFonts w:hint="eastAsia" w:ascii="仿宋_GB2312" w:hAnsi="仿宋_GB2312" w:eastAsia="仿宋_GB2312" w:cs="仿宋_GB2312"/>
          <w:sz w:val="24"/>
        </w:rPr>
        <w:t>对</w:t>
      </w:r>
      <w:r>
        <w:rPr>
          <w:rFonts w:hint="eastAsia" w:ascii="仿宋_GB2312" w:hAnsi="仿宋_GB2312" w:eastAsia="仿宋_GB2312" w:cs="仿宋_GB2312"/>
          <w:sz w:val="24"/>
          <w:u w:val="single"/>
        </w:rPr>
        <w:t xml:space="preserve">   （同前页项目名称）   </w:t>
      </w:r>
      <w:r>
        <w:rPr>
          <w:rFonts w:hint="eastAsia" w:ascii="仿宋_GB2312" w:hAnsi="仿宋_GB2312" w:eastAsia="仿宋_GB2312" w:cs="仿宋_GB2312"/>
          <w:sz w:val="24"/>
        </w:rPr>
        <w:t>项目进行了采购。经</w:t>
      </w:r>
      <w:r>
        <w:rPr>
          <w:rFonts w:hint="eastAsia" w:ascii="仿宋_GB2312" w:hAnsi="仿宋_GB2312" w:eastAsia="仿宋_GB2312" w:cs="仿宋_GB2312"/>
          <w:sz w:val="24"/>
          <w:u w:val="single"/>
        </w:rPr>
        <w:t xml:space="preserve">   （相关评定主体名称）   </w:t>
      </w:r>
      <w:r>
        <w:rPr>
          <w:rFonts w:hint="eastAsia" w:ascii="仿宋_GB2312" w:hAnsi="仿宋_GB2312" w:eastAsia="仿宋_GB2312" w:cs="仿宋_GB2312"/>
          <w:sz w:val="24"/>
        </w:rPr>
        <w:t>评定，</w:t>
      </w:r>
      <w:r>
        <w:rPr>
          <w:rFonts w:hint="eastAsia" w:ascii="仿宋_GB2312" w:hAnsi="仿宋_GB2312" w:eastAsia="仿宋_GB2312" w:cs="仿宋_GB2312"/>
          <w:sz w:val="24"/>
          <w:u w:val="single"/>
        </w:rPr>
        <w:t xml:space="preserve">   （中标供应商名称） </w:t>
      </w:r>
      <w:r>
        <w:rPr>
          <w:rFonts w:hint="eastAsia" w:ascii="仿宋_GB2312" w:hAnsi="仿宋_GB2312" w:eastAsia="仿宋_GB2312" w:cs="仿宋_GB2312"/>
          <w:sz w:val="24"/>
        </w:rPr>
        <w:t>为该项目中标供应商。现于中标通知书发出之日起三十日内，按照采购文件确定的事项签订本合同。</w:t>
      </w:r>
    </w:p>
    <w:p w14:paraId="1CF6BBCE">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lang w:val="zh-CN"/>
        </w:rPr>
        <w:t>根据《中华人民共和国合同法》、《中华人民共和国政府采购法》等相关法律法规之规定，按照平等、自愿、公平和诚实信用的原则，经</w:t>
      </w:r>
      <w:r>
        <w:rPr>
          <w:rFonts w:hint="eastAsia" w:ascii="仿宋_GB2312" w:hAnsi="仿宋_GB2312" w:eastAsia="仿宋_GB2312" w:cs="仿宋_GB2312"/>
          <w:sz w:val="24"/>
          <w:u w:val="single"/>
        </w:rPr>
        <w:t xml:space="preserve">   （采购人名称）   </w:t>
      </w:r>
      <w:r>
        <w:rPr>
          <w:rFonts w:hint="eastAsia" w:ascii="仿宋_GB2312" w:hAnsi="仿宋_GB2312" w:eastAsia="仿宋_GB2312" w:cs="仿宋_GB2312"/>
          <w:sz w:val="24"/>
          <w:lang w:val="zh-CN"/>
        </w:rPr>
        <w:t>(以下简称：甲方)和</w:t>
      </w:r>
      <w:r>
        <w:rPr>
          <w:rFonts w:hint="eastAsia" w:ascii="仿宋_GB2312" w:hAnsi="仿宋_GB2312" w:eastAsia="仿宋_GB2312" w:cs="仿宋_GB2312"/>
          <w:sz w:val="24"/>
          <w:u w:val="single"/>
        </w:rPr>
        <w:t xml:space="preserve">   （中标供应商名称）   </w:t>
      </w:r>
      <w:r>
        <w:rPr>
          <w:rFonts w:hint="eastAsia" w:ascii="仿宋_GB2312" w:hAnsi="仿宋_GB2312" w:eastAsia="仿宋_GB2312" w:cs="仿宋_GB2312"/>
          <w:sz w:val="24"/>
          <w:lang w:val="zh-CN"/>
        </w:rPr>
        <w:t>(以下简称：乙方)协商一致，约定以下合同</w:t>
      </w:r>
      <w:r>
        <w:rPr>
          <w:rFonts w:hint="eastAsia" w:ascii="仿宋_GB2312" w:hAnsi="仿宋_GB2312" w:eastAsia="仿宋_GB2312" w:cs="仿宋_GB2312"/>
          <w:sz w:val="24"/>
        </w:rPr>
        <w:t>条款，以兹共同遵守、全面履行。</w:t>
      </w:r>
    </w:p>
    <w:p w14:paraId="3C21FF12">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sz w:val="24"/>
        </w:rPr>
      </w:pPr>
      <w:bookmarkStart w:id="1053" w:name="_Toc20421"/>
      <w:bookmarkStart w:id="1054" w:name="_Toc28855"/>
      <w:bookmarkStart w:id="1055" w:name="_Toc19273"/>
      <w:bookmarkStart w:id="1056" w:name="_Toc22967"/>
      <w:bookmarkStart w:id="1057" w:name="_Toc15367"/>
      <w:r>
        <w:rPr>
          <w:rFonts w:hint="eastAsia" w:ascii="仿宋_GB2312" w:hAnsi="仿宋_GB2312" w:eastAsia="仿宋_GB2312" w:cs="仿宋_GB2312"/>
          <w:b/>
          <w:sz w:val="24"/>
        </w:rPr>
        <w:t>1.1 合同组成部分</w:t>
      </w:r>
      <w:bookmarkEnd w:id="1053"/>
      <w:bookmarkEnd w:id="1054"/>
      <w:bookmarkEnd w:id="1055"/>
      <w:bookmarkEnd w:id="1056"/>
      <w:bookmarkEnd w:id="1057"/>
    </w:p>
    <w:p w14:paraId="3C0B3431">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0ADCC5">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1.1.1 本合同及其补充合同、变更协议；</w:t>
      </w:r>
    </w:p>
    <w:p w14:paraId="1AB5B0F7">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1.1.2 中标通知书；</w:t>
      </w:r>
    </w:p>
    <w:p w14:paraId="003A8B3E">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 xml:space="preserve">1.1.3 </w:t>
      </w:r>
      <w:r>
        <w:rPr>
          <w:rFonts w:hint="eastAsia" w:ascii="仿宋_GB2312" w:hAnsi="仿宋_GB2312" w:eastAsia="仿宋_GB2312" w:cs="仿宋_GB2312"/>
          <w:sz w:val="24"/>
          <w:lang w:eastAsia="zh-CN"/>
        </w:rPr>
        <w:t>投标文件</w:t>
      </w:r>
      <w:r>
        <w:rPr>
          <w:rFonts w:hint="eastAsia" w:ascii="仿宋_GB2312" w:hAnsi="仿宋_GB2312" w:eastAsia="仿宋_GB2312" w:cs="仿宋_GB2312"/>
          <w:sz w:val="24"/>
        </w:rPr>
        <w:t>（含澄清或者说明文件）；</w:t>
      </w:r>
    </w:p>
    <w:p w14:paraId="207B40B0">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 xml:space="preserve">1.1.4 </w:t>
      </w:r>
      <w:r>
        <w:rPr>
          <w:rFonts w:hint="eastAsia" w:ascii="仿宋_GB2312" w:hAnsi="仿宋_GB2312" w:eastAsia="仿宋_GB2312" w:cs="仿宋_GB2312"/>
          <w:sz w:val="24"/>
          <w:lang w:eastAsia="zh-CN"/>
        </w:rPr>
        <w:t>磋商文件</w:t>
      </w:r>
      <w:r>
        <w:rPr>
          <w:rFonts w:hint="eastAsia" w:ascii="仿宋_GB2312" w:hAnsi="仿宋_GB2312" w:eastAsia="仿宋_GB2312" w:cs="仿宋_GB2312"/>
          <w:sz w:val="24"/>
        </w:rPr>
        <w:t>（含澄清或者修改文件）；</w:t>
      </w:r>
    </w:p>
    <w:p w14:paraId="3B50186E">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1.1.5 其他相关采购文件。</w:t>
      </w:r>
    </w:p>
    <w:p w14:paraId="355020B8">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58" w:name="_Toc22185"/>
      <w:bookmarkStart w:id="1059" w:name="_Toc6311"/>
      <w:bookmarkStart w:id="1060" w:name="_Toc2918"/>
      <w:bookmarkStart w:id="1061" w:name="_Toc18585"/>
      <w:bookmarkStart w:id="1062" w:name="_Toc6773"/>
      <w:r>
        <w:rPr>
          <w:rFonts w:hint="eastAsia" w:ascii="仿宋_GB2312" w:hAnsi="仿宋_GB2312" w:eastAsia="仿宋_GB2312" w:cs="仿宋_GB2312"/>
          <w:b/>
          <w:sz w:val="24"/>
        </w:rPr>
        <w:t>1.2 标的</w:t>
      </w:r>
      <w:bookmarkEnd w:id="1058"/>
      <w:bookmarkEnd w:id="1059"/>
      <w:bookmarkEnd w:id="1060"/>
      <w:bookmarkEnd w:id="1061"/>
      <w:bookmarkEnd w:id="1062"/>
    </w:p>
    <w:p w14:paraId="0FC41A2F">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1.2.1 标的名称：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1C3C334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1.2.2 标的数量：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5E566D01">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1.2.3 标的质量：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6173587F">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63" w:name="_Toc4929"/>
      <w:bookmarkStart w:id="1064" w:name="_Toc5635"/>
      <w:bookmarkStart w:id="1065" w:name="_Toc1386"/>
      <w:bookmarkStart w:id="1066" w:name="_Toc21124"/>
      <w:bookmarkStart w:id="1067" w:name="_Toc13918"/>
      <w:r>
        <w:rPr>
          <w:rFonts w:hint="eastAsia" w:ascii="仿宋_GB2312" w:hAnsi="仿宋_GB2312" w:eastAsia="仿宋_GB2312" w:cs="仿宋_GB2312"/>
          <w:b/>
          <w:sz w:val="24"/>
        </w:rPr>
        <w:t>1.3 价款</w:t>
      </w:r>
      <w:bookmarkEnd w:id="1063"/>
      <w:bookmarkEnd w:id="1064"/>
      <w:bookmarkEnd w:id="1065"/>
      <w:bookmarkEnd w:id="1066"/>
      <w:bookmarkEnd w:id="1067"/>
    </w:p>
    <w:p w14:paraId="7BFE2C5B">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本合同总价为：￥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14:paraId="5896037B">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分项价格：</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7E4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DA1EAF4">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jc w:val="center"/>
              <w:textAlignment w:val="auto"/>
              <w:outlineLvl w:val="9"/>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序号</w:t>
            </w:r>
          </w:p>
        </w:tc>
        <w:tc>
          <w:tcPr>
            <w:tcW w:w="3402" w:type="dxa"/>
            <w:noWrap w:val="0"/>
            <w:vAlign w:val="center"/>
          </w:tcPr>
          <w:p w14:paraId="14A1FC3A">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分项名称</w:t>
            </w:r>
          </w:p>
        </w:tc>
        <w:tc>
          <w:tcPr>
            <w:tcW w:w="2552" w:type="dxa"/>
            <w:noWrap w:val="0"/>
            <w:vAlign w:val="center"/>
          </w:tcPr>
          <w:p w14:paraId="60FB1860">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jc w:val="center"/>
              <w:textAlignment w:val="auto"/>
              <w:outlineLvl w:val="9"/>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分项价格</w:t>
            </w:r>
          </w:p>
        </w:tc>
      </w:tr>
      <w:tr w14:paraId="024D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95D1A3D">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3402" w:type="dxa"/>
            <w:noWrap w:val="0"/>
            <w:vAlign w:val="center"/>
          </w:tcPr>
          <w:p w14:paraId="07AA06B8">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2552" w:type="dxa"/>
            <w:noWrap w:val="0"/>
            <w:vAlign w:val="center"/>
          </w:tcPr>
          <w:p w14:paraId="62BC4FC4">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r>
      <w:tr w14:paraId="4BFF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FFA4BE6">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3402" w:type="dxa"/>
            <w:noWrap w:val="0"/>
            <w:vAlign w:val="center"/>
          </w:tcPr>
          <w:p w14:paraId="04197828">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2552" w:type="dxa"/>
            <w:noWrap w:val="0"/>
            <w:vAlign w:val="center"/>
          </w:tcPr>
          <w:p w14:paraId="5DFD4F4B">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r>
      <w:tr w14:paraId="034B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EEBC77C">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3402" w:type="dxa"/>
            <w:noWrap w:val="0"/>
            <w:vAlign w:val="center"/>
          </w:tcPr>
          <w:p w14:paraId="2B495429">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2552" w:type="dxa"/>
            <w:noWrap w:val="0"/>
            <w:vAlign w:val="center"/>
          </w:tcPr>
          <w:p w14:paraId="24334E74">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r>
      <w:tr w14:paraId="6475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CC395E9">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3402" w:type="dxa"/>
            <w:noWrap w:val="0"/>
            <w:vAlign w:val="center"/>
          </w:tcPr>
          <w:p w14:paraId="759E7842">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c>
          <w:tcPr>
            <w:tcW w:w="2552" w:type="dxa"/>
            <w:noWrap w:val="0"/>
            <w:vAlign w:val="center"/>
          </w:tcPr>
          <w:p w14:paraId="32BF4968">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r>
      <w:tr w14:paraId="5E04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93D772B">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总价</w:t>
            </w:r>
          </w:p>
        </w:tc>
        <w:tc>
          <w:tcPr>
            <w:tcW w:w="2552" w:type="dxa"/>
            <w:noWrap w:val="0"/>
            <w:vAlign w:val="center"/>
          </w:tcPr>
          <w:p w14:paraId="70EC6A42">
            <w:pPr>
              <w:pStyle w:val="79"/>
              <w:keepNext w:val="0"/>
              <w:keepLines w:val="0"/>
              <w:pageBreakBefore w:val="0"/>
              <w:suppressLineNumbers w:val="0"/>
              <w:kinsoku/>
              <w:wordWrap/>
              <w:overflowPunct/>
              <w:topLinePunct w:val="0"/>
              <w:bidi w:val="0"/>
              <w:snapToGrid/>
              <w:spacing w:before="0" w:beforeAutospacing="0" w:after="0" w:afterAutospacing="0" w:line="340" w:lineRule="exact"/>
              <w:ind w:left="0" w:right="0" w:firstLine="200"/>
              <w:jc w:val="center"/>
              <w:textAlignment w:val="auto"/>
              <w:outlineLvl w:val="9"/>
              <w:rPr>
                <w:rFonts w:hint="eastAsia" w:ascii="仿宋_GB2312" w:hAnsi="仿宋_GB2312" w:eastAsia="仿宋_GB2312" w:cs="仿宋_GB2312"/>
                <w:kern w:val="2"/>
                <w:sz w:val="24"/>
                <w:szCs w:val="24"/>
              </w:rPr>
            </w:pPr>
          </w:p>
        </w:tc>
      </w:tr>
    </w:tbl>
    <w:p w14:paraId="2115E996">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68" w:name="_Toc3654"/>
      <w:bookmarkStart w:id="1069" w:name="_Toc14993"/>
      <w:bookmarkStart w:id="1070" w:name="_Toc26916"/>
      <w:bookmarkStart w:id="1071" w:name="_Toc30158"/>
      <w:bookmarkStart w:id="1072" w:name="_Toc30506"/>
      <w:r>
        <w:rPr>
          <w:rFonts w:hint="eastAsia" w:ascii="仿宋_GB2312" w:hAnsi="仿宋_GB2312" w:eastAsia="仿宋_GB2312" w:cs="仿宋_GB2312"/>
          <w:b/>
          <w:sz w:val="24"/>
        </w:rPr>
        <w:t>1.4 付款方式和发票开具方式</w:t>
      </w:r>
      <w:bookmarkEnd w:id="1068"/>
      <w:bookmarkEnd w:id="1069"/>
      <w:bookmarkEnd w:id="1070"/>
      <w:bookmarkEnd w:id="1071"/>
      <w:bookmarkEnd w:id="1072"/>
    </w:p>
    <w:p w14:paraId="4938BD48">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1.4.1付款方式：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331F32BB">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1.4.2 发票开具方式：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3070E732">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73" w:name="_Toc11108"/>
      <w:bookmarkStart w:id="1074" w:name="_Toc31421"/>
      <w:bookmarkStart w:id="1075" w:name="_Toc4760"/>
      <w:bookmarkStart w:id="1076" w:name="_Toc3625"/>
      <w:bookmarkStart w:id="1077" w:name="_Toc8772"/>
      <w:r>
        <w:rPr>
          <w:rFonts w:hint="eastAsia" w:ascii="仿宋_GB2312" w:hAnsi="仿宋_GB2312" w:eastAsia="仿宋_GB2312" w:cs="仿宋_GB2312"/>
          <w:b/>
          <w:sz w:val="24"/>
        </w:rPr>
        <w:t>1.5 履行期限、地点和方式</w:t>
      </w:r>
      <w:bookmarkEnd w:id="1073"/>
      <w:bookmarkEnd w:id="1074"/>
      <w:bookmarkEnd w:id="1075"/>
      <w:bookmarkEnd w:id="1076"/>
      <w:bookmarkEnd w:id="1077"/>
    </w:p>
    <w:p w14:paraId="15CAA0E8">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u w:val="single"/>
        </w:rPr>
      </w:pPr>
      <w:r>
        <w:rPr>
          <w:rFonts w:hint="eastAsia" w:ascii="仿宋_GB2312" w:hAnsi="仿宋_GB2312" w:eastAsia="仿宋_GB2312" w:cs="仿宋_GB2312"/>
          <w:sz w:val="24"/>
        </w:rPr>
        <w:t>1.5.1 履行期限：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2A6DD798">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1.5.2 履行地点：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784482D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1.5.3 履行方式：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57A7F208">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sz w:val="24"/>
          <w:u w:val="single"/>
        </w:rPr>
      </w:pPr>
      <w:bookmarkStart w:id="1078" w:name="_Toc24662"/>
      <w:bookmarkStart w:id="1079" w:name="_Toc2375"/>
      <w:bookmarkStart w:id="1080" w:name="_Toc3079"/>
      <w:bookmarkStart w:id="1081" w:name="_Toc5698"/>
      <w:bookmarkStart w:id="1082" w:name="_Toc8586"/>
      <w:r>
        <w:rPr>
          <w:rFonts w:hint="eastAsia" w:ascii="仿宋_GB2312" w:hAnsi="仿宋_GB2312" w:eastAsia="仿宋_GB2312" w:cs="仿宋_GB2312"/>
          <w:b/>
          <w:sz w:val="24"/>
        </w:rPr>
        <w:t>1.6 违约责任</w:t>
      </w:r>
      <w:bookmarkEnd w:id="1078"/>
      <w:bookmarkEnd w:id="1079"/>
      <w:bookmarkEnd w:id="1080"/>
      <w:bookmarkEnd w:id="1081"/>
      <w:bookmarkEnd w:id="1082"/>
    </w:p>
    <w:p w14:paraId="4F915495">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1.6.1 除不可抗力外，如果乙方没有按照本合同约定的期限、地点和方式履行，那么甲方可要求乙方支付违约金，违约金按每迟延履行一日的应提供而未提供服务价格的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%；迟延履行的违约金计算数额达到前述最高限额之日起，甲方有权在要求乙方支付违约金的同时，书面通知乙方解除本合同；</w:t>
      </w:r>
    </w:p>
    <w:p w14:paraId="49A21E32">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1.6.2 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%；迟延付款的违约金计算数额达到前述最高限额之日起，乙方有权在要求甲方支付违约金的同时，书面通知甲方解除本合同；</w:t>
      </w:r>
    </w:p>
    <w:p w14:paraId="70EBF4D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0F7D45B1">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7AE60B6">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DBCF17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14:paraId="5AE6CC25">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83" w:name="_Toc32454"/>
      <w:bookmarkStart w:id="1084" w:name="_Toc9497"/>
      <w:bookmarkStart w:id="1085" w:name="_Toc18683"/>
      <w:bookmarkStart w:id="1086" w:name="_Toc30329"/>
      <w:bookmarkStart w:id="1087" w:name="_Toc26807"/>
      <w:r>
        <w:rPr>
          <w:rFonts w:hint="eastAsia" w:ascii="仿宋_GB2312" w:hAnsi="仿宋_GB2312" w:eastAsia="仿宋_GB2312" w:cs="仿宋_GB2312"/>
          <w:b/>
          <w:sz w:val="24"/>
        </w:rPr>
        <w:t>1.7 合同争议的解决</w:t>
      </w:r>
      <w:bookmarkEnd w:id="1083"/>
      <w:bookmarkEnd w:id="1084"/>
      <w:bookmarkEnd w:id="1085"/>
      <w:bookmarkEnd w:id="1086"/>
      <w:bookmarkEnd w:id="1087"/>
    </w:p>
    <w:p w14:paraId="023E03CA">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本合同履行过程中发生的任何争议，双方当事人均可通过和解或者调解解决；不愿和解、调解或者和解、调解不成的，可以选择下列第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种方式解决：</w:t>
      </w:r>
    </w:p>
    <w:p w14:paraId="3E393755">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1.7.1 将争议提交</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仲裁委员会依申请仲裁时其现行有效的仲裁规则裁决；</w:t>
      </w:r>
    </w:p>
    <w:p w14:paraId="448D289B">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1.7.2 向</w:t>
      </w:r>
      <w:r>
        <w:rPr>
          <w:rFonts w:hint="eastAsia" w:ascii="仿宋_GB2312" w:hAnsi="仿宋_GB2312" w:eastAsia="仿宋_GB2312" w:cs="仿宋_GB2312"/>
          <w:sz w:val="24"/>
          <w:u w:val="single"/>
        </w:rPr>
        <w:t xml:space="preserve">   （被告住所地、合同履行地、合同签订地、原告住所地、标的物所在地等与争议有实际联系的地点中选出的人民法院名称）    </w:t>
      </w:r>
      <w:r>
        <w:rPr>
          <w:rFonts w:hint="eastAsia" w:ascii="仿宋_GB2312" w:hAnsi="仿宋_GB2312" w:eastAsia="仿宋_GB2312" w:cs="仿宋_GB2312"/>
          <w:sz w:val="24"/>
        </w:rPr>
        <w:t>人民法院起诉。</w:t>
      </w:r>
    </w:p>
    <w:p w14:paraId="3E7BABD6">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88" w:name="_Toc23784"/>
      <w:bookmarkStart w:id="1089" w:name="_Toc15827"/>
      <w:bookmarkStart w:id="1090" w:name="_Toc26227"/>
      <w:bookmarkStart w:id="1091" w:name="_Toc16417"/>
      <w:bookmarkStart w:id="1092" w:name="_Toc12273"/>
      <w:r>
        <w:rPr>
          <w:rFonts w:hint="eastAsia" w:ascii="仿宋_GB2312" w:hAnsi="仿宋_GB2312" w:eastAsia="仿宋_GB2312" w:cs="仿宋_GB2312"/>
          <w:b/>
          <w:sz w:val="24"/>
        </w:rPr>
        <w:t>1.8 合同生效</w:t>
      </w:r>
      <w:bookmarkEnd w:id="1088"/>
      <w:bookmarkEnd w:id="1089"/>
      <w:bookmarkEnd w:id="1090"/>
      <w:bookmarkEnd w:id="1091"/>
      <w:bookmarkEnd w:id="1092"/>
    </w:p>
    <w:p w14:paraId="301737B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sz w:val="24"/>
        </w:rPr>
        <w:t>本合同自双方当事人盖章或者签字时生效。</w:t>
      </w:r>
    </w:p>
    <w:p w14:paraId="3A656EE5">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p>
    <w:p w14:paraId="6F4AA130">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b/>
          <w:sz w:val="24"/>
          <w:lang w:val="zh-CN"/>
        </w:rPr>
        <w:t>甲方</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b/>
          <w:sz w:val="24"/>
          <w:lang w:val="zh-CN"/>
        </w:rPr>
        <w:t xml:space="preserve">      乙方</w:t>
      </w:r>
      <w:r>
        <w:rPr>
          <w:rFonts w:hint="eastAsia" w:ascii="仿宋_GB2312" w:hAnsi="仿宋_GB2312" w:eastAsia="仿宋_GB2312" w:cs="仿宋_GB2312"/>
          <w:sz w:val="24"/>
          <w:lang w:val="zh-CN"/>
        </w:rPr>
        <w:t>：</w:t>
      </w:r>
    </w:p>
    <w:p w14:paraId="591193F7">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统一社会信用代码：                        统一社会信用代码或身份证号码：</w:t>
      </w:r>
    </w:p>
    <w:p w14:paraId="33A2909C">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p>
    <w:p w14:paraId="0A7F9FC2">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住所：                                   住所：</w:t>
      </w:r>
    </w:p>
    <w:p w14:paraId="59F41CDC">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法定代表人或                             法定代表人</w:t>
      </w:r>
    </w:p>
    <w:p w14:paraId="1BBFCDFF">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授权代表（签字）：                        或授权代表（签字）: </w:t>
      </w:r>
    </w:p>
    <w:p w14:paraId="5FBE216A">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联系人：                                 联系人：</w:t>
      </w:r>
    </w:p>
    <w:p w14:paraId="74AC594B">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约定送达地址：                           约定送达地址：</w:t>
      </w:r>
    </w:p>
    <w:p w14:paraId="6E333D5C">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邮政编码：                               邮政编码：</w:t>
      </w:r>
    </w:p>
    <w:p w14:paraId="10712C96">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电话:                                    电话: </w:t>
      </w:r>
    </w:p>
    <w:p w14:paraId="42CE9E74">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传真:                                    传真:</w:t>
      </w:r>
    </w:p>
    <w:p w14:paraId="16F0C046">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lang w:val="zh-CN"/>
        </w:rPr>
        <w:t>电子邮箱：                               电子邮箱：</w:t>
      </w:r>
    </w:p>
    <w:p w14:paraId="09BB6200">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开户银行：                               开户银行： </w:t>
      </w:r>
    </w:p>
    <w:p w14:paraId="5096482D">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开户名称：                               开户名称： </w:t>
      </w:r>
    </w:p>
    <w:p w14:paraId="784E83F0">
      <w:pPr>
        <w:pageBreakBefore w:val="0"/>
        <w:kinsoku/>
        <w:wordWrap/>
        <w:overflowPunct/>
        <w:topLinePunct w:val="0"/>
        <w:autoSpaceDE w:val="0"/>
        <w:autoSpaceDN w:val="0"/>
        <w:bidi w:val="0"/>
        <w:adjustRightInd w:val="0"/>
        <w:snapToGrid/>
        <w:spacing w:line="340" w:lineRule="exact"/>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开户账号：</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开户账号：</w:t>
      </w:r>
    </w:p>
    <w:p w14:paraId="2764072F">
      <w:pPr>
        <w:pageBreakBefore w:val="0"/>
        <w:widowControl/>
        <w:kinsoku/>
        <w:wordWrap/>
        <w:overflowPunct/>
        <w:topLinePunct w:val="0"/>
        <w:bidi w:val="0"/>
        <w:snapToGrid/>
        <w:spacing w:line="340" w:lineRule="exact"/>
        <w:jc w:val="left"/>
        <w:textAlignment w:val="auto"/>
        <w:outlineLvl w:val="9"/>
        <w:rPr>
          <w:rFonts w:hint="eastAsia" w:ascii="仿宋_GB2312" w:hAnsi="仿宋_GB2312" w:eastAsia="仿宋_GB2312" w:cs="仿宋_GB2312"/>
          <w:b/>
          <w:sz w:val="24"/>
        </w:rPr>
      </w:pPr>
      <w:bookmarkStart w:id="1093" w:name="_Toc331685783"/>
    </w:p>
    <w:p w14:paraId="78C7A007">
      <w:pPr>
        <w:pageBreakBefore w:val="0"/>
        <w:widowControl/>
        <w:kinsoku/>
        <w:wordWrap/>
        <w:overflowPunct/>
        <w:topLinePunct w:val="0"/>
        <w:bidi w:val="0"/>
        <w:snapToGrid/>
        <w:spacing w:line="340" w:lineRule="exact"/>
        <w:jc w:val="left"/>
        <w:textAlignment w:val="auto"/>
        <w:outlineLvl w:val="9"/>
        <w:rPr>
          <w:rFonts w:hint="eastAsia" w:ascii="仿宋_GB2312" w:hAnsi="仿宋_GB2312" w:eastAsia="仿宋_GB2312" w:cs="仿宋_GB2312"/>
          <w:b/>
          <w:sz w:val="24"/>
        </w:rPr>
      </w:pPr>
    </w:p>
    <w:p w14:paraId="4361F67E">
      <w:pPr>
        <w:pStyle w:val="56"/>
        <w:pageBreakBefore w:val="0"/>
        <w:kinsoku/>
        <w:wordWrap/>
        <w:overflowPunct/>
        <w:topLinePunct w:val="0"/>
        <w:bidi w:val="0"/>
        <w:snapToGrid/>
        <w:spacing w:line="340" w:lineRule="exact"/>
        <w:ind w:firstLine="200"/>
        <w:jc w:val="center"/>
        <w:textAlignment w:val="auto"/>
        <w:outlineLvl w:val="9"/>
        <w:rPr>
          <w:rFonts w:hint="eastAsia" w:ascii="仿宋_GB2312" w:hAnsi="仿宋_GB2312" w:eastAsia="仿宋_GB2312" w:cs="仿宋_GB2312"/>
          <w:b/>
          <w:szCs w:val="24"/>
        </w:rPr>
      </w:pPr>
      <w:r>
        <w:rPr>
          <w:rFonts w:hint="eastAsia" w:ascii="仿宋_GB2312" w:hAnsi="仿宋_GB2312" w:eastAsia="仿宋_GB2312" w:cs="仿宋_GB2312"/>
          <w:b/>
          <w:szCs w:val="24"/>
        </w:rPr>
        <w:t>第二部分 合同一般条款</w:t>
      </w:r>
      <w:bookmarkEnd w:id="1093"/>
    </w:p>
    <w:p w14:paraId="4A2BE4AE">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094" w:name="_Toc279701240"/>
      <w:bookmarkStart w:id="1095" w:name="_Ref467378404"/>
      <w:bookmarkStart w:id="1096" w:name="_Toc5228"/>
      <w:bookmarkStart w:id="1097" w:name="_Ref467379205"/>
      <w:bookmarkStart w:id="1098" w:name="_Ref467379225"/>
      <w:bookmarkStart w:id="1099" w:name="_Ref467378499"/>
      <w:bookmarkStart w:id="1100" w:name="_Toc259093669"/>
      <w:bookmarkStart w:id="1101" w:name="_Ref467378463"/>
      <w:bookmarkStart w:id="1102" w:name="_Toc487900349"/>
      <w:bookmarkStart w:id="1103" w:name="_Toc14021"/>
      <w:bookmarkStart w:id="1104" w:name="_Ref467379214"/>
      <w:bookmarkStart w:id="1105" w:name="_Ref467379094"/>
      <w:bookmarkStart w:id="1106" w:name="_Toc31297"/>
      <w:bookmarkStart w:id="1107" w:name="_Ref467379195"/>
      <w:bookmarkStart w:id="1108" w:name="_Ref467379109"/>
      <w:bookmarkStart w:id="1109" w:name="_Toc25079"/>
      <w:bookmarkStart w:id="1110" w:name="_Toc19680"/>
      <w:bookmarkStart w:id="1111" w:name="_Ref467379101"/>
      <w:r>
        <w:rPr>
          <w:rFonts w:hint="eastAsia" w:ascii="仿宋_GB2312" w:hAnsi="仿宋_GB2312" w:eastAsia="仿宋_GB2312" w:cs="仿宋_GB2312"/>
          <w:b/>
          <w:sz w:val="24"/>
        </w:rPr>
        <w:t>2.1 定义</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467FDE9">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本合同中的下列词语应按以下内容进行解释：</w:t>
      </w:r>
    </w:p>
    <w:p w14:paraId="1FD097D7">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2.1.1 “合同”系指采购人和中标供应商签订的载明双方当事人所达成的协议，并包括所有的附件、附录和构成合同的其他文件。</w:t>
      </w:r>
    </w:p>
    <w:p w14:paraId="491EF4E6">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2.1.2 “合同价”系指根据合同约定，中标供应商在完全履行合同义务后，采购人应支付给中标供应商的价格。</w:t>
      </w:r>
    </w:p>
    <w:p w14:paraId="65A90B02">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2.1.3 “服务”系指中标供应商根据合同约定应向采购人履行的除货物和工程以外的其他政府采购对象，包括采购人自身需要的服务和向社会公众提供的公共服务。</w:t>
      </w:r>
    </w:p>
    <w:p w14:paraId="2F03FAA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bookmarkStart w:id="1112" w:name="_Ref467378840"/>
      <w:r>
        <w:rPr>
          <w:rFonts w:hint="eastAsia" w:ascii="仿宋_GB2312" w:hAnsi="仿宋_GB2312" w:eastAsia="仿宋_GB2312" w:cs="仿宋_GB2312"/>
          <w:sz w:val="24"/>
        </w:rPr>
        <w:t>2.1.4 “甲方”系指与中标供应商签署合同的采购人</w:t>
      </w:r>
      <w:bookmarkEnd w:id="1112"/>
      <w:r>
        <w:rPr>
          <w:rFonts w:hint="eastAsia" w:ascii="仿宋_GB2312" w:hAnsi="仿宋_GB2312" w:eastAsia="仿宋_GB2312" w:cs="仿宋_GB2312"/>
          <w:sz w:val="24"/>
        </w:rPr>
        <w:t>；采购人委托采购代理机构代表其与乙方签订合同的，采购人的授权委托书作为合同附件。</w:t>
      </w:r>
    </w:p>
    <w:p w14:paraId="0039F76F">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bookmarkStart w:id="1113" w:name="_Ref467379400"/>
      <w:r>
        <w:rPr>
          <w:rFonts w:hint="eastAsia" w:ascii="仿宋_GB2312" w:hAnsi="仿宋_GB2312" w:eastAsia="仿宋_GB2312" w:cs="仿宋_GB2312"/>
          <w:sz w:val="24"/>
        </w:rPr>
        <w:t>2.1.5 “乙方”系指根据合同约定提供服务的中标供应商</w:t>
      </w:r>
      <w:bookmarkEnd w:id="1113"/>
      <w:r>
        <w:rPr>
          <w:rFonts w:hint="eastAsia" w:ascii="仿宋_GB2312" w:hAnsi="仿宋_GB2312" w:eastAsia="仿宋_GB2312" w:cs="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9C89369">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bookmarkStart w:id="1114" w:name="_Ref467379436"/>
      <w:r>
        <w:rPr>
          <w:rFonts w:hint="eastAsia" w:ascii="仿宋_GB2312" w:hAnsi="仿宋_GB2312" w:eastAsia="仿宋_GB2312" w:cs="仿宋_GB2312"/>
          <w:sz w:val="24"/>
        </w:rPr>
        <w:t>2.1.6 “现场”系指合同约定提供服务的地点。</w:t>
      </w:r>
      <w:bookmarkEnd w:id="1114"/>
    </w:p>
    <w:p w14:paraId="3CAB871B">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15" w:name="_Toc487900350"/>
      <w:bookmarkStart w:id="1116" w:name="_Toc23289"/>
      <w:bookmarkStart w:id="1117" w:name="_Toc279701241"/>
      <w:bookmarkStart w:id="1118" w:name="_Toc19539"/>
      <w:bookmarkStart w:id="1119" w:name="_Toc31402"/>
      <w:bookmarkStart w:id="1120" w:name="_Toc16752"/>
      <w:bookmarkStart w:id="1121" w:name="_Toc259093670"/>
      <w:bookmarkStart w:id="1122" w:name="_Toc3769"/>
      <w:r>
        <w:rPr>
          <w:rFonts w:hint="eastAsia" w:ascii="仿宋_GB2312" w:hAnsi="仿宋_GB2312" w:eastAsia="仿宋_GB2312" w:cs="仿宋_GB2312"/>
          <w:b/>
          <w:sz w:val="24"/>
        </w:rPr>
        <w:t>2.2 技术规范</w:t>
      </w:r>
      <w:bookmarkEnd w:id="1115"/>
      <w:bookmarkEnd w:id="1116"/>
      <w:bookmarkEnd w:id="1117"/>
      <w:bookmarkEnd w:id="1118"/>
      <w:bookmarkEnd w:id="1119"/>
      <w:bookmarkEnd w:id="1120"/>
      <w:bookmarkEnd w:id="1121"/>
      <w:bookmarkEnd w:id="1122"/>
    </w:p>
    <w:p w14:paraId="10063E94">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D68879">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23" w:name="_Toc4133"/>
      <w:bookmarkStart w:id="1124" w:name="_Toc9161"/>
      <w:bookmarkStart w:id="1125" w:name="_Toc487900351"/>
      <w:bookmarkStart w:id="1126" w:name="_Toc27945"/>
      <w:bookmarkStart w:id="1127" w:name="_Toc279701242"/>
      <w:bookmarkStart w:id="1128" w:name="_Toc13673"/>
      <w:bookmarkStart w:id="1129" w:name="_Toc12412"/>
      <w:bookmarkStart w:id="1130" w:name="_Toc259093671"/>
      <w:r>
        <w:rPr>
          <w:rFonts w:hint="eastAsia" w:ascii="仿宋_GB2312" w:hAnsi="仿宋_GB2312" w:eastAsia="仿宋_GB2312" w:cs="仿宋_GB2312"/>
          <w:b/>
          <w:sz w:val="24"/>
        </w:rPr>
        <w:t>2.3 知识产权</w:t>
      </w:r>
      <w:bookmarkEnd w:id="1123"/>
      <w:bookmarkEnd w:id="1124"/>
      <w:bookmarkEnd w:id="1125"/>
      <w:bookmarkEnd w:id="1126"/>
      <w:bookmarkEnd w:id="1127"/>
      <w:bookmarkEnd w:id="1128"/>
      <w:bookmarkEnd w:id="1129"/>
      <w:bookmarkEnd w:id="1130"/>
    </w:p>
    <w:p w14:paraId="7BDE1DE4">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50100B3C">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2.3.2 合同涉及技术成果的归属和收益的分成办法的，详见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B59C872">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b/>
          <w:sz w:val="24"/>
        </w:rPr>
        <w:t>2.4 履约检查和问题反馈</w:t>
      </w:r>
    </w:p>
    <w:p w14:paraId="71F2F197">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bookmarkStart w:id="1131" w:name="_Ref467379657"/>
      <w:r>
        <w:rPr>
          <w:rFonts w:hint="eastAsia" w:ascii="仿宋_GB2312" w:hAnsi="仿宋_GB2312" w:eastAsia="仿宋_GB2312" w:cs="仿宋_GB2312"/>
          <w:sz w:val="24"/>
        </w:rPr>
        <w:t>2.4.1</w:t>
      </w:r>
      <w:bookmarkEnd w:id="1131"/>
      <w:bookmarkStart w:id="1132" w:name="_Toc186431854"/>
      <w:bookmarkStart w:id="1133" w:name="_Toc487900357"/>
      <w:bookmarkStart w:id="1134" w:name="_Ref467379807"/>
      <w:bookmarkStart w:id="1135" w:name="_Toc279701247"/>
      <w:bookmarkStart w:id="1136" w:name="_Toc259093676"/>
      <w:bookmarkStart w:id="1137" w:name="_Ref467379793"/>
      <w:r>
        <w:rPr>
          <w:rFonts w:hint="eastAsia" w:ascii="仿宋_GB2312" w:hAnsi="仿宋_GB2312" w:eastAsia="仿宋_GB2312" w:cs="仿宋_GB2312"/>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14:paraId="16251E4C">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2.4.2 合同履行期间，甲方有权将履行过程中出现的问题反馈给乙方，双方当事人应以书面形式约定需要完善和改进的内容</w:t>
      </w:r>
      <w:bookmarkEnd w:id="1132"/>
      <w:bookmarkStart w:id="1138" w:name="_Toc186431855"/>
      <w:r>
        <w:rPr>
          <w:rFonts w:hint="eastAsia" w:ascii="仿宋_GB2312" w:hAnsi="仿宋_GB2312" w:eastAsia="仿宋_GB2312" w:cs="仿宋_GB2312"/>
          <w:sz w:val="24"/>
        </w:rPr>
        <w:t>。</w:t>
      </w:r>
    </w:p>
    <w:bookmarkEnd w:id="1138"/>
    <w:p w14:paraId="0E31D014">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39" w:name="_Toc15447"/>
      <w:bookmarkStart w:id="1140" w:name="_Toc26555"/>
      <w:bookmarkStart w:id="1141" w:name="_Toc31233"/>
      <w:bookmarkStart w:id="1142" w:name="_Toc32670"/>
      <w:bookmarkStart w:id="1143" w:name="_Toc22011"/>
      <w:r>
        <w:rPr>
          <w:rFonts w:hint="eastAsia" w:ascii="仿宋_GB2312" w:hAnsi="仿宋_GB2312" w:eastAsia="仿宋_GB2312" w:cs="仿宋_GB2312"/>
          <w:b/>
          <w:sz w:val="24"/>
        </w:rPr>
        <w:t>2.5 结算方式和付款条件</w:t>
      </w:r>
      <w:bookmarkEnd w:id="1133"/>
      <w:bookmarkEnd w:id="1134"/>
      <w:bookmarkEnd w:id="1135"/>
      <w:bookmarkEnd w:id="1136"/>
      <w:bookmarkEnd w:id="1137"/>
      <w:bookmarkEnd w:id="1139"/>
      <w:bookmarkEnd w:id="1140"/>
      <w:bookmarkEnd w:id="1141"/>
      <w:bookmarkEnd w:id="1142"/>
      <w:bookmarkEnd w:id="1143"/>
    </w:p>
    <w:p w14:paraId="7FEC705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1085170F">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44" w:name="_Toc487900358"/>
      <w:bookmarkStart w:id="1145" w:name="_Ref467379863"/>
      <w:bookmarkStart w:id="1146" w:name="_Ref467379852"/>
      <w:bookmarkStart w:id="1147" w:name="_Toc279701248"/>
      <w:bookmarkStart w:id="1148" w:name="_Ref467379923"/>
      <w:bookmarkStart w:id="1149" w:name="_Toc259093677"/>
      <w:bookmarkStart w:id="1150" w:name="_Toc18990"/>
      <w:bookmarkStart w:id="1151" w:name="_Toc30507"/>
      <w:bookmarkStart w:id="1152" w:name="_Toc16163"/>
      <w:bookmarkStart w:id="1153" w:name="_Toc13154"/>
      <w:bookmarkStart w:id="1154" w:name="_Toc13467"/>
      <w:r>
        <w:rPr>
          <w:rFonts w:hint="eastAsia" w:ascii="仿宋_GB2312" w:hAnsi="仿宋_GB2312" w:eastAsia="仿宋_GB2312" w:cs="仿宋_GB2312"/>
          <w:b/>
          <w:sz w:val="24"/>
        </w:rPr>
        <w:t>2.6 技术资料</w:t>
      </w:r>
      <w:bookmarkEnd w:id="1144"/>
      <w:bookmarkEnd w:id="1145"/>
      <w:bookmarkEnd w:id="1146"/>
      <w:bookmarkEnd w:id="1147"/>
      <w:bookmarkEnd w:id="1148"/>
      <w:bookmarkEnd w:id="1149"/>
      <w:r>
        <w:rPr>
          <w:rFonts w:hint="eastAsia" w:ascii="仿宋_GB2312" w:hAnsi="仿宋_GB2312" w:eastAsia="仿宋_GB2312" w:cs="仿宋_GB2312"/>
          <w:b/>
          <w:sz w:val="24"/>
        </w:rPr>
        <w:t>和保密义务</w:t>
      </w:r>
      <w:bookmarkEnd w:id="1150"/>
      <w:bookmarkEnd w:id="1151"/>
      <w:bookmarkEnd w:id="1152"/>
      <w:bookmarkEnd w:id="1153"/>
      <w:bookmarkEnd w:id="1154"/>
    </w:p>
    <w:p w14:paraId="2FDBE994">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2.6.1 乙方有权依据合同约定和项目需要，向甲方了解有关情况，调阅有关资料等，甲方应予积极配合；</w:t>
      </w:r>
    </w:p>
    <w:p w14:paraId="391630FB">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2.6.2 乙方有义务妥善保管和保护由甲方提供的前款信息和资料等；</w:t>
      </w:r>
    </w:p>
    <w:p w14:paraId="0B8517A4">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D860ECF">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55" w:name="_Toc19069"/>
      <w:bookmarkStart w:id="1156" w:name="_Toc487900362"/>
      <w:bookmarkStart w:id="1157" w:name="_Toc259093681"/>
      <w:bookmarkStart w:id="1158" w:name="_Toc279701252"/>
      <w:r>
        <w:rPr>
          <w:rFonts w:hint="eastAsia" w:ascii="仿宋_GB2312" w:hAnsi="仿宋_GB2312" w:eastAsia="仿宋_GB2312" w:cs="仿宋_GB2312"/>
          <w:b/>
          <w:sz w:val="24"/>
        </w:rPr>
        <w:t>2.7 质量保证</w:t>
      </w:r>
      <w:bookmarkEnd w:id="1155"/>
    </w:p>
    <w:p w14:paraId="23FB0169">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2.7.1 乙方应建立和完善履行合同的内部质量保证体系，并提供相关内部规章制度给甲方，以便甲方进行监督检查；</w:t>
      </w:r>
    </w:p>
    <w:p w14:paraId="04CF0BD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2.7.2 乙方应保证履行合同的人员数量和素质、软件和硬件设备的配置、场地、环境和设施等满足全面履行合同的要求，并应接受甲方的监督检查。</w:t>
      </w:r>
    </w:p>
    <w:p w14:paraId="1E114754">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59" w:name="_Toc22267"/>
      <w:r>
        <w:rPr>
          <w:rFonts w:hint="eastAsia" w:ascii="仿宋_GB2312" w:hAnsi="仿宋_GB2312" w:eastAsia="仿宋_GB2312" w:cs="仿宋_GB2312"/>
          <w:b/>
          <w:sz w:val="24"/>
        </w:rPr>
        <w:t>2.8 延迟</w:t>
      </w:r>
      <w:bookmarkEnd w:id="1156"/>
      <w:bookmarkEnd w:id="1157"/>
      <w:bookmarkEnd w:id="1158"/>
      <w:r>
        <w:rPr>
          <w:rFonts w:hint="eastAsia" w:ascii="仿宋_GB2312" w:hAnsi="仿宋_GB2312" w:eastAsia="仿宋_GB2312" w:cs="仿宋_GB2312"/>
          <w:b/>
          <w:sz w:val="24"/>
        </w:rPr>
        <w:t>履行</w:t>
      </w:r>
      <w:bookmarkEnd w:id="1159"/>
    </w:p>
    <w:p w14:paraId="4DFA30B6">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04C6DCBF">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60" w:name="_Toc10611"/>
      <w:bookmarkStart w:id="1161" w:name="_Toc259093683"/>
      <w:bookmarkStart w:id="1162" w:name="_Toc279701254"/>
      <w:bookmarkStart w:id="1163" w:name="_Ref467378121"/>
      <w:bookmarkStart w:id="1164" w:name="_Toc487900364"/>
      <w:r>
        <w:rPr>
          <w:rFonts w:hint="eastAsia" w:ascii="仿宋_GB2312" w:hAnsi="仿宋_GB2312" w:eastAsia="仿宋_GB2312" w:cs="仿宋_GB2312"/>
          <w:b/>
          <w:sz w:val="24"/>
        </w:rPr>
        <w:t>2.9 合同变更</w:t>
      </w:r>
      <w:bookmarkEnd w:id="1160"/>
    </w:p>
    <w:p w14:paraId="77CB8406">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2.9.1 双方当事人协商一致，可以签订书面补充合同的形式变更合同，但不得违背采购文件确定的事项，且如果系追加与合同标的相同的服务的，那么所有补充合同的采购金额不得超过原合同价的10%；</w:t>
      </w:r>
    </w:p>
    <w:p w14:paraId="6F534184">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2.9.2 合同继续履行将损害国家利益和社会公共利益的，双方当事人应当以书面形式变更合同。有过错的一方应当承担赔偿责任，双方当事人都有过错的，各自承担相应的责任。</w:t>
      </w:r>
      <w:bookmarkStart w:id="1165" w:name="_Toc279701259"/>
      <w:bookmarkStart w:id="1166" w:name="_Toc259093688"/>
      <w:bookmarkStart w:id="1167" w:name="_Toc487900369"/>
    </w:p>
    <w:p w14:paraId="23F38941">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68" w:name="_Toc23368"/>
      <w:bookmarkStart w:id="1169" w:name="_Toc26689"/>
      <w:bookmarkStart w:id="1170" w:name="_Toc42"/>
      <w:bookmarkStart w:id="1171" w:name="_Toc10663"/>
      <w:bookmarkStart w:id="1172" w:name="_Toc21830"/>
      <w:r>
        <w:rPr>
          <w:rFonts w:hint="eastAsia" w:ascii="仿宋_GB2312" w:hAnsi="仿宋_GB2312" w:eastAsia="仿宋_GB2312" w:cs="仿宋_GB2312"/>
          <w:b/>
          <w:sz w:val="24"/>
        </w:rPr>
        <w:t>2.10 合同转让</w:t>
      </w:r>
      <w:bookmarkEnd w:id="1165"/>
      <w:bookmarkEnd w:id="1166"/>
      <w:bookmarkEnd w:id="1167"/>
      <w:r>
        <w:rPr>
          <w:rFonts w:hint="eastAsia" w:ascii="仿宋_GB2312" w:hAnsi="仿宋_GB2312" w:eastAsia="仿宋_GB2312" w:cs="仿宋_GB2312"/>
          <w:b/>
          <w:sz w:val="24"/>
        </w:rPr>
        <w:t>和分包</w:t>
      </w:r>
      <w:bookmarkEnd w:id="1168"/>
      <w:bookmarkEnd w:id="1169"/>
      <w:bookmarkEnd w:id="1170"/>
      <w:bookmarkEnd w:id="1171"/>
      <w:bookmarkEnd w:id="1172"/>
    </w:p>
    <w:p w14:paraId="417E1F1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F72727">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73" w:name="_Toc4720"/>
      <w:bookmarkStart w:id="1174" w:name="_Toc32494"/>
      <w:bookmarkStart w:id="1175" w:name="_Toc25571"/>
      <w:bookmarkStart w:id="1176" w:name="_Toc26633"/>
      <w:bookmarkStart w:id="1177" w:name="_Toc14371"/>
      <w:r>
        <w:rPr>
          <w:rFonts w:hint="eastAsia" w:ascii="仿宋_GB2312" w:hAnsi="仿宋_GB2312" w:eastAsia="仿宋_GB2312" w:cs="仿宋_GB2312"/>
          <w:b/>
          <w:sz w:val="24"/>
        </w:rPr>
        <w:t>2.11 不可抗力</w:t>
      </w:r>
      <w:bookmarkEnd w:id="1173"/>
      <w:bookmarkEnd w:id="1174"/>
      <w:bookmarkEnd w:id="1175"/>
      <w:bookmarkEnd w:id="1176"/>
      <w:bookmarkEnd w:id="1177"/>
    </w:p>
    <w:p w14:paraId="065680D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2.11.1如果任何一方遭遇法律规定的不可抗力，致使合同履行受阻时，履行合同的期限应予延长，延长的期限应相当于不可抗力所影响的时间；</w:t>
      </w:r>
    </w:p>
    <w:p w14:paraId="190F6E19">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2.11.2 因不可抗力致使不能实现合同目的的，当事人可以解除合同；</w:t>
      </w:r>
    </w:p>
    <w:p w14:paraId="2CA1CA81">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2.11.3 因不可抗力致使合同有变更必要的，双方当事人应在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约定时间内以书面形式变更合同；</w:t>
      </w:r>
    </w:p>
    <w:p w14:paraId="4C15444B">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2.11.4受不可抗力影响的一方在不可抗力发生后，应在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约定时间内以书面形式通知对方当事人，并在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约定时间内，将有关部门出具的证明文件送达对方当事人。</w:t>
      </w:r>
    </w:p>
    <w:p w14:paraId="65F717C8">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78" w:name="_Toc259093684"/>
      <w:bookmarkStart w:id="1179" w:name="_Toc3638"/>
      <w:bookmarkStart w:id="1180" w:name="_Toc279701255"/>
      <w:bookmarkStart w:id="1181" w:name="_Toc24465"/>
      <w:bookmarkStart w:id="1182" w:name="_Toc14115"/>
      <w:bookmarkStart w:id="1183" w:name="_Toc487900365"/>
      <w:bookmarkStart w:id="1184" w:name="_Toc25783"/>
      <w:bookmarkStart w:id="1185" w:name="_Toc23854"/>
      <w:r>
        <w:rPr>
          <w:rFonts w:hint="eastAsia" w:ascii="仿宋_GB2312" w:hAnsi="仿宋_GB2312" w:eastAsia="仿宋_GB2312" w:cs="仿宋_GB2312"/>
          <w:b/>
          <w:sz w:val="24"/>
        </w:rPr>
        <w:t>2.12 税费</w:t>
      </w:r>
      <w:bookmarkEnd w:id="1178"/>
      <w:bookmarkEnd w:id="1179"/>
      <w:bookmarkEnd w:id="1180"/>
      <w:bookmarkEnd w:id="1181"/>
      <w:bookmarkEnd w:id="1182"/>
      <w:bookmarkEnd w:id="1183"/>
      <w:bookmarkEnd w:id="1184"/>
      <w:bookmarkEnd w:id="1185"/>
    </w:p>
    <w:p w14:paraId="28A51BFE">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与合同有关的一切税费，均按照中华人民共和国法律的相关规定缴纳。</w:t>
      </w:r>
    </w:p>
    <w:p w14:paraId="79C40E45">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86" w:name="_Toc30105"/>
      <w:bookmarkStart w:id="1187" w:name="_Toc26883"/>
      <w:bookmarkStart w:id="1188" w:name="_Toc279701258"/>
      <w:bookmarkStart w:id="1189" w:name="_Toc14814"/>
      <w:bookmarkStart w:id="1190" w:name="_Toc7315"/>
      <w:bookmarkStart w:id="1191" w:name="_Toc487900368"/>
      <w:bookmarkStart w:id="1192" w:name="_Toc259093687"/>
      <w:bookmarkStart w:id="1193" w:name="_Toc25525"/>
      <w:r>
        <w:rPr>
          <w:rFonts w:hint="eastAsia" w:ascii="仿宋_GB2312" w:hAnsi="仿宋_GB2312" w:eastAsia="仿宋_GB2312" w:cs="仿宋_GB2312"/>
          <w:b/>
          <w:sz w:val="24"/>
        </w:rPr>
        <w:t>2.13 乙方破产</w:t>
      </w:r>
      <w:bookmarkEnd w:id="1186"/>
      <w:bookmarkEnd w:id="1187"/>
      <w:bookmarkEnd w:id="1188"/>
      <w:bookmarkEnd w:id="1189"/>
      <w:bookmarkEnd w:id="1190"/>
      <w:bookmarkEnd w:id="1191"/>
      <w:bookmarkEnd w:id="1192"/>
      <w:bookmarkEnd w:id="1193"/>
    </w:p>
    <w:p w14:paraId="14605BE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FD6F53">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94" w:name="_Toc23323"/>
      <w:bookmarkStart w:id="1195" w:name="_Toc1123"/>
      <w:bookmarkStart w:id="1196" w:name="_Toc2016"/>
      <w:r>
        <w:rPr>
          <w:rFonts w:hint="eastAsia" w:ascii="仿宋_GB2312" w:hAnsi="仿宋_GB2312" w:eastAsia="仿宋_GB2312" w:cs="仿宋_GB2312"/>
          <w:b/>
          <w:sz w:val="24"/>
        </w:rPr>
        <w:t>2.14 合同中止、终止</w:t>
      </w:r>
      <w:bookmarkEnd w:id="1194"/>
      <w:bookmarkEnd w:id="1195"/>
      <w:bookmarkEnd w:id="1196"/>
    </w:p>
    <w:p w14:paraId="6C9D617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2.14.1 双方当事人不得擅自中止或者终止合同；</w:t>
      </w:r>
    </w:p>
    <w:p w14:paraId="76FD624E">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2.14.2合同继续履行将损害国家利益和社会公共利益的，双方当事人应当中止或者终止合同。有过错的一方应当承担赔偿责任，双方当事人都有过错的，各自承担相应的责任。</w:t>
      </w:r>
    </w:p>
    <w:p w14:paraId="00B85162">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197" w:name="_Toc1969"/>
      <w:bookmarkStart w:id="1198" w:name="_Toc14525"/>
      <w:bookmarkStart w:id="1199" w:name="_Toc17363"/>
      <w:r>
        <w:rPr>
          <w:rFonts w:hint="eastAsia" w:ascii="仿宋_GB2312" w:hAnsi="仿宋_GB2312" w:eastAsia="仿宋_GB2312" w:cs="仿宋_GB2312"/>
          <w:b/>
          <w:sz w:val="24"/>
        </w:rPr>
        <w:t>2.15 检验和验收</w:t>
      </w:r>
      <w:bookmarkEnd w:id="1197"/>
      <w:bookmarkEnd w:id="1198"/>
      <w:bookmarkEnd w:id="1199"/>
    </w:p>
    <w:p w14:paraId="316AD430">
      <w:pPr>
        <w:pageBreakBefore w:val="0"/>
        <w:tabs>
          <w:tab w:val="left" w:pos="360"/>
          <w:tab w:val="left" w:pos="540"/>
          <w:tab w:val="left" w:pos="1080"/>
        </w:tabs>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2.15.1 乙方按照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的约定，定期提交服务报告，甲方按照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的约定进行定期验收；</w:t>
      </w:r>
    </w:p>
    <w:p w14:paraId="405C6A97">
      <w:pPr>
        <w:pageBreakBefore w:val="0"/>
        <w:tabs>
          <w:tab w:val="left" w:pos="360"/>
          <w:tab w:val="left" w:pos="540"/>
          <w:tab w:val="left" w:pos="1080"/>
        </w:tabs>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371B2DE">
      <w:pPr>
        <w:pageBreakBefore w:val="0"/>
        <w:tabs>
          <w:tab w:val="left" w:pos="360"/>
          <w:tab w:val="left" w:pos="540"/>
          <w:tab w:val="left" w:pos="1080"/>
        </w:tabs>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2.15.3 检验和验收标准、程序等具体内容以及前述验收书的效力详见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i/>
          <w:sz w:val="24"/>
        </w:rPr>
        <w:t>。</w:t>
      </w:r>
    </w:p>
    <w:bookmarkEnd w:id="1161"/>
    <w:bookmarkEnd w:id="1162"/>
    <w:bookmarkEnd w:id="1163"/>
    <w:bookmarkEnd w:id="1164"/>
    <w:p w14:paraId="11A0F1F2">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200" w:name="_Toc259093690"/>
      <w:bookmarkStart w:id="1201" w:name="_Toc279701261"/>
      <w:bookmarkStart w:id="1202" w:name="_Toc487900371"/>
      <w:bookmarkStart w:id="1203" w:name="_Toc2308"/>
      <w:bookmarkStart w:id="1204" w:name="_Toc9808"/>
      <w:bookmarkStart w:id="1205" w:name="_Toc25198"/>
      <w:bookmarkStart w:id="1206" w:name="_Toc12666"/>
      <w:bookmarkStart w:id="1207" w:name="_Toc31892"/>
      <w:r>
        <w:rPr>
          <w:rFonts w:hint="eastAsia" w:ascii="仿宋_GB2312" w:hAnsi="仿宋_GB2312" w:eastAsia="仿宋_GB2312" w:cs="仿宋_GB2312"/>
          <w:b/>
          <w:sz w:val="24"/>
        </w:rPr>
        <w:t>2.16 通知</w:t>
      </w:r>
      <w:bookmarkEnd w:id="1200"/>
      <w:bookmarkEnd w:id="1201"/>
      <w:bookmarkEnd w:id="1202"/>
      <w:r>
        <w:rPr>
          <w:rFonts w:hint="eastAsia" w:ascii="仿宋_GB2312" w:hAnsi="仿宋_GB2312" w:eastAsia="仿宋_GB2312" w:cs="仿宋_GB2312"/>
          <w:b/>
          <w:sz w:val="24"/>
        </w:rPr>
        <w:t>和送达</w:t>
      </w:r>
      <w:bookmarkEnd w:id="1203"/>
      <w:bookmarkEnd w:id="1204"/>
      <w:bookmarkEnd w:id="1205"/>
      <w:bookmarkEnd w:id="1206"/>
      <w:bookmarkEnd w:id="1207"/>
    </w:p>
    <w:p w14:paraId="029C3EDC">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bookmarkStart w:id="1208" w:name="_Toc7073"/>
      <w:bookmarkStart w:id="1209" w:name="_Toc29220"/>
      <w:bookmarkStart w:id="1210" w:name="_Toc279701262"/>
      <w:bookmarkStart w:id="1211" w:name="_Toc259093691"/>
      <w:bookmarkStart w:id="1212" w:name="_Toc487900372"/>
      <w:r>
        <w:rPr>
          <w:rFonts w:hint="eastAsia" w:ascii="仿宋_GB2312" w:hAnsi="仿宋_GB2312" w:eastAsia="仿宋_GB2312" w:cs="仿宋_GB2312"/>
          <w:sz w:val="24"/>
        </w:rPr>
        <w:t>2.16.1 任何一方因履行合同而以合同第一部分尾部所列明的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发出的所有通知、文件、材料，均视为已向对方当事人送达；任何一方变更上述送达方式或者地址的，应于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个工作日内书面通知对方当事人，在对方当事人收到有关变更通知之前，变更前的约定送达方式或者地址仍视为有效。</w:t>
      </w:r>
      <w:bookmarkEnd w:id="1208"/>
      <w:bookmarkEnd w:id="1209"/>
    </w:p>
    <w:p w14:paraId="36433678">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bookmarkStart w:id="1213" w:name="_Toc27674"/>
      <w:bookmarkStart w:id="1214" w:name="_Toc18401"/>
      <w:r>
        <w:rPr>
          <w:rFonts w:hint="eastAsia" w:ascii="仿宋_GB2312" w:hAnsi="仿宋_GB2312" w:eastAsia="仿宋_GB2312" w:cs="仿宋_GB2312"/>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13"/>
      <w:bookmarkEnd w:id="1214"/>
    </w:p>
    <w:bookmarkEnd w:id="1210"/>
    <w:bookmarkEnd w:id="1211"/>
    <w:bookmarkEnd w:id="1212"/>
    <w:p w14:paraId="326F2074">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215" w:name="_Toc487900373"/>
      <w:bookmarkStart w:id="1216" w:name="_Toc5063"/>
      <w:bookmarkStart w:id="1217" w:name="_Toc12254"/>
      <w:bookmarkStart w:id="1218" w:name="_Toc259093692"/>
      <w:bookmarkStart w:id="1219" w:name="_Toc279701263"/>
      <w:bookmarkStart w:id="1220" w:name="_Toc27644"/>
      <w:bookmarkStart w:id="1221" w:name="_Toc28906"/>
      <w:bookmarkStart w:id="1222" w:name="_Toc20808"/>
      <w:r>
        <w:rPr>
          <w:rFonts w:hint="eastAsia" w:ascii="仿宋_GB2312" w:hAnsi="仿宋_GB2312" w:eastAsia="仿宋_GB2312" w:cs="仿宋_GB2312"/>
          <w:b/>
          <w:sz w:val="24"/>
        </w:rPr>
        <w:t>2.17 合同使用的文字和适用的法律</w:t>
      </w:r>
      <w:bookmarkEnd w:id="1215"/>
      <w:bookmarkEnd w:id="1216"/>
      <w:bookmarkEnd w:id="1217"/>
      <w:bookmarkEnd w:id="1218"/>
      <w:bookmarkEnd w:id="1219"/>
      <w:bookmarkEnd w:id="1220"/>
      <w:bookmarkEnd w:id="1221"/>
      <w:bookmarkEnd w:id="1222"/>
    </w:p>
    <w:p w14:paraId="0055C4F1">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2.17.1 合同使用汉语书就、变更和解释；</w:t>
      </w:r>
    </w:p>
    <w:p w14:paraId="2B39C482">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2.17.2 合同适用中华人民共和国法律。</w:t>
      </w:r>
    </w:p>
    <w:p w14:paraId="6E4CEFE2">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bookmarkStart w:id="1223" w:name="_Toc1492"/>
      <w:bookmarkStart w:id="1224" w:name="_Toc259093693"/>
      <w:bookmarkStart w:id="1225" w:name="_Toc30096"/>
      <w:bookmarkStart w:id="1226" w:name="_Toc27127"/>
      <w:bookmarkStart w:id="1227" w:name="_Toc27403"/>
      <w:bookmarkStart w:id="1228" w:name="_Toc22266"/>
      <w:bookmarkStart w:id="1229" w:name="_Toc279701264"/>
      <w:bookmarkStart w:id="1230" w:name="_Toc487900374"/>
      <w:r>
        <w:rPr>
          <w:rFonts w:hint="eastAsia" w:ascii="仿宋_GB2312" w:hAnsi="仿宋_GB2312" w:eastAsia="仿宋_GB2312" w:cs="仿宋_GB2312"/>
          <w:b/>
          <w:sz w:val="24"/>
        </w:rPr>
        <w:t>2.18 履约保证金</w:t>
      </w:r>
      <w:bookmarkEnd w:id="1223"/>
      <w:bookmarkEnd w:id="1224"/>
      <w:bookmarkEnd w:id="1225"/>
      <w:bookmarkEnd w:id="1226"/>
      <w:bookmarkEnd w:id="1227"/>
      <w:bookmarkEnd w:id="1228"/>
      <w:bookmarkEnd w:id="1229"/>
    </w:p>
    <w:p w14:paraId="15D48F6A">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2.18.1 采购文件要求乙方提交履约保证金的，乙方应按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约定的方式，以支票、汇票、本票或者金融机构、担保机构出具的保函等非现金形式，提交不超过合同价10%的履约保证金；</w:t>
      </w:r>
    </w:p>
    <w:p w14:paraId="1602EEEE">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2.18.2 履约保证金在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约定期间内不予退还或者应完全有效，前述约定期间届满之日起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个工作日内，甲方应将履约保证金退还乙方；</w:t>
      </w:r>
    </w:p>
    <w:p w14:paraId="3E87E2C4">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230"/>
    <w:p w14:paraId="767A8BE8">
      <w:pPr>
        <w:pageBreakBefore w:val="0"/>
        <w:kinsoku/>
        <w:wordWrap/>
        <w:overflowPunct/>
        <w:topLinePunct w:val="0"/>
        <w:bidi w:val="0"/>
        <w:snapToGrid/>
        <w:spacing w:line="340" w:lineRule="exact"/>
        <w:ind w:firstLine="482" w:firstLineChars="200"/>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b/>
          <w:sz w:val="24"/>
        </w:rPr>
        <w:t>2.19 合同份数</w:t>
      </w:r>
    </w:p>
    <w:p w14:paraId="26077BED">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合同份数按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规定，每份均具有同等法律效力。</w:t>
      </w:r>
    </w:p>
    <w:p w14:paraId="7EC42592">
      <w:pPr>
        <w:pStyle w:val="56"/>
        <w:pageBreakBefore w:val="0"/>
        <w:kinsoku/>
        <w:wordWrap/>
        <w:overflowPunct/>
        <w:topLinePunct w:val="0"/>
        <w:bidi w:val="0"/>
        <w:snapToGrid/>
        <w:spacing w:line="340" w:lineRule="exact"/>
        <w:ind w:firstLine="0"/>
        <w:jc w:val="both"/>
        <w:textAlignment w:val="auto"/>
        <w:outlineLvl w:val="9"/>
        <w:rPr>
          <w:rFonts w:hint="eastAsia" w:ascii="仿宋_GB2312" w:hAnsi="仿宋_GB2312" w:eastAsia="仿宋_GB2312" w:cs="仿宋_GB2312"/>
          <w:b/>
          <w:szCs w:val="24"/>
        </w:rPr>
      </w:pPr>
      <w:bookmarkStart w:id="1231" w:name="_Toc331685784"/>
      <w:r>
        <w:rPr>
          <w:rFonts w:hint="eastAsia" w:ascii="仿宋_GB2312" w:hAnsi="仿宋_GB2312" w:eastAsia="仿宋_GB2312" w:cs="仿宋_GB2312"/>
          <w:b/>
          <w:szCs w:val="24"/>
        </w:rPr>
        <w:t>第三部分  合同专用条款</w:t>
      </w:r>
      <w:bookmarkEnd w:id="1231"/>
    </w:p>
    <w:p w14:paraId="5C8A2B83">
      <w:pPr>
        <w:pageBreakBefore w:val="0"/>
        <w:kinsoku/>
        <w:wordWrap/>
        <w:overflowPunct/>
        <w:topLinePunct w:val="0"/>
        <w:bidi w:val="0"/>
        <w:snapToGrid/>
        <w:spacing w:line="340" w:lineRule="exact"/>
        <w:ind w:firstLine="480" w:firstLineChars="200"/>
        <w:textAlignment w:val="auto"/>
        <w:outlineLvl w:val="9"/>
        <w:rPr>
          <w:rFonts w:hint="eastAsia" w:ascii="仿宋_GB2312" w:hAnsi="仿宋_GB2312" w:eastAsia="仿宋_GB2312" w:cs="仿宋_GB2312"/>
          <w:sz w:val="24"/>
        </w:rPr>
      </w:pPr>
      <w:r>
        <w:rPr>
          <w:rFonts w:hint="eastAsia" w:ascii="仿宋_GB2312" w:hAnsi="仿宋_GB2312" w:eastAsia="仿宋_GB2312" w:cs="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1D7EC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noWrap w:val="0"/>
            <w:vAlign w:val="center"/>
          </w:tcPr>
          <w:p w14:paraId="42C572AE">
            <w:pPr>
              <w:keepNext w:val="0"/>
              <w:keepLines w:val="0"/>
              <w:pageBreakBefore w:val="0"/>
              <w:suppressLineNumbers w:val="0"/>
              <w:kinsoku/>
              <w:wordWrap/>
              <w:overflowPunct/>
              <w:topLinePunct w:val="0"/>
              <w:bidi w:val="0"/>
              <w:snapToGrid/>
              <w:spacing w:before="0" w:beforeAutospacing="0" w:after="0" w:afterAutospacing="0" w:line="340" w:lineRule="exact"/>
              <w:ind w:left="0" w:right="0"/>
              <w:jc w:val="center"/>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b/>
                <w:sz w:val="24"/>
              </w:rPr>
              <w:t>条款号</w:t>
            </w:r>
          </w:p>
        </w:tc>
        <w:tc>
          <w:tcPr>
            <w:tcW w:w="7633" w:type="dxa"/>
            <w:noWrap w:val="0"/>
            <w:vAlign w:val="center"/>
          </w:tcPr>
          <w:p w14:paraId="154E3CA4">
            <w:pPr>
              <w:keepNext w:val="0"/>
              <w:keepLines w:val="0"/>
              <w:pageBreakBefore w:val="0"/>
              <w:suppressLineNumbers w:val="0"/>
              <w:kinsoku/>
              <w:wordWrap/>
              <w:overflowPunct/>
              <w:topLinePunct w:val="0"/>
              <w:bidi w:val="0"/>
              <w:snapToGrid/>
              <w:spacing w:before="0" w:beforeAutospacing="0" w:after="0" w:afterAutospacing="0" w:line="340" w:lineRule="exact"/>
              <w:ind w:left="0" w:right="0"/>
              <w:jc w:val="center"/>
              <w:textAlignment w:val="auto"/>
              <w:outlineLvl w:val="9"/>
              <w:rPr>
                <w:rFonts w:hint="eastAsia" w:ascii="仿宋_GB2312" w:hAnsi="仿宋_GB2312" w:eastAsia="仿宋_GB2312" w:cs="仿宋_GB2312"/>
                <w:b/>
                <w:sz w:val="24"/>
              </w:rPr>
            </w:pPr>
            <w:r>
              <w:rPr>
                <w:rFonts w:hint="eastAsia" w:ascii="仿宋_GB2312" w:hAnsi="仿宋_GB2312" w:eastAsia="仿宋_GB2312" w:cs="仿宋_GB2312"/>
                <w:b/>
                <w:sz w:val="24"/>
              </w:rPr>
              <w:t>约定内容</w:t>
            </w:r>
          </w:p>
        </w:tc>
      </w:tr>
      <w:tr w14:paraId="368DC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noWrap w:val="0"/>
            <w:vAlign w:val="center"/>
          </w:tcPr>
          <w:p w14:paraId="1F0B71E6">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0C1C84FF">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4CBCE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7F78741B">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75D5EA18">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21E90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329E4765">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7FBD393A">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175CF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492194B1">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29267231">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63233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6D9C85AE">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1E2FD87A">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u w:val="single"/>
              </w:rPr>
            </w:pPr>
          </w:p>
        </w:tc>
      </w:tr>
      <w:tr w14:paraId="0D583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4405EF9F">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5AFE4A9D">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3D336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0790F6EF">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30E7D6B3">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u w:val="single"/>
              </w:rPr>
            </w:pPr>
          </w:p>
        </w:tc>
      </w:tr>
      <w:tr w14:paraId="7B027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47DAD4E4">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7973D16A">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51987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2C0135DF">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334B09C6">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61B5D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6ACEB07F">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1799B632">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35EF0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4C86EA22">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62331B8E">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r w14:paraId="20842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0D0AFF85">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c>
          <w:tcPr>
            <w:tcW w:w="7633" w:type="dxa"/>
            <w:noWrap w:val="0"/>
            <w:vAlign w:val="center"/>
          </w:tcPr>
          <w:p w14:paraId="56D4F024">
            <w:pPr>
              <w:keepNext w:val="0"/>
              <w:keepLines w:val="0"/>
              <w:pageBreakBefore w:val="0"/>
              <w:suppressLineNumbers w:val="0"/>
              <w:kinsoku/>
              <w:wordWrap/>
              <w:overflowPunct/>
              <w:topLinePunct w:val="0"/>
              <w:bidi w:val="0"/>
              <w:snapToGrid/>
              <w:spacing w:before="0" w:beforeAutospacing="0" w:after="0" w:afterAutospacing="0" w:line="340" w:lineRule="exact"/>
              <w:ind w:left="0" w:right="0"/>
              <w:textAlignment w:val="auto"/>
              <w:outlineLvl w:val="9"/>
              <w:rPr>
                <w:rFonts w:hint="eastAsia" w:ascii="仿宋_GB2312" w:hAnsi="仿宋_GB2312" w:eastAsia="仿宋_GB2312" w:cs="仿宋_GB2312"/>
                <w:sz w:val="24"/>
              </w:rPr>
            </w:pPr>
          </w:p>
        </w:tc>
      </w:tr>
    </w:tbl>
    <w:p w14:paraId="39F3BCC3">
      <w:pPr>
        <w:pageBreakBefore w:val="0"/>
        <w:kinsoku/>
        <w:wordWrap/>
        <w:overflowPunct/>
        <w:topLinePunct w:val="0"/>
        <w:bidi w:val="0"/>
        <w:snapToGrid/>
        <w:spacing w:before="0" w:line="240" w:lineRule="atLeast"/>
        <w:ind w:left="1080" w:leftChars="257" w:hanging="540"/>
        <w:textAlignment w:val="auto"/>
        <w:outlineLvl w:val="9"/>
        <w:rPr>
          <w:rFonts w:hint="eastAsia" w:ascii="仿宋_GB2312" w:hAnsi="仿宋_GB2312" w:eastAsia="仿宋_GB2312" w:cs="仿宋_GB2312"/>
          <w:sz w:val="24"/>
        </w:rPr>
      </w:pPr>
    </w:p>
    <w:p w14:paraId="6067E8AE">
      <w:pPr>
        <w:pageBreakBefore w:val="0"/>
        <w:kinsoku/>
        <w:wordWrap/>
        <w:overflowPunct/>
        <w:topLinePunct w:val="0"/>
        <w:bidi w:val="0"/>
        <w:snapToGrid/>
        <w:textAlignment w:val="auto"/>
        <w:outlineLvl w:val="9"/>
        <w:rPr>
          <w:rFonts w:hint="eastAsia" w:ascii="仿宋_GB2312" w:hAnsi="仿宋_GB2312" w:eastAsia="仿宋_GB2312" w:cs="仿宋_GB2312"/>
        </w:rPr>
      </w:pPr>
    </w:p>
    <w:p w14:paraId="2DAB3C58">
      <w:pPr>
        <w:pageBreakBefore w:val="0"/>
        <w:kinsoku/>
        <w:wordWrap/>
        <w:overflowPunct/>
        <w:topLinePunct w:val="0"/>
        <w:bidi w:val="0"/>
        <w:snapToGrid/>
        <w:spacing w:line="240" w:lineRule="atLeast"/>
        <w:textAlignment w:val="auto"/>
        <w:outlineLvl w:val="9"/>
        <w:rPr>
          <w:rFonts w:hint="eastAsia" w:ascii="仿宋_GB2312" w:hAnsi="仿宋_GB2312" w:eastAsia="仿宋_GB2312" w:cs="仿宋_GB2312"/>
        </w:rPr>
      </w:pPr>
    </w:p>
    <w:p w14:paraId="1A366A85">
      <w:pPr>
        <w:pStyle w:val="6"/>
        <w:pageBreakBefore w:val="0"/>
        <w:kinsoku/>
        <w:wordWrap/>
        <w:overflowPunct/>
        <w:topLinePunct w:val="0"/>
        <w:bidi w:val="0"/>
        <w:snapToGrid/>
        <w:spacing w:line="240" w:lineRule="atLeast"/>
        <w:ind w:left="1080" w:leftChars="257" w:hanging="540"/>
        <w:textAlignment w:val="auto"/>
        <w:outlineLvl w:val="9"/>
        <w:rPr>
          <w:rFonts w:hint="eastAsia" w:ascii="仿宋_GB2312" w:hAnsi="仿宋_GB2312" w:eastAsia="仿宋_GB2312" w:cs="仿宋_GB2312"/>
          <w:sz w:val="28"/>
        </w:rPr>
      </w:pPr>
    </w:p>
    <w:sectPr>
      <w:headerReference r:id="rId17" w:type="default"/>
      <w:footerReference r:id="rId18" w:type="default"/>
      <w:pgSz w:w="11907" w:h="16840"/>
      <w:pgMar w:top="1474" w:right="1814" w:bottom="1474" w:left="1814"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C5512D-6914-4A6E-93D3-85BB8644F778}"/>
  </w:font>
  <w:font w:name="黑体">
    <w:panose1 w:val="02010609060101010101"/>
    <w:charset w:val="86"/>
    <w:family w:val="auto"/>
    <w:pitch w:val="default"/>
    <w:sig w:usb0="800002BF" w:usb1="38CF7CFA" w:usb2="00000016" w:usb3="00000000" w:csb0="00040001" w:csb1="00000000"/>
    <w:embedRegular r:id="rId2" w:fontKey="{55BB1DBC-9105-4337-9BA2-E29CA560C6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6A83D87B-844A-460A-BC8A-C8E5BE3F7E58}"/>
  </w:font>
  <w:font w:name="仿宋_GB2312">
    <w:panose1 w:val="02010609030101010101"/>
    <w:charset w:val="86"/>
    <w:family w:val="modern"/>
    <w:pitch w:val="default"/>
    <w:sig w:usb0="00000001" w:usb1="080E0000" w:usb2="00000000" w:usb3="00000000" w:csb0="00040000" w:csb1="00000000"/>
    <w:embedRegular r:id="rId4" w:fontKey="{6C70D62F-7E8B-474E-996A-17AB9E6196AA}"/>
  </w:font>
  <w:font w:name="方正仿宋简体">
    <w:altName w:val="微软雅黑"/>
    <w:panose1 w:val="02010601030101010101"/>
    <w:charset w:val="86"/>
    <w:family w:val="roma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5" w:fontKey="{3B8223C9-C270-4993-901A-5E7BDC796519}"/>
  </w:font>
  <w:font w:name="仿宋">
    <w:panose1 w:val="02010609060101010101"/>
    <w:charset w:val="86"/>
    <w:family w:val="auto"/>
    <w:pitch w:val="default"/>
    <w:sig w:usb0="800002BF" w:usb1="38CF7CFA" w:usb2="00000016" w:usb3="00000000" w:csb0="00040001" w:csb1="00000000"/>
    <w:embedRegular r:id="rId6" w:fontKey="{87453D0F-669F-44F8-9AD7-BC20827BF403}"/>
  </w:font>
  <w:font w:name="楷体">
    <w:panose1 w:val="02010609060101010101"/>
    <w:charset w:val="86"/>
    <w:family w:val="modern"/>
    <w:pitch w:val="default"/>
    <w:sig w:usb0="800002BF" w:usb1="38CF7CFA" w:usb2="00000016" w:usb3="00000000" w:csb0="00040001" w:csb1="00000000"/>
    <w:embedRegular r:id="rId7" w:fontKey="{37D2739B-F478-4743-9EEB-1ADC1EAF8819}"/>
  </w:font>
  <w:font w:name="Wingdings 2">
    <w:panose1 w:val="05020102010507070707"/>
    <w:charset w:val="02"/>
    <w:family w:val="auto"/>
    <w:pitch w:val="default"/>
    <w:sig w:usb0="00000000" w:usb1="00000000" w:usb2="00000000" w:usb3="00000000" w:csb0="80000000" w:csb1="00000000"/>
    <w:embedRegular r:id="rId8" w:fontKey="{0AEA7BF6-EB9A-43FD-AF90-61DD9ED3539F}"/>
  </w:font>
  <w:font w:name="方正小标宋简体">
    <w:panose1 w:val="03000509000000000000"/>
    <w:charset w:val="86"/>
    <w:family w:val="auto"/>
    <w:pitch w:val="default"/>
    <w:sig w:usb0="00000001" w:usb1="080E0000" w:usb2="00000000" w:usb3="00000000" w:csb0="00040000" w:csb1="00000000"/>
    <w:embedRegular r:id="rId9" w:fontKey="{6BF5CAB5-3E01-4C3C-88D8-DF5B34FEAA84}"/>
  </w:font>
  <w:font w:name="CESI仿宋-GB2312">
    <w:altName w:val="仿宋"/>
    <w:panose1 w:val="02000500000000000000"/>
    <w:charset w:val="86"/>
    <w:family w:val="auto"/>
    <w:pitch w:val="default"/>
    <w:sig w:usb0="00000000" w:usb1="00000000" w:usb2="00000010" w:usb3="00000000" w:csb0="0004000F" w:csb1="00000000"/>
    <w:embedRegular r:id="rId10" w:fontKey="{C6B232E2-D419-4574-B726-AA3F739074A7}"/>
  </w:font>
  <w:font w:name="方正仿宋_GBK">
    <w:panose1 w:val="03000509000000000000"/>
    <w:charset w:val="86"/>
    <w:family w:val="auto"/>
    <w:pitch w:val="default"/>
    <w:sig w:usb0="00000001" w:usb1="080E0000" w:usb2="00000000" w:usb3="00000000" w:csb0="00040000" w:csb1="00000000"/>
    <w:embedRegular r:id="rId11" w:fontKey="{E821212A-DDEB-4D82-BD6A-834C5058B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81FB5">
    <w:pPr>
      <w:pStyle w:val="20"/>
      <w:ind w:right="360" w:firstLine="360"/>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BBD485">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0dWMgBAACaAwAADgAAAGRycy9lMm9Eb2MueG1srVPNjtMwEL4j8Q6W&#10;79TZHlZV1HS1q2oREgKkhQdwHbux5D953CZ9AXgDTly481x9DsZO0sJy2QMXZzwz/ma+bybru8Ea&#10;cpQRtHcNvVlUlEgnfKvdvqFfPj++WVECibuWG+9kQ08S6N3m9at1H2q59J03rYwEQRzUfWhol1Ko&#10;GQPRScth4YN0GFQ+Wp7wGvesjbxHdGvYsqpuWe9jG6IXEgC92zFIJ8T4EkCvlBZy68XBSpdG1CgN&#10;T0gJOh2Abkq3SkmRPioFMhHTUGSayolF0N7lk23WvN5HHjotphb4S1p4xsly7bDoBWrLEyeHqP+B&#10;slpED16lhfCWjUSKIsjipnqmzVPHgyxcUGoIF9Hh/8GKD8dPkei2obeUOG5x4Ofv384/fp1/fiXL&#10;ok8foMa0p4CJaXjwA25N1i37AZ2Z9qCizV8kRDCO6p4u6sohEZEfrZarVYUhgbH5gjjs+jxESG+l&#10;tyQbDY04vqIqP76HNKbOKbma84/amDJC4/5yIGb2sGuP2UrDbpga3/n2hHx6nHxDHS46JeadQ2Hz&#10;ksxGnI3dbBxC1PuubFGuB+H+kLCJ0luuMMJOhXFkhd20Xnkn/ryXrOsv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NNHVjIAQAAmgMAAA4AAAAAAAAAAQAgAAAAHgEAAGRycy9lMm9Eb2Mu&#10;eG1sUEsFBgAAAAAGAAYAWQEAAFgFAAAAAA==&#10;">
              <v:fill on="f" focussize="0,0"/>
              <v:stroke on="f"/>
              <v:imagedata o:title=""/>
              <o:lock v:ext="edit" aspectratio="f"/>
              <v:textbox inset="0mm,0mm,0mm,0mm" style="mso-fit-shape-to-text:t;">
                <w:txbxContent>
                  <w:p w14:paraId="70BBD485">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634C2">
    <w:pPr>
      <w:pStyle w:val="20"/>
      <w:ind w:right="360" w:firstLine="360"/>
      <w:jc w:val="right"/>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02D5E8">
                          <w:pPr>
                            <w:pStyle w:val="2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3602D5E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2A4B0">
    <w:pPr>
      <w:pStyle w:val="20"/>
      <w:ind w:right="360" w:firstLine="360"/>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7CF417">
                          <w:pPr>
                            <w:pStyle w:val="20"/>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Q6QcoBAACd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BJTEcYsTv3z/dvnx6/LzK1lW&#10;L19nifoANWbeBcxNw1s/YPrsB3Rm5oOKNn+RE8E4op2vAsshEZEfrVfrdYUhgbH5gvjs4XmIkN5J&#10;b0k2GhpxgkVYfvoAaUydU3I152+1MWWKxv3lQMzsYbn3scdspWE/TIT2vj0jnx6H31CHu06Jee9Q&#10;W+wvzUacjf1sHEPUh64sUq4H4c0xYROlt1xhhJ0K49QKu2nD8lr8eS9ZD3/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pQ6QcoBAACdAwAADgAAAAAAAAABACAAAAAeAQAAZHJzL2Uyb0Rv&#10;Yy54bWxQSwUGAAAAAAYABgBZAQAAWgUAAAAA&#10;">
              <v:fill on="f" focussize="0,0"/>
              <v:stroke on="f"/>
              <v:imagedata o:title=""/>
              <o:lock v:ext="edit" aspectratio="f"/>
              <v:textbox inset="0mm,0mm,0mm,0mm" style="mso-fit-shape-to-text:t;">
                <w:txbxContent>
                  <w:p w14:paraId="297CF417">
                    <w:pPr>
                      <w:pStyle w:val="2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41092">
    <w:pPr>
      <w:pStyle w:val="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0CC2E5">
                          <w:pPr>
                            <w:pStyle w:val="20"/>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PVgyckBAACa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S4rjFgZ9//jj/+nP+/Z0s&#10;r7M+fYAa0+4DJqbhnR9wa2Y/oDPTHlS0+YuECMZR3dNFXTkkIvKj1XK1qjAkMDZfEJ89PA8R0nvp&#10;LclGQyOOr6jKjx8hjalzSq7m/J02pozQuH8ciJk9LPc+9pitNOyGidDOtyfk0+PkG+pw0SkxHxwK&#10;m5dkNuJs7GbjEKLed2WLcj0It4eETZTecoURdiqMIyvspvXKO/H4XrI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s9WDJyQEAAJoDAAAOAAAAAAAAAAEAIAAAAB4BAABkcnMvZTJvRG9j&#10;LnhtbFBLBQYAAAAABgAGAFkBAABZBQAAAAA=&#10;">
              <v:fill on="f" focussize="0,0"/>
              <v:stroke on="f"/>
              <v:imagedata o:title=""/>
              <o:lock v:ext="edit" aspectratio="f"/>
              <v:textbox inset="0mm,0mm,0mm,0mm" style="mso-fit-shape-to-text:t;">
                <w:txbxContent>
                  <w:p w14:paraId="4C0CC2E5">
                    <w:pPr>
                      <w:pStyle w:val="20"/>
                    </w:pPr>
                    <w:r>
                      <w:fldChar w:fldCharType="begin"/>
                    </w:r>
                    <w:r>
                      <w:instrText xml:space="preserve"> PAGE  \* MERGEFORMAT </w:instrText>
                    </w:r>
                    <w:r>
                      <w:fldChar w:fldCharType="separate"/>
                    </w:r>
                    <w:r>
                      <w:t>20</w:t>
                    </w:r>
                    <w:r>
                      <w:fldChar w:fldCharType="end"/>
                    </w:r>
                  </w:p>
                </w:txbxContent>
              </v:textbox>
            </v:shape>
          </w:pict>
        </mc:Fallback>
      </mc:AlternateContent>
    </w:r>
  </w:p>
  <w:p w14:paraId="305CCCC9">
    <w:pPr>
      <w:pStyle w:val="20"/>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5B436">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73D58C05">
                          <w:pPr>
                            <w:pStyle w:val="20"/>
                            <w:jc w:val="center"/>
                          </w:pPr>
                          <w:r>
                            <w:fldChar w:fldCharType="begin"/>
                          </w:r>
                          <w:r>
                            <w:instrText xml:space="preserve">PAGE   \* MERGEFORMAT</w:instrText>
                          </w:r>
                          <w:r>
                            <w:fldChar w:fldCharType="separate"/>
                          </w:r>
                          <w:r>
                            <w:rPr>
                              <w:lang w:val="zh-CN"/>
                            </w:rPr>
                            <w:t>32</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1.7pt;width:9.05pt;mso-position-horizontal:center;mso-position-horizontal-relative:margin;mso-wrap-style:none;z-index:251660288;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AGfUmZ0QEAAJoDAAAOAAAAZHJzL2Uyb0RvYy54bWytU0tu2zAQ3Rfo&#10;HQjua0pu0iaC5aCFkaJA0QZIegCaoiwC/IFDW/IFkht01U33PZfPkSElO226yaIbaTgcvXnvzWhx&#10;NRhNdjKAcram5aygRFrhGmU3Nf1+d/3mghKI3DZcOytrupdAr5avXy16X8m565xuZCAIYqHqfU27&#10;GH3FGIhOGg4z56XFy9YFwyMew4Y1gfeIbjSbF8U71rvQ+OCEBMDsarykE2J4CaBrWyXkyomtkTaO&#10;qEFqHlESdMoDXWa2bStF/Na2ICPRNUWlMT+xCcbr9GTLBa82gftOiYkCfwmFZ5oMVxabnqBWPHKy&#10;DeofKKNEcODaOBPOsFFIdgRVlMUzb2477mXWglaDP5kO/w9WfN3dBKIa3ARKLDc48MOPh8PP34df&#10;96Qs5u+TQ72HCgtvPZbG4aMbUvWUB0wm4UMbTHqjJIL36O/+5K8cIhHpo/Ls8u05JQKvyrOL88vs&#10;P3v62AeIn6QzJAU1DTi+7CrffYGIDbH0WJJ6WXettM4j1PavBBamDEvMR4YpisN6mGivXbNHNT1O&#10;vqYWF50S/dmisWlJjkE4ButjsPVBbbq8Rakf+A/biCQyt9RhhJ0a48gy5Wm90k78ec5VT7/U8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LoFF0QAAAAMBAAAPAAAAAAAAAAEAIAAAACIAAABkcnMv&#10;ZG93bnJldi54bWxQSwECFAAUAAAACACHTuJABn1JmdEBAACaAwAADgAAAAAAAAABACAAAAAgAQAA&#10;ZHJzL2Uyb0RvYy54bWxQSwUGAAAAAAYABgBZAQAAYwUAAAAA&#10;">
              <v:fill on="f" focussize="0,0"/>
              <v:stroke on="f"/>
              <v:imagedata o:title=""/>
              <o:lock v:ext="edit" aspectratio="f"/>
              <v:textbox inset="0mm,0mm,0mm,0mm" style="mso-fit-shape-to-text:t;">
                <w:txbxContent>
                  <w:p w14:paraId="73D58C05">
                    <w:pPr>
                      <w:pStyle w:val="20"/>
                      <w:jc w:val="center"/>
                    </w:pPr>
                    <w:r>
                      <w:fldChar w:fldCharType="begin"/>
                    </w:r>
                    <w:r>
                      <w:instrText xml:space="preserve">PAGE   \* MERGEFORMAT</w:instrText>
                    </w:r>
                    <w:r>
                      <w:fldChar w:fldCharType="separate"/>
                    </w:r>
                    <w:r>
                      <w:rPr>
                        <w:lang w:val="zh-CN"/>
                      </w:rPr>
                      <w:t>32</w:t>
                    </w:r>
                    <w:r>
                      <w:fldChar w:fldCharType="end"/>
                    </w:r>
                  </w:p>
                </w:txbxContent>
              </v:textbox>
            </v:shape>
          </w:pict>
        </mc:Fallback>
      </mc:AlternateContent>
    </w:r>
  </w:p>
  <w:p w14:paraId="4A9FE523">
    <w:pPr>
      <w:pStyle w:val="20"/>
      <w:ind w:right="360"/>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88442">
    <w:pPr>
      <w:pStyle w:val="20"/>
      <w:framePr w:wrap="around" w:vAnchor="text" w:hAnchor="margin" w:xAlign="center" w:y="1"/>
      <w:rPr>
        <w:rStyle w:val="40"/>
      </w:rPr>
    </w:pPr>
    <w:r>
      <w:fldChar w:fldCharType="begin"/>
    </w:r>
    <w:r>
      <w:rPr>
        <w:rStyle w:val="40"/>
      </w:rPr>
      <w:instrText xml:space="preserve">PAGE  </w:instrText>
    </w:r>
    <w:r>
      <w:fldChar w:fldCharType="end"/>
    </w:r>
  </w:p>
  <w:p w14:paraId="574F937E">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64CC">
    <w:pPr>
      <w:pStyle w:val="2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B32EB9">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wrap="none" lIns="0" tIns="0" rIns="0" bIns="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Jq2Z8cBAACbAwAADgAAAGRycy9lMm9Eb2MueG1srVNNrtMwEN4jcQfL&#10;e+q0SK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YUmJ4xYnfvn+7fLj1+XnV/Ky&#10;CNQHqDHvIWBmGt74AZOzcNkP6My8BxVt/iIjgnGU93yVVw6JiPxovVqvKwwJjM0XxGG35yFCeiu9&#10;JdloaMT5FVn56T2kMXVOydWcv9fGlBka95cDMbOH3XrMVhr2w9T43rdn5NPj6BvqcNMpMe8cKpu3&#10;ZDbibOxn4xiiPnRljXI9CK+PCZsoveUKI+xUGGdW2E37lZfiz3vJuv1T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sJq2Z8cBAACbAwAADgAAAAAAAAABACAAAAAeAQAAZHJzL2Uyb0RvYy54&#10;bWxQSwUGAAAAAAYABgBZAQAAVwUAAAAA&#10;">
              <v:fill on="f" focussize="0,0"/>
              <v:stroke on="f"/>
              <v:imagedata o:title=""/>
              <o:lock v:ext="edit" aspectratio="f"/>
              <v:textbox inset="0mm,0mm,0mm,0mm" style="mso-fit-shape-to-text:t;">
                <w:txbxContent>
                  <w:p w14:paraId="0AB32EB9">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p w14:paraId="708633A8">
    <w:pPr>
      <w:pStyle w:val="2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9EB04">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8590"/>
              <wp:effectExtent l="0" t="0" r="0" b="0"/>
              <wp:wrapNone/>
              <wp:docPr id="3" name="文本框 1029"/>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1E948CF0">
                          <w:pPr>
                            <w:pStyle w:val="20"/>
                            <w:jc w:val="center"/>
                          </w:pPr>
                          <w:r>
                            <w:fldChar w:fldCharType="begin"/>
                          </w:r>
                          <w:r>
                            <w:instrText xml:space="preserve">PAGE   \* MERGEFORMAT</w:instrText>
                          </w:r>
                          <w:r>
                            <w:fldChar w:fldCharType="separate"/>
                          </w:r>
                          <w:r>
                            <w:rPr>
                              <w:lang w:val="zh-CN"/>
                            </w:rPr>
                            <w:t>53</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1.7pt;width:9.05pt;mso-position-horizontal:center;mso-position-horizontal-relative:margin;mso-wrap-style:none;z-index:251661312;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Aje0LN0gEAAJoDAAAOAAAAZHJzL2Uyb0RvYy54bWytU0tu2zAQ3Rfo&#10;HQjua0lOUsSC5aCFkaJA0RZwewCaoiwC/IFDW/IFmhtk1U33PZfPkSElOW2yySIbaTgcvXnvzWh5&#10;02tFDsKDtKaixSynRBhua2l2Ff354/bdNSUQmKmZskZU9CiA3qzevll2rhRz21pVC08QxEDZuYq2&#10;Ibgyy4C3QjOYWScMXjbWaxbw6HdZ7VmH6Fpl8zx/n3XW185bLgAwux4u6YjoXwJom0ZysbZ8r4UJ&#10;A6oXigWUBK10QFeJbdMIHr41DYhAVEVRaUhPbILxNj6z1ZKVO89cK/lIgb2EwhNNmkmDTc9QaxYY&#10;2Xv5DEpL7i3YJsy41dkgJDmCKor8iTebljmRtKDV4M6mw+vB8q+H757IuqIXlBimceCn+7vT77+n&#10;P79Ikc8X0aHOQYmFG4elof9oe9ybKQ+YjML7xuv4RkkE79Hf49lf0QfC40fF5eLiihKOV8Xl9dUi&#10;+Z89fuw8hE/CahKDinocX3KVHb5AQCJYOpXEXsbeSqXSCJX5L4GFMZNF5gPDGIV+249ytrY+opoO&#10;J19Rg4tOifps0Ni4JFPgp2A7BXvn5a5NWxT7gfuwD0gicYsdBtixMY4sUR7XK+7Ev+dU9fhLr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C6BRdEAAAADAQAADwAAAAAAAAABACAAAAAiAAAAZHJz&#10;L2Rvd25yZXYueG1sUEsBAhQAFAAAAAgAh07iQCN7Qs3SAQAAmgMAAA4AAAAAAAAAAQAgAAAAIAEA&#10;AGRycy9lMm9Eb2MueG1sUEsFBgAAAAAGAAYAWQEAAGQFAAAAAA==&#10;">
              <v:fill on="f" focussize="0,0"/>
              <v:stroke on="f"/>
              <v:imagedata o:title=""/>
              <o:lock v:ext="edit" aspectratio="f"/>
              <v:textbox inset="0mm,0mm,0mm,0mm" style="mso-fit-shape-to-text:t;">
                <w:txbxContent>
                  <w:p w14:paraId="1E948CF0">
                    <w:pPr>
                      <w:pStyle w:val="20"/>
                      <w:jc w:val="center"/>
                    </w:pPr>
                    <w:r>
                      <w:fldChar w:fldCharType="begin"/>
                    </w:r>
                    <w:r>
                      <w:instrText xml:space="preserve">PAGE   \* MERGEFORMAT</w:instrText>
                    </w:r>
                    <w:r>
                      <w:fldChar w:fldCharType="separate"/>
                    </w:r>
                    <w:r>
                      <w:rPr>
                        <w:lang w:val="zh-CN"/>
                      </w:rPr>
                      <w:t>53</w:t>
                    </w:r>
                    <w:r>
                      <w:fldChar w:fldCharType="end"/>
                    </w:r>
                  </w:p>
                </w:txbxContent>
              </v:textbox>
            </v:shape>
          </w:pict>
        </mc:Fallback>
      </mc:AlternateContent>
    </w:r>
  </w:p>
  <w:p w14:paraId="5AF4D97D">
    <w:pPr>
      <w:pStyle w:val="20"/>
      <w:ind w:right="360"/>
      <w:jc w:val="right"/>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1CF5E">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3B89">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D9FE">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78374">
    <w:pPr>
      <w:pStyle w:val="2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128D">
    <w:pPr>
      <w:pStyle w:val="2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B874">
    <w:pPr>
      <w:pStyle w:val="21"/>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D11F8">
    <w:pPr>
      <w:pStyle w:val="21"/>
      <w:pBdr>
        <w:bottom w:val="none" w:color="auto" w:sz="0" w:space="0"/>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0C9D7">
    <w:pPr>
      <w:pStyle w:val="21"/>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DA27B"/>
    <w:multiLevelType w:val="singleLevel"/>
    <w:tmpl w:val="9FEDA27B"/>
    <w:lvl w:ilvl="0" w:tentative="0">
      <w:start w:val="1"/>
      <w:numFmt w:val="decimal"/>
      <w:suff w:val="nothing"/>
      <w:lvlText w:val="%1、"/>
      <w:lvlJc w:val="left"/>
    </w:lvl>
  </w:abstractNum>
  <w:abstractNum w:abstractNumId="1">
    <w:nsid w:val="C3CE355E"/>
    <w:multiLevelType w:val="singleLevel"/>
    <w:tmpl w:val="C3CE355E"/>
    <w:lvl w:ilvl="0" w:tentative="0">
      <w:start w:val="1"/>
      <w:numFmt w:val="decimal"/>
      <w:lvlText w:val="%1."/>
      <w:lvlJc w:val="left"/>
      <w:pPr>
        <w:ind w:left="425" w:hanging="425"/>
      </w:pPr>
      <w:rPr>
        <w:rFonts w:hint="default"/>
      </w:rPr>
    </w:lvl>
  </w:abstractNum>
  <w:abstractNum w:abstractNumId="2">
    <w:nsid w:val="D4F06988"/>
    <w:multiLevelType w:val="multilevel"/>
    <w:tmpl w:val="D4F06988"/>
    <w:lvl w:ilvl="0" w:tentative="0">
      <w:start w:val="18"/>
      <w:numFmt w:val="decimal"/>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3">
    <w:nsid w:val="FE7F2B71"/>
    <w:multiLevelType w:val="singleLevel"/>
    <w:tmpl w:val="FE7F2B71"/>
    <w:lvl w:ilvl="0" w:tentative="0">
      <w:start w:val="1"/>
      <w:numFmt w:val="decimal"/>
      <w:suff w:val="nothing"/>
      <w:lvlText w:val="%1、"/>
      <w:lvlJc w:val="left"/>
    </w:lvl>
  </w:abstractNum>
  <w:abstractNum w:abstractNumId="4">
    <w:nsid w:val="FEC21D82"/>
    <w:multiLevelType w:val="singleLevel"/>
    <w:tmpl w:val="FEC21D82"/>
    <w:lvl w:ilvl="0" w:tentative="0">
      <w:start w:val="2"/>
      <w:numFmt w:val="decimal"/>
      <w:lvlText w:val="%1."/>
      <w:lvlJc w:val="left"/>
      <w:pPr>
        <w:tabs>
          <w:tab w:val="left" w:pos="312"/>
        </w:tabs>
      </w:pPr>
    </w:lvl>
  </w:abstractNum>
  <w:abstractNum w:abstractNumId="5">
    <w:nsid w:val="FFDF2E57"/>
    <w:multiLevelType w:val="singleLevel"/>
    <w:tmpl w:val="FFDF2E57"/>
    <w:lvl w:ilvl="0" w:tentative="0">
      <w:start w:val="1"/>
      <w:numFmt w:val="decimal"/>
      <w:suff w:val="nothing"/>
      <w:lvlText w:val="%1、"/>
      <w:lvlJc w:val="left"/>
    </w:lvl>
  </w:abstractNum>
  <w:abstractNum w:abstractNumId="6">
    <w:nsid w:val="0BFF7D85"/>
    <w:multiLevelType w:val="singleLevel"/>
    <w:tmpl w:val="0BFF7D85"/>
    <w:lvl w:ilvl="0" w:tentative="0">
      <w:start w:val="3"/>
      <w:numFmt w:val="decimal"/>
      <w:suff w:val="nothing"/>
      <w:lvlText w:val="%1、"/>
      <w:lvlJc w:val="left"/>
    </w:lvl>
  </w:abstractNum>
  <w:abstractNum w:abstractNumId="7">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8">
    <w:nsid w:val="24E409BB"/>
    <w:multiLevelType w:val="multilevel"/>
    <w:tmpl w:val="24E409BB"/>
    <w:lvl w:ilvl="0" w:tentative="0">
      <w:start w:val="1"/>
      <w:numFmt w:val="decimal"/>
      <w:pStyle w:val="82"/>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9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num w:numId="1">
    <w:abstractNumId w:val="8"/>
  </w:num>
  <w:num w:numId="2">
    <w:abstractNumId w:val="10"/>
  </w:num>
  <w:num w:numId="3">
    <w:abstractNumId w:val="9"/>
  </w:num>
  <w:num w:numId="4">
    <w:abstractNumId w:val="11"/>
  </w:num>
  <w:num w:numId="5">
    <w:abstractNumId w:val="2"/>
  </w:num>
  <w:num w:numId="6">
    <w:abstractNumId w:val="7"/>
  </w:num>
  <w:num w:numId="7">
    <w:abstractNumId w:val="1"/>
  </w:num>
  <w:num w:numId="8">
    <w:abstractNumId w:val="6"/>
  </w:num>
  <w:num w:numId="9">
    <w:abstractNumId w:val="4"/>
  </w:num>
  <w:num w:numId="10">
    <w:abstractNumId w:val="3"/>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Tg2MWU1NGFhNmU5NDk5ZDU1YmY2YjNjOWM0NTQ1MzAifQ=="/>
    <w:docVar w:name="KSO_WPS_MARK_KEY" w:val="f8983780-b257-486f-b24b-47ea2445a400"/>
    <w:docVar w:name="VTCASE" w:val="4"/>
    <w:docVar w:name="VTCommandPending" w:val="NONE"/>
  </w:docVars>
  <w:rsids>
    <w:rsidRoot w:val="00172A27"/>
    <w:rsid w:val="000004CD"/>
    <w:rsid w:val="00001783"/>
    <w:rsid w:val="00001797"/>
    <w:rsid w:val="0000273B"/>
    <w:rsid w:val="00002DF7"/>
    <w:rsid w:val="000041A8"/>
    <w:rsid w:val="000055D7"/>
    <w:rsid w:val="0001529F"/>
    <w:rsid w:val="000157E2"/>
    <w:rsid w:val="0001697A"/>
    <w:rsid w:val="000169E1"/>
    <w:rsid w:val="00020D78"/>
    <w:rsid w:val="00021486"/>
    <w:rsid w:val="000214AD"/>
    <w:rsid w:val="00021AE8"/>
    <w:rsid w:val="00022E94"/>
    <w:rsid w:val="000313B5"/>
    <w:rsid w:val="00032835"/>
    <w:rsid w:val="00032B95"/>
    <w:rsid w:val="000333A8"/>
    <w:rsid w:val="000367B8"/>
    <w:rsid w:val="00042BA7"/>
    <w:rsid w:val="000434F9"/>
    <w:rsid w:val="00043533"/>
    <w:rsid w:val="00045D67"/>
    <w:rsid w:val="0004677C"/>
    <w:rsid w:val="0005172B"/>
    <w:rsid w:val="000533D1"/>
    <w:rsid w:val="000538CC"/>
    <w:rsid w:val="000541C7"/>
    <w:rsid w:val="00054A8E"/>
    <w:rsid w:val="00055A71"/>
    <w:rsid w:val="00056583"/>
    <w:rsid w:val="00056932"/>
    <w:rsid w:val="00057BB2"/>
    <w:rsid w:val="0006019D"/>
    <w:rsid w:val="000612B3"/>
    <w:rsid w:val="00061B68"/>
    <w:rsid w:val="00063750"/>
    <w:rsid w:val="00065379"/>
    <w:rsid w:val="000673C5"/>
    <w:rsid w:val="00070907"/>
    <w:rsid w:val="00071285"/>
    <w:rsid w:val="000719AB"/>
    <w:rsid w:val="00072C53"/>
    <w:rsid w:val="00073852"/>
    <w:rsid w:val="00076670"/>
    <w:rsid w:val="0007684F"/>
    <w:rsid w:val="00076927"/>
    <w:rsid w:val="00080B56"/>
    <w:rsid w:val="00080C9B"/>
    <w:rsid w:val="00080FC7"/>
    <w:rsid w:val="00081D11"/>
    <w:rsid w:val="00083115"/>
    <w:rsid w:val="00087961"/>
    <w:rsid w:val="00093645"/>
    <w:rsid w:val="00096150"/>
    <w:rsid w:val="00096F54"/>
    <w:rsid w:val="000A31C4"/>
    <w:rsid w:val="000A3727"/>
    <w:rsid w:val="000A49C1"/>
    <w:rsid w:val="000A73EF"/>
    <w:rsid w:val="000A799B"/>
    <w:rsid w:val="000B3242"/>
    <w:rsid w:val="000B3392"/>
    <w:rsid w:val="000B362F"/>
    <w:rsid w:val="000B366A"/>
    <w:rsid w:val="000B51E6"/>
    <w:rsid w:val="000B6C50"/>
    <w:rsid w:val="000C092A"/>
    <w:rsid w:val="000C0AC9"/>
    <w:rsid w:val="000C0FDF"/>
    <w:rsid w:val="000C15AF"/>
    <w:rsid w:val="000C3524"/>
    <w:rsid w:val="000C5071"/>
    <w:rsid w:val="000C55ED"/>
    <w:rsid w:val="000C6F86"/>
    <w:rsid w:val="000D10E4"/>
    <w:rsid w:val="000D1613"/>
    <w:rsid w:val="000D19C1"/>
    <w:rsid w:val="000D4E69"/>
    <w:rsid w:val="000D5125"/>
    <w:rsid w:val="000D7812"/>
    <w:rsid w:val="000E1288"/>
    <w:rsid w:val="000E3784"/>
    <w:rsid w:val="000E37E0"/>
    <w:rsid w:val="000E47A0"/>
    <w:rsid w:val="000E597F"/>
    <w:rsid w:val="000E5BFC"/>
    <w:rsid w:val="000E694F"/>
    <w:rsid w:val="000E7158"/>
    <w:rsid w:val="000E74D4"/>
    <w:rsid w:val="000F2D05"/>
    <w:rsid w:val="000F2EEE"/>
    <w:rsid w:val="000F4234"/>
    <w:rsid w:val="000F6215"/>
    <w:rsid w:val="000F63C8"/>
    <w:rsid w:val="000F6581"/>
    <w:rsid w:val="00102417"/>
    <w:rsid w:val="001032CC"/>
    <w:rsid w:val="00103B53"/>
    <w:rsid w:val="00105B0B"/>
    <w:rsid w:val="0011024E"/>
    <w:rsid w:val="00112163"/>
    <w:rsid w:val="00114579"/>
    <w:rsid w:val="00115BF1"/>
    <w:rsid w:val="0012032C"/>
    <w:rsid w:val="001211EB"/>
    <w:rsid w:val="0012244B"/>
    <w:rsid w:val="001224B5"/>
    <w:rsid w:val="00122643"/>
    <w:rsid w:val="0012425B"/>
    <w:rsid w:val="001244F8"/>
    <w:rsid w:val="001247F0"/>
    <w:rsid w:val="001252D8"/>
    <w:rsid w:val="001257D4"/>
    <w:rsid w:val="00131E0D"/>
    <w:rsid w:val="0013242F"/>
    <w:rsid w:val="0013359E"/>
    <w:rsid w:val="001352B1"/>
    <w:rsid w:val="00135690"/>
    <w:rsid w:val="00135D8B"/>
    <w:rsid w:val="00137694"/>
    <w:rsid w:val="00141EAC"/>
    <w:rsid w:val="00143652"/>
    <w:rsid w:val="0014627C"/>
    <w:rsid w:val="0015142E"/>
    <w:rsid w:val="00157C74"/>
    <w:rsid w:val="00157D8E"/>
    <w:rsid w:val="00161678"/>
    <w:rsid w:val="00161D71"/>
    <w:rsid w:val="00162805"/>
    <w:rsid w:val="00165014"/>
    <w:rsid w:val="0017180F"/>
    <w:rsid w:val="001733C3"/>
    <w:rsid w:val="00173BFF"/>
    <w:rsid w:val="00174749"/>
    <w:rsid w:val="00174FCA"/>
    <w:rsid w:val="00175AFB"/>
    <w:rsid w:val="00176F12"/>
    <w:rsid w:val="001770BE"/>
    <w:rsid w:val="00177A3E"/>
    <w:rsid w:val="0018099E"/>
    <w:rsid w:val="00183E4B"/>
    <w:rsid w:val="00187B13"/>
    <w:rsid w:val="00187EB4"/>
    <w:rsid w:val="0019618B"/>
    <w:rsid w:val="00196952"/>
    <w:rsid w:val="00196FA0"/>
    <w:rsid w:val="001A0A50"/>
    <w:rsid w:val="001A3B44"/>
    <w:rsid w:val="001A3D9B"/>
    <w:rsid w:val="001A4571"/>
    <w:rsid w:val="001A5EEB"/>
    <w:rsid w:val="001A62A5"/>
    <w:rsid w:val="001B0D0D"/>
    <w:rsid w:val="001B2CF9"/>
    <w:rsid w:val="001B4216"/>
    <w:rsid w:val="001B49A4"/>
    <w:rsid w:val="001B521B"/>
    <w:rsid w:val="001B5CC8"/>
    <w:rsid w:val="001B6587"/>
    <w:rsid w:val="001C0582"/>
    <w:rsid w:val="001C058D"/>
    <w:rsid w:val="001C24DD"/>
    <w:rsid w:val="001C54C3"/>
    <w:rsid w:val="001C577E"/>
    <w:rsid w:val="001C73C5"/>
    <w:rsid w:val="001D027D"/>
    <w:rsid w:val="001D19F5"/>
    <w:rsid w:val="001D4A1E"/>
    <w:rsid w:val="001D70E9"/>
    <w:rsid w:val="001E181E"/>
    <w:rsid w:val="001E1DCD"/>
    <w:rsid w:val="001E4481"/>
    <w:rsid w:val="001E44EF"/>
    <w:rsid w:val="001E4671"/>
    <w:rsid w:val="001E6C1A"/>
    <w:rsid w:val="001E723E"/>
    <w:rsid w:val="001E7629"/>
    <w:rsid w:val="001E7846"/>
    <w:rsid w:val="001E7E8B"/>
    <w:rsid w:val="001F2D39"/>
    <w:rsid w:val="001F2F0B"/>
    <w:rsid w:val="001F3130"/>
    <w:rsid w:val="001F5903"/>
    <w:rsid w:val="001F7292"/>
    <w:rsid w:val="002001DC"/>
    <w:rsid w:val="002032B0"/>
    <w:rsid w:val="00203778"/>
    <w:rsid w:val="0020407A"/>
    <w:rsid w:val="00210885"/>
    <w:rsid w:val="00210AE7"/>
    <w:rsid w:val="002123C7"/>
    <w:rsid w:val="002124BD"/>
    <w:rsid w:val="00213411"/>
    <w:rsid w:val="00216D4F"/>
    <w:rsid w:val="00216E43"/>
    <w:rsid w:val="00220866"/>
    <w:rsid w:val="002231A4"/>
    <w:rsid w:val="00223245"/>
    <w:rsid w:val="00224447"/>
    <w:rsid w:val="00224A77"/>
    <w:rsid w:val="0022671D"/>
    <w:rsid w:val="0023090E"/>
    <w:rsid w:val="00231C64"/>
    <w:rsid w:val="00232763"/>
    <w:rsid w:val="00232C22"/>
    <w:rsid w:val="0023318A"/>
    <w:rsid w:val="002354CB"/>
    <w:rsid w:val="00236A9B"/>
    <w:rsid w:val="0023715B"/>
    <w:rsid w:val="00237592"/>
    <w:rsid w:val="00237C48"/>
    <w:rsid w:val="0024137B"/>
    <w:rsid w:val="002448BE"/>
    <w:rsid w:val="00244A0E"/>
    <w:rsid w:val="00244F73"/>
    <w:rsid w:val="00247F12"/>
    <w:rsid w:val="002501BB"/>
    <w:rsid w:val="0025021D"/>
    <w:rsid w:val="002509CA"/>
    <w:rsid w:val="00250C1D"/>
    <w:rsid w:val="00251A29"/>
    <w:rsid w:val="00251B89"/>
    <w:rsid w:val="00253615"/>
    <w:rsid w:val="00253950"/>
    <w:rsid w:val="00254F7E"/>
    <w:rsid w:val="0025569E"/>
    <w:rsid w:val="002564FE"/>
    <w:rsid w:val="002603EB"/>
    <w:rsid w:val="0026107E"/>
    <w:rsid w:val="00261FEB"/>
    <w:rsid w:val="00264327"/>
    <w:rsid w:val="002650F1"/>
    <w:rsid w:val="00266403"/>
    <w:rsid w:val="00266406"/>
    <w:rsid w:val="002672D6"/>
    <w:rsid w:val="002679CA"/>
    <w:rsid w:val="00272722"/>
    <w:rsid w:val="00273A5B"/>
    <w:rsid w:val="002745E7"/>
    <w:rsid w:val="002760AC"/>
    <w:rsid w:val="002764D1"/>
    <w:rsid w:val="00277370"/>
    <w:rsid w:val="00277935"/>
    <w:rsid w:val="00277E8E"/>
    <w:rsid w:val="00280DD6"/>
    <w:rsid w:val="00282496"/>
    <w:rsid w:val="00283033"/>
    <w:rsid w:val="002854DC"/>
    <w:rsid w:val="0028616B"/>
    <w:rsid w:val="00290CDE"/>
    <w:rsid w:val="00290DE2"/>
    <w:rsid w:val="00294626"/>
    <w:rsid w:val="0029463A"/>
    <w:rsid w:val="00294959"/>
    <w:rsid w:val="00294BAD"/>
    <w:rsid w:val="002959CC"/>
    <w:rsid w:val="002A0C27"/>
    <w:rsid w:val="002A2315"/>
    <w:rsid w:val="002A2732"/>
    <w:rsid w:val="002A3153"/>
    <w:rsid w:val="002A6C9C"/>
    <w:rsid w:val="002C10AC"/>
    <w:rsid w:val="002C2AE8"/>
    <w:rsid w:val="002C2FF3"/>
    <w:rsid w:val="002C39D7"/>
    <w:rsid w:val="002C3A5A"/>
    <w:rsid w:val="002C4ABE"/>
    <w:rsid w:val="002C71EC"/>
    <w:rsid w:val="002C7548"/>
    <w:rsid w:val="002C780B"/>
    <w:rsid w:val="002C7E47"/>
    <w:rsid w:val="002D2C13"/>
    <w:rsid w:val="002D2FFB"/>
    <w:rsid w:val="002D4E0A"/>
    <w:rsid w:val="002D4E16"/>
    <w:rsid w:val="002D505C"/>
    <w:rsid w:val="002D5DF8"/>
    <w:rsid w:val="002E334D"/>
    <w:rsid w:val="002E486A"/>
    <w:rsid w:val="002E53C0"/>
    <w:rsid w:val="002E766C"/>
    <w:rsid w:val="002F02C8"/>
    <w:rsid w:val="002F03A7"/>
    <w:rsid w:val="002F0A07"/>
    <w:rsid w:val="002F2D5F"/>
    <w:rsid w:val="002F46DC"/>
    <w:rsid w:val="002F5145"/>
    <w:rsid w:val="002F5CB9"/>
    <w:rsid w:val="002F5E9B"/>
    <w:rsid w:val="002F683C"/>
    <w:rsid w:val="002F7C07"/>
    <w:rsid w:val="003010C9"/>
    <w:rsid w:val="00301C8C"/>
    <w:rsid w:val="00310C52"/>
    <w:rsid w:val="0031140B"/>
    <w:rsid w:val="00314E3D"/>
    <w:rsid w:val="0031538D"/>
    <w:rsid w:val="00316C1A"/>
    <w:rsid w:val="00317120"/>
    <w:rsid w:val="003171BB"/>
    <w:rsid w:val="0032100C"/>
    <w:rsid w:val="003212C2"/>
    <w:rsid w:val="00321921"/>
    <w:rsid w:val="00321926"/>
    <w:rsid w:val="003229FD"/>
    <w:rsid w:val="003239D3"/>
    <w:rsid w:val="00327707"/>
    <w:rsid w:val="00327B26"/>
    <w:rsid w:val="0033060D"/>
    <w:rsid w:val="003318F3"/>
    <w:rsid w:val="00331ECA"/>
    <w:rsid w:val="00333919"/>
    <w:rsid w:val="00334F3E"/>
    <w:rsid w:val="00337825"/>
    <w:rsid w:val="003379AF"/>
    <w:rsid w:val="00337C5C"/>
    <w:rsid w:val="00343E4C"/>
    <w:rsid w:val="00351949"/>
    <w:rsid w:val="003528B8"/>
    <w:rsid w:val="00352BC8"/>
    <w:rsid w:val="00355D82"/>
    <w:rsid w:val="00356CAF"/>
    <w:rsid w:val="00360D5D"/>
    <w:rsid w:val="003612A6"/>
    <w:rsid w:val="003671F3"/>
    <w:rsid w:val="00367712"/>
    <w:rsid w:val="00367C88"/>
    <w:rsid w:val="00367DB2"/>
    <w:rsid w:val="00370B19"/>
    <w:rsid w:val="00371C8C"/>
    <w:rsid w:val="00373408"/>
    <w:rsid w:val="00373ABD"/>
    <w:rsid w:val="003748EB"/>
    <w:rsid w:val="00375DCD"/>
    <w:rsid w:val="00376F36"/>
    <w:rsid w:val="003800A6"/>
    <w:rsid w:val="0038151E"/>
    <w:rsid w:val="00381B28"/>
    <w:rsid w:val="00381CDD"/>
    <w:rsid w:val="00382580"/>
    <w:rsid w:val="00382FFA"/>
    <w:rsid w:val="0038357B"/>
    <w:rsid w:val="00383B0A"/>
    <w:rsid w:val="00383D5B"/>
    <w:rsid w:val="0038491D"/>
    <w:rsid w:val="0038570F"/>
    <w:rsid w:val="00387606"/>
    <w:rsid w:val="00391DD2"/>
    <w:rsid w:val="003925E1"/>
    <w:rsid w:val="00393D74"/>
    <w:rsid w:val="003943A7"/>
    <w:rsid w:val="00396A66"/>
    <w:rsid w:val="003A0E06"/>
    <w:rsid w:val="003A1A69"/>
    <w:rsid w:val="003A37B8"/>
    <w:rsid w:val="003A582F"/>
    <w:rsid w:val="003A6B72"/>
    <w:rsid w:val="003A724F"/>
    <w:rsid w:val="003A72BC"/>
    <w:rsid w:val="003B020F"/>
    <w:rsid w:val="003B3917"/>
    <w:rsid w:val="003B41D9"/>
    <w:rsid w:val="003B4356"/>
    <w:rsid w:val="003B5422"/>
    <w:rsid w:val="003B7293"/>
    <w:rsid w:val="003B7D7E"/>
    <w:rsid w:val="003C0EF3"/>
    <w:rsid w:val="003C38F2"/>
    <w:rsid w:val="003C53B2"/>
    <w:rsid w:val="003C592A"/>
    <w:rsid w:val="003C63D3"/>
    <w:rsid w:val="003C6422"/>
    <w:rsid w:val="003C6C9A"/>
    <w:rsid w:val="003D6961"/>
    <w:rsid w:val="003E2C77"/>
    <w:rsid w:val="003E2C89"/>
    <w:rsid w:val="003E3C14"/>
    <w:rsid w:val="003E56CB"/>
    <w:rsid w:val="003E6516"/>
    <w:rsid w:val="003E747A"/>
    <w:rsid w:val="003F0149"/>
    <w:rsid w:val="003F11BD"/>
    <w:rsid w:val="003F4748"/>
    <w:rsid w:val="003F61AC"/>
    <w:rsid w:val="003F6B46"/>
    <w:rsid w:val="00401267"/>
    <w:rsid w:val="00401B70"/>
    <w:rsid w:val="00402836"/>
    <w:rsid w:val="0040298F"/>
    <w:rsid w:val="0040367C"/>
    <w:rsid w:val="00404B23"/>
    <w:rsid w:val="00405154"/>
    <w:rsid w:val="004109B8"/>
    <w:rsid w:val="0041238C"/>
    <w:rsid w:val="00412829"/>
    <w:rsid w:val="0041314E"/>
    <w:rsid w:val="00414EDB"/>
    <w:rsid w:val="0041638E"/>
    <w:rsid w:val="004164DF"/>
    <w:rsid w:val="0042141B"/>
    <w:rsid w:val="00425FB2"/>
    <w:rsid w:val="004261AF"/>
    <w:rsid w:val="00426BB0"/>
    <w:rsid w:val="00427182"/>
    <w:rsid w:val="004277C9"/>
    <w:rsid w:val="00433AFF"/>
    <w:rsid w:val="00433EEA"/>
    <w:rsid w:val="00436ECF"/>
    <w:rsid w:val="004408B0"/>
    <w:rsid w:val="004408EE"/>
    <w:rsid w:val="00441C7F"/>
    <w:rsid w:val="00441E5E"/>
    <w:rsid w:val="0044524F"/>
    <w:rsid w:val="0044654E"/>
    <w:rsid w:val="004504F2"/>
    <w:rsid w:val="00450C1F"/>
    <w:rsid w:val="00451783"/>
    <w:rsid w:val="00455240"/>
    <w:rsid w:val="00455919"/>
    <w:rsid w:val="0045705D"/>
    <w:rsid w:val="00457AEF"/>
    <w:rsid w:val="0046046C"/>
    <w:rsid w:val="0046404F"/>
    <w:rsid w:val="004663F3"/>
    <w:rsid w:val="00467553"/>
    <w:rsid w:val="00471F78"/>
    <w:rsid w:val="00473B94"/>
    <w:rsid w:val="00473DC2"/>
    <w:rsid w:val="0047556E"/>
    <w:rsid w:val="00475991"/>
    <w:rsid w:val="00475B13"/>
    <w:rsid w:val="00480D8D"/>
    <w:rsid w:val="004814E5"/>
    <w:rsid w:val="004827CD"/>
    <w:rsid w:val="00484641"/>
    <w:rsid w:val="004846F8"/>
    <w:rsid w:val="00485EFC"/>
    <w:rsid w:val="00490A94"/>
    <w:rsid w:val="004911E4"/>
    <w:rsid w:val="004912F4"/>
    <w:rsid w:val="004922BC"/>
    <w:rsid w:val="00492CE8"/>
    <w:rsid w:val="00493558"/>
    <w:rsid w:val="00493E23"/>
    <w:rsid w:val="00493EC9"/>
    <w:rsid w:val="00494ECE"/>
    <w:rsid w:val="00495251"/>
    <w:rsid w:val="00495B0C"/>
    <w:rsid w:val="004963A5"/>
    <w:rsid w:val="004970E5"/>
    <w:rsid w:val="004A1759"/>
    <w:rsid w:val="004A2275"/>
    <w:rsid w:val="004A3872"/>
    <w:rsid w:val="004A3AC0"/>
    <w:rsid w:val="004A42D0"/>
    <w:rsid w:val="004A46DF"/>
    <w:rsid w:val="004A4ED0"/>
    <w:rsid w:val="004A5218"/>
    <w:rsid w:val="004A6F61"/>
    <w:rsid w:val="004B0706"/>
    <w:rsid w:val="004B22B1"/>
    <w:rsid w:val="004B46E5"/>
    <w:rsid w:val="004B6542"/>
    <w:rsid w:val="004B72A3"/>
    <w:rsid w:val="004C1E33"/>
    <w:rsid w:val="004C6870"/>
    <w:rsid w:val="004D29A3"/>
    <w:rsid w:val="004D4D48"/>
    <w:rsid w:val="004D5250"/>
    <w:rsid w:val="004D5BF0"/>
    <w:rsid w:val="004D6AD9"/>
    <w:rsid w:val="004E0517"/>
    <w:rsid w:val="004E0C12"/>
    <w:rsid w:val="004E13F0"/>
    <w:rsid w:val="004E3576"/>
    <w:rsid w:val="004E3FF4"/>
    <w:rsid w:val="004E4854"/>
    <w:rsid w:val="004E5FCE"/>
    <w:rsid w:val="004E70C8"/>
    <w:rsid w:val="004F036B"/>
    <w:rsid w:val="004F052D"/>
    <w:rsid w:val="004F0E54"/>
    <w:rsid w:val="004F2798"/>
    <w:rsid w:val="004F38B5"/>
    <w:rsid w:val="004F7B7E"/>
    <w:rsid w:val="00501785"/>
    <w:rsid w:val="00503724"/>
    <w:rsid w:val="0050487A"/>
    <w:rsid w:val="00504E3C"/>
    <w:rsid w:val="00507AD5"/>
    <w:rsid w:val="0051115E"/>
    <w:rsid w:val="00513C5B"/>
    <w:rsid w:val="00513F7C"/>
    <w:rsid w:val="005149B8"/>
    <w:rsid w:val="005168FA"/>
    <w:rsid w:val="005175C0"/>
    <w:rsid w:val="00520001"/>
    <w:rsid w:val="00520037"/>
    <w:rsid w:val="00521717"/>
    <w:rsid w:val="0052391C"/>
    <w:rsid w:val="0052393A"/>
    <w:rsid w:val="0052438D"/>
    <w:rsid w:val="00530C3F"/>
    <w:rsid w:val="00532B1D"/>
    <w:rsid w:val="00533524"/>
    <w:rsid w:val="00534347"/>
    <w:rsid w:val="00540C55"/>
    <w:rsid w:val="00541E42"/>
    <w:rsid w:val="00542227"/>
    <w:rsid w:val="005422EB"/>
    <w:rsid w:val="00544156"/>
    <w:rsid w:val="0054426F"/>
    <w:rsid w:val="0054508F"/>
    <w:rsid w:val="00546F3A"/>
    <w:rsid w:val="005475C6"/>
    <w:rsid w:val="00550C61"/>
    <w:rsid w:val="00552FBA"/>
    <w:rsid w:val="005542B3"/>
    <w:rsid w:val="00554D9D"/>
    <w:rsid w:val="00555A82"/>
    <w:rsid w:val="00556C52"/>
    <w:rsid w:val="0056008C"/>
    <w:rsid w:val="00560CBD"/>
    <w:rsid w:val="0056396C"/>
    <w:rsid w:val="0057053B"/>
    <w:rsid w:val="00570A8A"/>
    <w:rsid w:val="00571BE1"/>
    <w:rsid w:val="0057268E"/>
    <w:rsid w:val="00573C95"/>
    <w:rsid w:val="005750B7"/>
    <w:rsid w:val="00577986"/>
    <w:rsid w:val="005801AF"/>
    <w:rsid w:val="005806C7"/>
    <w:rsid w:val="00582C8B"/>
    <w:rsid w:val="00582CA5"/>
    <w:rsid w:val="00582FE9"/>
    <w:rsid w:val="0058511B"/>
    <w:rsid w:val="005852AF"/>
    <w:rsid w:val="00586FF5"/>
    <w:rsid w:val="005912BC"/>
    <w:rsid w:val="00593D15"/>
    <w:rsid w:val="00597AA6"/>
    <w:rsid w:val="005A0332"/>
    <w:rsid w:val="005A1737"/>
    <w:rsid w:val="005A1914"/>
    <w:rsid w:val="005A1D6F"/>
    <w:rsid w:val="005A378B"/>
    <w:rsid w:val="005A3804"/>
    <w:rsid w:val="005A40B3"/>
    <w:rsid w:val="005B078D"/>
    <w:rsid w:val="005B1361"/>
    <w:rsid w:val="005B177D"/>
    <w:rsid w:val="005B337F"/>
    <w:rsid w:val="005B3B4A"/>
    <w:rsid w:val="005B4C3F"/>
    <w:rsid w:val="005B4C4C"/>
    <w:rsid w:val="005B7966"/>
    <w:rsid w:val="005C0341"/>
    <w:rsid w:val="005C3CDD"/>
    <w:rsid w:val="005D2B33"/>
    <w:rsid w:val="005D4B36"/>
    <w:rsid w:val="005D5B37"/>
    <w:rsid w:val="005D6D35"/>
    <w:rsid w:val="005E1062"/>
    <w:rsid w:val="005E12BD"/>
    <w:rsid w:val="005E132E"/>
    <w:rsid w:val="005E1F41"/>
    <w:rsid w:val="005E305E"/>
    <w:rsid w:val="005E3ECC"/>
    <w:rsid w:val="005E53A4"/>
    <w:rsid w:val="005E6AAE"/>
    <w:rsid w:val="005F1F63"/>
    <w:rsid w:val="005F324D"/>
    <w:rsid w:val="005F4C0F"/>
    <w:rsid w:val="006011F9"/>
    <w:rsid w:val="006016B0"/>
    <w:rsid w:val="00602247"/>
    <w:rsid w:val="00603A62"/>
    <w:rsid w:val="006054AE"/>
    <w:rsid w:val="00606661"/>
    <w:rsid w:val="00612A91"/>
    <w:rsid w:val="00612F6B"/>
    <w:rsid w:val="00615BD4"/>
    <w:rsid w:val="006176D9"/>
    <w:rsid w:val="0062063C"/>
    <w:rsid w:val="00621EEA"/>
    <w:rsid w:val="00622049"/>
    <w:rsid w:val="00625F86"/>
    <w:rsid w:val="006267AC"/>
    <w:rsid w:val="006275F8"/>
    <w:rsid w:val="00627E6B"/>
    <w:rsid w:val="00630C8F"/>
    <w:rsid w:val="0063126C"/>
    <w:rsid w:val="006321D9"/>
    <w:rsid w:val="00635ACD"/>
    <w:rsid w:val="0064448B"/>
    <w:rsid w:val="00645F9B"/>
    <w:rsid w:val="006462F4"/>
    <w:rsid w:val="00646C7B"/>
    <w:rsid w:val="006519B0"/>
    <w:rsid w:val="00653EEF"/>
    <w:rsid w:val="00655832"/>
    <w:rsid w:val="00656DB1"/>
    <w:rsid w:val="0065706C"/>
    <w:rsid w:val="006570F3"/>
    <w:rsid w:val="006574CA"/>
    <w:rsid w:val="00663087"/>
    <w:rsid w:val="00664AEC"/>
    <w:rsid w:val="0066644B"/>
    <w:rsid w:val="00666905"/>
    <w:rsid w:val="00666E6E"/>
    <w:rsid w:val="00667926"/>
    <w:rsid w:val="00671B72"/>
    <w:rsid w:val="00672A07"/>
    <w:rsid w:val="00672A3D"/>
    <w:rsid w:val="00673284"/>
    <w:rsid w:val="00673C56"/>
    <w:rsid w:val="00674E3C"/>
    <w:rsid w:val="00680795"/>
    <w:rsid w:val="00684062"/>
    <w:rsid w:val="00684218"/>
    <w:rsid w:val="00684A17"/>
    <w:rsid w:val="00684A6C"/>
    <w:rsid w:val="0068548A"/>
    <w:rsid w:val="00686ACA"/>
    <w:rsid w:val="006904AF"/>
    <w:rsid w:val="00691347"/>
    <w:rsid w:val="00691E6C"/>
    <w:rsid w:val="00692FA7"/>
    <w:rsid w:val="00695821"/>
    <w:rsid w:val="0069607D"/>
    <w:rsid w:val="006960C5"/>
    <w:rsid w:val="006A05F8"/>
    <w:rsid w:val="006A0897"/>
    <w:rsid w:val="006A27B1"/>
    <w:rsid w:val="006A4246"/>
    <w:rsid w:val="006A56B9"/>
    <w:rsid w:val="006A64EB"/>
    <w:rsid w:val="006A7750"/>
    <w:rsid w:val="006A7FD4"/>
    <w:rsid w:val="006B0E91"/>
    <w:rsid w:val="006B1891"/>
    <w:rsid w:val="006B37AE"/>
    <w:rsid w:val="006B3C07"/>
    <w:rsid w:val="006B476E"/>
    <w:rsid w:val="006B7254"/>
    <w:rsid w:val="006B73B9"/>
    <w:rsid w:val="006C0F43"/>
    <w:rsid w:val="006C2D51"/>
    <w:rsid w:val="006C4083"/>
    <w:rsid w:val="006C4B81"/>
    <w:rsid w:val="006C517C"/>
    <w:rsid w:val="006C5CAA"/>
    <w:rsid w:val="006C6855"/>
    <w:rsid w:val="006C7F43"/>
    <w:rsid w:val="006D16F3"/>
    <w:rsid w:val="006D49E3"/>
    <w:rsid w:val="006D4C2C"/>
    <w:rsid w:val="006D62FF"/>
    <w:rsid w:val="006D750B"/>
    <w:rsid w:val="006E019F"/>
    <w:rsid w:val="006E18C4"/>
    <w:rsid w:val="006E3E50"/>
    <w:rsid w:val="006E402A"/>
    <w:rsid w:val="006E525F"/>
    <w:rsid w:val="006E58F6"/>
    <w:rsid w:val="006E74F5"/>
    <w:rsid w:val="006E7DCA"/>
    <w:rsid w:val="006F00D3"/>
    <w:rsid w:val="006F03B7"/>
    <w:rsid w:val="006F2035"/>
    <w:rsid w:val="006F28EE"/>
    <w:rsid w:val="006F42C2"/>
    <w:rsid w:val="006F602A"/>
    <w:rsid w:val="006F7412"/>
    <w:rsid w:val="00704E65"/>
    <w:rsid w:val="00707845"/>
    <w:rsid w:val="0071025E"/>
    <w:rsid w:val="007105A5"/>
    <w:rsid w:val="00710B8D"/>
    <w:rsid w:val="00711B21"/>
    <w:rsid w:val="00712CF9"/>
    <w:rsid w:val="00713024"/>
    <w:rsid w:val="00713EA1"/>
    <w:rsid w:val="00715D6B"/>
    <w:rsid w:val="00717F6B"/>
    <w:rsid w:val="007212F0"/>
    <w:rsid w:val="00722EC6"/>
    <w:rsid w:val="00723FF6"/>
    <w:rsid w:val="0072460B"/>
    <w:rsid w:val="007266A7"/>
    <w:rsid w:val="00726876"/>
    <w:rsid w:val="007269B1"/>
    <w:rsid w:val="00730DF7"/>
    <w:rsid w:val="0073114A"/>
    <w:rsid w:val="0073123A"/>
    <w:rsid w:val="00731306"/>
    <w:rsid w:val="007331F6"/>
    <w:rsid w:val="0073362F"/>
    <w:rsid w:val="00733A3E"/>
    <w:rsid w:val="00736999"/>
    <w:rsid w:val="00736B54"/>
    <w:rsid w:val="007402CA"/>
    <w:rsid w:val="00740605"/>
    <w:rsid w:val="00740FA5"/>
    <w:rsid w:val="00742D13"/>
    <w:rsid w:val="007440A8"/>
    <w:rsid w:val="00747B97"/>
    <w:rsid w:val="00747DD4"/>
    <w:rsid w:val="00751820"/>
    <w:rsid w:val="00751B20"/>
    <w:rsid w:val="00751B7E"/>
    <w:rsid w:val="00752AB2"/>
    <w:rsid w:val="00754193"/>
    <w:rsid w:val="007556C8"/>
    <w:rsid w:val="00756FA1"/>
    <w:rsid w:val="0075717F"/>
    <w:rsid w:val="0075734A"/>
    <w:rsid w:val="007605DF"/>
    <w:rsid w:val="0076244A"/>
    <w:rsid w:val="00762D9D"/>
    <w:rsid w:val="0076348B"/>
    <w:rsid w:val="00763FD6"/>
    <w:rsid w:val="0076431D"/>
    <w:rsid w:val="00766DE9"/>
    <w:rsid w:val="007678A5"/>
    <w:rsid w:val="00770841"/>
    <w:rsid w:val="00771F67"/>
    <w:rsid w:val="00772012"/>
    <w:rsid w:val="0077276C"/>
    <w:rsid w:val="0077418F"/>
    <w:rsid w:val="00774B93"/>
    <w:rsid w:val="00774C01"/>
    <w:rsid w:val="007756C4"/>
    <w:rsid w:val="007823C9"/>
    <w:rsid w:val="007835B7"/>
    <w:rsid w:val="007863E1"/>
    <w:rsid w:val="007910D3"/>
    <w:rsid w:val="0079336E"/>
    <w:rsid w:val="007A2F5A"/>
    <w:rsid w:val="007A5BD0"/>
    <w:rsid w:val="007B2F0F"/>
    <w:rsid w:val="007B4B46"/>
    <w:rsid w:val="007B539F"/>
    <w:rsid w:val="007B5E5F"/>
    <w:rsid w:val="007B6CA0"/>
    <w:rsid w:val="007B6F71"/>
    <w:rsid w:val="007C06F8"/>
    <w:rsid w:val="007C27E5"/>
    <w:rsid w:val="007C2E24"/>
    <w:rsid w:val="007C3F78"/>
    <w:rsid w:val="007C4B09"/>
    <w:rsid w:val="007C6167"/>
    <w:rsid w:val="007C6EB8"/>
    <w:rsid w:val="007C7809"/>
    <w:rsid w:val="007D0A7B"/>
    <w:rsid w:val="007D13B9"/>
    <w:rsid w:val="007D2774"/>
    <w:rsid w:val="007D687F"/>
    <w:rsid w:val="007D71F7"/>
    <w:rsid w:val="007E024C"/>
    <w:rsid w:val="007E065D"/>
    <w:rsid w:val="007E160E"/>
    <w:rsid w:val="007E1BDD"/>
    <w:rsid w:val="007E1DED"/>
    <w:rsid w:val="007E700C"/>
    <w:rsid w:val="007E7388"/>
    <w:rsid w:val="007F1BAF"/>
    <w:rsid w:val="007F1F1C"/>
    <w:rsid w:val="007F2277"/>
    <w:rsid w:val="007F433C"/>
    <w:rsid w:val="007F4428"/>
    <w:rsid w:val="008004B0"/>
    <w:rsid w:val="008045D9"/>
    <w:rsid w:val="0080469F"/>
    <w:rsid w:val="0080691F"/>
    <w:rsid w:val="00806C8A"/>
    <w:rsid w:val="0080702C"/>
    <w:rsid w:val="00807165"/>
    <w:rsid w:val="00807348"/>
    <w:rsid w:val="00810CFD"/>
    <w:rsid w:val="00812094"/>
    <w:rsid w:val="0081333B"/>
    <w:rsid w:val="008140D7"/>
    <w:rsid w:val="0081653B"/>
    <w:rsid w:val="00821DF6"/>
    <w:rsid w:val="00823CCC"/>
    <w:rsid w:val="0082598E"/>
    <w:rsid w:val="00827179"/>
    <w:rsid w:val="0083029A"/>
    <w:rsid w:val="00830426"/>
    <w:rsid w:val="00830E02"/>
    <w:rsid w:val="00831C83"/>
    <w:rsid w:val="00831E0A"/>
    <w:rsid w:val="008343C4"/>
    <w:rsid w:val="00835847"/>
    <w:rsid w:val="00835C6F"/>
    <w:rsid w:val="008367A9"/>
    <w:rsid w:val="00837429"/>
    <w:rsid w:val="0083745B"/>
    <w:rsid w:val="00840252"/>
    <w:rsid w:val="00840420"/>
    <w:rsid w:val="00842DE3"/>
    <w:rsid w:val="00844F5E"/>
    <w:rsid w:val="00846701"/>
    <w:rsid w:val="0085232F"/>
    <w:rsid w:val="00853DAF"/>
    <w:rsid w:val="008541F5"/>
    <w:rsid w:val="00854E2A"/>
    <w:rsid w:val="008550CD"/>
    <w:rsid w:val="00857E3A"/>
    <w:rsid w:val="00861135"/>
    <w:rsid w:val="00864495"/>
    <w:rsid w:val="0086449D"/>
    <w:rsid w:val="008651BC"/>
    <w:rsid w:val="00867059"/>
    <w:rsid w:val="00867A5A"/>
    <w:rsid w:val="00867FFD"/>
    <w:rsid w:val="008711B1"/>
    <w:rsid w:val="0087154D"/>
    <w:rsid w:val="00871FBA"/>
    <w:rsid w:val="00872119"/>
    <w:rsid w:val="008722FB"/>
    <w:rsid w:val="008772E2"/>
    <w:rsid w:val="00877EA2"/>
    <w:rsid w:val="00877F6D"/>
    <w:rsid w:val="008808CA"/>
    <w:rsid w:val="00883321"/>
    <w:rsid w:val="00884BE5"/>
    <w:rsid w:val="00887D93"/>
    <w:rsid w:val="00890912"/>
    <w:rsid w:val="00890D7D"/>
    <w:rsid w:val="008917B4"/>
    <w:rsid w:val="008933C7"/>
    <w:rsid w:val="008941B9"/>
    <w:rsid w:val="00894216"/>
    <w:rsid w:val="008959F9"/>
    <w:rsid w:val="00896786"/>
    <w:rsid w:val="00897413"/>
    <w:rsid w:val="008A118C"/>
    <w:rsid w:val="008A46DC"/>
    <w:rsid w:val="008A4806"/>
    <w:rsid w:val="008A4BF4"/>
    <w:rsid w:val="008A510D"/>
    <w:rsid w:val="008A5EDE"/>
    <w:rsid w:val="008A7A4E"/>
    <w:rsid w:val="008A7C4F"/>
    <w:rsid w:val="008B21B9"/>
    <w:rsid w:val="008B2FA8"/>
    <w:rsid w:val="008B3253"/>
    <w:rsid w:val="008B3F5C"/>
    <w:rsid w:val="008C020E"/>
    <w:rsid w:val="008C2C9D"/>
    <w:rsid w:val="008C2F9E"/>
    <w:rsid w:val="008C4BCD"/>
    <w:rsid w:val="008C51D0"/>
    <w:rsid w:val="008D03EA"/>
    <w:rsid w:val="008D16BD"/>
    <w:rsid w:val="008D17A7"/>
    <w:rsid w:val="008D2E91"/>
    <w:rsid w:val="008D58E2"/>
    <w:rsid w:val="008D6283"/>
    <w:rsid w:val="008D7FB0"/>
    <w:rsid w:val="008E050B"/>
    <w:rsid w:val="008E1010"/>
    <w:rsid w:val="008E259A"/>
    <w:rsid w:val="008E2C2E"/>
    <w:rsid w:val="008E3F04"/>
    <w:rsid w:val="008E72A8"/>
    <w:rsid w:val="008F03CE"/>
    <w:rsid w:val="008F0627"/>
    <w:rsid w:val="008F15EC"/>
    <w:rsid w:val="008F1FF1"/>
    <w:rsid w:val="008F2498"/>
    <w:rsid w:val="008F41FB"/>
    <w:rsid w:val="008F4B49"/>
    <w:rsid w:val="008F4FAB"/>
    <w:rsid w:val="008F5977"/>
    <w:rsid w:val="008F5C9B"/>
    <w:rsid w:val="00903338"/>
    <w:rsid w:val="009039C8"/>
    <w:rsid w:val="00904BCF"/>
    <w:rsid w:val="00905B77"/>
    <w:rsid w:val="00906FD6"/>
    <w:rsid w:val="009079D0"/>
    <w:rsid w:val="00907DCD"/>
    <w:rsid w:val="009104AA"/>
    <w:rsid w:val="00914466"/>
    <w:rsid w:val="00915D8A"/>
    <w:rsid w:val="00917746"/>
    <w:rsid w:val="009209A5"/>
    <w:rsid w:val="00920F98"/>
    <w:rsid w:val="00922448"/>
    <w:rsid w:val="009228BB"/>
    <w:rsid w:val="00922FDA"/>
    <w:rsid w:val="00924172"/>
    <w:rsid w:val="009244DF"/>
    <w:rsid w:val="00927EF6"/>
    <w:rsid w:val="00930D45"/>
    <w:rsid w:val="00930E14"/>
    <w:rsid w:val="00930ECD"/>
    <w:rsid w:val="00933885"/>
    <w:rsid w:val="009338DA"/>
    <w:rsid w:val="00936E93"/>
    <w:rsid w:val="00937FDA"/>
    <w:rsid w:val="00947632"/>
    <w:rsid w:val="0094786C"/>
    <w:rsid w:val="00947B9F"/>
    <w:rsid w:val="00947FB4"/>
    <w:rsid w:val="00952D2F"/>
    <w:rsid w:val="00952D60"/>
    <w:rsid w:val="00952E44"/>
    <w:rsid w:val="00955447"/>
    <w:rsid w:val="00955A17"/>
    <w:rsid w:val="00957C50"/>
    <w:rsid w:val="00960E12"/>
    <w:rsid w:val="0096331F"/>
    <w:rsid w:val="00963914"/>
    <w:rsid w:val="00963A90"/>
    <w:rsid w:val="009729D8"/>
    <w:rsid w:val="00973A66"/>
    <w:rsid w:val="0097453F"/>
    <w:rsid w:val="00974577"/>
    <w:rsid w:val="00975045"/>
    <w:rsid w:val="00976670"/>
    <w:rsid w:val="00976BC3"/>
    <w:rsid w:val="00976E64"/>
    <w:rsid w:val="00977929"/>
    <w:rsid w:val="0098426D"/>
    <w:rsid w:val="009856EF"/>
    <w:rsid w:val="009875D9"/>
    <w:rsid w:val="00993B1F"/>
    <w:rsid w:val="00993F70"/>
    <w:rsid w:val="0099428D"/>
    <w:rsid w:val="00995932"/>
    <w:rsid w:val="00996D49"/>
    <w:rsid w:val="009A1C77"/>
    <w:rsid w:val="009A51E6"/>
    <w:rsid w:val="009A5BC5"/>
    <w:rsid w:val="009A61AA"/>
    <w:rsid w:val="009A747C"/>
    <w:rsid w:val="009A7DAC"/>
    <w:rsid w:val="009B2B6E"/>
    <w:rsid w:val="009B3C1F"/>
    <w:rsid w:val="009B7D7E"/>
    <w:rsid w:val="009C10F7"/>
    <w:rsid w:val="009C11B1"/>
    <w:rsid w:val="009C1722"/>
    <w:rsid w:val="009C6235"/>
    <w:rsid w:val="009C6E76"/>
    <w:rsid w:val="009D00B8"/>
    <w:rsid w:val="009D3E42"/>
    <w:rsid w:val="009D4581"/>
    <w:rsid w:val="009D682E"/>
    <w:rsid w:val="009E3023"/>
    <w:rsid w:val="009E40F9"/>
    <w:rsid w:val="009E48BC"/>
    <w:rsid w:val="009E5844"/>
    <w:rsid w:val="009E653F"/>
    <w:rsid w:val="009E7C9A"/>
    <w:rsid w:val="009F1CC4"/>
    <w:rsid w:val="009F4C6D"/>
    <w:rsid w:val="009F5062"/>
    <w:rsid w:val="009F5729"/>
    <w:rsid w:val="00A0043A"/>
    <w:rsid w:val="00A01D25"/>
    <w:rsid w:val="00A02277"/>
    <w:rsid w:val="00A02C8F"/>
    <w:rsid w:val="00A0624A"/>
    <w:rsid w:val="00A06830"/>
    <w:rsid w:val="00A076A0"/>
    <w:rsid w:val="00A10FF2"/>
    <w:rsid w:val="00A12892"/>
    <w:rsid w:val="00A149DF"/>
    <w:rsid w:val="00A1634D"/>
    <w:rsid w:val="00A16974"/>
    <w:rsid w:val="00A1707B"/>
    <w:rsid w:val="00A32694"/>
    <w:rsid w:val="00A33A18"/>
    <w:rsid w:val="00A33FA2"/>
    <w:rsid w:val="00A3470B"/>
    <w:rsid w:val="00A350BE"/>
    <w:rsid w:val="00A35C8A"/>
    <w:rsid w:val="00A36343"/>
    <w:rsid w:val="00A36638"/>
    <w:rsid w:val="00A36B9A"/>
    <w:rsid w:val="00A37737"/>
    <w:rsid w:val="00A4149B"/>
    <w:rsid w:val="00A51ECF"/>
    <w:rsid w:val="00A5335D"/>
    <w:rsid w:val="00A53EBD"/>
    <w:rsid w:val="00A56524"/>
    <w:rsid w:val="00A610B8"/>
    <w:rsid w:val="00A61208"/>
    <w:rsid w:val="00A62660"/>
    <w:rsid w:val="00A62D2C"/>
    <w:rsid w:val="00A64D6A"/>
    <w:rsid w:val="00A66A0F"/>
    <w:rsid w:val="00A67FB0"/>
    <w:rsid w:val="00A700BE"/>
    <w:rsid w:val="00A7038D"/>
    <w:rsid w:val="00A713C2"/>
    <w:rsid w:val="00A725C2"/>
    <w:rsid w:val="00A73440"/>
    <w:rsid w:val="00A75908"/>
    <w:rsid w:val="00A75D01"/>
    <w:rsid w:val="00A76B01"/>
    <w:rsid w:val="00A813D7"/>
    <w:rsid w:val="00A83BB1"/>
    <w:rsid w:val="00A87807"/>
    <w:rsid w:val="00A90332"/>
    <w:rsid w:val="00A94426"/>
    <w:rsid w:val="00A9734B"/>
    <w:rsid w:val="00A97D26"/>
    <w:rsid w:val="00AA06C5"/>
    <w:rsid w:val="00AA1669"/>
    <w:rsid w:val="00AA3A8E"/>
    <w:rsid w:val="00AA5BB8"/>
    <w:rsid w:val="00AA5D50"/>
    <w:rsid w:val="00AA6487"/>
    <w:rsid w:val="00AB001E"/>
    <w:rsid w:val="00AB2D04"/>
    <w:rsid w:val="00AB318B"/>
    <w:rsid w:val="00AB7D6A"/>
    <w:rsid w:val="00AC0A22"/>
    <w:rsid w:val="00AC3A3F"/>
    <w:rsid w:val="00AD190D"/>
    <w:rsid w:val="00AD2DAB"/>
    <w:rsid w:val="00AD5BFF"/>
    <w:rsid w:val="00AE0052"/>
    <w:rsid w:val="00AE1BBB"/>
    <w:rsid w:val="00AE2163"/>
    <w:rsid w:val="00AE2F4C"/>
    <w:rsid w:val="00AE3B4A"/>
    <w:rsid w:val="00AE4A87"/>
    <w:rsid w:val="00AE673D"/>
    <w:rsid w:val="00AE749B"/>
    <w:rsid w:val="00AF0629"/>
    <w:rsid w:val="00AF1BF1"/>
    <w:rsid w:val="00AF32B8"/>
    <w:rsid w:val="00AF3CB3"/>
    <w:rsid w:val="00AF531B"/>
    <w:rsid w:val="00AF5337"/>
    <w:rsid w:val="00AF53C2"/>
    <w:rsid w:val="00AF71F6"/>
    <w:rsid w:val="00AF78C6"/>
    <w:rsid w:val="00AF7C60"/>
    <w:rsid w:val="00B005C5"/>
    <w:rsid w:val="00B02305"/>
    <w:rsid w:val="00B02E23"/>
    <w:rsid w:val="00B05983"/>
    <w:rsid w:val="00B060D5"/>
    <w:rsid w:val="00B1175D"/>
    <w:rsid w:val="00B12731"/>
    <w:rsid w:val="00B12AA5"/>
    <w:rsid w:val="00B146BC"/>
    <w:rsid w:val="00B14DF1"/>
    <w:rsid w:val="00B15081"/>
    <w:rsid w:val="00B153B3"/>
    <w:rsid w:val="00B17CBB"/>
    <w:rsid w:val="00B20BBF"/>
    <w:rsid w:val="00B217CC"/>
    <w:rsid w:val="00B22797"/>
    <w:rsid w:val="00B2523F"/>
    <w:rsid w:val="00B25447"/>
    <w:rsid w:val="00B27097"/>
    <w:rsid w:val="00B271C9"/>
    <w:rsid w:val="00B31C57"/>
    <w:rsid w:val="00B32F09"/>
    <w:rsid w:val="00B33D96"/>
    <w:rsid w:val="00B33E36"/>
    <w:rsid w:val="00B34F0E"/>
    <w:rsid w:val="00B35F5F"/>
    <w:rsid w:val="00B36F78"/>
    <w:rsid w:val="00B3755E"/>
    <w:rsid w:val="00B404A6"/>
    <w:rsid w:val="00B40A63"/>
    <w:rsid w:val="00B41213"/>
    <w:rsid w:val="00B44C32"/>
    <w:rsid w:val="00B45C45"/>
    <w:rsid w:val="00B47277"/>
    <w:rsid w:val="00B475F2"/>
    <w:rsid w:val="00B56FB7"/>
    <w:rsid w:val="00B577A6"/>
    <w:rsid w:val="00B607BE"/>
    <w:rsid w:val="00B61E09"/>
    <w:rsid w:val="00B6274D"/>
    <w:rsid w:val="00B62B63"/>
    <w:rsid w:val="00B63F96"/>
    <w:rsid w:val="00B64C49"/>
    <w:rsid w:val="00B64D41"/>
    <w:rsid w:val="00B65758"/>
    <w:rsid w:val="00B66CB3"/>
    <w:rsid w:val="00B66D6E"/>
    <w:rsid w:val="00B67351"/>
    <w:rsid w:val="00B706C6"/>
    <w:rsid w:val="00B71917"/>
    <w:rsid w:val="00B7370A"/>
    <w:rsid w:val="00B739CF"/>
    <w:rsid w:val="00B7475F"/>
    <w:rsid w:val="00B80B07"/>
    <w:rsid w:val="00B8178C"/>
    <w:rsid w:val="00B81BF0"/>
    <w:rsid w:val="00B82E33"/>
    <w:rsid w:val="00B82ECB"/>
    <w:rsid w:val="00B8310B"/>
    <w:rsid w:val="00B83C8B"/>
    <w:rsid w:val="00B85BAF"/>
    <w:rsid w:val="00B90874"/>
    <w:rsid w:val="00B90BFA"/>
    <w:rsid w:val="00B93044"/>
    <w:rsid w:val="00B931B0"/>
    <w:rsid w:val="00B93ED9"/>
    <w:rsid w:val="00B95E2C"/>
    <w:rsid w:val="00BA2C17"/>
    <w:rsid w:val="00BA40F3"/>
    <w:rsid w:val="00BA5F6B"/>
    <w:rsid w:val="00BA6BD0"/>
    <w:rsid w:val="00BB0589"/>
    <w:rsid w:val="00BB1AF8"/>
    <w:rsid w:val="00BB2E2A"/>
    <w:rsid w:val="00BB4B39"/>
    <w:rsid w:val="00BB6ECF"/>
    <w:rsid w:val="00BB7271"/>
    <w:rsid w:val="00BC0C82"/>
    <w:rsid w:val="00BC3515"/>
    <w:rsid w:val="00BC59C2"/>
    <w:rsid w:val="00BD02CC"/>
    <w:rsid w:val="00BD22C7"/>
    <w:rsid w:val="00BD277B"/>
    <w:rsid w:val="00BD31A9"/>
    <w:rsid w:val="00BD530D"/>
    <w:rsid w:val="00BE205B"/>
    <w:rsid w:val="00BE264E"/>
    <w:rsid w:val="00BE4E80"/>
    <w:rsid w:val="00BE68B4"/>
    <w:rsid w:val="00BF11E3"/>
    <w:rsid w:val="00BF174F"/>
    <w:rsid w:val="00BF22DA"/>
    <w:rsid w:val="00C029B6"/>
    <w:rsid w:val="00C03B0F"/>
    <w:rsid w:val="00C03E68"/>
    <w:rsid w:val="00C05139"/>
    <w:rsid w:val="00C1115B"/>
    <w:rsid w:val="00C124B7"/>
    <w:rsid w:val="00C1658C"/>
    <w:rsid w:val="00C16745"/>
    <w:rsid w:val="00C16AB3"/>
    <w:rsid w:val="00C17224"/>
    <w:rsid w:val="00C17614"/>
    <w:rsid w:val="00C17685"/>
    <w:rsid w:val="00C20CBD"/>
    <w:rsid w:val="00C223A5"/>
    <w:rsid w:val="00C23A93"/>
    <w:rsid w:val="00C23BCF"/>
    <w:rsid w:val="00C2546E"/>
    <w:rsid w:val="00C2648A"/>
    <w:rsid w:val="00C2711D"/>
    <w:rsid w:val="00C275B4"/>
    <w:rsid w:val="00C310A0"/>
    <w:rsid w:val="00C33258"/>
    <w:rsid w:val="00C351DB"/>
    <w:rsid w:val="00C36A88"/>
    <w:rsid w:val="00C372C1"/>
    <w:rsid w:val="00C44141"/>
    <w:rsid w:val="00C45FC5"/>
    <w:rsid w:val="00C46E16"/>
    <w:rsid w:val="00C53EEF"/>
    <w:rsid w:val="00C54193"/>
    <w:rsid w:val="00C55A01"/>
    <w:rsid w:val="00C56A39"/>
    <w:rsid w:val="00C57DD6"/>
    <w:rsid w:val="00C607D5"/>
    <w:rsid w:val="00C62A8F"/>
    <w:rsid w:val="00C634E0"/>
    <w:rsid w:val="00C671BC"/>
    <w:rsid w:val="00C70919"/>
    <w:rsid w:val="00C759E4"/>
    <w:rsid w:val="00C75BEC"/>
    <w:rsid w:val="00C7791E"/>
    <w:rsid w:val="00C779D0"/>
    <w:rsid w:val="00C80D96"/>
    <w:rsid w:val="00C83560"/>
    <w:rsid w:val="00C836E3"/>
    <w:rsid w:val="00C83A19"/>
    <w:rsid w:val="00C84756"/>
    <w:rsid w:val="00C8527E"/>
    <w:rsid w:val="00C855D2"/>
    <w:rsid w:val="00C85B78"/>
    <w:rsid w:val="00C85E96"/>
    <w:rsid w:val="00C86FBD"/>
    <w:rsid w:val="00C9128F"/>
    <w:rsid w:val="00C91666"/>
    <w:rsid w:val="00C9219D"/>
    <w:rsid w:val="00C923D5"/>
    <w:rsid w:val="00C94E84"/>
    <w:rsid w:val="00CA0D9F"/>
    <w:rsid w:val="00CA18FB"/>
    <w:rsid w:val="00CA1BD1"/>
    <w:rsid w:val="00CA1CEF"/>
    <w:rsid w:val="00CB030A"/>
    <w:rsid w:val="00CB125C"/>
    <w:rsid w:val="00CB455B"/>
    <w:rsid w:val="00CB4D87"/>
    <w:rsid w:val="00CC4E6E"/>
    <w:rsid w:val="00CC6E0A"/>
    <w:rsid w:val="00CC7617"/>
    <w:rsid w:val="00CC7935"/>
    <w:rsid w:val="00CD17D1"/>
    <w:rsid w:val="00CD20F9"/>
    <w:rsid w:val="00CD5F39"/>
    <w:rsid w:val="00CD66FB"/>
    <w:rsid w:val="00CD67D5"/>
    <w:rsid w:val="00CE6D2A"/>
    <w:rsid w:val="00CE70E4"/>
    <w:rsid w:val="00CE7C1D"/>
    <w:rsid w:val="00CF0889"/>
    <w:rsid w:val="00CF2156"/>
    <w:rsid w:val="00CF41C5"/>
    <w:rsid w:val="00CF4D7B"/>
    <w:rsid w:val="00CF6914"/>
    <w:rsid w:val="00CF71FE"/>
    <w:rsid w:val="00CF7F30"/>
    <w:rsid w:val="00D003AF"/>
    <w:rsid w:val="00D0323A"/>
    <w:rsid w:val="00D049C3"/>
    <w:rsid w:val="00D04E6B"/>
    <w:rsid w:val="00D062A5"/>
    <w:rsid w:val="00D07715"/>
    <w:rsid w:val="00D106FE"/>
    <w:rsid w:val="00D10ED3"/>
    <w:rsid w:val="00D125E8"/>
    <w:rsid w:val="00D12D3B"/>
    <w:rsid w:val="00D13D7B"/>
    <w:rsid w:val="00D14535"/>
    <w:rsid w:val="00D15FDA"/>
    <w:rsid w:val="00D161B7"/>
    <w:rsid w:val="00D17C84"/>
    <w:rsid w:val="00D21A22"/>
    <w:rsid w:val="00D21ED8"/>
    <w:rsid w:val="00D22A32"/>
    <w:rsid w:val="00D23012"/>
    <w:rsid w:val="00D244E8"/>
    <w:rsid w:val="00D25D7C"/>
    <w:rsid w:val="00D26EC1"/>
    <w:rsid w:val="00D2709A"/>
    <w:rsid w:val="00D27EFB"/>
    <w:rsid w:val="00D30569"/>
    <w:rsid w:val="00D31F30"/>
    <w:rsid w:val="00D31F45"/>
    <w:rsid w:val="00D335BB"/>
    <w:rsid w:val="00D34B05"/>
    <w:rsid w:val="00D34CE8"/>
    <w:rsid w:val="00D35583"/>
    <w:rsid w:val="00D360B1"/>
    <w:rsid w:val="00D37504"/>
    <w:rsid w:val="00D37996"/>
    <w:rsid w:val="00D45D37"/>
    <w:rsid w:val="00D4725F"/>
    <w:rsid w:val="00D47EAE"/>
    <w:rsid w:val="00D54091"/>
    <w:rsid w:val="00D54B9A"/>
    <w:rsid w:val="00D54F2F"/>
    <w:rsid w:val="00D557F5"/>
    <w:rsid w:val="00D60619"/>
    <w:rsid w:val="00D61100"/>
    <w:rsid w:val="00D61C45"/>
    <w:rsid w:val="00D62AEF"/>
    <w:rsid w:val="00D62CE1"/>
    <w:rsid w:val="00D64DD6"/>
    <w:rsid w:val="00D6587C"/>
    <w:rsid w:val="00D72C4E"/>
    <w:rsid w:val="00D756CA"/>
    <w:rsid w:val="00D77713"/>
    <w:rsid w:val="00D7798A"/>
    <w:rsid w:val="00D81645"/>
    <w:rsid w:val="00D8307B"/>
    <w:rsid w:val="00D8327C"/>
    <w:rsid w:val="00D836F7"/>
    <w:rsid w:val="00D84645"/>
    <w:rsid w:val="00D85D93"/>
    <w:rsid w:val="00D864F8"/>
    <w:rsid w:val="00D879A3"/>
    <w:rsid w:val="00D87AFF"/>
    <w:rsid w:val="00D87DBF"/>
    <w:rsid w:val="00D93123"/>
    <w:rsid w:val="00D95999"/>
    <w:rsid w:val="00DA2A76"/>
    <w:rsid w:val="00DA2AC1"/>
    <w:rsid w:val="00DA527C"/>
    <w:rsid w:val="00DA5B6B"/>
    <w:rsid w:val="00DA700C"/>
    <w:rsid w:val="00DB2EF0"/>
    <w:rsid w:val="00DB4640"/>
    <w:rsid w:val="00DB72D0"/>
    <w:rsid w:val="00DC115C"/>
    <w:rsid w:val="00DC44F4"/>
    <w:rsid w:val="00DD027E"/>
    <w:rsid w:val="00DD0447"/>
    <w:rsid w:val="00DD05BB"/>
    <w:rsid w:val="00DD63E4"/>
    <w:rsid w:val="00DD688C"/>
    <w:rsid w:val="00DD74A4"/>
    <w:rsid w:val="00DE2783"/>
    <w:rsid w:val="00DE27B8"/>
    <w:rsid w:val="00DE3D55"/>
    <w:rsid w:val="00DE5707"/>
    <w:rsid w:val="00DE70C6"/>
    <w:rsid w:val="00DF0DB1"/>
    <w:rsid w:val="00DF21A8"/>
    <w:rsid w:val="00DF3A84"/>
    <w:rsid w:val="00DF7C6E"/>
    <w:rsid w:val="00E01663"/>
    <w:rsid w:val="00E01A46"/>
    <w:rsid w:val="00E04FDE"/>
    <w:rsid w:val="00E07A39"/>
    <w:rsid w:val="00E103AB"/>
    <w:rsid w:val="00E104EF"/>
    <w:rsid w:val="00E125CB"/>
    <w:rsid w:val="00E13C7D"/>
    <w:rsid w:val="00E13EDF"/>
    <w:rsid w:val="00E146EE"/>
    <w:rsid w:val="00E165C9"/>
    <w:rsid w:val="00E17165"/>
    <w:rsid w:val="00E202E6"/>
    <w:rsid w:val="00E20E8D"/>
    <w:rsid w:val="00E21B3E"/>
    <w:rsid w:val="00E21F7E"/>
    <w:rsid w:val="00E224C3"/>
    <w:rsid w:val="00E226E3"/>
    <w:rsid w:val="00E22BB4"/>
    <w:rsid w:val="00E23B83"/>
    <w:rsid w:val="00E23FD1"/>
    <w:rsid w:val="00E25D87"/>
    <w:rsid w:val="00E27377"/>
    <w:rsid w:val="00E300EC"/>
    <w:rsid w:val="00E31E46"/>
    <w:rsid w:val="00E332F5"/>
    <w:rsid w:val="00E34AE2"/>
    <w:rsid w:val="00E37601"/>
    <w:rsid w:val="00E42235"/>
    <w:rsid w:val="00E43B3E"/>
    <w:rsid w:val="00E4414C"/>
    <w:rsid w:val="00E443BA"/>
    <w:rsid w:val="00E45FB7"/>
    <w:rsid w:val="00E470CE"/>
    <w:rsid w:val="00E47C61"/>
    <w:rsid w:val="00E50F94"/>
    <w:rsid w:val="00E52203"/>
    <w:rsid w:val="00E524C3"/>
    <w:rsid w:val="00E528C9"/>
    <w:rsid w:val="00E5462E"/>
    <w:rsid w:val="00E62AD0"/>
    <w:rsid w:val="00E65605"/>
    <w:rsid w:val="00E65AFF"/>
    <w:rsid w:val="00E6767D"/>
    <w:rsid w:val="00E7411A"/>
    <w:rsid w:val="00E77371"/>
    <w:rsid w:val="00E77612"/>
    <w:rsid w:val="00E77A83"/>
    <w:rsid w:val="00E80370"/>
    <w:rsid w:val="00E82888"/>
    <w:rsid w:val="00E85972"/>
    <w:rsid w:val="00E86053"/>
    <w:rsid w:val="00E90E9C"/>
    <w:rsid w:val="00E91247"/>
    <w:rsid w:val="00E919BF"/>
    <w:rsid w:val="00E9512C"/>
    <w:rsid w:val="00EA0077"/>
    <w:rsid w:val="00EA0E38"/>
    <w:rsid w:val="00EA1872"/>
    <w:rsid w:val="00EA604E"/>
    <w:rsid w:val="00EA6536"/>
    <w:rsid w:val="00EA6AA3"/>
    <w:rsid w:val="00EA7167"/>
    <w:rsid w:val="00EB0026"/>
    <w:rsid w:val="00EB0384"/>
    <w:rsid w:val="00EB39F8"/>
    <w:rsid w:val="00EB3AE8"/>
    <w:rsid w:val="00EB6196"/>
    <w:rsid w:val="00EB67F0"/>
    <w:rsid w:val="00EB6B0C"/>
    <w:rsid w:val="00EB6F46"/>
    <w:rsid w:val="00EC058C"/>
    <w:rsid w:val="00EC1BDE"/>
    <w:rsid w:val="00EC1F4B"/>
    <w:rsid w:val="00EC678A"/>
    <w:rsid w:val="00ED1413"/>
    <w:rsid w:val="00ED1663"/>
    <w:rsid w:val="00ED1981"/>
    <w:rsid w:val="00ED50F5"/>
    <w:rsid w:val="00ED6BE1"/>
    <w:rsid w:val="00ED7099"/>
    <w:rsid w:val="00ED7757"/>
    <w:rsid w:val="00EE027B"/>
    <w:rsid w:val="00EE13B8"/>
    <w:rsid w:val="00EE31DF"/>
    <w:rsid w:val="00EE4E73"/>
    <w:rsid w:val="00EE7916"/>
    <w:rsid w:val="00EF1C6E"/>
    <w:rsid w:val="00EF2C80"/>
    <w:rsid w:val="00EF3559"/>
    <w:rsid w:val="00EF4D3B"/>
    <w:rsid w:val="00EF6A34"/>
    <w:rsid w:val="00EF7579"/>
    <w:rsid w:val="00EF7950"/>
    <w:rsid w:val="00F00BE0"/>
    <w:rsid w:val="00F016BD"/>
    <w:rsid w:val="00F026F0"/>
    <w:rsid w:val="00F0680A"/>
    <w:rsid w:val="00F06ED0"/>
    <w:rsid w:val="00F12013"/>
    <w:rsid w:val="00F12999"/>
    <w:rsid w:val="00F13822"/>
    <w:rsid w:val="00F14565"/>
    <w:rsid w:val="00F14973"/>
    <w:rsid w:val="00F14A70"/>
    <w:rsid w:val="00F175A5"/>
    <w:rsid w:val="00F22AEF"/>
    <w:rsid w:val="00F230F1"/>
    <w:rsid w:val="00F27B8D"/>
    <w:rsid w:val="00F304FB"/>
    <w:rsid w:val="00F313F8"/>
    <w:rsid w:val="00F315AB"/>
    <w:rsid w:val="00F32692"/>
    <w:rsid w:val="00F33033"/>
    <w:rsid w:val="00F33F07"/>
    <w:rsid w:val="00F35871"/>
    <w:rsid w:val="00F35D52"/>
    <w:rsid w:val="00F35F8C"/>
    <w:rsid w:val="00F36C93"/>
    <w:rsid w:val="00F373E1"/>
    <w:rsid w:val="00F42574"/>
    <w:rsid w:val="00F45257"/>
    <w:rsid w:val="00F45ABB"/>
    <w:rsid w:val="00F45CA2"/>
    <w:rsid w:val="00F45D78"/>
    <w:rsid w:val="00F46154"/>
    <w:rsid w:val="00F46AD5"/>
    <w:rsid w:val="00F47DCD"/>
    <w:rsid w:val="00F506F1"/>
    <w:rsid w:val="00F50CA4"/>
    <w:rsid w:val="00F50CAA"/>
    <w:rsid w:val="00F50CE7"/>
    <w:rsid w:val="00F51438"/>
    <w:rsid w:val="00F5274D"/>
    <w:rsid w:val="00F5301A"/>
    <w:rsid w:val="00F53110"/>
    <w:rsid w:val="00F549E7"/>
    <w:rsid w:val="00F5550D"/>
    <w:rsid w:val="00F618BB"/>
    <w:rsid w:val="00F6302F"/>
    <w:rsid w:val="00F67625"/>
    <w:rsid w:val="00F721E6"/>
    <w:rsid w:val="00F73A79"/>
    <w:rsid w:val="00F74C9D"/>
    <w:rsid w:val="00F76B14"/>
    <w:rsid w:val="00F81487"/>
    <w:rsid w:val="00F85F21"/>
    <w:rsid w:val="00F90CF5"/>
    <w:rsid w:val="00F91AD8"/>
    <w:rsid w:val="00F922B1"/>
    <w:rsid w:val="00FA1CBD"/>
    <w:rsid w:val="00FA56EF"/>
    <w:rsid w:val="00FA5D99"/>
    <w:rsid w:val="00FA6505"/>
    <w:rsid w:val="00FA72F6"/>
    <w:rsid w:val="00FB10A3"/>
    <w:rsid w:val="00FB1C83"/>
    <w:rsid w:val="00FB36D4"/>
    <w:rsid w:val="00FB3B0F"/>
    <w:rsid w:val="00FB510B"/>
    <w:rsid w:val="00FB5D1B"/>
    <w:rsid w:val="00FB75F9"/>
    <w:rsid w:val="00FB7C5A"/>
    <w:rsid w:val="00FC1C97"/>
    <w:rsid w:val="00FC26BF"/>
    <w:rsid w:val="00FC40B6"/>
    <w:rsid w:val="00FC423E"/>
    <w:rsid w:val="00FC523E"/>
    <w:rsid w:val="00FC574D"/>
    <w:rsid w:val="00FC6CE0"/>
    <w:rsid w:val="00FC7232"/>
    <w:rsid w:val="00FC7525"/>
    <w:rsid w:val="00FD1A30"/>
    <w:rsid w:val="00FD418F"/>
    <w:rsid w:val="00FD4365"/>
    <w:rsid w:val="00FD4D39"/>
    <w:rsid w:val="00FD4F52"/>
    <w:rsid w:val="00FD532F"/>
    <w:rsid w:val="00FE1EF3"/>
    <w:rsid w:val="00FE315D"/>
    <w:rsid w:val="00FE3182"/>
    <w:rsid w:val="00FE41E1"/>
    <w:rsid w:val="00FE4C92"/>
    <w:rsid w:val="00FE55F1"/>
    <w:rsid w:val="00FE5843"/>
    <w:rsid w:val="00FF213C"/>
    <w:rsid w:val="00FF4D81"/>
    <w:rsid w:val="00FF6F3D"/>
    <w:rsid w:val="00FF6F49"/>
    <w:rsid w:val="00FF75F5"/>
    <w:rsid w:val="010A3C9B"/>
    <w:rsid w:val="010D54EC"/>
    <w:rsid w:val="011376A2"/>
    <w:rsid w:val="01165FCD"/>
    <w:rsid w:val="01272D2B"/>
    <w:rsid w:val="012A3BF5"/>
    <w:rsid w:val="013567F0"/>
    <w:rsid w:val="013B4ECC"/>
    <w:rsid w:val="01472656"/>
    <w:rsid w:val="014D4677"/>
    <w:rsid w:val="01524939"/>
    <w:rsid w:val="01592D24"/>
    <w:rsid w:val="0159301C"/>
    <w:rsid w:val="015C48BA"/>
    <w:rsid w:val="015E4AC8"/>
    <w:rsid w:val="015F37AB"/>
    <w:rsid w:val="016025FC"/>
    <w:rsid w:val="01627929"/>
    <w:rsid w:val="016669EB"/>
    <w:rsid w:val="016B506A"/>
    <w:rsid w:val="017205E0"/>
    <w:rsid w:val="01722509"/>
    <w:rsid w:val="01775986"/>
    <w:rsid w:val="01811D96"/>
    <w:rsid w:val="01883E36"/>
    <w:rsid w:val="018E345A"/>
    <w:rsid w:val="018E7ABF"/>
    <w:rsid w:val="018F2513"/>
    <w:rsid w:val="0198796C"/>
    <w:rsid w:val="019A03EB"/>
    <w:rsid w:val="019E522D"/>
    <w:rsid w:val="01A5497A"/>
    <w:rsid w:val="01A91A6C"/>
    <w:rsid w:val="01B20B4D"/>
    <w:rsid w:val="01B464A4"/>
    <w:rsid w:val="01B500FA"/>
    <w:rsid w:val="01B8299A"/>
    <w:rsid w:val="01B8411E"/>
    <w:rsid w:val="01C133B8"/>
    <w:rsid w:val="01C25065"/>
    <w:rsid w:val="01C270FB"/>
    <w:rsid w:val="01C50397"/>
    <w:rsid w:val="01C80D8D"/>
    <w:rsid w:val="01C901A1"/>
    <w:rsid w:val="01D11385"/>
    <w:rsid w:val="01D332BB"/>
    <w:rsid w:val="01E67010"/>
    <w:rsid w:val="01FE2FA9"/>
    <w:rsid w:val="0200793B"/>
    <w:rsid w:val="02016B70"/>
    <w:rsid w:val="020F2171"/>
    <w:rsid w:val="021D0846"/>
    <w:rsid w:val="02240F10"/>
    <w:rsid w:val="0233386D"/>
    <w:rsid w:val="023870D5"/>
    <w:rsid w:val="023C035E"/>
    <w:rsid w:val="02420FBA"/>
    <w:rsid w:val="024535A0"/>
    <w:rsid w:val="024617F2"/>
    <w:rsid w:val="024B1C03"/>
    <w:rsid w:val="024F77E7"/>
    <w:rsid w:val="02560647"/>
    <w:rsid w:val="025D4B5C"/>
    <w:rsid w:val="0264378A"/>
    <w:rsid w:val="026515B7"/>
    <w:rsid w:val="026E6F9B"/>
    <w:rsid w:val="02762AF5"/>
    <w:rsid w:val="02794364"/>
    <w:rsid w:val="028916DF"/>
    <w:rsid w:val="029329B0"/>
    <w:rsid w:val="029733A6"/>
    <w:rsid w:val="029C1009"/>
    <w:rsid w:val="02A242FC"/>
    <w:rsid w:val="02A3645B"/>
    <w:rsid w:val="02A62291"/>
    <w:rsid w:val="02B456C1"/>
    <w:rsid w:val="02BE0C02"/>
    <w:rsid w:val="02BE1C3B"/>
    <w:rsid w:val="02C71F07"/>
    <w:rsid w:val="02CE7095"/>
    <w:rsid w:val="02CE7839"/>
    <w:rsid w:val="02D23086"/>
    <w:rsid w:val="02EB6A9B"/>
    <w:rsid w:val="02EC1789"/>
    <w:rsid w:val="02F200B2"/>
    <w:rsid w:val="02F3472A"/>
    <w:rsid w:val="02F778BD"/>
    <w:rsid w:val="02F92D08"/>
    <w:rsid w:val="030242D2"/>
    <w:rsid w:val="03031491"/>
    <w:rsid w:val="030376E3"/>
    <w:rsid w:val="031158F5"/>
    <w:rsid w:val="03121468"/>
    <w:rsid w:val="0325170D"/>
    <w:rsid w:val="03273969"/>
    <w:rsid w:val="033003B6"/>
    <w:rsid w:val="0336366B"/>
    <w:rsid w:val="033D20C5"/>
    <w:rsid w:val="03410097"/>
    <w:rsid w:val="0348748B"/>
    <w:rsid w:val="034877EC"/>
    <w:rsid w:val="037203C5"/>
    <w:rsid w:val="03726617"/>
    <w:rsid w:val="03731188"/>
    <w:rsid w:val="037B7D1A"/>
    <w:rsid w:val="03822C68"/>
    <w:rsid w:val="038826BA"/>
    <w:rsid w:val="038C7E40"/>
    <w:rsid w:val="038D16A3"/>
    <w:rsid w:val="03917DFD"/>
    <w:rsid w:val="039B0FB4"/>
    <w:rsid w:val="039C3A61"/>
    <w:rsid w:val="039C6988"/>
    <w:rsid w:val="039F2BBC"/>
    <w:rsid w:val="03A728D9"/>
    <w:rsid w:val="03A96A90"/>
    <w:rsid w:val="03AC7274"/>
    <w:rsid w:val="03AE3AF3"/>
    <w:rsid w:val="03B23CFC"/>
    <w:rsid w:val="03B6238C"/>
    <w:rsid w:val="03B945D4"/>
    <w:rsid w:val="03B97685"/>
    <w:rsid w:val="03BE21D5"/>
    <w:rsid w:val="03C14004"/>
    <w:rsid w:val="03C328C1"/>
    <w:rsid w:val="03C815E0"/>
    <w:rsid w:val="03CB1288"/>
    <w:rsid w:val="03CE62F9"/>
    <w:rsid w:val="03D0482E"/>
    <w:rsid w:val="03D746CC"/>
    <w:rsid w:val="03D96AC5"/>
    <w:rsid w:val="03E2554B"/>
    <w:rsid w:val="03F24223"/>
    <w:rsid w:val="03F64807"/>
    <w:rsid w:val="03FD25BA"/>
    <w:rsid w:val="04022B7C"/>
    <w:rsid w:val="04043713"/>
    <w:rsid w:val="04073203"/>
    <w:rsid w:val="040E4716"/>
    <w:rsid w:val="040F70CD"/>
    <w:rsid w:val="04106A25"/>
    <w:rsid w:val="0414147C"/>
    <w:rsid w:val="04161698"/>
    <w:rsid w:val="041C3D42"/>
    <w:rsid w:val="041F7D0F"/>
    <w:rsid w:val="04220CB2"/>
    <w:rsid w:val="0423034F"/>
    <w:rsid w:val="042A1D07"/>
    <w:rsid w:val="04303293"/>
    <w:rsid w:val="04322FF4"/>
    <w:rsid w:val="0438160E"/>
    <w:rsid w:val="043A7135"/>
    <w:rsid w:val="043F6F4A"/>
    <w:rsid w:val="04433CEA"/>
    <w:rsid w:val="04436F26"/>
    <w:rsid w:val="044625E2"/>
    <w:rsid w:val="044C4BAF"/>
    <w:rsid w:val="045E2EE6"/>
    <w:rsid w:val="046046C1"/>
    <w:rsid w:val="04671D69"/>
    <w:rsid w:val="04784101"/>
    <w:rsid w:val="047F698E"/>
    <w:rsid w:val="048221D3"/>
    <w:rsid w:val="0485012C"/>
    <w:rsid w:val="04894B8E"/>
    <w:rsid w:val="048E56D2"/>
    <w:rsid w:val="04904EE7"/>
    <w:rsid w:val="04977C3F"/>
    <w:rsid w:val="04A02B59"/>
    <w:rsid w:val="04A24CDA"/>
    <w:rsid w:val="04AE6891"/>
    <w:rsid w:val="04B12FF3"/>
    <w:rsid w:val="04B6239F"/>
    <w:rsid w:val="04BA5556"/>
    <w:rsid w:val="04C7405C"/>
    <w:rsid w:val="04C904B8"/>
    <w:rsid w:val="04CD4DAE"/>
    <w:rsid w:val="04D5330D"/>
    <w:rsid w:val="04D81DD4"/>
    <w:rsid w:val="04E23873"/>
    <w:rsid w:val="04E452F2"/>
    <w:rsid w:val="04EF43C3"/>
    <w:rsid w:val="04F445ED"/>
    <w:rsid w:val="04FA1A94"/>
    <w:rsid w:val="050414F1"/>
    <w:rsid w:val="05071955"/>
    <w:rsid w:val="050B36B6"/>
    <w:rsid w:val="050C0AB2"/>
    <w:rsid w:val="051E3875"/>
    <w:rsid w:val="0521087B"/>
    <w:rsid w:val="05280773"/>
    <w:rsid w:val="05287DA2"/>
    <w:rsid w:val="052A7579"/>
    <w:rsid w:val="0533125B"/>
    <w:rsid w:val="05357A3D"/>
    <w:rsid w:val="05397515"/>
    <w:rsid w:val="053A5640"/>
    <w:rsid w:val="0541349F"/>
    <w:rsid w:val="05465740"/>
    <w:rsid w:val="054A088F"/>
    <w:rsid w:val="054D2E98"/>
    <w:rsid w:val="054E0D09"/>
    <w:rsid w:val="054E19AB"/>
    <w:rsid w:val="054F4EE9"/>
    <w:rsid w:val="055045C3"/>
    <w:rsid w:val="055422CC"/>
    <w:rsid w:val="05551EBD"/>
    <w:rsid w:val="0560611A"/>
    <w:rsid w:val="05666772"/>
    <w:rsid w:val="05681C41"/>
    <w:rsid w:val="056B3FB1"/>
    <w:rsid w:val="056F18F5"/>
    <w:rsid w:val="05886F4B"/>
    <w:rsid w:val="058A40EC"/>
    <w:rsid w:val="059419B1"/>
    <w:rsid w:val="05947554"/>
    <w:rsid w:val="05976809"/>
    <w:rsid w:val="059A3F79"/>
    <w:rsid w:val="05B55C7F"/>
    <w:rsid w:val="05B66C8F"/>
    <w:rsid w:val="05BA01C0"/>
    <w:rsid w:val="05C42475"/>
    <w:rsid w:val="05C70E9C"/>
    <w:rsid w:val="05CA6B7F"/>
    <w:rsid w:val="05CF60C0"/>
    <w:rsid w:val="05D008D1"/>
    <w:rsid w:val="05D20121"/>
    <w:rsid w:val="05D67331"/>
    <w:rsid w:val="05D9472B"/>
    <w:rsid w:val="05DB2AF1"/>
    <w:rsid w:val="05E02296"/>
    <w:rsid w:val="05E20370"/>
    <w:rsid w:val="05E46CCB"/>
    <w:rsid w:val="05F65FAE"/>
    <w:rsid w:val="05F672CE"/>
    <w:rsid w:val="05F9149B"/>
    <w:rsid w:val="06050623"/>
    <w:rsid w:val="0607573C"/>
    <w:rsid w:val="060C1307"/>
    <w:rsid w:val="06137DBA"/>
    <w:rsid w:val="06227AEC"/>
    <w:rsid w:val="06230653"/>
    <w:rsid w:val="06261D04"/>
    <w:rsid w:val="062A0AEB"/>
    <w:rsid w:val="062E1625"/>
    <w:rsid w:val="062E2CC9"/>
    <w:rsid w:val="062E4A77"/>
    <w:rsid w:val="063848B4"/>
    <w:rsid w:val="06385D00"/>
    <w:rsid w:val="063B320A"/>
    <w:rsid w:val="06426C88"/>
    <w:rsid w:val="06455CC2"/>
    <w:rsid w:val="06510766"/>
    <w:rsid w:val="06543A2B"/>
    <w:rsid w:val="06547DB3"/>
    <w:rsid w:val="065A162A"/>
    <w:rsid w:val="065D1AC3"/>
    <w:rsid w:val="066A3FBC"/>
    <w:rsid w:val="067803E8"/>
    <w:rsid w:val="06783F44"/>
    <w:rsid w:val="06842580"/>
    <w:rsid w:val="068B5480"/>
    <w:rsid w:val="068F5597"/>
    <w:rsid w:val="069B5F1B"/>
    <w:rsid w:val="06A6607A"/>
    <w:rsid w:val="06A72A7B"/>
    <w:rsid w:val="06AB5586"/>
    <w:rsid w:val="06B26263"/>
    <w:rsid w:val="06BE2F7D"/>
    <w:rsid w:val="06C06015"/>
    <w:rsid w:val="06C82AA1"/>
    <w:rsid w:val="06CB44B7"/>
    <w:rsid w:val="06CC68D5"/>
    <w:rsid w:val="06D3658E"/>
    <w:rsid w:val="06D9077D"/>
    <w:rsid w:val="06D97623"/>
    <w:rsid w:val="06E31BBF"/>
    <w:rsid w:val="06E75DC0"/>
    <w:rsid w:val="06EE20B1"/>
    <w:rsid w:val="06F40D4B"/>
    <w:rsid w:val="06FC0BC6"/>
    <w:rsid w:val="06FF12BF"/>
    <w:rsid w:val="07091040"/>
    <w:rsid w:val="070A3D66"/>
    <w:rsid w:val="0711044D"/>
    <w:rsid w:val="07133C6D"/>
    <w:rsid w:val="07153E89"/>
    <w:rsid w:val="071B225A"/>
    <w:rsid w:val="071C0D73"/>
    <w:rsid w:val="071C3B6B"/>
    <w:rsid w:val="072150F3"/>
    <w:rsid w:val="07283BBC"/>
    <w:rsid w:val="073027E2"/>
    <w:rsid w:val="07446F84"/>
    <w:rsid w:val="07533514"/>
    <w:rsid w:val="07571DAC"/>
    <w:rsid w:val="075B63E2"/>
    <w:rsid w:val="076369A2"/>
    <w:rsid w:val="07670C63"/>
    <w:rsid w:val="076A48FE"/>
    <w:rsid w:val="07707E8A"/>
    <w:rsid w:val="07795D43"/>
    <w:rsid w:val="077C569C"/>
    <w:rsid w:val="078419A4"/>
    <w:rsid w:val="07996A2F"/>
    <w:rsid w:val="079C79BB"/>
    <w:rsid w:val="079E1D00"/>
    <w:rsid w:val="079F0581"/>
    <w:rsid w:val="079F512A"/>
    <w:rsid w:val="07A75DA3"/>
    <w:rsid w:val="07A80859"/>
    <w:rsid w:val="07A8164F"/>
    <w:rsid w:val="07A82607"/>
    <w:rsid w:val="07AD04B8"/>
    <w:rsid w:val="07AF4E93"/>
    <w:rsid w:val="07AF53CD"/>
    <w:rsid w:val="07B03628"/>
    <w:rsid w:val="07B1625B"/>
    <w:rsid w:val="07B44C1E"/>
    <w:rsid w:val="07C342D2"/>
    <w:rsid w:val="07C351BF"/>
    <w:rsid w:val="07C67E6D"/>
    <w:rsid w:val="07C844FE"/>
    <w:rsid w:val="07C8477D"/>
    <w:rsid w:val="07CA07CF"/>
    <w:rsid w:val="07CE1AA9"/>
    <w:rsid w:val="07D96E9C"/>
    <w:rsid w:val="07EF359B"/>
    <w:rsid w:val="07F573F8"/>
    <w:rsid w:val="07F6333F"/>
    <w:rsid w:val="07F67B80"/>
    <w:rsid w:val="08001F42"/>
    <w:rsid w:val="08090382"/>
    <w:rsid w:val="08093C92"/>
    <w:rsid w:val="081B0D7F"/>
    <w:rsid w:val="081B2CD8"/>
    <w:rsid w:val="081C06C0"/>
    <w:rsid w:val="081D1C51"/>
    <w:rsid w:val="081F2DF0"/>
    <w:rsid w:val="0822685D"/>
    <w:rsid w:val="08260360"/>
    <w:rsid w:val="082C3CF2"/>
    <w:rsid w:val="08344E9B"/>
    <w:rsid w:val="083B330C"/>
    <w:rsid w:val="083D71F3"/>
    <w:rsid w:val="083F3D81"/>
    <w:rsid w:val="08400D74"/>
    <w:rsid w:val="08452B21"/>
    <w:rsid w:val="084560A8"/>
    <w:rsid w:val="08534B88"/>
    <w:rsid w:val="0854453D"/>
    <w:rsid w:val="0859198F"/>
    <w:rsid w:val="08610BA9"/>
    <w:rsid w:val="086230FE"/>
    <w:rsid w:val="086A5B0F"/>
    <w:rsid w:val="08707DA5"/>
    <w:rsid w:val="0871490B"/>
    <w:rsid w:val="08761B4F"/>
    <w:rsid w:val="087C22C3"/>
    <w:rsid w:val="08834C71"/>
    <w:rsid w:val="08861943"/>
    <w:rsid w:val="088B326F"/>
    <w:rsid w:val="089600B3"/>
    <w:rsid w:val="089B1B97"/>
    <w:rsid w:val="089F7EAE"/>
    <w:rsid w:val="08A76D63"/>
    <w:rsid w:val="08B916C1"/>
    <w:rsid w:val="08C94DB5"/>
    <w:rsid w:val="08C94F2B"/>
    <w:rsid w:val="08CC1439"/>
    <w:rsid w:val="08D22EEA"/>
    <w:rsid w:val="08D51DF0"/>
    <w:rsid w:val="08D65C17"/>
    <w:rsid w:val="08D8695A"/>
    <w:rsid w:val="08D86F1C"/>
    <w:rsid w:val="08E8161A"/>
    <w:rsid w:val="08F062C2"/>
    <w:rsid w:val="08F32FFF"/>
    <w:rsid w:val="08F45398"/>
    <w:rsid w:val="08F95623"/>
    <w:rsid w:val="090327CA"/>
    <w:rsid w:val="090B19E1"/>
    <w:rsid w:val="090B6229"/>
    <w:rsid w:val="090E0B90"/>
    <w:rsid w:val="0910646C"/>
    <w:rsid w:val="09136778"/>
    <w:rsid w:val="091C2C93"/>
    <w:rsid w:val="091E0127"/>
    <w:rsid w:val="091E5EEA"/>
    <w:rsid w:val="092108C3"/>
    <w:rsid w:val="09235BFF"/>
    <w:rsid w:val="092C644B"/>
    <w:rsid w:val="09376435"/>
    <w:rsid w:val="09391815"/>
    <w:rsid w:val="093E3239"/>
    <w:rsid w:val="0946032A"/>
    <w:rsid w:val="094D16B8"/>
    <w:rsid w:val="095C0FA5"/>
    <w:rsid w:val="096C5BEF"/>
    <w:rsid w:val="096F79DD"/>
    <w:rsid w:val="09824FE5"/>
    <w:rsid w:val="098A1CFD"/>
    <w:rsid w:val="098E4BBC"/>
    <w:rsid w:val="09975029"/>
    <w:rsid w:val="099D2709"/>
    <w:rsid w:val="09AC6517"/>
    <w:rsid w:val="09AF222A"/>
    <w:rsid w:val="09BB688D"/>
    <w:rsid w:val="09BD382D"/>
    <w:rsid w:val="09C1515D"/>
    <w:rsid w:val="09C33294"/>
    <w:rsid w:val="09C474A0"/>
    <w:rsid w:val="09CA5BC9"/>
    <w:rsid w:val="09D51D3F"/>
    <w:rsid w:val="09D53E6D"/>
    <w:rsid w:val="09DE00BB"/>
    <w:rsid w:val="09E15530"/>
    <w:rsid w:val="09E23FFF"/>
    <w:rsid w:val="09EB7B38"/>
    <w:rsid w:val="09F76E81"/>
    <w:rsid w:val="0A011CDE"/>
    <w:rsid w:val="0A0377B9"/>
    <w:rsid w:val="0A0B3CFF"/>
    <w:rsid w:val="0A19094E"/>
    <w:rsid w:val="0A1B2824"/>
    <w:rsid w:val="0A1B58FF"/>
    <w:rsid w:val="0A203115"/>
    <w:rsid w:val="0A20579E"/>
    <w:rsid w:val="0A262F18"/>
    <w:rsid w:val="0A3F0598"/>
    <w:rsid w:val="0A4801D9"/>
    <w:rsid w:val="0A4D029C"/>
    <w:rsid w:val="0A4E3A53"/>
    <w:rsid w:val="0A502579"/>
    <w:rsid w:val="0A5108B3"/>
    <w:rsid w:val="0A594EA5"/>
    <w:rsid w:val="0A5A1036"/>
    <w:rsid w:val="0A6A6CD0"/>
    <w:rsid w:val="0A6D7B49"/>
    <w:rsid w:val="0A6E435A"/>
    <w:rsid w:val="0A7100C5"/>
    <w:rsid w:val="0A762E91"/>
    <w:rsid w:val="0A7862F4"/>
    <w:rsid w:val="0A7D7E85"/>
    <w:rsid w:val="0A7F0792"/>
    <w:rsid w:val="0A841679"/>
    <w:rsid w:val="0A89125A"/>
    <w:rsid w:val="0A917654"/>
    <w:rsid w:val="0A96708F"/>
    <w:rsid w:val="0A9D6DC0"/>
    <w:rsid w:val="0AAF113F"/>
    <w:rsid w:val="0AB47515"/>
    <w:rsid w:val="0AB54FCC"/>
    <w:rsid w:val="0ABD78B6"/>
    <w:rsid w:val="0AC41A0D"/>
    <w:rsid w:val="0AC66C3F"/>
    <w:rsid w:val="0ACA2285"/>
    <w:rsid w:val="0AD11D45"/>
    <w:rsid w:val="0ADB2FAB"/>
    <w:rsid w:val="0ADD081A"/>
    <w:rsid w:val="0AE007F1"/>
    <w:rsid w:val="0AE0655C"/>
    <w:rsid w:val="0AE903B8"/>
    <w:rsid w:val="0AEB708B"/>
    <w:rsid w:val="0AF025F3"/>
    <w:rsid w:val="0AF67D3D"/>
    <w:rsid w:val="0AFF2E86"/>
    <w:rsid w:val="0B022976"/>
    <w:rsid w:val="0B0C10FF"/>
    <w:rsid w:val="0B1873A5"/>
    <w:rsid w:val="0B1A624D"/>
    <w:rsid w:val="0B210F78"/>
    <w:rsid w:val="0B3060B6"/>
    <w:rsid w:val="0B394485"/>
    <w:rsid w:val="0B3E0D72"/>
    <w:rsid w:val="0B3F14D4"/>
    <w:rsid w:val="0B403FCB"/>
    <w:rsid w:val="0B43574D"/>
    <w:rsid w:val="0B440D74"/>
    <w:rsid w:val="0B5C667D"/>
    <w:rsid w:val="0B5D1D8E"/>
    <w:rsid w:val="0B651B32"/>
    <w:rsid w:val="0B6C5DE7"/>
    <w:rsid w:val="0B6D6042"/>
    <w:rsid w:val="0B7462A1"/>
    <w:rsid w:val="0B7B3AA7"/>
    <w:rsid w:val="0B7D2A61"/>
    <w:rsid w:val="0B81389B"/>
    <w:rsid w:val="0B8C496B"/>
    <w:rsid w:val="0B9D6951"/>
    <w:rsid w:val="0BA16641"/>
    <w:rsid w:val="0BB04180"/>
    <w:rsid w:val="0BB25F6E"/>
    <w:rsid w:val="0BB3001E"/>
    <w:rsid w:val="0BB5398A"/>
    <w:rsid w:val="0BB8200C"/>
    <w:rsid w:val="0BBB7B92"/>
    <w:rsid w:val="0BC21965"/>
    <w:rsid w:val="0BCA7F98"/>
    <w:rsid w:val="0BCF0AAA"/>
    <w:rsid w:val="0BD92EBB"/>
    <w:rsid w:val="0BE75D86"/>
    <w:rsid w:val="0BF9008E"/>
    <w:rsid w:val="0BF946AA"/>
    <w:rsid w:val="0BFC5617"/>
    <w:rsid w:val="0C0A63D9"/>
    <w:rsid w:val="0C0E2A4D"/>
    <w:rsid w:val="0C283DFB"/>
    <w:rsid w:val="0C2A2367"/>
    <w:rsid w:val="0C3414B3"/>
    <w:rsid w:val="0C39411F"/>
    <w:rsid w:val="0C3A5296"/>
    <w:rsid w:val="0C430C9E"/>
    <w:rsid w:val="0C460641"/>
    <w:rsid w:val="0C4D19CF"/>
    <w:rsid w:val="0C4F3E77"/>
    <w:rsid w:val="0C517013"/>
    <w:rsid w:val="0C566AD6"/>
    <w:rsid w:val="0C5B51F2"/>
    <w:rsid w:val="0C7317AD"/>
    <w:rsid w:val="0C7A176F"/>
    <w:rsid w:val="0C7E39F0"/>
    <w:rsid w:val="0C7F03D9"/>
    <w:rsid w:val="0C81308E"/>
    <w:rsid w:val="0C8338B3"/>
    <w:rsid w:val="0C890729"/>
    <w:rsid w:val="0C8A2925"/>
    <w:rsid w:val="0C8E0841"/>
    <w:rsid w:val="0C917B0E"/>
    <w:rsid w:val="0C933345"/>
    <w:rsid w:val="0C971286"/>
    <w:rsid w:val="0C9C7EF4"/>
    <w:rsid w:val="0C9D0CAA"/>
    <w:rsid w:val="0C9D782F"/>
    <w:rsid w:val="0CA912FB"/>
    <w:rsid w:val="0CAB1715"/>
    <w:rsid w:val="0CAC6BB6"/>
    <w:rsid w:val="0CAF61E6"/>
    <w:rsid w:val="0CB02EB1"/>
    <w:rsid w:val="0CB15605"/>
    <w:rsid w:val="0CB3217A"/>
    <w:rsid w:val="0CB328B0"/>
    <w:rsid w:val="0CC03C6B"/>
    <w:rsid w:val="0CC32409"/>
    <w:rsid w:val="0CC34F37"/>
    <w:rsid w:val="0CC7352F"/>
    <w:rsid w:val="0CC90A17"/>
    <w:rsid w:val="0CCD447F"/>
    <w:rsid w:val="0CD41746"/>
    <w:rsid w:val="0CD757B5"/>
    <w:rsid w:val="0CDB347F"/>
    <w:rsid w:val="0CDC4E77"/>
    <w:rsid w:val="0CDF2F6F"/>
    <w:rsid w:val="0CE860F6"/>
    <w:rsid w:val="0CEA1C84"/>
    <w:rsid w:val="0CEA36C2"/>
    <w:rsid w:val="0CF51EF3"/>
    <w:rsid w:val="0CF956B3"/>
    <w:rsid w:val="0D1358BE"/>
    <w:rsid w:val="0D18464C"/>
    <w:rsid w:val="0D261100"/>
    <w:rsid w:val="0D270A75"/>
    <w:rsid w:val="0D2E7A52"/>
    <w:rsid w:val="0D315EA9"/>
    <w:rsid w:val="0D4277F6"/>
    <w:rsid w:val="0D4B4161"/>
    <w:rsid w:val="0D564B17"/>
    <w:rsid w:val="0D577525"/>
    <w:rsid w:val="0D594C75"/>
    <w:rsid w:val="0D613984"/>
    <w:rsid w:val="0D7F0D93"/>
    <w:rsid w:val="0D846A54"/>
    <w:rsid w:val="0D8579FA"/>
    <w:rsid w:val="0D864353"/>
    <w:rsid w:val="0D8858CE"/>
    <w:rsid w:val="0D8B6C53"/>
    <w:rsid w:val="0D8C093F"/>
    <w:rsid w:val="0D8C5089"/>
    <w:rsid w:val="0D8E6E37"/>
    <w:rsid w:val="0D906017"/>
    <w:rsid w:val="0D926B18"/>
    <w:rsid w:val="0D933B4A"/>
    <w:rsid w:val="0D99217A"/>
    <w:rsid w:val="0DAB03AE"/>
    <w:rsid w:val="0DAB36BA"/>
    <w:rsid w:val="0DBA6BE6"/>
    <w:rsid w:val="0DBC7CFE"/>
    <w:rsid w:val="0DCB52A1"/>
    <w:rsid w:val="0DD028B8"/>
    <w:rsid w:val="0DD505F0"/>
    <w:rsid w:val="0DD759F4"/>
    <w:rsid w:val="0DDA1952"/>
    <w:rsid w:val="0DDB31EB"/>
    <w:rsid w:val="0DDC74AE"/>
    <w:rsid w:val="0DDF0D4D"/>
    <w:rsid w:val="0DE764FE"/>
    <w:rsid w:val="0DEA3475"/>
    <w:rsid w:val="0DEA5E6A"/>
    <w:rsid w:val="0DF14DE5"/>
    <w:rsid w:val="0DF465A6"/>
    <w:rsid w:val="0DF62C9E"/>
    <w:rsid w:val="0DFC36FB"/>
    <w:rsid w:val="0E0D7668"/>
    <w:rsid w:val="0E122ED0"/>
    <w:rsid w:val="0E15698D"/>
    <w:rsid w:val="0E226D74"/>
    <w:rsid w:val="0E2C4F13"/>
    <w:rsid w:val="0E2D1963"/>
    <w:rsid w:val="0E2D1AB8"/>
    <w:rsid w:val="0E345CDC"/>
    <w:rsid w:val="0E3632B2"/>
    <w:rsid w:val="0E39795C"/>
    <w:rsid w:val="0E415DB3"/>
    <w:rsid w:val="0E4917B5"/>
    <w:rsid w:val="0E4A292A"/>
    <w:rsid w:val="0E4E2B96"/>
    <w:rsid w:val="0E545297"/>
    <w:rsid w:val="0E567261"/>
    <w:rsid w:val="0E567341"/>
    <w:rsid w:val="0E65405D"/>
    <w:rsid w:val="0E700A64"/>
    <w:rsid w:val="0E7D1670"/>
    <w:rsid w:val="0E826757"/>
    <w:rsid w:val="0E83792A"/>
    <w:rsid w:val="0E8D4D50"/>
    <w:rsid w:val="0E910656"/>
    <w:rsid w:val="0E925E6F"/>
    <w:rsid w:val="0E982A8B"/>
    <w:rsid w:val="0E9F0119"/>
    <w:rsid w:val="0EA425CF"/>
    <w:rsid w:val="0EAC48B5"/>
    <w:rsid w:val="0EAE38CF"/>
    <w:rsid w:val="0EB37705"/>
    <w:rsid w:val="0EB641F6"/>
    <w:rsid w:val="0EB66A2D"/>
    <w:rsid w:val="0EC83D6B"/>
    <w:rsid w:val="0ED572C9"/>
    <w:rsid w:val="0EDC1BCE"/>
    <w:rsid w:val="0EDF4DA4"/>
    <w:rsid w:val="0EE04D7C"/>
    <w:rsid w:val="0EE7435D"/>
    <w:rsid w:val="0EEC54CF"/>
    <w:rsid w:val="0EF52635"/>
    <w:rsid w:val="0EF820C6"/>
    <w:rsid w:val="0EF8759D"/>
    <w:rsid w:val="0F096081"/>
    <w:rsid w:val="0F0D26CC"/>
    <w:rsid w:val="0F103F50"/>
    <w:rsid w:val="0F16079E"/>
    <w:rsid w:val="0F184ADA"/>
    <w:rsid w:val="0F254285"/>
    <w:rsid w:val="0F254BC5"/>
    <w:rsid w:val="0F360329"/>
    <w:rsid w:val="0F3A4D6F"/>
    <w:rsid w:val="0F3D21CF"/>
    <w:rsid w:val="0F451083"/>
    <w:rsid w:val="0F454FBA"/>
    <w:rsid w:val="0F4715A1"/>
    <w:rsid w:val="0F492E3F"/>
    <w:rsid w:val="0F4C0575"/>
    <w:rsid w:val="0F4C7B1C"/>
    <w:rsid w:val="0F64775C"/>
    <w:rsid w:val="0F6862DA"/>
    <w:rsid w:val="0F7A6F7F"/>
    <w:rsid w:val="0F890F70"/>
    <w:rsid w:val="0F8971C2"/>
    <w:rsid w:val="0F9B3185"/>
    <w:rsid w:val="0FA1669B"/>
    <w:rsid w:val="0FAB5D62"/>
    <w:rsid w:val="0FAD2305"/>
    <w:rsid w:val="0FB84EA6"/>
    <w:rsid w:val="0FBF6D58"/>
    <w:rsid w:val="0FC77080"/>
    <w:rsid w:val="0FCA1E61"/>
    <w:rsid w:val="0FD053C6"/>
    <w:rsid w:val="0FD76C15"/>
    <w:rsid w:val="0FE43632"/>
    <w:rsid w:val="100B66C4"/>
    <w:rsid w:val="100D18E1"/>
    <w:rsid w:val="101C54DD"/>
    <w:rsid w:val="10223133"/>
    <w:rsid w:val="102B64CB"/>
    <w:rsid w:val="102E5D3B"/>
    <w:rsid w:val="103B5D52"/>
    <w:rsid w:val="103E2A4F"/>
    <w:rsid w:val="104717AF"/>
    <w:rsid w:val="105667BD"/>
    <w:rsid w:val="10597D75"/>
    <w:rsid w:val="106808C5"/>
    <w:rsid w:val="106A0648"/>
    <w:rsid w:val="106B203E"/>
    <w:rsid w:val="106B330D"/>
    <w:rsid w:val="1072324E"/>
    <w:rsid w:val="107407BA"/>
    <w:rsid w:val="107D54AD"/>
    <w:rsid w:val="10806E73"/>
    <w:rsid w:val="1082744F"/>
    <w:rsid w:val="108370EA"/>
    <w:rsid w:val="10861954"/>
    <w:rsid w:val="10876323"/>
    <w:rsid w:val="10893B2B"/>
    <w:rsid w:val="108C54C8"/>
    <w:rsid w:val="108E4479"/>
    <w:rsid w:val="1092654A"/>
    <w:rsid w:val="10A2232D"/>
    <w:rsid w:val="10B42EE9"/>
    <w:rsid w:val="10B767FF"/>
    <w:rsid w:val="10C304B2"/>
    <w:rsid w:val="10CC46B3"/>
    <w:rsid w:val="10D56B2F"/>
    <w:rsid w:val="10E02E12"/>
    <w:rsid w:val="10E11B23"/>
    <w:rsid w:val="10EF538B"/>
    <w:rsid w:val="10F04DD6"/>
    <w:rsid w:val="10F845FF"/>
    <w:rsid w:val="11021A8B"/>
    <w:rsid w:val="110D6ECE"/>
    <w:rsid w:val="1111121D"/>
    <w:rsid w:val="11125C3A"/>
    <w:rsid w:val="1113591B"/>
    <w:rsid w:val="111A1606"/>
    <w:rsid w:val="11216397"/>
    <w:rsid w:val="11267301"/>
    <w:rsid w:val="11312DC0"/>
    <w:rsid w:val="11336333"/>
    <w:rsid w:val="113439DF"/>
    <w:rsid w:val="11344F36"/>
    <w:rsid w:val="11366607"/>
    <w:rsid w:val="113C7F88"/>
    <w:rsid w:val="113E2EAB"/>
    <w:rsid w:val="114701EB"/>
    <w:rsid w:val="11486D50"/>
    <w:rsid w:val="115B06EA"/>
    <w:rsid w:val="115D74DB"/>
    <w:rsid w:val="115F467E"/>
    <w:rsid w:val="11622A94"/>
    <w:rsid w:val="117A5014"/>
    <w:rsid w:val="118848CF"/>
    <w:rsid w:val="11894149"/>
    <w:rsid w:val="118C5FAD"/>
    <w:rsid w:val="118E2015"/>
    <w:rsid w:val="118F4F1D"/>
    <w:rsid w:val="11904838"/>
    <w:rsid w:val="119564CF"/>
    <w:rsid w:val="119D1E8A"/>
    <w:rsid w:val="119D3980"/>
    <w:rsid w:val="11B4612E"/>
    <w:rsid w:val="11BC387F"/>
    <w:rsid w:val="11C11380"/>
    <w:rsid w:val="11C15F24"/>
    <w:rsid w:val="11C4327C"/>
    <w:rsid w:val="11CB0B28"/>
    <w:rsid w:val="11CB2ED9"/>
    <w:rsid w:val="11CD4312"/>
    <w:rsid w:val="11D353EB"/>
    <w:rsid w:val="11D41553"/>
    <w:rsid w:val="11D774D6"/>
    <w:rsid w:val="11DA2CA1"/>
    <w:rsid w:val="11DB6BE3"/>
    <w:rsid w:val="11EA752B"/>
    <w:rsid w:val="11FD6207"/>
    <w:rsid w:val="12092462"/>
    <w:rsid w:val="120A03AC"/>
    <w:rsid w:val="120C17D7"/>
    <w:rsid w:val="120F250A"/>
    <w:rsid w:val="120F2891"/>
    <w:rsid w:val="12162319"/>
    <w:rsid w:val="12186591"/>
    <w:rsid w:val="121865DB"/>
    <w:rsid w:val="121D403F"/>
    <w:rsid w:val="12261112"/>
    <w:rsid w:val="12276F00"/>
    <w:rsid w:val="122C61F2"/>
    <w:rsid w:val="12322034"/>
    <w:rsid w:val="12333415"/>
    <w:rsid w:val="12341308"/>
    <w:rsid w:val="124272D4"/>
    <w:rsid w:val="124420C5"/>
    <w:rsid w:val="12450BFD"/>
    <w:rsid w:val="12466F14"/>
    <w:rsid w:val="124B14A7"/>
    <w:rsid w:val="124F62EA"/>
    <w:rsid w:val="126438E3"/>
    <w:rsid w:val="126927D9"/>
    <w:rsid w:val="126B216A"/>
    <w:rsid w:val="126D6927"/>
    <w:rsid w:val="127D3720"/>
    <w:rsid w:val="128A0DD7"/>
    <w:rsid w:val="128B4BC4"/>
    <w:rsid w:val="128C1339"/>
    <w:rsid w:val="12902DF3"/>
    <w:rsid w:val="12905686"/>
    <w:rsid w:val="12937F81"/>
    <w:rsid w:val="129812CD"/>
    <w:rsid w:val="129A6A3B"/>
    <w:rsid w:val="129C76F3"/>
    <w:rsid w:val="129F7C67"/>
    <w:rsid w:val="12AF5192"/>
    <w:rsid w:val="12C215CD"/>
    <w:rsid w:val="12C57436"/>
    <w:rsid w:val="12D451A7"/>
    <w:rsid w:val="12DB6887"/>
    <w:rsid w:val="12E053C9"/>
    <w:rsid w:val="12E5133B"/>
    <w:rsid w:val="12ED0C43"/>
    <w:rsid w:val="12F21444"/>
    <w:rsid w:val="12F40AC9"/>
    <w:rsid w:val="12F45803"/>
    <w:rsid w:val="12FE7BEE"/>
    <w:rsid w:val="13001549"/>
    <w:rsid w:val="13020825"/>
    <w:rsid w:val="13070C85"/>
    <w:rsid w:val="13082412"/>
    <w:rsid w:val="130B7EEE"/>
    <w:rsid w:val="13190AA8"/>
    <w:rsid w:val="1319260B"/>
    <w:rsid w:val="13201149"/>
    <w:rsid w:val="132A0BBC"/>
    <w:rsid w:val="132C2F9D"/>
    <w:rsid w:val="132E255A"/>
    <w:rsid w:val="132F0080"/>
    <w:rsid w:val="13380DD8"/>
    <w:rsid w:val="13381102"/>
    <w:rsid w:val="133D47A7"/>
    <w:rsid w:val="1344521A"/>
    <w:rsid w:val="13577C09"/>
    <w:rsid w:val="135812DA"/>
    <w:rsid w:val="13631AD8"/>
    <w:rsid w:val="13645ACB"/>
    <w:rsid w:val="136515AA"/>
    <w:rsid w:val="136D066E"/>
    <w:rsid w:val="1374007D"/>
    <w:rsid w:val="13782739"/>
    <w:rsid w:val="138F6241"/>
    <w:rsid w:val="13906489"/>
    <w:rsid w:val="13955C19"/>
    <w:rsid w:val="13960100"/>
    <w:rsid w:val="1397044C"/>
    <w:rsid w:val="13A1536F"/>
    <w:rsid w:val="13A20852"/>
    <w:rsid w:val="13A30DD9"/>
    <w:rsid w:val="13A63768"/>
    <w:rsid w:val="13AC7DD3"/>
    <w:rsid w:val="13AF2F6F"/>
    <w:rsid w:val="13B26361"/>
    <w:rsid w:val="13B619EA"/>
    <w:rsid w:val="13B81E24"/>
    <w:rsid w:val="13C20EF5"/>
    <w:rsid w:val="13C21D5F"/>
    <w:rsid w:val="13C81B74"/>
    <w:rsid w:val="13CB5FFB"/>
    <w:rsid w:val="13CB67CA"/>
    <w:rsid w:val="13D30D8E"/>
    <w:rsid w:val="13D33102"/>
    <w:rsid w:val="13D94887"/>
    <w:rsid w:val="13DD77E3"/>
    <w:rsid w:val="13E23025"/>
    <w:rsid w:val="13E663A7"/>
    <w:rsid w:val="13E957B5"/>
    <w:rsid w:val="13F54664"/>
    <w:rsid w:val="14025C16"/>
    <w:rsid w:val="140432BB"/>
    <w:rsid w:val="140A4D1D"/>
    <w:rsid w:val="140E5EE8"/>
    <w:rsid w:val="14164203"/>
    <w:rsid w:val="14171240"/>
    <w:rsid w:val="141A1AFC"/>
    <w:rsid w:val="141D612B"/>
    <w:rsid w:val="141E383D"/>
    <w:rsid w:val="142E0338"/>
    <w:rsid w:val="14316568"/>
    <w:rsid w:val="14321134"/>
    <w:rsid w:val="143B4DE0"/>
    <w:rsid w:val="14412BB2"/>
    <w:rsid w:val="14423F54"/>
    <w:rsid w:val="144308BB"/>
    <w:rsid w:val="14497960"/>
    <w:rsid w:val="144A252F"/>
    <w:rsid w:val="144D6CB9"/>
    <w:rsid w:val="14567DC8"/>
    <w:rsid w:val="145927AB"/>
    <w:rsid w:val="146F2D0E"/>
    <w:rsid w:val="147536A7"/>
    <w:rsid w:val="147A17CF"/>
    <w:rsid w:val="147C3697"/>
    <w:rsid w:val="148368D6"/>
    <w:rsid w:val="148E354E"/>
    <w:rsid w:val="14912EDB"/>
    <w:rsid w:val="14957C57"/>
    <w:rsid w:val="14963173"/>
    <w:rsid w:val="14975441"/>
    <w:rsid w:val="14987356"/>
    <w:rsid w:val="14A17A74"/>
    <w:rsid w:val="14A23D5A"/>
    <w:rsid w:val="14A376AA"/>
    <w:rsid w:val="14A51304"/>
    <w:rsid w:val="14BF3B23"/>
    <w:rsid w:val="14C01D51"/>
    <w:rsid w:val="14C22B23"/>
    <w:rsid w:val="14C308DD"/>
    <w:rsid w:val="14C737E9"/>
    <w:rsid w:val="14C74097"/>
    <w:rsid w:val="14D712DA"/>
    <w:rsid w:val="14D83AA4"/>
    <w:rsid w:val="14DA1A69"/>
    <w:rsid w:val="14E0132F"/>
    <w:rsid w:val="14EB5E8F"/>
    <w:rsid w:val="14F13234"/>
    <w:rsid w:val="14FF6D92"/>
    <w:rsid w:val="150126F3"/>
    <w:rsid w:val="150744D3"/>
    <w:rsid w:val="150A7466"/>
    <w:rsid w:val="15170DCC"/>
    <w:rsid w:val="15211C4B"/>
    <w:rsid w:val="15230B72"/>
    <w:rsid w:val="153320AA"/>
    <w:rsid w:val="15371D4B"/>
    <w:rsid w:val="1542409B"/>
    <w:rsid w:val="15477053"/>
    <w:rsid w:val="154E1966"/>
    <w:rsid w:val="154F5B2A"/>
    <w:rsid w:val="15505E42"/>
    <w:rsid w:val="15581B2C"/>
    <w:rsid w:val="1559194D"/>
    <w:rsid w:val="155B04E7"/>
    <w:rsid w:val="155C14A4"/>
    <w:rsid w:val="156027A9"/>
    <w:rsid w:val="1565471E"/>
    <w:rsid w:val="15655FDB"/>
    <w:rsid w:val="157460AE"/>
    <w:rsid w:val="157955E3"/>
    <w:rsid w:val="157B469B"/>
    <w:rsid w:val="1582736D"/>
    <w:rsid w:val="15842F69"/>
    <w:rsid w:val="15863331"/>
    <w:rsid w:val="158C5316"/>
    <w:rsid w:val="158F4E06"/>
    <w:rsid w:val="159054BF"/>
    <w:rsid w:val="15950B46"/>
    <w:rsid w:val="159A3BF9"/>
    <w:rsid w:val="159C2317"/>
    <w:rsid w:val="15A02C05"/>
    <w:rsid w:val="15A078BC"/>
    <w:rsid w:val="15A73194"/>
    <w:rsid w:val="15AE733A"/>
    <w:rsid w:val="15B15BAD"/>
    <w:rsid w:val="15B5037D"/>
    <w:rsid w:val="15B53281"/>
    <w:rsid w:val="15B77304"/>
    <w:rsid w:val="15C454E5"/>
    <w:rsid w:val="15CC0C9A"/>
    <w:rsid w:val="15CC451A"/>
    <w:rsid w:val="15D32F45"/>
    <w:rsid w:val="15E9427A"/>
    <w:rsid w:val="15EA25B6"/>
    <w:rsid w:val="15F84071"/>
    <w:rsid w:val="15FC212E"/>
    <w:rsid w:val="160101E5"/>
    <w:rsid w:val="16021A3F"/>
    <w:rsid w:val="1603305E"/>
    <w:rsid w:val="16037FF8"/>
    <w:rsid w:val="160B1BD8"/>
    <w:rsid w:val="1610130F"/>
    <w:rsid w:val="16172083"/>
    <w:rsid w:val="161D33D4"/>
    <w:rsid w:val="16305BFD"/>
    <w:rsid w:val="163952E0"/>
    <w:rsid w:val="1640457D"/>
    <w:rsid w:val="1647108A"/>
    <w:rsid w:val="16591947"/>
    <w:rsid w:val="16597293"/>
    <w:rsid w:val="165C720B"/>
    <w:rsid w:val="16661C68"/>
    <w:rsid w:val="166718DF"/>
    <w:rsid w:val="167A18C1"/>
    <w:rsid w:val="167A7865"/>
    <w:rsid w:val="16976668"/>
    <w:rsid w:val="16A235F7"/>
    <w:rsid w:val="16A3214A"/>
    <w:rsid w:val="16AD3B86"/>
    <w:rsid w:val="16B010C4"/>
    <w:rsid w:val="16BB1E41"/>
    <w:rsid w:val="16BB73C0"/>
    <w:rsid w:val="16BC60CF"/>
    <w:rsid w:val="16BE31B2"/>
    <w:rsid w:val="16CE6F3C"/>
    <w:rsid w:val="16E34BC4"/>
    <w:rsid w:val="16EA5C33"/>
    <w:rsid w:val="16F93153"/>
    <w:rsid w:val="16FF780B"/>
    <w:rsid w:val="170149D2"/>
    <w:rsid w:val="1705161F"/>
    <w:rsid w:val="17077F43"/>
    <w:rsid w:val="170A6E3A"/>
    <w:rsid w:val="17152E17"/>
    <w:rsid w:val="17172CC3"/>
    <w:rsid w:val="171955EB"/>
    <w:rsid w:val="171C5FB5"/>
    <w:rsid w:val="17264519"/>
    <w:rsid w:val="172A1253"/>
    <w:rsid w:val="172B4C33"/>
    <w:rsid w:val="172F4AF3"/>
    <w:rsid w:val="173869C3"/>
    <w:rsid w:val="17471E3D"/>
    <w:rsid w:val="174948DC"/>
    <w:rsid w:val="174A78E6"/>
    <w:rsid w:val="17590DA7"/>
    <w:rsid w:val="175D340E"/>
    <w:rsid w:val="175E4D83"/>
    <w:rsid w:val="17611E2A"/>
    <w:rsid w:val="176169D2"/>
    <w:rsid w:val="176202D6"/>
    <w:rsid w:val="17655D9F"/>
    <w:rsid w:val="176564D4"/>
    <w:rsid w:val="176B128C"/>
    <w:rsid w:val="176B2594"/>
    <w:rsid w:val="17731AF7"/>
    <w:rsid w:val="17737CF8"/>
    <w:rsid w:val="17752EFE"/>
    <w:rsid w:val="17765D15"/>
    <w:rsid w:val="177B5642"/>
    <w:rsid w:val="17847813"/>
    <w:rsid w:val="17853C1F"/>
    <w:rsid w:val="17872E16"/>
    <w:rsid w:val="17877DBA"/>
    <w:rsid w:val="17983320"/>
    <w:rsid w:val="17987288"/>
    <w:rsid w:val="17992095"/>
    <w:rsid w:val="17A728DB"/>
    <w:rsid w:val="17AC29AB"/>
    <w:rsid w:val="17B9260F"/>
    <w:rsid w:val="17B9616B"/>
    <w:rsid w:val="17BA17F6"/>
    <w:rsid w:val="17BB323B"/>
    <w:rsid w:val="17BC1DD2"/>
    <w:rsid w:val="17C54FD7"/>
    <w:rsid w:val="17C55D1A"/>
    <w:rsid w:val="17C61BD6"/>
    <w:rsid w:val="17DF02C7"/>
    <w:rsid w:val="17E44312"/>
    <w:rsid w:val="17E72CD8"/>
    <w:rsid w:val="17F35B20"/>
    <w:rsid w:val="17F866CA"/>
    <w:rsid w:val="17FE578F"/>
    <w:rsid w:val="18027B12"/>
    <w:rsid w:val="18067C6B"/>
    <w:rsid w:val="18073411"/>
    <w:rsid w:val="180B5092"/>
    <w:rsid w:val="180D7666"/>
    <w:rsid w:val="180E041D"/>
    <w:rsid w:val="181267F9"/>
    <w:rsid w:val="181B5077"/>
    <w:rsid w:val="18266F40"/>
    <w:rsid w:val="183449C5"/>
    <w:rsid w:val="183A52E7"/>
    <w:rsid w:val="183B3D13"/>
    <w:rsid w:val="183F2B14"/>
    <w:rsid w:val="1844493A"/>
    <w:rsid w:val="18445D64"/>
    <w:rsid w:val="184A0B34"/>
    <w:rsid w:val="18512CF7"/>
    <w:rsid w:val="18540FC5"/>
    <w:rsid w:val="185722F3"/>
    <w:rsid w:val="185808AC"/>
    <w:rsid w:val="185855DF"/>
    <w:rsid w:val="18585984"/>
    <w:rsid w:val="18624A54"/>
    <w:rsid w:val="18655195"/>
    <w:rsid w:val="1874541D"/>
    <w:rsid w:val="18752D8F"/>
    <w:rsid w:val="18772927"/>
    <w:rsid w:val="18782C66"/>
    <w:rsid w:val="187D188E"/>
    <w:rsid w:val="188213EC"/>
    <w:rsid w:val="18871F4D"/>
    <w:rsid w:val="188C77F1"/>
    <w:rsid w:val="18904498"/>
    <w:rsid w:val="189747BD"/>
    <w:rsid w:val="189B32FD"/>
    <w:rsid w:val="18A01BF8"/>
    <w:rsid w:val="18A1429D"/>
    <w:rsid w:val="18A3471E"/>
    <w:rsid w:val="18B01DE4"/>
    <w:rsid w:val="18B352B0"/>
    <w:rsid w:val="18B52685"/>
    <w:rsid w:val="18B826BC"/>
    <w:rsid w:val="18C179CD"/>
    <w:rsid w:val="18D019BE"/>
    <w:rsid w:val="18D25736"/>
    <w:rsid w:val="18DE3ABF"/>
    <w:rsid w:val="18FF2603"/>
    <w:rsid w:val="19037FE5"/>
    <w:rsid w:val="190869B1"/>
    <w:rsid w:val="190A06A7"/>
    <w:rsid w:val="190F0738"/>
    <w:rsid w:val="19102702"/>
    <w:rsid w:val="19183767"/>
    <w:rsid w:val="191A5382"/>
    <w:rsid w:val="19202945"/>
    <w:rsid w:val="192960CA"/>
    <w:rsid w:val="192B4DF7"/>
    <w:rsid w:val="192D223F"/>
    <w:rsid w:val="192D641F"/>
    <w:rsid w:val="192E4F24"/>
    <w:rsid w:val="1936705A"/>
    <w:rsid w:val="193A0433"/>
    <w:rsid w:val="193B3A70"/>
    <w:rsid w:val="19406B43"/>
    <w:rsid w:val="194B021E"/>
    <w:rsid w:val="194C2869"/>
    <w:rsid w:val="195500C6"/>
    <w:rsid w:val="19563E00"/>
    <w:rsid w:val="19574DFB"/>
    <w:rsid w:val="19587488"/>
    <w:rsid w:val="19597C05"/>
    <w:rsid w:val="195A572B"/>
    <w:rsid w:val="196642EF"/>
    <w:rsid w:val="196E6E60"/>
    <w:rsid w:val="19743E37"/>
    <w:rsid w:val="197E36EE"/>
    <w:rsid w:val="19804FB8"/>
    <w:rsid w:val="19831126"/>
    <w:rsid w:val="19985FE5"/>
    <w:rsid w:val="199D6C68"/>
    <w:rsid w:val="19A14E4F"/>
    <w:rsid w:val="19A2756E"/>
    <w:rsid w:val="19AA1A62"/>
    <w:rsid w:val="19AA220F"/>
    <w:rsid w:val="19B2405E"/>
    <w:rsid w:val="19B52F66"/>
    <w:rsid w:val="19BA38E9"/>
    <w:rsid w:val="19BA6371"/>
    <w:rsid w:val="19C53F90"/>
    <w:rsid w:val="19C71EDF"/>
    <w:rsid w:val="19C83E7A"/>
    <w:rsid w:val="19E00942"/>
    <w:rsid w:val="19E27BFB"/>
    <w:rsid w:val="19EF24A3"/>
    <w:rsid w:val="19F66D1E"/>
    <w:rsid w:val="19F90D7B"/>
    <w:rsid w:val="1A005E51"/>
    <w:rsid w:val="1A0A7151"/>
    <w:rsid w:val="1A195147"/>
    <w:rsid w:val="1A1C00CA"/>
    <w:rsid w:val="1A1D5C27"/>
    <w:rsid w:val="1A1D5C9D"/>
    <w:rsid w:val="1A295A7D"/>
    <w:rsid w:val="1A297E93"/>
    <w:rsid w:val="1A2C70C8"/>
    <w:rsid w:val="1A332204"/>
    <w:rsid w:val="1A3450F6"/>
    <w:rsid w:val="1A346EC9"/>
    <w:rsid w:val="1A35096F"/>
    <w:rsid w:val="1A354F1E"/>
    <w:rsid w:val="1A37691F"/>
    <w:rsid w:val="1A381F10"/>
    <w:rsid w:val="1A391603"/>
    <w:rsid w:val="1A396071"/>
    <w:rsid w:val="1A3A0B51"/>
    <w:rsid w:val="1A3C0945"/>
    <w:rsid w:val="1A3E5CD0"/>
    <w:rsid w:val="1A421918"/>
    <w:rsid w:val="1A477835"/>
    <w:rsid w:val="1A4964D8"/>
    <w:rsid w:val="1A4E02B5"/>
    <w:rsid w:val="1A4F3BD8"/>
    <w:rsid w:val="1A614980"/>
    <w:rsid w:val="1A6236C2"/>
    <w:rsid w:val="1A6B1272"/>
    <w:rsid w:val="1A803582"/>
    <w:rsid w:val="1A877989"/>
    <w:rsid w:val="1A8824EC"/>
    <w:rsid w:val="1A8962C8"/>
    <w:rsid w:val="1A8973FF"/>
    <w:rsid w:val="1A8F2B01"/>
    <w:rsid w:val="1A9E1B46"/>
    <w:rsid w:val="1AAC54A3"/>
    <w:rsid w:val="1AB71087"/>
    <w:rsid w:val="1AB8095B"/>
    <w:rsid w:val="1ABB06B4"/>
    <w:rsid w:val="1ABC044C"/>
    <w:rsid w:val="1ABF25D9"/>
    <w:rsid w:val="1AC45552"/>
    <w:rsid w:val="1AC62840"/>
    <w:rsid w:val="1AD25EC1"/>
    <w:rsid w:val="1AD5594E"/>
    <w:rsid w:val="1AD75285"/>
    <w:rsid w:val="1ADB5062"/>
    <w:rsid w:val="1ADE4866"/>
    <w:rsid w:val="1AE654C9"/>
    <w:rsid w:val="1AEB3B6C"/>
    <w:rsid w:val="1AED2CFB"/>
    <w:rsid w:val="1AF23E6D"/>
    <w:rsid w:val="1AF6583C"/>
    <w:rsid w:val="1B035027"/>
    <w:rsid w:val="1B0A6E37"/>
    <w:rsid w:val="1B1451F1"/>
    <w:rsid w:val="1B182C82"/>
    <w:rsid w:val="1B273B62"/>
    <w:rsid w:val="1B2903BD"/>
    <w:rsid w:val="1B2925C2"/>
    <w:rsid w:val="1B2A5208"/>
    <w:rsid w:val="1B323058"/>
    <w:rsid w:val="1B3645F9"/>
    <w:rsid w:val="1B3812F1"/>
    <w:rsid w:val="1B386E6F"/>
    <w:rsid w:val="1B391A90"/>
    <w:rsid w:val="1B4D5D94"/>
    <w:rsid w:val="1B5472AA"/>
    <w:rsid w:val="1B5561CE"/>
    <w:rsid w:val="1B5B3AB2"/>
    <w:rsid w:val="1B5E366F"/>
    <w:rsid w:val="1B6463AA"/>
    <w:rsid w:val="1B740D26"/>
    <w:rsid w:val="1B7B66B5"/>
    <w:rsid w:val="1B7C407F"/>
    <w:rsid w:val="1B7F246B"/>
    <w:rsid w:val="1B8151F1"/>
    <w:rsid w:val="1B852BFA"/>
    <w:rsid w:val="1B8558A1"/>
    <w:rsid w:val="1B867F14"/>
    <w:rsid w:val="1B8B164F"/>
    <w:rsid w:val="1B8B5DC0"/>
    <w:rsid w:val="1B8D1DE8"/>
    <w:rsid w:val="1B9413C8"/>
    <w:rsid w:val="1B974A15"/>
    <w:rsid w:val="1BA52C13"/>
    <w:rsid w:val="1BAC6057"/>
    <w:rsid w:val="1BB12D3A"/>
    <w:rsid w:val="1BB9498B"/>
    <w:rsid w:val="1BB97AB4"/>
    <w:rsid w:val="1BC82D28"/>
    <w:rsid w:val="1BCC2D86"/>
    <w:rsid w:val="1BD230D2"/>
    <w:rsid w:val="1BD23C9F"/>
    <w:rsid w:val="1BD600BC"/>
    <w:rsid w:val="1BD85D53"/>
    <w:rsid w:val="1BDB3B08"/>
    <w:rsid w:val="1BDB6FF7"/>
    <w:rsid w:val="1BF314C7"/>
    <w:rsid w:val="1BF41580"/>
    <w:rsid w:val="1BF76248"/>
    <w:rsid w:val="1BFB41C6"/>
    <w:rsid w:val="1C0B3440"/>
    <w:rsid w:val="1C11378B"/>
    <w:rsid w:val="1C1222ED"/>
    <w:rsid w:val="1C1333C3"/>
    <w:rsid w:val="1C183DA8"/>
    <w:rsid w:val="1C18644F"/>
    <w:rsid w:val="1C197B20"/>
    <w:rsid w:val="1C225E9B"/>
    <w:rsid w:val="1C225F98"/>
    <w:rsid w:val="1C272EF4"/>
    <w:rsid w:val="1C2F4C4D"/>
    <w:rsid w:val="1C352DDA"/>
    <w:rsid w:val="1C3D380E"/>
    <w:rsid w:val="1C443965"/>
    <w:rsid w:val="1C493F61"/>
    <w:rsid w:val="1C4F52EF"/>
    <w:rsid w:val="1C5A43C0"/>
    <w:rsid w:val="1C655F51"/>
    <w:rsid w:val="1C672254"/>
    <w:rsid w:val="1C6A3ED7"/>
    <w:rsid w:val="1C6C7C4F"/>
    <w:rsid w:val="1C6E187C"/>
    <w:rsid w:val="1C7233D8"/>
    <w:rsid w:val="1C8054A9"/>
    <w:rsid w:val="1C89080C"/>
    <w:rsid w:val="1C8D31D5"/>
    <w:rsid w:val="1C9200B7"/>
    <w:rsid w:val="1C96073B"/>
    <w:rsid w:val="1C985634"/>
    <w:rsid w:val="1CAC4530"/>
    <w:rsid w:val="1CB14D58"/>
    <w:rsid w:val="1CB42982"/>
    <w:rsid w:val="1CB533A4"/>
    <w:rsid w:val="1CB75B21"/>
    <w:rsid w:val="1CBA4E5F"/>
    <w:rsid w:val="1CBE637B"/>
    <w:rsid w:val="1CBE70C9"/>
    <w:rsid w:val="1CC16B7E"/>
    <w:rsid w:val="1CDF6673"/>
    <w:rsid w:val="1CE00D50"/>
    <w:rsid w:val="1CE65C54"/>
    <w:rsid w:val="1CE67BE5"/>
    <w:rsid w:val="1CF10155"/>
    <w:rsid w:val="1CF14E4C"/>
    <w:rsid w:val="1CFA34AD"/>
    <w:rsid w:val="1D060497"/>
    <w:rsid w:val="1D0B002A"/>
    <w:rsid w:val="1D102CD1"/>
    <w:rsid w:val="1D1327C1"/>
    <w:rsid w:val="1D137517"/>
    <w:rsid w:val="1D181B85"/>
    <w:rsid w:val="1D28454F"/>
    <w:rsid w:val="1D320A97"/>
    <w:rsid w:val="1D3541D9"/>
    <w:rsid w:val="1D3544E5"/>
    <w:rsid w:val="1D3E6FE0"/>
    <w:rsid w:val="1D417781"/>
    <w:rsid w:val="1D4454A0"/>
    <w:rsid w:val="1D4F2685"/>
    <w:rsid w:val="1D5030CD"/>
    <w:rsid w:val="1D510639"/>
    <w:rsid w:val="1D5232E9"/>
    <w:rsid w:val="1D5670E5"/>
    <w:rsid w:val="1D5E190C"/>
    <w:rsid w:val="1D622AE0"/>
    <w:rsid w:val="1D6909E2"/>
    <w:rsid w:val="1D740177"/>
    <w:rsid w:val="1D7A2484"/>
    <w:rsid w:val="1D7C66E4"/>
    <w:rsid w:val="1D862F12"/>
    <w:rsid w:val="1D8C2C52"/>
    <w:rsid w:val="1D9C7631"/>
    <w:rsid w:val="1DB76D37"/>
    <w:rsid w:val="1DBB2EA1"/>
    <w:rsid w:val="1DBF1134"/>
    <w:rsid w:val="1DC61C47"/>
    <w:rsid w:val="1DC674BF"/>
    <w:rsid w:val="1DD34259"/>
    <w:rsid w:val="1DE173D0"/>
    <w:rsid w:val="1DE33F53"/>
    <w:rsid w:val="1DE35853"/>
    <w:rsid w:val="1DE45963"/>
    <w:rsid w:val="1DE657E0"/>
    <w:rsid w:val="1DE873BA"/>
    <w:rsid w:val="1DF443A0"/>
    <w:rsid w:val="1DF63C75"/>
    <w:rsid w:val="1DFB4F2F"/>
    <w:rsid w:val="1DFC46F0"/>
    <w:rsid w:val="1DFF65CA"/>
    <w:rsid w:val="1E09439F"/>
    <w:rsid w:val="1E096D85"/>
    <w:rsid w:val="1E0C3498"/>
    <w:rsid w:val="1E0F2F88"/>
    <w:rsid w:val="1E12416F"/>
    <w:rsid w:val="1E1C7EC6"/>
    <w:rsid w:val="1E1D0595"/>
    <w:rsid w:val="1E1D38F7"/>
    <w:rsid w:val="1E2A19C5"/>
    <w:rsid w:val="1E2D1660"/>
    <w:rsid w:val="1E324813"/>
    <w:rsid w:val="1E326C77"/>
    <w:rsid w:val="1E34129B"/>
    <w:rsid w:val="1E376CEE"/>
    <w:rsid w:val="1E3D435B"/>
    <w:rsid w:val="1E3E2D25"/>
    <w:rsid w:val="1E4507E4"/>
    <w:rsid w:val="1E453EF4"/>
    <w:rsid w:val="1E5452BA"/>
    <w:rsid w:val="1E5631F5"/>
    <w:rsid w:val="1E6037E4"/>
    <w:rsid w:val="1E6210B8"/>
    <w:rsid w:val="1E65704C"/>
    <w:rsid w:val="1E6973EB"/>
    <w:rsid w:val="1E731CD6"/>
    <w:rsid w:val="1E735005"/>
    <w:rsid w:val="1E7B061E"/>
    <w:rsid w:val="1E7D29AF"/>
    <w:rsid w:val="1E8229CB"/>
    <w:rsid w:val="1EA062D6"/>
    <w:rsid w:val="1EA414D5"/>
    <w:rsid w:val="1EAD17CE"/>
    <w:rsid w:val="1EC014EF"/>
    <w:rsid w:val="1EC5770B"/>
    <w:rsid w:val="1EC664F8"/>
    <w:rsid w:val="1EC85309"/>
    <w:rsid w:val="1ECF44C6"/>
    <w:rsid w:val="1ED85DF1"/>
    <w:rsid w:val="1EDA22B2"/>
    <w:rsid w:val="1EDA6951"/>
    <w:rsid w:val="1EDE4DF0"/>
    <w:rsid w:val="1EDF3CF2"/>
    <w:rsid w:val="1EE6729F"/>
    <w:rsid w:val="1EF25CE1"/>
    <w:rsid w:val="1EF563EE"/>
    <w:rsid w:val="1EFC5515"/>
    <w:rsid w:val="1F01285A"/>
    <w:rsid w:val="1F031515"/>
    <w:rsid w:val="1F067607"/>
    <w:rsid w:val="1F0B72E6"/>
    <w:rsid w:val="1F0C3771"/>
    <w:rsid w:val="1F0C56B5"/>
    <w:rsid w:val="1F130897"/>
    <w:rsid w:val="1F1A1BE5"/>
    <w:rsid w:val="1F204682"/>
    <w:rsid w:val="1F264A2D"/>
    <w:rsid w:val="1F3407E0"/>
    <w:rsid w:val="1F366DDB"/>
    <w:rsid w:val="1F443106"/>
    <w:rsid w:val="1F444F2D"/>
    <w:rsid w:val="1F470BF3"/>
    <w:rsid w:val="1F49071C"/>
    <w:rsid w:val="1F563B47"/>
    <w:rsid w:val="1F570005"/>
    <w:rsid w:val="1F60778E"/>
    <w:rsid w:val="1F62037E"/>
    <w:rsid w:val="1F69529A"/>
    <w:rsid w:val="1F6C6450"/>
    <w:rsid w:val="1F6C705A"/>
    <w:rsid w:val="1F6E6A1B"/>
    <w:rsid w:val="1F71321A"/>
    <w:rsid w:val="1F744CA1"/>
    <w:rsid w:val="1F745799"/>
    <w:rsid w:val="1F75198F"/>
    <w:rsid w:val="1F7F6672"/>
    <w:rsid w:val="1F941997"/>
    <w:rsid w:val="1FA64EAA"/>
    <w:rsid w:val="1FB75686"/>
    <w:rsid w:val="1FD06747"/>
    <w:rsid w:val="1FD2426D"/>
    <w:rsid w:val="1FDA6A1D"/>
    <w:rsid w:val="1FDE2C12"/>
    <w:rsid w:val="1FF77556"/>
    <w:rsid w:val="1FF91559"/>
    <w:rsid w:val="1FFB33E2"/>
    <w:rsid w:val="2003259A"/>
    <w:rsid w:val="200F101E"/>
    <w:rsid w:val="201071A3"/>
    <w:rsid w:val="20157DDB"/>
    <w:rsid w:val="20173C78"/>
    <w:rsid w:val="20180D66"/>
    <w:rsid w:val="201A33FC"/>
    <w:rsid w:val="20242EA5"/>
    <w:rsid w:val="20246950"/>
    <w:rsid w:val="202F16C0"/>
    <w:rsid w:val="20335C6D"/>
    <w:rsid w:val="20345DC5"/>
    <w:rsid w:val="203B2E3D"/>
    <w:rsid w:val="20447B15"/>
    <w:rsid w:val="2045770D"/>
    <w:rsid w:val="204D1B46"/>
    <w:rsid w:val="205B18E7"/>
    <w:rsid w:val="20613B25"/>
    <w:rsid w:val="206155F1"/>
    <w:rsid w:val="2065034B"/>
    <w:rsid w:val="206876C4"/>
    <w:rsid w:val="206F2178"/>
    <w:rsid w:val="206F5F60"/>
    <w:rsid w:val="207249CE"/>
    <w:rsid w:val="20790DF3"/>
    <w:rsid w:val="208345C7"/>
    <w:rsid w:val="208B380B"/>
    <w:rsid w:val="208C266E"/>
    <w:rsid w:val="209130C4"/>
    <w:rsid w:val="20914128"/>
    <w:rsid w:val="20923866"/>
    <w:rsid w:val="209F5F09"/>
    <w:rsid w:val="20A0760C"/>
    <w:rsid w:val="20A2572D"/>
    <w:rsid w:val="20A756FA"/>
    <w:rsid w:val="20A92AAD"/>
    <w:rsid w:val="20AC72F7"/>
    <w:rsid w:val="20B379E1"/>
    <w:rsid w:val="20B87907"/>
    <w:rsid w:val="20B95A12"/>
    <w:rsid w:val="20B9746F"/>
    <w:rsid w:val="20BC3458"/>
    <w:rsid w:val="20C4005A"/>
    <w:rsid w:val="20C46096"/>
    <w:rsid w:val="20CE3668"/>
    <w:rsid w:val="20D06B4E"/>
    <w:rsid w:val="20D60162"/>
    <w:rsid w:val="20DB0876"/>
    <w:rsid w:val="20DB61CE"/>
    <w:rsid w:val="20E555F0"/>
    <w:rsid w:val="20F070A1"/>
    <w:rsid w:val="20F546B7"/>
    <w:rsid w:val="20FA6430"/>
    <w:rsid w:val="210C58D9"/>
    <w:rsid w:val="210E7F88"/>
    <w:rsid w:val="21121B12"/>
    <w:rsid w:val="212B0325"/>
    <w:rsid w:val="214147B8"/>
    <w:rsid w:val="21440C9E"/>
    <w:rsid w:val="21571CE1"/>
    <w:rsid w:val="21576677"/>
    <w:rsid w:val="21647B81"/>
    <w:rsid w:val="21665293"/>
    <w:rsid w:val="216842D4"/>
    <w:rsid w:val="216A62BD"/>
    <w:rsid w:val="2172245A"/>
    <w:rsid w:val="21746185"/>
    <w:rsid w:val="21783FFD"/>
    <w:rsid w:val="21894E00"/>
    <w:rsid w:val="218C6669"/>
    <w:rsid w:val="219015E6"/>
    <w:rsid w:val="219263AA"/>
    <w:rsid w:val="21935C7E"/>
    <w:rsid w:val="219568DA"/>
    <w:rsid w:val="219E3D79"/>
    <w:rsid w:val="21A3266E"/>
    <w:rsid w:val="21A44E00"/>
    <w:rsid w:val="21AA585E"/>
    <w:rsid w:val="21B17238"/>
    <w:rsid w:val="21BB6861"/>
    <w:rsid w:val="21BB6D14"/>
    <w:rsid w:val="21BF7FAF"/>
    <w:rsid w:val="21C10A3D"/>
    <w:rsid w:val="21D02A2F"/>
    <w:rsid w:val="21D442C0"/>
    <w:rsid w:val="21E92610"/>
    <w:rsid w:val="21EA5A33"/>
    <w:rsid w:val="21EB43DB"/>
    <w:rsid w:val="21F93D33"/>
    <w:rsid w:val="220060E6"/>
    <w:rsid w:val="220E4EAD"/>
    <w:rsid w:val="22117BFE"/>
    <w:rsid w:val="22155EFF"/>
    <w:rsid w:val="221A5B54"/>
    <w:rsid w:val="221C56F1"/>
    <w:rsid w:val="221F6EDC"/>
    <w:rsid w:val="221F70D3"/>
    <w:rsid w:val="2221772E"/>
    <w:rsid w:val="22254A78"/>
    <w:rsid w:val="222608A0"/>
    <w:rsid w:val="222618CF"/>
    <w:rsid w:val="222F26CC"/>
    <w:rsid w:val="22316FC2"/>
    <w:rsid w:val="22493D99"/>
    <w:rsid w:val="224B22A8"/>
    <w:rsid w:val="224F586A"/>
    <w:rsid w:val="22511DC1"/>
    <w:rsid w:val="226006F6"/>
    <w:rsid w:val="226337D6"/>
    <w:rsid w:val="226440A0"/>
    <w:rsid w:val="22660D81"/>
    <w:rsid w:val="22665C45"/>
    <w:rsid w:val="22684249"/>
    <w:rsid w:val="2271209A"/>
    <w:rsid w:val="227C004B"/>
    <w:rsid w:val="2280022A"/>
    <w:rsid w:val="228026A7"/>
    <w:rsid w:val="22821EED"/>
    <w:rsid w:val="229654C7"/>
    <w:rsid w:val="2298179E"/>
    <w:rsid w:val="229A7114"/>
    <w:rsid w:val="229C639F"/>
    <w:rsid w:val="229E54C2"/>
    <w:rsid w:val="22A002A0"/>
    <w:rsid w:val="22A00653"/>
    <w:rsid w:val="22AE6704"/>
    <w:rsid w:val="22B43FFD"/>
    <w:rsid w:val="22B81E40"/>
    <w:rsid w:val="22BB639F"/>
    <w:rsid w:val="22BE5C90"/>
    <w:rsid w:val="22C11687"/>
    <w:rsid w:val="22C72B66"/>
    <w:rsid w:val="22C75BE0"/>
    <w:rsid w:val="22CD2A7C"/>
    <w:rsid w:val="22D30BD4"/>
    <w:rsid w:val="22E3639B"/>
    <w:rsid w:val="22E42FC1"/>
    <w:rsid w:val="22E645D5"/>
    <w:rsid w:val="22EE7610"/>
    <w:rsid w:val="22F02220"/>
    <w:rsid w:val="22FC23C6"/>
    <w:rsid w:val="23013B93"/>
    <w:rsid w:val="2303453C"/>
    <w:rsid w:val="230554A1"/>
    <w:rsid w:val="23151F68"/>
    <w:rsid w:val="231A6657"/>
    <w:rsid w:val="23207452"/>
    <w:rsid w:val="2322116E"/>
    <w:rsid w:val="23223C6C"/>
    <w:rsid w:val="23265576"/>
    <w:rsid w:val="23290EB6"/>
    <w:rsid w:val="232A43C0"/>
    <w:rsid w:val="232B0864"/>
    <w:rsid w:val="232F001E"/>
    <w:rsid w:val="233314C7"/>
    <w:rsid w:val="233561B7"/>
    <w:rsid w:val="2338088B"/>
    <w:rsid w:val="233B100B"/>
    <w:rsid w:val="23452D92"/>
    <w:rsid w:val="23496F3C"/>
    <w:rsid w:val="234A05BF"/>
    <w:rsid w:val="234D14F4"/>
    <w:rsid w:val="234D709F"/>
    <w:rsid w:val="23560593"/>
    <w:rsid w:val="23581960"/>
    <w:rsid w:val="23620FC5"/>
    <w:rsid w:val="2364528E"/>
    <w:rsid w:val="23696C97"/>
    <w:rsid w:val="236A7B8D"/>
    <w:rsid w:val="236C1F35"/>
    <w:rsid w:val="236C5FEB"/>
    <w:rsid w:val="23797927"/>
    <w:rsid w:val="237D1C7F"/>
    <w:rsid w:val="237E7DB8"/>
    <w:rsid w:val="237F1ED6"/>
    <w:rsid w:val="238166D6"/>
    <w:rsid w:val="238A0302"/>
    <w:rsid w:val="238B4E5F"/>
    <w:rsid w:val="239161EE"/>
    <w:rsid w:val="239445E5"/>
    <w:rsid w:val="2395665B"/>
    <w:rsid w:val="2396658E"/>
    <w:rsid w:val="23974DD6"/>
    <w:rsid w:val="239A59A6"/>
    <w:rsid w:val="239A7798"/>
    <w:rsid w:val="239D2DE4"/>
    <w:rsid w:val="23A331E1"/>
    <w:rsid w:val="23A41335"/>
    <w:rsid w:val="23AE22F3"/>
    <w:rsid w:val="23BB0841"/>
    <w:rsid w:val="23C2284B"/>
    <w:rsid w:val="23D04F22"/>
    <w:rsid w:val="23D700CE"/>
    <w:rsid w:val="23DA2049"/>
    <w:rsid w:val="23DB504A"/>
    <w:rsid w:val="23DD0BFC"/>
    <w:rsid w:val="23E245CB"/>
    <w:rsid w:val="23EB6B1F"/>
    <w:rsid w:val="23F12686"/>
    <w:rsid w:val="23F3787B"/>
    <w:rsid w:val="23F74D30"/>
    <w:rsid w:val="23F86267"/>
    <w:rsid w:val="23F9261E"/>
    <w:rsid w:val="24052D8D"/>
    <w:rsid w:val="240A66CC"/>
    <w:rsid w:val="240F3CE2"/>
    <w:rsid w:val="24160839"/>
    <w:rsid w:val="241F7B88"/>
    <w:rsid w:val="24236105"/>
    <w:rsid w:val="242A1EAC"/>
    <w:rsid w:val="242B03F0"/>
    <w:rsid w:val="243674C1"/>
    <w:rsid w:val="244022FA"/>
    <w:rsid w:val="24454F64"/>
    <w:rsid w:val="24490D81"/>
    <w:rsid w:val="2451029E"/>
    <w:rsid w:val="24541BC4"/>
    <w:rsid w:val="245D4646"/>
    <w:rsid w:val="246062EC"/>
    <w:rsid w:val="2463402E"/>
    <w:rsid w:val="246352E7"/>
    <w:rsid w:val="246851A0"/>
    <w:rsid w:val="246A3530"/>
    <w:rsid w:val="246C571E"/>
    <w:rsid w:val="247C4817"/>
    <w:rsid w:val="2481772E"/>
    <w:rsid w:val="2484099C"/>
    <w:rsid w:val="248875F1"/>
    <w:rsid w:val="248A3446"/>
    <w:rsid w:val="248B795C"/>
    <w:rsid w:val="249800AF"/>
    <w:rsid w:val="249A2145"/>
    <w:rsid w:val="249B7324"/>
    <w:rsid w:val="24AF5470"/>
    <w:rsid w:val="24BC213D"/>
    <w:rsid w:val="24C777BE"/>
    <w:rsid w:val="24CA7C09"/>
    <w:rsid w:val="24CF521F"/>
    <w:rsid w:val="24D71789"/>
    <w:rsid w:val="24D80578"/>
    <w:rsid w:val="24DF44F3"/>
    <w:rsid w:val="24E2447B"/>
    <w:rsid w:val="24E46F1D"/>
    <w:rsid w:val="24E97062"/>
    <w:rsid w:val="24EA02AB"/>
    <w:rsid w:val="24EF41DA"/>
    <w:rsid w:val="24F36825"/>
    <w:rsid w:val="24F53414"/>
    <w:rsid w:val="24F8572F"/>
    <w:rsid w:val="25034EC9"/>
    <w:rsid w:val="2503684F"/>
    <w:rsid w:val="250E5E4E"/>
    <w:rsid w:val="250F64BB"/>
    <w:rsid w:val="2519649B"/>
    <w:rsid w:val="25255003"/>
    <w:rsid w:val="252C75A5"/>
    <w:rsid w:val="252E4DD5"/>
    <w:rsid w:val="253337A0"/>
    <w:rsid w:val="253A3606"/>
    <w:rsid w:val="253F23A5"/>
    <w:rsid w:val="25445D9E"/>
    <w:rsid w:val="256964A6"/>
    <w:rsid w:val="256A1008"/>
    <w:rsid w:val="25706A02"/>
    <w:rsid w:val="25784F0B"/>
    <w:rsid w:val="257E49F7"/>
    <w:rsid w:val="257F44D5"/>
    <w:rsid w:val="25826736"/>
    <w:rsid w:val="258431A3"/>
    <w:rsid w:val="25995EA7"/>
    <w:rsid w:val="259B281E"/>
    <w:rsid w:val="259C1B9A"/>
    <w:rsid w:val="25BC1C48"/>
    <w:rsid w:val="25BD07C5"/>
    <w:rsid w:val="25BD2F3F"/>
    <w:rsid w:val="25C11095"/>
    <w:rsid w:val="25D16C66"/>
    <w:rsid w:val="25D60786"/>
    <w:rsid w:val="25D81502"/>
    <w:rsid w:val="25E42F4C"/>
    <w:rsid w:val="25E73A1D"/>
    <w:rsid w:val="25E75AD1"/>
    <w:rsid w:val="25F10744"/>
    <w:rsid w:val="25F202CE"/>
    <w:rsid w:val="25F4180E"/>
    <w:rsid w:val="25F565E7"/>
    <w:rsid w:val="25F8054A"/>
    <w:rsid w:val="2604539D"/>
    <w:rsid w:val="260B672B"/>
    <w:rsid w:val="26123616"/>
    <w:rsid w:val="261453AF"/>
    <w:rsid w:val="261535AD"/>
    <w:rsid w:val="26196614"/>
    <w:rsid w:val="261D0BCB"/>
    <w:rsid w:val="261F5060"/>
    <w:rsid w:val="262A0B05"/>
    <w:rsid w:val="262F10B6"/>
    <w:rsid w:val="26355556"/>
    <w:rsid w:val="263868B0"/>
    <w:rsid w:val="263B1B4E"/>
    <w:rsid w:val="263C0CF3"/>
    <w:rsid w:val="263D4A6F"/>
    <w:rsid w:val="264170ED"/>
    <w:rsid w:val="26435B6E"/>
    <w:rsid w:val="264E6B6E"/>
    <w:rsid w:val="26630315"/>
    <w:rsid w:val="26655E3B"/>
    <w:rsid w:val="266B2B71"/>
    <w:rsid w:val="266D6297"/>
    <w:rsid w:val="266F4DBA"/>
    <w:rsid w:val="2671240D"/>
    <w:rsid w:val="267918E7"/>
    <w:rsid w:val="267923D7"/>
    <w:rsid w:val="268055BA"/>
    <w:rsid w:val="26815F25"/>
    <w:rsid w:val="26890D03"/>
    <w:rsid w:val="26946631"/>
    <w:rsid w:val="269D0D44"/>
    <w:rsid w:val="26A32093"/>
    <w:rsid w:val="26A528FE"/>
    <w:rsid w:val="26AE5AC3"/>
    <w:rsid w:val="26B06A51"/>
    <w:rsid w:val="26B21D43"/>
    <w:rsid w:val="26B80F84"/>
    <w:rsid w:val="26B9229C"/>
    <w:rsid w:val="26BC4068"/>
    <w:rsid w:val="26C012C4"/>
    <w:rsid w:val="26C435C3"/>
    <w:rsid w:val="26C66878"/>
    <w:rsid w:val="26CA6E57"/>
    <w:rsid w:val="26CB6FCD"/>
    <w:rsid w:val="26CF57CC"/>
    <w:rsid w:val="26D44586"/>
    <w:rsid w:val="26E26EF3"/>
    <w:rsid w:val="26E7211D"/>
    <w:rsid w:val="26EB0D3E"/>
    <w:rsid w:val="27022042"/>
    <w:rsid w:val="270574F1"/>
    <w:rsid w:val="270916B6"/>
    <w:rsid w:val="270D0126"/>
    <w:rsid w:val="27122CC4"/>
    <w:rsid w:val="271E5FEA"/>
    <w:rsid w:val="271F4834"/>
    <w:rsid w:val="27316223"/>
    <w:rsid w:val="27382578"/>
    <w:rsid w:val="273875EC"/>
    <w:rsid w:val="273972E3"/>
    <w:rsid w:val="273B3F50"/>
    <w:rsid w:val="27402404"/>
    <w:rsid w:val="274845CD"/>
    <w:rsid w:val="274F1F56"/>
    <w:rsid w:val="274F7393"/>
    <w:rsid w:val="275000F4"/>
    <w:rsid w:val="275E0B6F"/>
    <w:rsid w:val="276C29FF"/>
    <w:rsid w:val="27787DF0"/>
    <w:rsid w:val="277D5407"/>
    <w:rsid w:val="278422F1"/>
    <w:rsid w:val="278C0189"/>
    <w:rsid w:val="27922308"/>
    <w:rsid w:val="279407BB"/>
    <w:rsid w:val="279A668B"/>
    <w:rsid w:val="279A7F14"/>
    <w:rsid w:val="27AC2787"/>
    <w:rsid w:val="27B13177"/>
    <w:rsid w:val="27B16315"/>
    <w:rsid w:val="27C724D1"/>
    <w:rsid w:val="27D25B05"/>
    <w:rsid w:val="27D41F54"/>
    <w:rsid w:val="27D43A86"/>
    <w:rsid w:val="27D43BB9"/>
    <w:rsid w:val="27DC212D"/>
    <w:rsid w:val="27E6002D"/>
    <w:rsid w:val="27E728EA"/>
    <w:rsid w:val="27EE6ABF"/>
    <w:rsid w:val="27F9199C"/>
    <w:rsid w:val="28022EB3"/>
    <w:rsid w:val="280B67EF"/>
    <w:rsid w:val="281B53B1"/>
    <w:rsid w:val="281F67DD"/>
    <w:rsid w:val="2836008F"/>
    <w:rsid w:val="283732BE"/>
    <w:rsid w:val="283B63ED"/>
    <w:rsid w:val="284101E2"/>
    <w:rsid w:val="28420162"/>
    <w:rsid w:val="284616E0"/>
    <w:rsid w:val="284E164D"/>
    <w:rsid w:val="2852568E"/>
    <w:rsid w:val="287038CD"/>
    <w:rsid w:val="28724264"/>
    <w:rsid w:val="2879582C"/>
    <w:rsid w:val="287979C1"/>
    <w:rsid w:val="288173EB"/>
    <w:rsid w:val="2883247D"/>
    <w:rsid w:val="28855A7D"/>
    <w:rsid w:val="288B549B"/>
    <w:rsid w:val="288B76AF"/>
    <w:rsid w:val="288E06C4"/>
    <w:rsid w:val="28924F86"/>
    <w:rsid w:val="28951DB4"/>
    <w:rsid w:val="28A344B6"/>
    <w:rsid w:val="28A77D66"/>
    <w:rsid w:val="28AF463F"/>
    <w:rsid w:val="28B32B44"/>
    <w:rsid w:val="28B409B4"/>
    <w:rsid w:val="28D26968"/>
    <w:rsid w:val="28D56B7C"/>
    <w:rsid w:val="28D67A85"/>
    <w:rsid w:val="28E576C1"/>
    <w:rsid w:val="28E57E54"/>
    <w:rsid w:val="28E82D54"/>
    <w:rsid w:val="28F9286B"/>
    <w:rsid w:val="28FF4167"/>
    <w:rsid w:val="29011A11"/>
    <w:rsid w:val="29053906"/>
    <w:rsid w:val="29090A15"/>
    <w:rsid w:val="290A0F1C"/>
    <w:rsid w:val="290D0488"/>
    <w:rsid w:val="29111FBA"/>
    <w:rsid w:val="29155C17"/>
    <w:rsid w:val="291678C1"/>
    <w:rsid w:val="29383ED6"/>
    <w:rsid w:val="293C4DCD"/>
    <w:rsid w:val="2940493E"/>
    <w:rsid w:val="29495532"/>
    <w:rsid w:val="29571884"/>
    <w:rsid w:val="29581C87"/>
    <w:rsid w:val="295F03B1"/>
    <w:rsid w:val="296323DA"/>
    <w:rsid w:val="29647303"/>
    <w:rsid w:val="29717D14"/>
    <w:rsid w:val="297665B1"/>
    <w:rsid w:val="29796309"/>
    <w:rsid w:val="297D7FC7"/>
    <w:rsid w:val="298A3E0B"/>
    <w:rsid w:val="29986658"/>
    <w:rsid w:val="299C06DD"/>
    <w:rsid w:val="29A24CB1"/>
    <w:rsid w:val="29A9603F"/>
    <w:rsid w:val="29AC5B2F"/>
    <w:rsid w:val="29B57536"/>
    <w:rsid w:val="29B669AE"/>
    <w:rsid w:val="29CC61D1"/>
    <w:rsid w:val="29CD0E8D"/>
    <w:rsid w:val="29CF088F"/>
    <w:rsid w:val="29CF5F7B"/>
    <w:rsid w:val="29D07B2C"/>
    <w:rsid w:val="29DF7CB3"/>
    <w:rsid w:val="29E91347"/>
    <w:rsid w:val="29EB624B"/>
    <w:rsid w:val="29EE0EC5"/>
    <w:rsid w:val="29EE6148"/>
    <w:rsid w:val="2A017669"/>
    <w:rsid w:val="2A131163"/>
    <w:rsid w:val="2A1862D1"/>
    <w:rsid w:val="2A1B4A63"/>
    <w:rsid w:val="2A1C7A90"/>
    <w:rsid w:val="2A1F5A20"/>
    <w:rsid w:val="2A233028"/>
    <w:rsid w:val="2A257690"/>
    <w:rsid w:val="2A292902"/>
    <w:rsid w:val="2A2F67F8"/>
    <w:rsid w:val="2A383867"/>
    <w:rsid w:val="2A394081"/>
    <w:rsid w:val="2A3D56F9"/>
    <w:rsid w:val="2A472991"/>
    <w:rsid w:val="2A4C3F78"/>
    <w:rsid w:val="2A4D10C0"/>
    <w:rsid w:val="2A575112"/>
    <w:rsid w:val="2A5C441A"/>
    <w:rsid w:val="2A5F0D49"/>
    <w:rsid w:val="2A61691A"/>
    <w:rsid w:val="2A64709E"/>
    <w:rsid w:val="2A6530A6"/>
    <w:rsid w:val="2A68012A"/>
    <w:rsid w:val="2A703001"/>
    <w:rsid w:val="2A714723"/>
    <w:rsid w:val="2A7538D0"/>
    <w:rsid w:val="2A755B5E"/>
    <w:rsid w:val="2A7C3468"/>
    <w:rsid w:val="2A89181D"/>
    <w:rsid w:val="2A9233CE"/>
    <w:rsid w:val="2A942242"/>
    <w:rsid w:val="2A987BF0"/>
    <w:rsid w:val="2A9E191C"/>
    <w:rsid w:val="2AA352BD"/>
    <w:rsid w:val="2AAB5DE7"/>
    <w:rsid w:val="2AB05631"/>
    <w:rsid w:val="2AB42DD7"/>
    <w:rsid w:val="2AB7478C"/>
    <w:rsid w:val="2ABC7692"/>
    <w:rsid w:val="2ABE5B1A"/>
    <w:rsid w:val="2ABF25ED"/>
    <w:rsid w:val="2AC65D97"/>
    <w:rsid w:val="2AC92B3B"/>
    <w:rsid w:val="2AD12683"/>
    <w:rsid w:val="2AD76BDC"/>
    <w:rsid w:val="2ADA20FA"/>
    <w:rsid w:val="2ADB2899"/>
    <w:rsid w:val="2ADE6B55"/>
    <w:rsid w:val="2AEA75FB"/>
    <w:rsid w:val="2AF53506"/>
    <w:rsid w:val="2AF8766C"/>
    <w:rsid w:val="2B01009F"/>
    <w:rsid w:val="2B100B7A"/>
    <w:rsid w:val="2B1200BA"/>
    <w:rsid w:val="2B125E66"/>
    <w:rsid w:val="2B146847"/>
    <w:rsid w:val="2B1C6CE5"/>
    <w:rsid w:val="2B2068F9"/>
    <w:rsid w:val="2B234665"/>
    <w:rsid w:val="2B281C84"/>
    <w:rsid w:val="2B2A0255"/>
    <w:rsid w:val="2B2A3917"/>
    <w:rsid w:val="2B2A70F4"/>
    <w:rsid w:val="2B30453E"/>
    <w:rsid w:val="2B31412B"/>
    <w:rsid w:val="2B3B716B"/>
    <w:rsid w:val="2B3F4E05"/>
    <w:rsid w:val="2B41648E"/>
    <w:rsid w:val="2B41674B"/>
    <w:rsid w:val="2B4353FD"/>
    <w:rsid w:val="2B4542AD"/>
    <w:rsid w:val="2B470C7F"/>
    <w:rsid w:val="2B481888"/>
    <w:rsid w:val="2B4A1AA4"/>
    <w:rsid w:val="2B5621EE"/>
    <w:rsid w:val="2B603075"/>
    <w:rsid w:val="2B664F63"/>
    <w:rsid w:val="2B713152"/>
    <w:rsid w:val="2B715282"/>
    <w:rsid w:val="2B784E2F"/>
    <w:rsid w:val="2B7F799F"/>
    <w:rsid w:val="2B807273"/>
    <w:rsid w:val="2B8925FB"/>
    <w:rsid w:val="2B8B23B1"/>
    <w:rsid w:val="2BA01329"/>
    <w:rsid w:val="2BAE3DE1"/>
    <w:rsid w:val="2BB22D4F"/>
    <w:rsid w:val="2BB54D24"/>
    <w:rsid w:val="2BB6737C"/>
    <w:rsid w:val="2BBD04C8"/>
    <w:rsid w:val="2BC55BDC"/>
    <w:rsid w:val="2BC83B7A"/>
    <w:rsid w:val="2BCD07E6"/>
    <w:rsid w:val="2BD02972"/>
    <w:rsid w:val="2BD77849"/>
    <w:rsid w:val="2BD870AF"/>
    <w:rsid w:val="2BE076DD"/>
    <w:rsid w:val="2BE95450"/>
    <w:rsid w:val="2BEB0855"/>
    <w:rsid w:val="2BEF61A7"/>
    <w:rsid w:val="2BF02408"/>
    <w:rsid w:val="2BF107DF"/>
    <w:rsid w:val="2BF16504"/>
    <w:rsid w:val="2BF176BE"/>
    <w:rsid w:val="2BF30862"/>
    <w:rsid w:val="2BF96603"/>
    <w:rsid w:val="2C0440A1"/>
    <w:rsid w:val="2C092A31"/>
    <w:rsid w:val="2C0E0D23"/>
    <w:rsid w:val="2C14691D"/>
    <w:rsid w:val="2C1A6AAD"/>
    <w:rsid w:val="2C1D30B4"/>
    <w:rsid w:val="2C1E7672"/>
    <w:rsid w:val="2C2643AF"/>
    <w:rsid w:val="2C266C4F"/>
    <w:rsid w:val="2C277295"/>
    <w:rsid w:val="2C2A60AA"/>
    <w:rsid w:val="2C2C2F57"/>
    <w:rsid w:val="2C337640"/>
    <w:rsid w:val="2C491093"/>
    <w:rsid w:val="2C4B7CCD"/>
    <w:rsid w:val="2C4F5B54"/>
    <w:rsid w:val="2C5801F0"/>
    <w:rsid w:val="2C5D5D51"/>
    <w:rsid w:val="2C6F6165"/>
    <w:rsid w:val="2C860FAA"/>
    <w:rsid w:val="2C8903AA"/>
    <w:rsid w:val="2C8B0EFE"/>
    <w:rsid w:val="2C9A206F"/>
    <w:rsid w:val="2CA0486E"/>
    <w:rsid w:val="2CA43435"/>
    <w:rsid w:val="2CA46A1D"/>
    <w:rsid w:val="2CAD3C2C"/>
    <w:rsid w:val="2CBC077F"/>
    <w:rsid w:val="2CC325B8"/>
    <w:rsid w:val="2CC76232"/>
    <w:rsid w:val="2CCB2911"/>
    <w:rsid w:val="2CCD53D6"/>
    <w:rsid w:val="2CD820FE"/>
    <w:rsid w:val="2CD929F9"/>
    <w:rsid w:val="2CE46F77"/>
    <w:rsid w:val="2CE7482D"/>
    <w:rsid w:val="2CEA709A"/>
    <w:rsid w:val="2CF271A5"/>
    <w:rsid w:val="2CF5337D"/>
    <w:rsid w:val="2CFE48F4"/>
    <w:rsid w:val="2CFF6A31"/>
    <w:rsid w:val="2D0839C4"/>
    <w:rsid w:val="2D0E6EFB"/>
    <w:rsid w:val="2D1068D6"/>
    <w:rsid w:val="2D117311"/>
    <w:rsid w:val="2D1E0A79"/>
    <w:rsid w:val="2D2514BE"/>
    <w:rsid w:val="2D2873DA"/>
    <w:rsid w:val="2D2D72E1"/>
    <w:rsid w:val="2D2E70D2"/>
    <w:rsid w:val="2D3133A6"/>
    <w:rsid w:val="2D364FBB"/>
    <w:rsid w:val="2D3927D7"/>
    <w:rsid w:val="2D395076"/>
    <w:rsid w:val="2D3E6111"/>
    <w:rsid w:val="2D426A09"/>
    <w:rsid w:val="2D501D8D"/>
    <w:rsid w:val="2D5233DA"/>
    <w:rsid w:val="2D606A7F"/>
    <w:rsid w:val="2D69305E"/>
    <w:rsid w:val="2D6A2228"/>
    <w:rsid w:val="2D7A1A9E"/>
    <w:rsid w:val="2D7B2EBD"/>
    <w:rsid w:val="2D81074F"/>
    <w:rsid w:val="2D8400D7"/>
    <w:rsid w:val="2D851D9A"/>
    <w:rsid w:val="2D880661"/>
    <w:rsid w:val="2D8C557A"/>
    <w:rsid w:val="2D8D7A26"/>
    <w:rsid w:val="2D960FD0"/>
    <w:rsid w:val="2D965BB7"/>
    <w:rsid w:val="2D9B7011"/>
    <w:rsid w:val="2D9D235F"/>
    <w:rsid w:val="2D9E3D73"/>
    <w:rsid w:val="2DB16F20"/>
    <w:rsid w:val="2DB504EE"/>
    <w:rsid w:val="2DBB27E5"/>
    <w:rsid w:val="2DC65C5D"/>
    <w:rsid w:val="2DDA215C"/>
    <w:rsid w:val="2DE07348"/>
    <w:rsid w:val="2DE62982"/>
    <w:rsid w:val="2DE643E9"/>
    <w:rsid w:val="2DF126AA"/>
    <w:rsid w:val="2DF32344"/>
    <w:rsid w:val="2DF4654A"/>
    <w:rsid w:val="2DF47F4D"/>
    <w:rsid w:val="2DF6381D"/>
    <w:rsid w:val="2DFC1570"/>
    <w:rsid w:val="2DFD6F0F"/>
    <w:rsid w:val="2E021854"/>
    <w:rsid w:val="2E0D592A"/>
    <w:rsid w:val="2E132621"/>
    <w:rsid w:val="2E151E3F"/>
    <w:rsid w:val="2E161F59"/>
    <w:rsid w:val="2E1B4E62"/>
    <w:rsid w:val="2E1B7727"/>
    <w:rsid w:val="2E293ABE"/>
    <w:rsid w:val="2E2B796A"/>
    <w:rsid w:val="2E2B7DC3"/>
    <w:rsid w:val="2E2C476D"/>
    <w:rsid w:val="2E307A51"/>
    <w:rsid w:val="2E3B7D7C"/>
    <w:rsid w:val="2E402CEA"/>
    <w:rsid w:val="2E461A7F"/>
    <w:rsid w:val="2E481E52"/>
    <w:rsid w:val="2E514EF7"/>
    <w:rsid w:val="2E552C39"/>
    <w:rsid w:val="2E56497E"/>
    <w:rsid w:val="2E5A2C24"/>
    <w:rsid w:val="2E725599"/>
    <w:rsid w:val="2E836346"/>
    <w:rsid w:val="2E856E72"/>
    <w:rsid w:val="2E876DD2"/>
    <w:rsid w:val="2E8D20CC"/>
    <w:rsid w:val="2E8F0C1E"/>
    <w:rsid w:val="2E9142C3"/>
    <w:rsid w:val="2E921A1A"/>
    <w:rsid w:val="2E9848D4"/>
    <w:rsid w:val="2E9F2D5F"/>
    <w:rsid w:val="2EA21BDF"/>
    <w:rsid w:val="2EA27501"/>
    <w:rsid w:val="2EB40279"/>
    <w:rsid w:val="2EBD7F64"/>
    <w:rsid w:val="2EBF4557"/>
    <w:rsid w:val="2ED37A54"/>
    <w:rsid w:val="2ED57C77"/>
    <w:rsid w:val="2EDD7505"/>
    <w:rsid w:val="2EDE0726"/>
    <w:rsid w:val="2EE53A9F"/>
    <w:rsid w:val="2EE937FA"/>
    <w:rsid w:val="2EE95130"/>
    <w:rsid w:val="2EEA15D4"/>
    <w:rsid w:val="2EF064BE"/>
    <w:rsid w:val="2EF273D6"/>
    <w:rsid w:val="2EF950C1"/>
    <w:rsid w:val="2F065CE2"/>
    <w:rsid w:val="2F06678E"/>
    <w:rsid w:val="2F0B071C"/>
    <w:rsid w:val="2F192F50"/>
    <w:rsid w:val="2F1C72B3"/>
    <w:rsid w:val="2F204197"/>
    <w:rsid w:val="2F25485A"/>
    <w:rsid w:val="2F287054"/>
    <w:rsid w:val="2F3B1E2F"/>
    <w:rsid w:val="2F3E191F"/>
    <w:rsid w:val="2F4A0F22"/>
    <w:rsid w:val="2F4C5E70"/>
    <w:rsid w:val="2F526CA4"/>
    <w:rsid w:val="2F55438A"/>
    <w:rsid w:val="2F656EAC"/>
    <w:rsid w:val="2F754C15"/>
    <w:rsid w:val="2F7B10A8"/>
    <w:rsid w:val="2F802287"/>
    <w:rsid w:val="2F831840"/>
    <w:rsid w:val="2F844F3D"/>
    <w:rsid w:val="2FA254F9"/>
    <w:rsid w:val="2FA55278"/>
    <w:rsid w:val="2FB26301"/>
    <w:rsid w:val="2FB74BAF"/>
    <w:rsid w:val="2FBA2DF3"/>
    <w:rsid w:val="2FBC0CA1"/>
    <w:rsid w:val="2FBE00EF"/>
    <w:rsid w:val="2FC42A76"/>
    <w:rsid w:val="2FD74D6F"/>
    <w:rsid w:val="2FDF6A9F"/>
    <w:rsid w:val="2FE074EB"/>
    <w:rsid w:val="2FE37ADC"/>
    <w:rsid w:val="2FE60B2B"/>
    <w:rsid w:val="2FE7396B"/>
    <w:rsid w:val="2FEA115F"/>
    <w:rsid w:val="2FEC21C6"/>
    <w:rsid w:val="2FF26DAD"/>
    <w:rsid w:val="2FF33A5F"/>
    <w:rsid w:val="2FF548BF"/>
    <w:rsid w:val="2FFA2E09"/>
    <w:rsid w:val="2FFD2195"/>
    <w:rsid w:val="30073A09"/>
    <w:rsid w:val="30087541"/>
    <w:rsid w:val="30087994"/>
    <w:rsid w:val="300C09A4"/>
    <w:rsid w:val="300D7D4A"/>
    <w:rsid w:val="301124FE"/>
    <w:rsid w:val="301362BF"/>
    <w:rsid w:val="30196CC1"/>
    <w:rsid w:val="301E2267"/>
    <w:rsid w:val="3025663B"/>
    <w:rsid w:val="3041030B"/>
    <w:rsid w:val="304A6497"/>
    <w:rsid w:val="304D15B2"/>
    <w:rsid w:val="304E10FA"/>
    <w:rsid w:val="30555B90"/>
    <w:rsid w:val="30560ED4"/>
    <w:rsid w:val="30560FD6"/>
    <w:rsid w:val="30566F5E"/>
    <w:rsid w:val="306C4F60"/>
    <w:rsid w:val="306F2952"/>
    <w:rsid w:val="307331E6"/>
    <w:rsid w:val="30747320"/>
    <w:rsid w:val="307A0252"/>
    <w:rsid w:val="307A4A48"/>
    <w:rsid w:val="307D423C"/>
    <w:rsid w:val="308472F3"/>
    <w:rsid w:val="30896D00"/>
    <w:rsid w:val="308F3262"/>
    <w:rsid w:val="30907A25"/>
    <w:rsid w:val="30967C0A"/>
    <w:rsid w:val="30A12213"/>
    <w:rsid w:val="30B26421"/>
    <w:rsid w:val="30B71C9C"/>
    <w:rsid w:val="30BB2AFC"/>
    <w:rsid w:val="30BB45F6"/>
    <w:rsid w:val="30C51C65"/>
    <w:rsid w:val="30CC2310"/>
    <w:rsid w:val="30CF739B"/>
    <w:rsid w:val="30D27F68"/>
    <w:rsid w:val="30D75B88"/>
    <w:rsid w:val="30DB2A7E"/>
    <w:rsid w:val="30E402A4"/>
    <w:rsid w:val="30E76F8A"/>
    <w:rsid w:val="30EA37B4"/>
    <w:rsid w:val="30EE1123"/>
    <w:rsid w:val="30F77FD8"/>
    <w:rsid w:val="30FF7CF9"/>
    <w:rsid w:val="310224D9"/>
    <w:rsid w:val="3105052E"/>
    <w:rsid w:val="31083D14"/>
    <w:rsid w:val="310B1688"/>
    <w:rsid w:val="311022F8"/>
    <w:rsid w:val="3115483F"/>
    <w:rsid w:val="311A0C0B"/>
    <w:rsid w:val="311C09E2"/>
    <w:rsid w:val="311E335C"/>
    <w:rsid w:val="311F548E"/>
    <w:rsid w:val="31263949"/>
    <w:rsid w:val="312E5CA5"/>
    <w:rsid w:val="313269FE"/>
    <w:rsid w:val="313F2A48"/>
    <w:rsid w:val="3143651B"/>
    <w:rsid w:val="31442AF1"/>
    <w:rsid w:val="314A3338"/>
    <w:rsid w:val="314D5E4A"/>
    <w:rsid w:val="31604AE0"/>
    <w:rsid w:val="316358C8"/>
    <w:rsid w:val="316407DE"/>
    <w:rsid w:val="31672B0C"/>
    <w:rsid w:val="31727387"/>
    <w:rsid w:val="3173071A"/>
    <w:rsid w:val="3189561E"/>
    <w:rsid w:val="318F7BBF"/>
    <w:rsid w:val="3193654E"/>
    <w:rsid w:val="319737F6"/>
    <w:rsid w:val="319A4022"/>
    <w:rsid w:val="319B6BB5"/>
    <w:rsid w:val="31A20E23"/>
    <w:rsid w:val="31A35A6A"/>
    <w:rsid w:val="31A67308"/>
    <w:rsid w:val="31A71FE7"/>
    <w:rsid w:val="31B0610C"/>
    <w:rsid w:val="31B41A25"/>
    <w:rsid w:val="31B81679"/>
    <w:rsid w:val="31B867DA"/>
    <w:rsid w:val="31BA7B5B"/>
    <w:rsid w:val="31BB7C0A"/>
    <w:rsid w:val="31BC1E2C"/>
    <w:rsid w:val="31BF1C2F"/>
    <w:rsid w:val="31C257A3"/>
    <w:rsid w:val="31C92655"/>
    <w:rsid w:val="31C97D2B"/>
    <w:rsid w:val="31D31F9C"/>
    <w:rsid w:val="31D45D2E"/>
    <w:rsid w:val="31D54EF7"/>
    <w:rsid w:val="31D90B18"/>
    <w:rsid w:val="31DB4E51"/>
    <w:rsid w:val="31DE6AA2"/>
    <w:rsid w:val="31E61BB4"/>
    <w:rsid w:val="31F462C5"/>
    <w:rsid w:val="31FE41DB"/>
    <w:rsid w:val="31FE5396"/>
    <w:rsid w:val="31FE7C49"/>
    <w:rsid w:val="320C5C58"/>
    <w:rsid w:val="32100EDB"/>
    <w:rsid w:val="3217617A"/>
    <w:rsid w:val="321A7C4C"/>
    <w:rsid w:val="321B5F48"/>
    <w:rsid w:val="321F32DC"/>
    <w:rsid w:val="32211855"/>
    <w:rsid w:val="32230959"/>
    <w:rsid w:val="32231817"/>
    <w:rsid w:val="3239017C"/>
    <w:rsid w:val="323D2A7A"/>
    <w:rsid w:val="324463DD"/>
    <w:rsid w:val="325568AA"/>
    <w:rsid w:val="325F16C7"/>
    <w:rsid w:val="3277271E"/>
    <w:rsid w:val="3277369F"/>
    <w:rsid w:val="327A3C22"/>
    <w:rsid w:val="327C4FD4"/>
    <w:rsid w:val="327D699A"/>
    <w:rsid w:val="327E43F2"/>
    <w:rsid w:val="328733C1"/>
    <w:rsid w:val="328B4E7C"/>
    <w:rsid w:val="328D66C2"/>
    <w:rsid w:val="328E2276"/>
    <w:rsid w:val="3296312C"/>
    <w:rsid w:val="3296737C"/>
    <w:rsid w:val="32A2630E"/>
    <w:rsid w:val="32A4694B"/>
    <w:rsid w:val="32A61CB5"/>
    <w:rsid w:val="32B06E1C"/>
    <w:rsid w:val="32B5223D"/>
    <w:rsid w:val="32BC694A"/>
    <w:rsid w:val="32C16F34"/>
    <w:rsid w:val="32C53DFD"/>
    <w:rsid w:val="32C849EE"/>
    <w:rsid w:val="32C91500"/>
    <w:rsid w:val="32CE4225"/>
    <w:rsid w:val="32D25EDA"/>
    <w:rsid w:val="32D745CC"/>
    <w:rsid w:val="32D91CD1"/>
    <w:rsid w:val="32E26A66"/>
    <w:rsid w:val="32E50160"/>
    <w:rsid w:val="32EB26A2"/>
    <w:rsid w:val="32F47C21"/>
    <w:rsid w:val="32FA249B"/>
    <w:rsid w:val="32FB2C8F"/>
    <w:rsid w:val="33030975"/>
    <w:rsid w:val="330B644E"/>
    <w:rsid w:val="331166AE"/>
    <w:rsid w:val="33125DBA"/>
    <w:rsid w:val="332C1A8F"/>
    <w:rsid w:val="3335369A"/>
    <w:rsid w:val="33383C8F"/>
    <w:rsid w:val="333C277D"/>
    <w:rsid w:val="333F0E47"/>
    <w:rsid w:val="334175BB"/>
    <w:rsid w:val="33447C07"/>
    <w:rsid w:val="33456354"/>
    <w:rsid w:val="335137B3"/>
    <w:rsid w:val="33523E52"/>
    <w:rsid w:val="33576B0C"/>
    <w:rsid w:val="335C6818"/>
    <w:rsid w:val="335C79B2"/>
    <w:rsid w:val="33660FEB"/>
    <w:rsid w:val="336F02F9"/>
    <w:rsid w:val="33752745"/>
    <w:rsid w:val="33783E67"/>
    <w:rsid w:val="3381002D"/>
    <w:rsid w:val="33817268"/>
    <w:rsid w:val="338437F6"/>
    <w:rsid w:val="33845BB1"/>
    <w:rsid w:val="33891E3E"/>
    <w:rsid w:val="338A688B"/>
    <w:rsid w:val="33925D96"/>
    <w:rsid w:val="339A2E9C"/>
    <w:rsid w:val="339C774A"/>
    <w:rsid w:val="33A67A93"/>
    <w:rsid w:val="33AC29F8"/>
    <w:rsid w:val="33B32EF5"/>
    <w:rsid w:val="33B73531"/>
    <w:rsid w:val="33B757FC"/>
    <w:rsid w:val="33BB4608"/>
    <w:rsid w:val="33BF1F70"/>
    <w:rsid w:val="33CA60B1"/>
    <w:rsid w:val="33CE32A4"/>
    <w:rsid w:val="33D77C4D"/>
    <w:rsid w:val="33E01235"/>
    <w:rsid w:val="33E35653"/>
    <w:rsid w:val="33E41DC1"/>
    <w:rsid w:val="33FD3130"/>
    <w:rsid w:val="33FD3B57"/>
    <w:rsid w:val="34015674"/>
    <w:rsid w:val="34081549"/>
    <w:rsid w:val="34120C85"/>
    <w:rsid w:val="341A2801"/>
    <w:rsid w:val="342403C0"/>
    <w:rsid w:val="342A06C4"/>
    <w:rsid w:val="34383FA7"/>
    <w:rsid w:val="343B6477"/>
    <w:rsid w:val="343F0DEA"/>
    <w:rsid w:val="34406C87"/>
    <w:rsid w:val="344336C6"/>
    <w:rsid w:val="344A48C2"/>
    <w:rsid w:val="345D2848"/>
    <w:rsid w:val="346644D8"/>
    <w:rsid w:val="346A0AC1"/>
    <w:rsid w:val="346E4E8F"/>
    <w:rsid w:val="34733E19"/>
    <w:rsid w:val="34811386"/>
    <w:rsid w:val="34824BD2"/>
    <w:rsid w:val="34833930"/>
    <w:rsid w:val="34846FB6"/>
    <w:rsid w:val="3492236C"/>
    <w:rsid w:val="34A70F86"/>
    <w:rsid w:val="34A7237F"/>
    <w:rsid w:val="34B87A7E"/>
    <w:rsid w:val="34C24459"/>
    <w:rsid w:val="34C3707B"/>
    <w:rsid w:val="34CB3356"/>
    <w:rsid w:val="34D67E92"/>
    <w:rsid w:val="34D8334B"/>
    <w:rsid w:val="34D84DA0"/>
    <w:rsid w:val="34E86F5F"/>
    <w:rsid w:val="34EB3E1C"/>
    <w:rsid w:val="34F8476F"/>
    <w:rsid w:val="35075781"/>
    <w:rsid w:val="35093D63"/>
    <w:rsid w:val="35102C8B"/>
    <w:rsid w:val="351D5249"/>
    <w:rsid w:val="35284AFC"/>
    <w:rsid w:val="3529051C"/>
    <w:rsid w:val="352B46F4"/>
    <w:rsid w:val="35304680"/>
    <w:rsid w:val="35370A08"/>
    <w:rsid w:val="353D7F83"/>
    <w:rsid w:val="35414BC8"/>
    <w:rsid w:val="35465138"/>
    <w:rsid w:val="35483250"/>
    <w:rsid w:val="355157DD"/>
    <w:rsid w:val="3551651F"/>
    <w:rsid w:val="35575782"/>
    <w:rsid w:val="355D31CB"/>
    <w:rsid w:val="35641C4D"/>
    <w:rsid w:val="356B5E37"/>
    <w:rsid w:val="356D1C71"/>
    <w:rsid w:val="35726A4B"/>
    <w:rsid w:val="35845BB2"/>
    <w:rsid w:val="358A08A4"/>
    <w:rsid w:val="358A1B36"/>
    <w:rsid w:val="35924A39"/>
    <w:rsid w:val="359279C8"/>
    <w:rsid w:val="359A7E3B"/>
    <w:rsid w:val="359D0A22"/>
    <w:rsid w:val="359D6079"/>
    <w:rsid w:val="359E6C74"/>
    <w:rsid w:val="35A11196"/>
    <w:rsid w:val="35B6520A"/>
    <w:rsid w:val="35B653DB"/>
    <w:rsid w:val="35B67A20"/>
    <w:rsid w:val="35B753AC"/>
    <w:rsid w:val="35B815BB"/>
    <w:rsid w:val="35BB0E36"/>
    <w:rsid w:val="35CB3272"/>
    <w:rsid w:val="35D63513"/>
    <w:rsid w:val="35DE3514"/>
    <w:rsid w:val="35E24015"/>
    <w:rsid w:val="35E92AEB"/>
    <w:rsid w:val="35F70D5C"/>
    <w:rsid w:val="35F76384"/>
    <w:rsid w:val="35FA37AB"/>
    <w:rsid w:val="35FD0786"/>
    <w:rsid w:val="35FE3BB6"/>
    <w:rsid w:val="3601056A"/>
    <w:rsid w:val="3601366F"/>
    <w:rsid w:val="36014282"/>
    <w:rsid w:val="360607D9"/>
    <w:rsid w:val="36147966"/>
    <w:rsid w:val="36190C5C"/>
    <w:rsid w:val="362271FA"/>
    <w:rsid w:val="362A675A"/>
    <w:rsid w:val="362F1FC2"/>
    <w:rsid w:val="362F5D6F"/>
    <w:rsid w:val="363B3095"/>
    <w:rsid w:val="363D616D"/>
    <w:rsid w:val="36407D2B"/>
    <w:rsid w:val="365B2D75"/>
    <w:rsid w:val="365D064F"/>
    <w:rsid w:val="36603F29"/>
    <w:rsid w:val="366A72D8"/>
    <w:rsid w:val="366E78C2"/>
    <w:rsid w:val="366F616A"/>
    <w:rsid w:val="36723C5D"/>
    <w:rsid w:val="367515AA"/>
    <w:rsid w:val="367938FC"/>
    <w:rsid w:val="367A1BA6"/>
    <w:rsid w:val="367B5887"/>
    <w:rsid w:val="3680281D"/>
    <w:rsid w:val="3680580C"/>
    <w:rsid w:val="36851E25"/>
    <w:rsid w:val="36951659"/>
    <w:rsid w:val="369B7657"/>
    <w:rsid w:val="369E2CA4"/>
    <w:rsid w:val="36A04C6E"/>
    <w:rsid w:val="36B01289"/>
    <w:rsid w:val="36C72C95"/>
    <w:rsid w:val="36CB2139"/>
    <w:rsid w:val="36DA0180"/>
    <w:rsid w:val="36E36908"/>
    <w:rsid w:val="36E56469"/>
    <w:rsid w:val="36EE7787"/>
    <w:rsid w:val="36F31241"/>
    <w:rsid w:val="36F56C63"/>
    <w:rsid w:val="370211A3"/>
    <w:rsid w:val="37040D59"/>
    <w:rsid w:val="37061F98"/>
    <w:rsid w:val="37125005"/>
    <w:rsid w:val="371354DE"/>
    <w:rsid w:val="37144D14"/>
    <w:rsid w:val="3719601A"/>
    <w:rsid w:val="37240668"/>
    <w:rsid w:val="372D427E"/>
    <w:rsid w:val="372E2279"/>
    <w:rsid w:val="37313B18"/>
    <w:rsid w:val="373152BB"/>
    <w:rsid w:val="37332815"/>
    <w:rsid w:val="3734059B"/>
    <w:rsid w:val="374455F9"/>
    <w:rsid w:val="374C0952"/>
    <w:rsid w:val="37537F32"/>
    <w:rsid w:val="375E1622"/>
    <w:rsid w:val="37665080"/>
    <w:rsid w:val="37667C65"/>
    <w:rsid w:val="378803FD"/>
    <w:rsid w:val="37937C15"/>
    <w:rsid w:val="3794631E"/>
    <w:rsid w:val="379A0692"/>
    <w:rsid w:val="379A5CEB"/>
    <w:rsid w:val="37B117D8"/>
    <w:rsid w:val="37B1317D"/>
    <w:rsid w:val="37B45D63"/>
    <w:rsid w:val="37B61FBB"/>
    <w:rsid w:val="37BE35FD"/>
    <w:rsid w:val="37BF2ACE"/>
    <w:rsid w:val="37CD33F9"/>
    <w:rsid w:val="37CE4033"/>
    <w:rsid w:val="37D810B0"/>
    <w:rsid w:val="37E37D94"/>
    <w:rsid w:val="37F11C3A"/>
    <w:rsid w:val="380A0786"/>
    <w:rsid w:val="380A264F"/>
    <w:rsid w:val="38122E1D"/>
    <w:rsid w:val="381800EE"/>
    <w:rsid w:val="381A6B45"/>
    <w:rsid w:val="3828316D"/>
    <w:rsid w:val="38296DA3"/>
    <w:rsid w:val="38367638"/>
    <w:rsid w:val="38390187"/>
    <w:rsid w:val="383D7C4C"/>
    <w:rsid w:val="383E78A0"/>
    <w:rsid w:val="384018DF"/>
    <w:rsid w:val="3848630F"/>
    <w:rsid w:val="384C6E5B"/>
    <w:rsid w:val="384D3BA4"/>
    <w:rsid w:val="385375DF"/>
    <w:rsid w:val="38594445"/>
    <w:rsid w:val="38595064"/>
    <w:rsid w:val="385A07E5"/>
    <w:rsid w:val="385B02F2"/>
    <w:rsid w:val="3867667F"/>
    <w:rsid w:val="387716E2"/>
    <w:rsid w:val="38776900"/>
    <w:rsid w:val="38783A4D"/>
    <w:rsid w:val="387F3E45"/>
    <w:rsid w:val="3887653F"/>
    <w:rsid w:val="388A1731"/>
    <w:rsid w:val="388C4906"/>
    <w:rsid w:val="389600D6"/>
    <w:rsid w:val="389A768B"/>
    <w:rsid w:val="389E008F"/>
    <w:rsid w:val="389F171F"/>
    <w:rsid w:val="38A50319"/>
    <w:rsid w:val="38A8296F"/>
    <w:rsid w:val="38A94C99"/>
    <w:rsid w:val="38B30DCB"/>
    <w:rsid w:val="38C23AE1"/>
    <w:rsid w:val="38D6246F"/>
    <w:rsid w:val="38D767B8"/>
    <w:rsid w:val="38EA70B9"/>
    <w:rsid w:val="38F00189"/>
    <w:rsid w:val="38F02197"/>
    <w:rsid w:val="38F56CD1"/>
    <w:rsid w:val="38F670AA"/>
    <w:rsid w:val="38F75DA1"/>
    <w:rsid w:val="38FB3A07"/>
    <w:rsid w:val="390738EA"/>
    <w:rsid w:val="390A3CBC"/>
    <w:rsid w:val="39177F01"/>
    <w:rsid w:val="39202A26"/>
    <w:rsid w:val="392F0891"/>
    <w:rsid w:val="39334C6D"/>
    <w:rsid w:val="39477622"/>
    <w:rsid w:val="39494829"/>
    <w:rsid w:val="394E6C03"/>
    <w:rsid w:val="39564F30"/>
    <w:rsid w:val="395B383D"/>
    <w:rsid w:val="395D7AF6"/>
    <w:rsid w:val="39612290"/>
    <w:rsid w:val="396B5C66"/>
    <w:rsid w:val="396B77E3"/>
    <w:rsid w:val="396D20AF"/>
    <w:rsid w:val="39711E73"/>
    <w:rsid w:val="397505EE"/>
    <w:rsid w:val="39761BE7"/>
    <w:rsid w:val="39824642"/>
    <w:rsid w:val="39881992"/>
    <w:rsid w:val="398D7264"/>
    <w:rsid w:val="39934616"/>
    <w:rsid w:val="3995038E"/>
    <w:rsid w:val="399603D3"/>
    <w:rsid w:val="399E0063"/>
    <w:rsid w:val="39A3530D"/>
    <w:rsid w:val="39A97991"/>
    <w:rsid w:val="39AC56D7"/>
    <w:rsid w:val="39B27192"/>
    <w:rsid w:val="39B34CB8"/>
    <w:rsid w:val="39B60B61"/>
    <w:rsid w:val="39BD78E5"/>
    <w:rsid w:val="39C84201"/>
    <w:rsid w:val="39C90037"/>
    <w:rsid w:val="39CB3DB0"/>
    <w:rsid w:val="39D100D0"/>
    <w:rsid w:val="39D2303C"/>
    <w:rsid w:val="39D42CE7"/>
    <w:rsid w:val="39D4539A"/>
    <w:rsid w:val="39DD3AE3"/>
    <w:rsid w:val="39DE1D35"/>
    <w:rsid w:val="39E82BB3"/>
    <w:rsid w:val="39EB26A4"/>
    <w:rsid w:val="39F00926"/>
    <w:rsid w:val="39FE4ED9"/>
    <w:rsid w:val="3A006552"/>
    <w:rsid w:val="3A100AFC"/>
    <w:rsid w:val="3A122A6A"/>
    <w:rsid w:val="3A1A268F"/>
    <w:rsid w:val="3A1B73AC"/>
    <w:rsid w:val="3A225344"/>
    <w:rsid w:val="3A32580B"/>
    <w:rsid w:val="3A3B7187"/>
    <w:rsid w:val="3A3C70DA"/>
    <w:rsid w:val="3A445152"/>
    <w:rsid w:val="3A460281"/>
    <w:rsid w:val="3A4E7A36"/>
    <w:rsid w:val="3A6078CE"/>
    <w:rsid w:val="3A617ED5"/>
    <w:rsid w:val="3A6D643D"/>
    <w:rsid w:val="3A700DC6"/>
    <w:rsid w:val="3A742699"/>
    <w:rsid w:val="3A7D5A71"/>
    <w:rsid w:val="3A7D77A0"/>
    <w:rsid w:val="3A8012DC"/>
    <w:rsid w:val="3A82338F"/>
    <w:rsid w:val="3A881CA1"/>
    <w:rsid w:val="3A8E5D10"/>
    <w:rsid w:val="3AA05F85"/>
    <w:rsid w:val="3AA20FB4"/>
    <w:rsid w:val="3AA63444"/>
    <w:rsid w:val="3AA840F1"/>
    <w:rsid w:val="3AB91397"/>
    <w:rsid w:val="3ABB568A"/>
    <w:rsid w:val="3ABF235F"/>
    <w:rsid w:val="3AC214F7"/>
    <w:rsid w:val="3AC30EEC"/>
    <w:rsid w:val="3AC3671E"/>
    <w:rsid w:val="3AC3717D"/>
    <w:rsid w:val="3AC95FA8"/>
    <w:rsid w:val="3AD153F6"/>
    <w:rsid w:val="3AD5061C"/>
    <w:rsid w:val="3AE11A4E"/>
    <w:rsid w:val="3AE31E89"/>
    <w:rsid w:val="3AF15A98"/>
    <w:rsid w:val="3AF64E5C"/>
    <w:rsid w:val="3AF759E3"/>
    <w:rsid w:val="3B0752BB"/>
    <w:rsid w:val="3B0C27E0"/>
    <w:rsid w:val="3B10495E"/>
    <w:rsid w:val="3B2148DA"/>
    <w:rsid w:val="3B2371FA"/>
    <w:rsid w:val="3B256D14"/>
    <w:rsid w:val="3B2A4FB6"/>
    <w:rsid w:val="3B301742"/>
    <w:rsid w:val="3B31640C"/>
    <w:rsid w:val="3B371B2D"/>
    <w:rsid w:val="3B3A2E3D"/>
    <w:rsid w:val="3B3A431D"/>
    <w:rsid w:val="3B47390A"/>
    <w:rsid w:val="3B4937D1"/>
    <w:rsid w:val="3B4B6916"/>
    <w:rsid w:val="3B4D2EE2"/>
    <w:rsid w:val="3B4E41A0"/>
    <w:rsid w:val="3B537901"/>
    <w:rsid w:val="3B586A99"/>
    <w:rsid w:val="3B5A13DA"/>
    <w:rsid w:val="3B750477"/>
    <w:rsid w:val="3B7523A6"/>
    <w:rsid w:val="3B774511"/>
    <w:rsid w:val="3B7B52E1"/>
    <w:rsid w:val="3B8412CC"/>
    <w:rsid w:val="3B8C756F"/>
    <w:rsid w:val="3B8E0FB2"/>
    <w:rsid w:val="3B8F4DC4"/>
    <w:rsid w:val="3B905E0F"/>
    <w:rsid w:val="3B932D9C"/>
    <w:rsid w:val="3BA8115D"/>
    <w:rsid w:val="3BB5491A"/>
    <w:rsid w:val="3BB67E4F"/>
    <w:rsid w:val="3BBB7E54"/>
    <w:rsid w:val="3BBC1E3F"/>
    <w:rsid w:val="3BC705CC"/>
    <w:rsid w:val="3BCA261C"/>
    <w:rsid w:val="3BD26834"/>
    <w:rsid w:val="3BD31B77"/>
    <w:rsid w:val="3BD469C9"/>
    <w:rsid w:val="3BD614A0"/>
    <w:rsid w:val="3BE253E0"/>
    <w:rsid w:val="3BE458BB"/>
    <w:rsid w:val="3BE66FA4"/>
    <w:rsid w:val="3BE77B7A"/>
    <w:rsid w:val="3BE8197F"/>
    <w:rsid w:val="3BF22098"/>
    <w:rsid w:val="3BF42D14"/>
    <w:rsid w:val="3C057030"/>
    <w:rsid w:val="3C0757E3"/>
    <w:rsid w:val="3C0C1780"/>
    <w:rsid w:val="3C19288C"/>
    <w:rsid w:val="3C1A7270"/>
    <w:rsid w:val="3C1B6C33"/>
    <w:rsid w:val="3C321FC3"/>
    <w:rsid w:val="3C3C194D"/>
    <w:rsid w:val="3C3F4DB4"/>
    <w:rsid w:val="3C4017A7"/>
    <w:rsid w:val="3C441D02"/>
    <w:rsid w:val="3C463BA4"/>
    <w:rsid w:val="3C474E66"/>
    <w:rsid w:val="3C4C0535"/>
    <w:rsid w:val="3C5070D4"/>
    <w:rsid w:val="3C56614E"/>
    <w:rsid w:val="3C5C5A8B"/>
    <w:rsid w:val="3C6F7CCC"/>
    <w:rsid w:val="3C7454B8"/>
    <w:rsid w:val="3C764B1D"/>
    <w:rsid w:val="3C767358"/>
    <w:rsid w:val="3C7C5835"/>
    <w:rsid w:val="3C7C5FE2"/>
    <w:rsid w:val="3C86132C"/>
    <w:rsid w:val="3C886931"/>
    <w:rsid w:val="3C8B39EE"/>
    <w:rsid w:val="3C9266AD"/>
    <w:rsid w:val="3C92687C"/>
    <w:rsid w:val="3C9B5C32"/>
    <w:rsid w:val="3C9E4263"/>
    <w:rsid w:val="3CA30328"/>
    <w:rsid w:val="3CA806D7"/>
    <w:rsid w:val="3CAD03BB"/>
    <w:rsid w:val="3CB1218A"/>
    <w:rsid w:val="3CB37A06"/>
    <w:rsid w:val="3CB96102"/>
    <w:rsid w:val="3CBA43FC"/>
    <w:rsid w:val="3CBA7213"/>
    <w:rsid w:val="3CBD4815"/>
    <w:rsid w:val="3CBE2CA9"/>
    <w:rsid w:val="3CC16867"/>
    <w:rsid w:val="3CCE5FE8"/>
    <w:rsid w:val="3CDB63E1"/>
    <w:rsid w:val="3CDC6426"/>
    <w:rsid w:val="3CE00868"/>
    <w:rsid w:val="3CE11114"/>
    <w:rsid w:val="3CE21B3C"/>
    <w:rsid w:val="3CE77C76"/>
    <w:rsid w:val="3CE80C6A"/>
    <w:rsid w:val="3CED04E1"/>
    <w:rsid w:val="3CF25D94"/>
    <w:rsid w:val="3CF76797"/>
    <w:rsid w:val="3CF8135F"/>
    <w:rsid w:val="3D155987"/>
    <w:rsid w:val="3D1E1909"/>
    <w:rsid w:val="3D227BC2"/>
    <w:rsid w:val="3D235CB1"/>
    <w:rsid w:val="3D23732D"/>
    <w:rsid w:val="3D314871"/>
    <w:rsid w:val="3D361FC8"/>
    <w:rsid w:val="3D36750A"/>
    <w:rsid w:val="3D37130B"/>
    <w:rsid w:val="3D4A148F"/>
    <w:rsid w:val="3D531AB5"/>
    <w:rsid w:val="3D573AAE"/>
    <w:rsid w:val="3D5C3B63"/>
    <w:rsid w:val="3D630803"/>
    <w:rsid w:val="3D6437E1"/>
    <w:rsid w:val="3D6562C9"/>
    <w:rsid w:val="3D6663BC"/>
    <w:rsid w:val="3D6739D2"/>
    <w:rsid w:val="3D6D1400"/>
    <w:rsid w:val="3D77013B"/>
    <w:rsid w:val="3D86135D"/>
    <w:rsid w:val="3D885D7E"/>
    <w:rsid w:val="3D891FEB"/>
    <w:rsid w:val="3D894A1C"/>
    <w:rsid w:val="3D8A3BC0"/>
    <w:rsid w:val="3D8F52FC"/>
    <w:rsid w:val="3DA75AC4"/>
    <w:rsid w:val="3DAE23B6"/>
    <w:rsid w:val="3DBC43B2"/>
    <w:rsid w:val="3DC456E6"/>
    <w:rsid w:val="3DCC00F6"/>
    <w:rsid w:val="3DDB1F8C"/>
    <w:rsid w:val="3DDC6AF7"/>
    <w:rsid w:val="3DE70243"/>
    <w:rsid w:val="3DE73F01"/>
    <w:rsid w:val="3DEE38D9"/>
    <w:rsid w:val="3DF20CB5"/>
    <w:rsid w:val="3DF325B6"/>
    <w:rsid w:val="3DF37D79"/>
    <w:rsid w:val="3DFC4E7F"/>
    <w:rsid w:val="3DFC50D8"/>
    <w:rsid w:val="3DFF10F6"/>
    <w:rsid w:val="3DFF3AB5"/>
    <w:rsid w:val="3E005C41"/>
    <w:rsid w:val="3E045AE2"/>
    <w:rsid w:val="3E060061"/>
    <w:rsid w:val="3E0658F8"/>
    <w:rsid w:val="3E0C2BE9"/>
    <w:rsid w:val="3E0F73EF"/>
    <w:rsid w:val="3E1026D9"/>
    <w:rsid w:val="3E1A323A"/>
    <w:rsid w:val="3E2A0315"/>
    <w:rsid w:val="3E337968"/>
    <w:rsid w:val="3E3D7ECF"/>
    <w:rsid w:val="3E4634F9"/>
    <w:rsid w:val="3E4C3269"/>
    <w:rsid w:val="3E4D56DB"/>
    <w:rsid w:val="3E5352E3"/>
    <w:rsid w:val="3E5C1861"/>
    <w:rsid w:val="3E5F1E94"/>
    <w:rsid w:val="3E5F71BC"/>
    <w:rsid w:val="3E661243"/>
    <w:rsid w:val="3E691DE9"/>
    <w:rsid w:val="3E714E1C"/>
    <w:rsid w:val="3E772758"/>
    <w:rsid w:val="3E785FC9"/>
    <w:rsid w:val="3E895FE7"/>
    <w:rsid w:val="3E9977AD"/>
    <w:rsid w:val="3E9E1A93"/>
    <w:rsid w:val="3EAB2402"/>
    <w:rsid w:val="3EAB7EAD"/>
    <w:rsid w:val="3EB635BF"/>
    <w:rsid w:val="3EB86D71"/>
    <w:rsid w:val="3EBA619F"/>
    <w:rsid w:val="3EBB43E8"/>
    <w:rsid w:val="3EBD0C5E"/>
    <w:rsid w:val="3EBD4B4D"/>
    <w:rsid w:val="3ECD4B2F"/>
    <w:rsid w:val="3ED25BE0"/>
    <w:rsid w:val="3ED81F6F"/>
    <w:rsid w:val="3EE50A86"/>
    <w:rsid w:val="3EE772F3"/>
    <w:rsid w:val="3EEA3997"/>
    <w:rsid w:val="3EF840CF"/>
    <w:rsid w:val="3EFC5866"/>
    <w:rsid w:val="3EFD4748"/>
    <w:rsid w:val="3EFE0737"/>
    <w:rsid w:val="3EFF60F3"/>
    <w:rsid w:val="3F012456"/>
    <w:rsid w:val="3F022944"/>
    <w:rsid w:val="3F080BC5"/>
    <w:rsid w:val="3F0A7BA0"/>
    <w:rsid w:val="3F0B3854"/>
    <w:rsid w:val="3F0C7B15"/>
    <w:rsid w:val="3F116B6E"/>
    <w:rsid w:val="3F125943"/>
    <w:rsid w:val="3F420918"/>
    <w:rsid w:val="3F4B701E"/>
    <w:rsid w:val="3F5E4773"/>
    <w:rsid w:val="3F5F6316"/>
    <w:rsid w:val="3F652AD4"/>
    <w:rsid w:val="3F691733"/>
    <w:rsid w:val="3F744EE9"/>
    <w:rsid w:val="3F7647BE"/>
    <w:rsid w:val="3F7D2FB5"/>
    <w:rsid w:val="3F817D6A"/>
    <w:rsid w:val="3F84750C"/>
    <w:rsid w:val="3F88684E"/>
    <w:rsid w:val="3F955530"/>
    <w:rsid w:val="3F9E3DB3"/>
    <w:rsid w:val="3FAF4912"/>
    <w:rsid w:val="3FB43D0E"/>
    <w:rsid w:val="3FB66F63"/>
    <w:rsid w:val="3FB672B0"/>
    <w:rsid w:val="3FB9677F"/>
    <w:rsid w:val="3FBC7FD8"/>
    <w:rsid w:val="3FC76427"/>
    <w:rsid w:val="3FD43EF0"/>
    <w:rsid w:val="3FDD382D"/>
    <w:rsid w:val="3FDF6807"/>
    <w:rsid w:val="3FF12A08"/>
    <w:rsid w:val="3FF43934"/>
    <w:rsid w:val="3FFD6147"/>
    <w:rsid w:val="3FFF347E"/>
    <w:rsid w:val="40013BD9"/>
    <w:rsid w:val="40014803"/>
    <w:rsid w:val="400353AF"/>
    <w:rsid w:val="400D3374"/>
    <w:rsid w:val="400D69CF"/>
    <w:rsid w:val="400F3069"/>
    <w:rsid w:val="40235CA2"/>
    <w:rsid w:val="4029353B"/>
    <w:rsid w:val="402C1751"/>
    <w:rsid w:val="40354679"/>
    <w:rsid w:val="403B5D29"/>
    <w:rsid w:val="404E1296"/>
    <w:rsid w:val="405439D7"/>
    <w:rsid w:val="4058162F"/>
    <w:rsid w:val="406428A4"/>
    <w:rsid w:val="40687A87"/>
    <w:rsid w:val="406A72FF"/>
    <w:rsid w:val="407024AC"/>
    <w:rsid w:val="40876DA4"/>
    <w:rsid w:val="40960CFD"/>
    <w:rsid w:val="409A44DC"/>
    <w:rsid w:val="409E4352"/>
    <w:rsid w:val="409F5C80"/>
    <w:rsid w:val="40A11BDC"/>
    <w:rsid w:val="40AA4AF3"/>
    <w:rsid w:val="40AE6587"/>
    <w:rsid w:val="40AF2D44"/>
    <w:rsid w:val="40B25CC9"/>
    <w:rsid w:val="40B437EF"/>
    <w:rsid w:val="40CC3AF6"/>
    <w:rsid w:val="40CD787E"/>
    <w:rsid w:val="40D419B4"/>
    <w:rsid w:val="40D67DD7"/>
    <w:rsid w:val="40D93256"/>
    <w:rsid w:val="40DB4CAC"/>
    <w:rsid w:val="40DC4AF4"/>
    <w:rsid w:val="40E1100B"/>
    <w:rsid w:val="40E57E4D"/>
    <w:rsid w:val="40EA5463"/>
    <w:rsid w:val="40ED6437"/>
    <w:rsid w:val="40F92D5C"/>
    <w:rsid w:val="40F95B78"/>
    <w:rsid w:val="41000A49"/>
    <w:rsid w:val="41055DF9"/>
    <w:rsid w:val="410D23C6"/>
    <w:rsid w:val="41100E9F"/>
    <w:rsid w:val="411E335F"/>
    <w:rsid w:val="41203D8E"/>
    <w:rsid w:val="41250249"/>
    <w:rsid w:val="4125649B"/>
    <w:rsid w:val="41281AE7"/>
    <w:rsid w:val="4135617F"/>
    <w:rsid w:val="41392BC6"/>
    <w:rsid w:val="413B24B7"/>
    <w:rsid w:val="41420656"/>
    <w:rsid w:val="41485AB3"/>
    <w:rsid w:val="414F4CC6"/>
    <w:rsid w:val="4152722B"/>
    <w:rsid w:val="4153106D"/>
    <w:rsid w:val="415616CC"/>
    <w:rsid w:val="41584164"/>
    <w:rsid w:val="4168559A"/>
    <w:rsid w:val="41811912"/>
    <w:rsid w:val="41821D4C"/>
    <w:rsid w:val="41842808"/>
    <w:rsid w:val="41843914"/>
    <w:rsid w:val="4189357C"/>
    <w:rsid w:val="418946B1"/>
    <w:rsid w:val="418C6142"/>
    <w:rsid w:val="41915007"/>
    <w:rsid w:val="419278A7"/>
    <w:rsid w:val="41965EDF"/>
    <w:rsid w:val="41A06362"/>
    <w:rsid w:val="41A43864"/>
    <w:rsid w:val="41AC3006"/>
    <w:rsid w:val="41B10084"/>
    <w:rsid w:val="41CF4BE0"/>
    <w:rsid w:val="41D91034"/>
    <w:rsid w:val="41D9576C"/>
    <w:rsid w:val="41E06866"/>
    <w:rsid w:val="41E56B95"/>
    <w:rsid w:val="41E736CA"/>
    <w:rsid w:val="41F90EB2"/>
    <w:rsid w:val="41FF74D8"/>
    <w:rsid w:val="42071D18"/>
    <w:rsid w:val="42094707"/>
    <w:rsid w:val="420C1409"/>
    <w:rsid w:val="42147F27"/>
    <w:rsid w:val="42197FB0"/>
    <w:rsid w:val="421A4FE3"/>
    <w:rsid w:val="421B7832"/>
    <w:rsid w:val="421B7986"/>
    <w:rsid w:val="421D6C58"/>
    <w:rsid w:val="42254A34"/>
    <w:rsid w:val="423D5A66"/>
    <w:rsid w:val="42407479"/>
    <w:rsid w:val="42442951"/>
    <w:rsid w:val="42500768"/>
    <w:rsid w:val="4250579A"/>
    <w:rsid w:val="425F7817"/>
    <w:rsid w:val="426052B1"/>
    <w:rsid w:val="426B25D4"/>
    <w:rsid w:val="426C1D94"/>
    <w:rsid w:val="426F2480"/>
    <w:rsid w:val="42727E6C"/>
    <w:rsid w:val="4281763A"/>
    <w:rsid w:val="42847921"/>
    <w:rsid w:val="428B52AC"/>
    <w:rsid w:val="42937943"/>
    <w:rsid w:val="4294377D"/>
    <w:rsid w:val="429462ED"/>
    <w:rsid w:val="42973F4D"/>
    <w:rsid w:val="42A96C58"/>
    <w:rsid w:val="42BC7DDF"/>
    <w:rsid w:val="42C21024"/>
    <w:rsid w:val="42C77633"/>
    <w:rsid w:val="42C8332E"/>
    <w:rsid w:val="42CB43AC"/>
    <w:rsid w:val="42CF2B62"/>
    <w:rsid w:val="42D454E4"/>
    <w:rsid w:val="42D73854"/>
    <w:rsid w:val="42DD1545"/>
    <w:rsid w:val="42E4687E"/>
    <w:rsid w:val="42E90505"/>
    <w:rsid w:val="42E965E3"/>
    <w:rsid w:val="42ED6467"/>
    <w:rsid w:val="42EE734C"/>
    <w:rsid w:val="42F462E9"/>
    <w:rsid w:val="42FB2570"/>
    <w:rsid w:val="4303525B"/>
    <w:rsid w:val="43056584"/>
    <w:rsid w:val="43060CE4"/>
    <w:rsid w:val="43067773"/>
    <w:rsid w:val="43072FA1"/>
    <w:rsid w:val="43076C51"/>
    <w:rsid w:val="430C7B0A"/>
    <w:rsid w:val="431151CC"/>
    <w:rsid w:val="4314692A"/>
    <w:rsid w:val="431A23EC"/>
    <w:rsid w:val="431F2F73"/>
    <w:rsid w:val="432307B8"/>
    <w:rsid w:val="432B288E"/>
    <w:rsid w:val="43336B06"/>
    <w:rsid w:val="43423147"/>
    <w:rsid w:val="434C1AC0"/>
    <w:rsid w:val="434D4854"/>
    <w:rsid w:val="434D4C26"/>
    <w:rsid w:val="43504C92"/>
    <w:rsid w:val="4353719E"/>
    <w:rsid w:val="4357356D"/>
    <w:rsid w:val="435766B4"/>
    <w:rsid w:val="43642A19"/>
    <w:rsid w:val="4365000D"/>
    <w:rsid w:val="436F1849"/>
    <w:rsid w:val="43706017"/>
    <w:rsid w:val="4376642B"/>
    <w:rsid w:val="437C32D0"/>
    <w:rsid w:val="437E00E5"/>
    <w:rsid w:val="437E2698"/>
    <w:rsid w:val="43870F4B"/>
    <w:rsid w:val="438A0837"/>
    <w:rsid w:val="438C45B0"/>
    <w:rsid w:val="439746B1"/>
    <w:rsid w:val="439B53F0"/>
    <w:rsid w:val="439D01B2"/>
    <w:rsid w:val="439E0787"/>
    <w:rsid w:val="439F3FDA"/>
    <w:rsid w:val="43AD43B9"/>
    <w:rsid w:val="43B81849"/>
    <w:rsid w:val="43C401ED"/>
    <w:rsid w:val="43C93609"/>
    <w:rsid w:val="43CC4B25"/>
    <w:rsid w:val="43DC14B4"/>
    <w:rsid w:val="43DF441D"/>
    <w:rsid w:val="43F219B8"/>
    <w:rsid w:val="43F839F3"/>
    <w:rsid w:val="43FD65F5"/>
    <w:rsid w:val="440A14C9"/>
    <w:rsid w:val="44114C2F"/>
    <w:rsid w:val="44201AAB"/>
    <w:rsid w:val="44281D93"/>
    <w:rsid w:val="442E4815"/>
    <w:rsid w:val="442F6191"/>
    <w:rsid w:val="44385BA8"/>
    <w:rsid w:val="44421DCC"/>
    <w:rsid w:val="44492935"/>
    <w:rsid w:val="44500264"/>
    <w:rsid w:val="44511355"/>
    <w:rsid w:val="44584313"/>
    <w:rsid w:val="44672928"/>
    <w:rsid w:val="446B7B19"/>
    <w:rsid w:val="44735770"/>
    <w:rsid w:val="447A2DD6"/>
    <w:rsid w:val="447F2366"/>
    <w:rsid w:val="44842520"/>
    <w:rsid w:val="44861D69"/>
    <w:rsid w:val="4488688E"/>
    <w:rsid w:val="448A72D9"/>
    <w:rsid w:val="44935882"/>
    <w:rsid w:val="44960F90"/>
    <w:rsid w:val="449853D1"/>
    <w:rsid w:val="44A827BF"/>
    <w:rsid w:val="44A973E3"/>
    <w:rsid w:val="44AA218A"/>
    <w:rsid w:val="44AB0307"/>
    <w:rsid w:val="44B22039"/>
    <w:rsid w:val="44B40598"/>
    <w:rsid w:val="44C35AEB"/>
    <w:rsid w:val="44D101F3"/>
    <w:rsid w:val="44E31305"/>
    <w:rsid w:val="44E31E53"/>
    <w:rsid w:val="44E565B2"/>
    <w:rsid w:val="44E706D8"/>
    <w:rsid w:val="44E95B4F"/>
    <w:rsid w:val="44EA498B"/>
    <w:rsid w:val="44EF1B82"/>
    <w:rsid w:val="44F2263A"/>
    <w:rsid w:val="44F536A1"/>
    <w:rsid w:val="44F62D17"/>
    <w:rsid w:val="44F95521"/>
    <w:rsid w:val="4508406A"/>
    <w:rsid w:val="45175B8B"/>
    <w:rsid w:val="451A619E"/>
    <w:rsid w:val="451D442B"/>
    <w:rsid w:val="451E56DB"/>
    <w:rsid w:val="451E6136"/>
    <w:rsid w:val="453018B3"/>
    <w:rsid w:val="4530540F"/>
    <w:rsid w:val="453D1CD3"/>
    <w:rsid w:val="453F1EB7"/>
    <w:rsid w:val="45412F2E"/>
    <w:rsid w:val="454823E9"/>
    <w:rsid w:val="454D6DCC"/>
    <w:rsid w:val="455410BB"/>
    <w:rsid w:val="45646640"/>
    <w:rsid w:val="45660E30"/>
    <w:rsid w:val="456652D4"/>
    <w:rsid w:val="456F4A8E"/>
    <w:rsid w:val="457322A9"/>
    <w:rsid w:val="45792522"/>
    <w:rsid w:val="45797C51"/>
    <w:rsid w:val="457C68A6"/>
    <w:rsid w:val="457E20F9"/>
    <w:rsid w:val="458A109C"/>
    <w:rsid w:val="45900B50"/>
    <w:rsid w:val="459360E3"/>
    <w:rsid w:val="45947D2C"/>
    <w:rsid w:val="459A27F1"/>
    <w:rsid w:val="45A12D06"/>
    <w:rsid w:val="45A168B6"/>
    <w:rsid w:val="45A378FA"/>
    <w:rsid w:val="45B137DB"/>
    <w:rsid w:val="45B8708B"/>
    <w:rsid w:val="45C36283"/>
    <w:rsid w:val="45C83059"/>
    <w:rsid w:val="45CD7DCC"/>
    <w:rsid w:val="45CE25AE"/>
    <w:rsid w:val="45CE6EB7"/>
    <w:rsid w:val="45CF69D6"/>
    <w:rsid w:val="45D70B74"/>
    <w:rsid w:val="45D95AA6"/>
    <w:rsid w:val="45EA18E4"/>
    <w:rsid w:val="45EB510E"/>
    <w:rsid w:val="45EE4E64"/>
    <w:rsid w:val="45FC104C"/>
    <w:rsid w:val="45FC472A"/>
    <w:rsid w:val="46017AF3"/>
    <w:rsid w:val="46053E0B"/>
    <w:rsid w:val="460E5A16"/>
    <w:rsid w:val="46142A03"/>
    <w:rsid w:val="461507BE"/>
    <w:rsid w:val="4618037D"/>
    <w:rsid w:val="461B2714"/>
    <w:rsid w:val="46336D11"/>
    <w:rsid w:val="464E0242"/>
    <w:rsid w:val="46504FEC"/>
    <w:rsid w:val="465F6E8D"/>
    <w:rsid w:val="46674425"/>
    <w:rsid w:val="46696D45"/>
    <w:rsid w:val="46794B93"/>
    <w:rsid w:val="467F7D3C"/>
    <w:rsid w:val="468024D4"/>
    <w:rsid w:val="46935C55"/>
    <w:rsid w:val="46962F65"/>
    <w:rsid w:val="469B3245"/>
    <w:rsid w:val="46A165C4"/>
    <w:rsid w:val="46A77952"/>
    <w:rsid w:val="46A97C84"/>
    <w:rsid w:val="46B76181"/>
    <w:rsid w:val="46BB366A"/>
    <w:rsid w:val="46BF18F4"/>
    <w:rsid w:val="46C053D9"/>
    <w:rsid w:val="46C736D2"/>
    <w:rsid w:val="46CA6113"/>
    <w:rsid w:val="46CC1FB0"/>
    <w:rsid w:val="46D9526E"/>
    <w:rsid w:val="46DE4B0F"/>
    <w:rsid w:val="46E464B1"/>
    <w:rsid w:val="46E93AC7"/>
    <w:rsid w:val="46F2171D"/>
    <w:rsid w:val="46F41301"/>
    <w:rsid w:val="46FC0EC1"/>
    <w:rsid w:val="46FC6C97"/>
    <w:rsid w:val="4712301E"/>
    <w:rsid w:val="471508EB"/>
    <w:rsid w:val="471B0693"/>
    <w:rsid w:val="47240FA3"/>
    <w:rsid w:val="472562C9"/>
    <w:rsid w:val="4728616E"/>
    <w:rsid w:val="472A632A"/>
    <w:rsid w:val="472E51F4"/>
    <w:rsid w:val="47380150"/>
    <w:rsid w:val="473D2DF8"/>
    <w:rsid w:val="47474276"/>
    <w:rsid w:val="474B11F0"/>
    <w:rsid w:val="47577FEC"/>
    <w:rsid w:val="475B3C8B"/>
    <w:rsid w:val="475F534E"/>
    <w:rsid w:val="476B0988"/>
    <w:rsid w:val="47787145"/>
    <w:rsid w:val="477B2701"/>
    <w:rsid w:val="478065F6"/>
    <w:rsid w:val="478101A3"/>
    <w:rsid w:val="47811F51"/>
    <w:rsid w:val="4792711E"/>
    <w:rsid w:val="47A201F7"/>
    <w:rsid w:val="47A65085"/>
    <w:rsid w:val="47A67201"/>
    <w:rsid w:val="47AA1ED1"/>
    <w:rsid w:val="47AD4653"/>
    <w:rsid w:val="47B133C0"/>
    <w:rsid w:val="47B431C2"/>
    <w:rsid w:val="47BA73F4"/>
    <w:rsid w:val="47C00F0A"/>
    <w:rsid w:val="47C36D46"/>
    <w:rsid w:val="47C56E9C"/>
    <w:rsid w:val="47CD5197"/>
    <w:rsid w:val="47D51C4B"/>
    <w:rsid w:val="47DD13CD"/>
    <w:rsid w:val="47E86495"/>
    <w:rsid w:val="47F414CB"/>
    <w:rsid w:val="47F66832"/>
    <w:rsid w:val="480137F1"/>
    <w:rsid w:val="4804468E"/>
    <w:rsid w:val="4808560B"/>
    <w:rsid w:val="480B033B"/>
    <w:rsid w:val="48144882"/>
    <w:rsid w:val="481F03A7"/>
    <w:rsid w:val="481F608B"/>
    <w:rsid w:val="482414A4"/>
    <w:rsid w:val="48250CCA"/>
    <w:rsid w:val="482A5C0C"/>
    <w:rsid w:val="482A7B31"/>
    <w:rsid w:val="482F734F"/>
    <w:rsid w:val="48354D96"/>
    <w:rsid w:val="48356E78"/>
    <w:rsid w:val="483A5065"/>
    <w:rsid w:val="483D2C31"/>
    <w:rsid w:val="48413CDD"/>
    <w:rsid w:val="484535C9"/>
    <w:rsid w:val="484719F0"/>
    <w:rsid w:val="48471B84"/>
    <w:rsid w:val="484D2675"/>
    <w:rsid w:val="48547666"/>
    <w:rsid w:val="48580F04"/>
    <w:rsid w:val="485F6737"/>
    <w:rsid w:val="4860637D"/>
    <w:rsid w:val="4861685C"/>
    <w:rsid w:val="48620C02"/>
    <w:rsid w:val="48671739"/>
    <w:rsid w:val="486C56F6"/>
    <w:rsid w:val="48727F8C"/>
    <w:rsid w:val="488942EB"/>
    <w:rsid w:val="489772F0"/>
    <w:rsid w:val="489F79D0"/>
    <w:rsid w:val="48B84099"/>
    <w:rsid w:val="48BD7FEE"/>
    <w:rsid w:val="48CD3E91"/>
    <w:rsid w:val="48D00EAA"/>
    <w:rsid w:val="48D04F3E"/>
    <w:rsid w:val="48D50218"/>
    <w:rsid w:val="48D84B97"/>
    <w:rsid w:val="48DC77A6"/>
    <w:rsid w:val="48E21116"/>
    <w:rsid w:val="48F454D3"/>
    <w:rsid w:val="48F51911"/>
    <w:rsid w:val="48F549A5"/>
    <w:rsid w:val="48FA0636"/>
    <w:rsid w:val="48FF19A3"/>
    <w:rsid w:val="49012624"/>
    <w:rsid w:val="49025314"/>
    <w:rsid w:val="490A36AA"/>
    <w:rsid w:val="490C6B1F"/>
    <w:rsid w:val="49123A53"/>
    <w:rsid w:val="492C2EE6"/>
    <w:rsid w:val="49384950"/>
    <w:rsid w:val="493A2104"/>
    <w:rsid w:val="493C5DA8"/>
    <w:rsid w:val="495A6636"/>
    <w:rsid w:val="495B677C"/>
    <w:rsid w:val="495C686D"/>
    <w:rsid w:val="495F44D9"/>
    <w:rsid w:val="49695393"/>
    <w:rsid w:val="497C0C22"/>
    <w:rsid w:val="498D25A4"/>
    <w:rsid w:val="499B1CFC"/>
    <w:rsid w:val="499B4B44"/>
    <w:rsid w:val="499F2718"/>
    <w:rsid w:val="499F6DF8"/>
    <w:rsid w:val="49A25894"/>
    <w:rsid w:val="49A46880"/>
    <w:rsid w:val="49A66AFD"/>
    <w:rsid w:val="49A91EB8"/>
    <w:rsid w:val="49CB181C"/>
    <w:rsid w:val="49D40583"/>
    <w:rsid w:val="49D831E7"/>
    <w:rsid w:val="49D85376"/>
    <w:rsid w:val="49DB2099"/>
    <w:rsid w:val="49DC4A3A"/>
    <w:rsid w:val="49EA6B85"/>
    <w:rsid w:val="49EF1D7E"/>
    <w:rsid w:val="49FB60FD"/>
    <w:rsid w:val="4A061D57"/>
    <w:rsid w:val="4A081734"/>
    <w:rsid w:val="4A0A6975"/>
    <w:rsid w:val="4A211429"/>
    <w:rsid w:val="4A2512BA"/>
    <w:rsid w:val="4A2C5B1A"/>
    <w:rsid w:val="4A361719"/>
    <w:rsid w:val="4A373581"/>
    <w:rsid w:val="4A3C14DF"/>
    <w:rsid w:val="4A446F13"/>
    <w:rsid w:val="4A45195C"/>
    <w:rsid w:val="4A491A65"/>
    <w:rsid w:val="4A4C05C5"/>
    <w:rsid w:val="4A4D565A"/>
    <w:rsid w:val="4A4D636F"/>
    <w:rsid w:val="4A5F343D"/>
    <w:rsid w:val="4A5F5CA7"/>
    <w:rsid w:val="4A771C12"/>
    <w:rsid w:val="4A783AE0"/>
    <w:rsid w:val="4A7E6C1C"/>
    <w:rsid w:val="4A8A66BC"/>
    <w:rsid w:val="4A8E0901"/>
    <w:rsid w:val="4A8E3303"/>
    <w:rsid w:val="4A8F0E29"/>
    <w:rsid w:val="4A973912"/>
    <w:rsid w:val="4AA74514"/>
    <w:rsid w:val="4AAC3789"/>
    <w:rsid w:val="4AB61E23"/>
    <w:rsid w:val="4AB8753E"/>
    <w:rsid w:val="4ABD4C72"/>
    <w:rsid w:val="4ABF3A6E"/>
    <w:rsid w:val="4AC4394C"/>
    <w:rsid w:val="4AE271AB"/>
    <w:rsid w:val="4AE34555"/>
    <w:rsid w:val="4AE41B52"/>
    <w:rsid w:val="4AE44CD1"/>
    <w:rsid w:val="4AE831F9"/>
    <w:rsid w:val="4AF62C56"/>
    <w:rsid w:val="4AF90FCD"/>
    <w:rsid w:val="4AFE1C0C"/>
    <w:rsid w:val="4B047121"/>
    <w:rsid w:val="4B0C1599"/>
    <w:rsid w:val="4B0C3A7C"/>
    <w:rsid w:val="4B133808"/>
    <w:rsid w:val="4B2941CE"/>
    <w:rsid w:val="4B29505F"/>
    <w:rsid w:val="4B2B5A9B"/>
    <w:rsid w:val="4B2D49B8"/>
    <w:rsid w:val="4B435B6E"/>
    <w:rsid w:val="4B447E66"/>
    <w:rsid w:val="4B4842BF"/>
    <w:rsid w:val="4B4D13ED"/>
    <w:rsid w:val="4B502367"/>
    <w:rsid w:val="4B5F0442"/>
    <w:rsid w:val="4B622F35"/>
    <w:rsid w:val="4B6776B0"/>
    <w:rsid w:val="4B6F44D6"/>
    <w:rsid w:val="4B714C00"/>
    <w:rsid w:val="4B763A4E"/>
    <w:rsid w:val="4B7F7C9E"/>
    <w:rsid w:val="4B807D59"/>
    <w:rsid w:val="4B885FA4"/>
    <w:rsid w:val="4B8A4ED1"/>
    <w:rsid w:val="4B8C2783"/>
    <w:rsid w:val="4B8C3CD4"/>
    <w:rsid w:val="4B9D5082"/>
    <w:rsid w:val="4BA12BC2"/>
    <w:rsid w:val="4BA46423"/>
    <w:rsid w:val="4BA72EF2"/>
    <w:rsid w:val="4BB12126"/>
    <w:rsid w:val="4BBF3803"/>
    <w:rsid w:val="4BC44B03"/>
    <w:rsid w:val="4BCA036B"/>
    <w:rsid w:val="4BCB72D6"/>
    <w:rsid w:val="4BCE3544"/>
    <w:rsid w:val="4BE227E0"/>
    <w:rsid w:val="4BE32B47"/>
    <w:rsid w:val="4BE854FF"/>
    <w:rsid w:val="4BEB1720"/>
    <w:rsid w:val="4BF17A7B"/>
    <w:rsid w:val="4BFB49C8"/>
    <w:rsid w:val="4C000FCD"/>
    <w:rsid w:val="4C0118B3"/>
    <w:rsid w:val="4C037998"/>
    <w:rsid w:val="4C07162C"/>
    <w:rsid w:val="4C090165"/>
    <w:rsid w:val="4C190934"/>
    <w:rsid w:val="4C212431"/>
    <w:rsid w:val="4C2568E3"/>
    <w:rsid w:val="4C271F2F"/>
    <w:rsid w:val="4C284772"/>
    <w:rsid w:val="4C2A69FF"/>
    <w:rsid w:val="4C2F4672"/>
    <w:rsid w:val="4C303744"/>
    <w:rsid w:val="4C3451FF"/>
    <w:rsid w:val="4C3E203F"/>
    <w:rsid w:val="4C3E6663"/>
    <w:rsid w:val="4C407EDE"/>
    <w:rsid w:val="4C4116A4"/>
    <w:rsid w:val="4C420EBA"/>
    <w:rsid w:val="4C4243A5"/>
    <w:rsid w:val="4C4A2448"/>
    <w:rsid w:val="4C4B3B1D"/>
    <w:rsid w:val="4C542EE9"/>
    <w:rsid w:val="4C5440D8"/>
    <w:rsid w:val="4C60663A"/>
    <w:rsid w:val="4C68556A"/>
    <w:rsid w:val="4C69609D"/>
    <w:rsid w:val="4C744B0C"/>
    <w:rsid w:val="4C7622A1"/>
    <w:rsid w:val="4C7F5523"/>
    <w:rsid w:val="4C8347DF"/>
    <w:rsid w:val="4C856040"/>
    <w:rsid w:val="4C8F6EBF"/>
    <w:rsid w:val="4C91296C"/>
    <w:rsid w:val="4CA1570F"/>
    <w:rsid w:val="4CA34E17"/>
    <w:rsid w:val="4CA43AA8"/>
    <w:rsid w:val="4CB474AB"/>
    <w:rsid w:val="4CBB4340"/>
    <w:rsid w:val="4CC410AE"/>
    <w:rsid w:val="4CC66C49"/>
    <w:rsid w:val="4CC83830"/>
    <w:rsid w:val="4CE33092"/>
    <w:rsid w:val="4CEC4B87"/>
    <w:rsid w:val="4CF626D0"/>
    <w:rsid w:val="4CF6285E"/>
    <w:rsid w:val="4CF7331D"/>
    <w:rsid w:val="4CF96E8A"/>
    <w:rsid w:val="4CFB71C8"/>
    <w:rsid w:val="4D005B08"/>
    <w:rsid w:val="4D0A649B"/>
    <w:rsid w:val="4D0B08C1"/>
    <w:rsid w:val="4D1415F1"/>
    <w:rsid w:val="4D1C0151"/>
    <w:rsid w:val="4D227D33"/>
    <w:rsid w:val="4D275349"/>
    <w:rsid w:val="4D2A6912"/>
    <w:rsid w:val="4D2D4D8D"/>
    <w:rsid w:val="4D365812"/>
    <w:rsid w:val="4D410F5D"/>
    <w:rsid w:val="4D422020"/>
    <w:rsid w:val="4D422183"/>
    <w:rsid w:val="4D43572F"/>
    <w:rsid w:val="4D4A1C9C"/>
    <w:rsid w:val="4D4A762C"/>
    <w:rsid w:val="4D4D1254"/>
    <w:rsid w:val="4D510618"/>
    <w:rsid w:val="4D5325E2"/>
    <w:rsid w:val="4D592620"/>
    <w:rsid w:val="4D635078"/>
    <w:rsid w:val="4D66702B"/>
    <w:rsid w:val="4D7021C3"/>
    <w:rsid w:val="4D785BA5"/>
    <w:rsid w:val="4D7C185B"/>
    <w:rsid w:val="4D9728D6"/>
    <w:rsid w:val="4D9B4F3A"/>
    <w:rsid w:val="4DA56DAE"/>
    <w:rsid w:val="4DA846DC"/>
    <w:rsid w:val="4DA85D9E"/>
    <w:rsid w:val="4DAB5F7A"/>
    <w:rsid w:val="4DB7148A"/>
    <w:rsid w:val="4DB76A14"/>
    <w:rsid w:val="4DB94EA7"/>
    <w:rsid w:val="4DBD51A5"/>
    <w:rsid w:val="4DBD7A5B"/>
    <w:rsid w:val="4DC17508"/>
    <w:rsid w:val="4DC60DC4"/>
    <w:rsid w:val="4DC60F90"/>
    <w:rsid w:val="4DC94F61"/>
    <w:rsid w:val="4DD36241"/>
    <w:rsid w:val="4DD43956"/>
    <w:rsid w:val="4DD54163"/>
    <w:rsid w:val="4DD64831"/>
    <w:rsid w:val="4DE17E3C"/>
    <w:rsid w:val="4DED52D5"/>
    <w:rsid w:val="4DF10F64"/>
    <w:rsid w:val="4DF3106E"/>
    <w:rsid w:val="4E0062C6"/>
    <w:rsid w:val="4E040623"/>
    <w:rsid w:val="4E0713EE"/>
    <w:rsid w:val="4E07671B"/>
    <w:rsid w:val="4E0827DB"/>
    <w:rsid w:val="4E0C080E"/>
    <w:rsid w:val="4E1E499E"/>
    <w:rsid w:val="4E296E9F"/>
    <w:rsid w:val="4E2A0C14"/>
    <w:rsid w:val="4E2E7D37"/>
    <w:rsid w:val="4E3221F7"/>
    <w:rsid w:val="4E3A10AC"/>
    <w:rsid w:val="4E3B2540"/>
    <w:rsid w:val="4E470864"/>
    <w:rsid w:val="4E4E4590"/>
    <w:rsid w:val="4E524648"/>
    <w:rsid w:val="4E56460A"/>
    <w:rsid w:val="4E677DB0"/>
    <w:rsid w:val="4E6A4E82"/>
    <w:rsid w:val="4E6D64E5"/>
    <w:rsid w:val="4E6E523D"/>
    <w:rsid w:val="4E726219"/>
    <w:rsid w:val="4E7616EC"/>
    <w:rsid w:val="4E761FE7"/>
    <w:rsid w:val="4E870A66"/>
    <w:rsid w:val="4E9758EF"/>
    <w:rsid w:val="4E9B7D9D"/>
    <w:rsid w:val="4EA00729"/>
    <w:rsid w:val="4EA14621"/>
    <w:rsid w:val="4EA21D87"/>
    <w:rsid w:val="4EAA1831"/>
    <w:rsid w:val="4EAA6232"/>
    <w:rsid w:val="4EBF7AA9"/>
    <w:rsid w:val="4ECF17A1"/>
    <w:rsid w:val="4ED35788"/>
    <w:rsid w:val="4EDD5F8A"/>
    <w:rsid w:val="4EE06E3C"/>
    <w:rsid w:val="4EE265B6"/>
    <w:rsid w:val="4EE31744"/>
    <w:rsid w:val="4EF128D2"/>
    <w:rsid w:val="4EF363DD"/>
    <w:rsid w:val="4EF52CCE"/>
    <w:rsid w:val="4EF53B2A"/>
    <w:rsid w:val="4EF87D8C"/>
    <w:rsid w:val="4EFC1B46"/>
    <w:rsid w:val="4F027DCE"/>
    <w:rsid w:val="4F0414B8"/>
    <w:rsid w:val="4F051CCB"/>
    <w:rsid w:val="4F087D02"/>
    <w:rsid w:val="4F0A0A7E"/>
    <w:rsid w:val="4F0F2539"/>
    <w:rsid w:val="4F1A3EF9"/>
    <w:rsid w:val="4F1E38A5"/>
    <w:rsid w:val="4F2558B8"/>
    <w:rsid w:val="4F2953A8"/>
    <w:rsid w:val="4F2B0974"/>
    <w:rsid w:val="4F380E5F"/>
    <w:rsid w:val="4F446E41"/>
    <w:rsid w:val="4F4E2192"/>
    <w:rsid w:val="4F4F0B87"/>
    <w:rsid w:val="4F4F4302"/>
    <w:rsid w:val="4F533A98"/>
    <w:rsid w:val="4F574E93"/>
    <w:rsid w:val="4F5D14F6"/>
    <w:rsid w:val="4F5E38E0"/>
    <w:rsid w:val="4F7144CE"/>
    <w:rsid w:val="4F73779A"/>
    <w:rsid w:val="4F8839EA"/>
    <w:rsid w:val="4F8847C5"/>
    <w:rsid w:val="4F9071D6"/>
    <w:rsid w:val="4F9238A2"/>
    <w:rsid w:val="4F942D05"/>
    <w:rsid w:val="4F9608DF"/>
    <w:rsid w:val="4FB97DFA"/>
    <w:rsid w:val="4FBA49F2"/>
    <w:rsid w:val="4FC67DC3"/>
    <w:rsid w:val="4FC945C8"/>
    <w:rsid w:val="4FC96655"/>
    <w:rsid w:val="4FCF2411"/>
    <w:rsid w:val="4FD227CD"/>
    <w:rsid w:val="4FDC241B"/>
    <w:rsid w:val="4FE24E7E"/>
    <w:rsid w:val="4FF05EC6"/>
    <w:rsid w:val="4FF6732B"/>
    <w:rsid w:val="4FF9121F"/>
    <w:rsid w:val="4FF97471"/>
    <w:rsid w:val="4FFA4F97"/>
    <w:rsid w:val="500122A6"/>
    <w:rsid w:val="500E459E"/>
    <w:rsid w:val="50105770"/>
    <w:rsid w:val="501A2F43"/>
    <w:rsid w:val="501D0A1A"/>
    <w:rsid w:val="50236F06"/>
    <w:rsid w:val="50306C0B"/>
    <w:rsid w:val="503B34AC"/>
    <w:rsid w:val="50461D9C"/>
    <w:rsid w:val="504D3319"/>
    <w:rsid w:val="505168CC"/>
    <w:rsid w:val="505C355C"/>
    <w:rsid w:val="50640C0D"/>
    <w:rsid w:val="50642410"/>
    <w:rsid w:val="506568B4"/>
    <w:rsid w:val="5070666E"/>
    <w:rsid w:val="508D5321"/>
    <w:rsid w:val="50902684"/>
    <w:rsid w:val="509C07D1"/>
    <w:rsid w:val="50A166C7"/>
    <w:rsid w:val="50B62437"/>
    <w:rsid w:val="50BE4216"/>
    <w:rsid w:val="50C01D3C"/>
    <w:rsid w:val="50C57353"/>
    <w:rsid w:val="50D411F3"/>
    <w:rsid w:val="50D56791"/>
    <w:rsid w:val="50DA67DE"/>
    <w:rsid w:val="50DF429E"/>
    <w:rsid w:val="50DF56DA"/>
    <w:rsid w:val="50E83041"/>
    <w:rsid w:val="50F22B5F"/>
    <w:rsid w:val="50FC0BE7"/>
    <w:rsid w:val="50FE06CE"/>
    <w:rsid w:val="51002139"/>
    <w:rsid w:val="5100482F"/>
    <w:rsid w:val="510936E3"/>
    <w:rsid w:val="51111267"/>
    <w:rsid w:val="51125918"/>
    <w:rsid w:val="5114090E"/>
    <w:rsid w:val="51181B78"/>
    <w:rsid w:val="511824C9"/>
    <w:rsid w:val="51261749"/>
    <w:rsid w:val="51265A86"/>
    <w:rsid w:val="512814BC"/>
    <w:rsid w:val="512E0FE5"/>
    <w:rsid w:val="51355514"/>
    <w:rsid w:val="51387B25"/>
    <w:rsid w:val="513A094D"/>
    <w:rsid w:val="5153670D"/>
    <w:rsid w:val="51581BED"/>
    <w:rsid w:val="51657F28"/>
    <w:rsid w:val="516746FA"/>
    <w:rsid w:val="516A1F01"/>
    <w:rsid w:val="51713037"/>
    <w:rsid w:val="517718D3"/>
    <w:rsid w:val="51785BFD"/>
    <w:rsid w:val="518A5EA7"/>
    <w:rsid w:val="518F15B2"/>
    <w:rsid w:val="518F7CDA"/>
    <w:rsid w:val="51927D44"/>
    <w:rsid w:val="51967731"/>
    <w:rsid w:val="519A3ACF"/>
    <w:rsid w:val="51AD1913"/>
    <w:rsid w:val="51AF590D"/>
    <w:rsid w:val="51BF1EDD"/>
    <w:rsid w:val="51BF6EE5"/>
    <w:rsid w:val="51C37AA6"/>
    <w:rsid w:val="51C5653E"/>
    <w:rsid w:val="51C56801"/>
    <w:rsid w:val="51C60107"/>
    <w:rsid w:val="51C6336A"/>
    <w:rsid w:val="51CB42A1"/>
    <w:rsid w:val="51CB4B2F"/>
    <w:rsid w:val="51CE0A29"/>
    <w:rsid w:val="51CE3F19"/>
    <w:rsid w:val="51D17B94"/>
    <w:rsid w:val="51D60E4D"/>
    <w:rsid w:val="51D67189"/>
    <w:rsid w:val="51E45A9B"/>
    <w:rsid w:val="51EA645F"/>
    <w:rsid w:val="51EE62E1"/>
    <w:rsid w:val="52036805"/>
    <w:rsid w:val="52045C59"/>
    <w:rsid w:val="520640FF"/>
    <w:rsid w:val="52067778"/>
    <w:rsid w:val="521E3EAD"/>
    <w:rsid w:val="521F6F37"/>
    <w:rsid w:val="522462FB"/>
    <w:rsid w:val="5225721D"/>
    <w:rsid w:val="52257A13"/>
    <w:rsid w:val="52290AA3"/>
    <w:rsid w:val="523452F7"/>
    <w:rsid w:val="523457C0"/>
    <w:rsid w:val="52366120"/>
    <w:rsid w:val="5243098E"/>
    <w:rsid w:val="52514243"/>
    <w:rsid w:val="5253273C"/>
    <w:rsid w:val="525C7843"/>
    <w:rsid w:val="525F08B8"/>
    <w:rsid w:val="52691871"/>
    <w:rsid w:val="52693681"/>
    <w:rsid w:val="526D4CD2"/>
    <w:rsid w:val="527103FC"/>
    <w:rsid w:val="52797615"/>
    <w:rsid w:val="527F2B6C"/>
    <w:rsid w:val="528943B0"/>
    <w:rsid w:val="528F2BC1"/>
    <w:rsid w:val="529A792F"/>
    <w:rsid w:val="52A1794C"/>
    <w:rsid w:val="52A4759B"/>
    <w:rsid w:val="52A86F2C"/>
    <w:rsid w:val="52AB07CA"/>
    <w:rsid w:val="52AC6DB4"/>
    <w:rsid w:val="52B35629"/>
    <w:rsid w:val="52BA0823"/>
    <w:rsid w:val="52C079AC"/>
    <w:rsid w:val="52C12A5B"/>
    <w:rsid w:val="52C378C2"/>
    <w:rsid w:val="52CA718B"/>
    <w:rsid w:val="52CD6993"/>
    <w:rsid w:val="52D25D57"/>
    <w:rsid w:val="52D32AFD"/>
    <w:rsid w:val="52D617B9"/>
    <w:rsid w:val="52F00857"/>
    <w:rsid w:val="52F8737A"/>
    <w:rsid w:val="52FB705C"/>
    <w:rsid w:val="53047FA7"/>
    <w:rsid w:val="530D098C"/>
    <w:rsid w:val="53126848"/>
    <w:rsid w:val="53163E96"/>
    <w:rsid w:val="531A398A"/>
    <w:rsid w:val="531B76FE"/>
    <w:rsid w:val="531D13E5"/>
    <w:rsid w:val="53223F99"/>
    <w:rsid w:val="532E7431"/>
    <w:rsid w:val="53327308"/>
    <w:rsid w:val="533407C0"/>
    <w:rsid w:val="53397B84"/>
    <w:rsid w:val="533A3EE7"/>
    <w:rsid w:val="533C34AD"/>
    <w:rsid w:val="53481136"/>
    <w:rsid w:val="5356406D"/>
    <w:rsid w:val="535964C7"/>
    <w:rsid w:val="535E75EB"/>
    <w:rsid w:val="5361219D"/>
    <w:rsid w:val="536C2974"/>
    <w:rsid w:val="536F0D7E"/>
    <w:rsid w:val="53773037"/>
    <w:rsid w:val="53773A87"/>
    <w:rsid w:val="53792652"/>
    <w:rsid w:val="538057B3"/>
    <w:rsid w:val="539128D9"/>
    <w:rsid w:val="53943FB8"/>
    <w:rsid w:val="5396536E"/>
    <w:rsid w:val="53985279"/>
    <w:rsid w:val="539F3171"/>
    <w:rsid w:val="53AD1371"/>
    <w:rsid w:val="53B1556A"/>
    <w:rsid w:val="53B4075B"/>
    <w:rsid w:val="53B552FC"/>
    <w:rsid w:val="53B8319F"/>
    <w:rsid w:val="53BD3DBF"/>
    <w:rsid w:val="53C07EE7"/>
    <w:rsid w:val="53C63DAA"/>
    <w:rsid w:val="53D36CC2"/>
    <w:rsid w:val="53DA2DA4"/>
    <w:rsid w:val="53DA5E8D"/>
    <w:rsid w:val="53DC031D"/>
    <w:rsid w:val="53E3418C"/>
    <w:rsid w:val="53E416B0"/>
    <w:rsid w:val="53EA6308"/>
    <w:rsid w:val="53EC70D5"/>
    <w:rsid w:val="53EE447D"/>
    <w:rsid w:val="53F31939"/>
    <w:rsid w:val="53FA37B7"/>
    <w:rsid w:val="5408252E"/>
    <w:rsid w:val="541C3918"/>
    <w:rsid w:val="541F19FF"/>
    <w:rsid w:val="54232EA1"/>
    <w:rsid w:val="54241585"/>
    <w:rsid w:val="542B3971"/>
    <w:rsid w:val="542C383A"/>
    <w:rsid w:val="543257FE"/>
    <w:rsid w:val="54397E43"/>
    <w:rsid w:val="543A1E06"/>
    <w:rsid w:val="5441176C"/>
    <w:rsid w:val="544B7B6F"/>
    <w:rsid w:val="545A650E"/>
    <w:rsid w:val="54674AE5"/>
    <w:rsid w:val="5475393B"/>
    <w:rsid w:val="547A35FB"/>
    <w:rsid w:val="547C16E9"/>
    <w:rsid w:val="547D6C93"/>
    <w:rsid w:val="547F5364"/>
    <w:rsid w:val="54A13C33"/>
    <w:rsid w:val="54A220F5"/>
    <w:rsid w:val="54A31759"/>
    <w:rsid w:val="54A517D3"/>
    <w:rsid w:val="54B95421"/>
    <w:rsid w:val="54BD5556"/>
    <w:rsid w:val="54C03418"/>
    <w:rsid w:val="54D67704"/>
    <w:rsid w:val="54E47161"/>
    <w:rsid w:val="54EE02B9"/>
    <w:rsid w:val="54F46459"/>
    <w:rsid w:val="54FC43A9"/>
    <w:rsid w:val="54FC43EB"/>
    <w:rsid w:val="55052B69"/>
    <w:rsid w:val="550D3F66"/>
    <w:rsid w:val="55152958"/>
    <w:rsid w:val="55241A05"/>
    <w:rsid w:val="55286102"/>
    <w:rsid w:val="55316F72"/>
    <w:rsid w:val="553302D1"/>
    <w:rsid w:val="5536081F"/>
    <w:rsid w:val="553C4F80"/>
    <w:rsid w:val="553F6170"/>
    <w:rsid w:val="55466588"/>
    <w:rsid w:val="55470C7B"/>
    <w:rsid w:val="554B5D6F"/>
    <w:rsid w:val="55520C18"/>
    <w:rsid w:val="555B039D"/>
    <w:rsid w:val="555D0567"/>
    <w:rsid w:val="555D5F45"/>
    <w:rsid w:val="556C6910"/>
    <w:rsid w:val="556D03D4"/>
    <w:rsid w:val="557064C3"/>
    <w:rsid w:val="55707024"/>
    <w:rsid w:val="557B66C6"/>
    <w:rsid w:val="5584366E"/>
    <w:rsid w:val="55920761"/>
    <w:rsid w:val="55973ECE"/>
    <w:rsid w:val="55992337"/>
    <w:rsid w:val="55992F6B"/>
    <w:rsid w:val="55A677F2"/>
    <w:rsid w:val="55B17149"/>
    <w:rsid w:val="55BC4CBA"/>
    <w:rsid w:val="55C15A64"/>
    <w:rsid w:val="55C23E61"/>
    <w:rsid w:val="55E013D5"/>
    <w:rsid w:val="55E71B19"/>
    <w:rsid w:val="55EA0EE1"/>
    <w:rsid w:val="55EE72FC"/>
    <w:rsid w:val="55F323A4"/>
    <w:rsid w:val="55FA184D"/>
    <w:rsid w:val="55FE7257"/>
    <w:rsid w:val="56005659"/>
    <w:rsid w:val="56064695"/>
    <w:rsid w:val="560A5808"/>
    <w:rsid w:val="561370A7"/>
    <w:rsid w:val="561B3DCB"/>
    <w:rsid w:val="561B3FE4"/>
    <w:rsid w:val="561E3510"/>
    <w:rsid w:val="561E4EBE"/>
    <w:rsid w:val="561F1F50"/>
    <w:rsid w:val="5620593A"/>
    <w:rsid w:val="562543F0"/>
    <w:rsid w:val="56262AA1"/>
    <w:rsid w:val="562B47FB"/>
    <w:rsid w:val="562E2336"/>
    <w:rsid w:val="563542E5"/>
    <w:rsid w:val="56490CF2"/>
    <w:rsid w:val="564A110B"/>
    <w:rsid w:val="564B6549"/>
    <w:rsid w:val="56590C81"/>
    <w:rsid w:val="565F1615"/>
    <w:rsid w:val="56632A88"/>
    <w:rsid w:val="56667A6A"/>
    <w:rsid w:val="566A1B90"/>
    <w:rsid w:val="566A58A4"/>
    <w:rsid w:val="566B1114"/>
    <w:rsid w:val="566B5A1D"/>
    <w:rsid w:val="566E2F7F"/>
    <w:rsid w:val="56751AFE"/>
    <w:rsid w:val="567A0BDF"/>
    <w:rsid w:val="568120CE"/>
    <w:rsid w:val="568A7507"/>
    <w:rsid w:val="56902633"/>
    <w:rsid w:val="56915824"/>
    <w:rsid w:val="569F41A2"/>
    <w:rsid w:val="56A812A9"/>
    <w:rsid w:val="56AB6F4A"/>
    <w:rsid w:val="56AE6596"/>
    <w:rsid w:val="56B02893"/>
    <w:rsid w:val="56B3305D"/>
    <w:rsid w:val="56B83E9E"/>
    <w:rsid w:val="56B87560"/>
    <w:rsid w:val="56BE3E69"/>
    <w:rsid w:val="56BE4065"/>
    <w:rsid w:val="56C1680E"/>
    <w:rsid w:val="56D140DA"/>
    <w:rsid w:val="56D4483A"/>
    <w:rsid w:val="56E060B4"/>
    <w:rsid w:val="56E878F7"/>
    <w:rsid w:val="56E911DB"/>
    <w:rsid w:val="56FF0D89"/>
    <w:rsid w:val="57111A34"/>
    <w:rsid w:val="57184BFC"/>
    <w:rsid w:val="5719306B"/>
    <w:rsid w:val="571A3205"/>
    <w:rsid w:val="571C15DC"/>
    <w:rsid w:val="571C57F3"/>
    <w:rsid w:val="571E4278"/>
    <w:rsid w:val="571F0C91"/>
    <w:rsid w:val="57271A58"/>
    <w:rsid w:val="572C5589"/>
    <w:rsid w:val="572D5C52"/>
    <w:rsid w:val="5737799E"/>
    <w:rsid w:val="573D533D"/>
    <w:rsid w:val="573E6686"/>
    <w:rsid w:val="574134AB"/>
    <w:rsid w:val="575656F2"/>
    <w:rsid w:val="575862EB"/>
    <w:rsid w:val="575A2924"/>
    <w:rsid w:val="575F5169"/>
    <w:rsid w:val="57684119"/>
    <w:rsid w:val="576D2146"/>
    <w:rsid w:val="577218B7"/>
    <w:rsid w:val="57766A9F"/>
    <w:rsid w:val="57847164"/>
    <w:rsid w:val="578B197C"/>
    <w:rsid w:val="57984720"/>
    <w:rsid w:val="57986764"/>
    <w:rsid w:val="57995332"/>
    <w:rsid w:val="579B705F"/>
    <w:rsid w:val="579F2C68"/>
    <w:rsid w:val="579F5A91"/>
    <w:rsid w:val="57BC1F55"/>
    <w:rsid w:val="57BD2122"/>
    <w:rsid w:val="57C87729"/>
    <w:rsid w:val="57D165DD"/>
    <w:rsid w:val="57D32355"/>
    <w:rsid w:val="57D367F9"/>
    <w:rsid w:val="57DC0E52"/>
    <w:rsid w:val="57DD603C"/>
    <w:rsid w:val="57DE7147"/>
    <w:rsid w:val="57E02CC4"/>
    <w:rsid w:val="57E20CBD"/>
    <w:rsid w:val="57E24C8E"/>
    <w:rsid w:val="57E50EE7"/>
    <w:rsid w:val="57EB66BA"/>
    <w:rsid w:val="57FF1AFC"/>
    <w:rsid w:val="5800013B"/>
    <w:rsid w:val="580C5E98"/>
    <w:rsid w:val="581C692D"/>
    <w:rsid w:val="58203745"/>
    <w:rsid w:val="5823635D"/>
    <w:rsid w:val="583567F1"/>
    <w:rsid w:val="5852039B"/>
    <w:rsid w:val="585C42F0"/>
    <w:rsid w:val="585F1E3B"/>
    <w:rsid w:val="586C0EDF"/>
    <w:rsid w:val="58745ECC"/>
    <w:rsid w:val="587C673A"/>
    <w:rsid w:val="587E5669"/>
    <w:rsid w:val="58814851"/>
    <w:rsid w:val="5882098E"/>
    <w:rsid w:val="588804B7"/>
    <w:rsid w:val="588A52B4"/>
    <w:rsid w:val="58921AD3"/>
    <w:rsid w:val="58975CCB"/>
    <w:rsid w:val="58A1626E"/>
    <w:rsid w:val="58A27F7A"/>
    <w:rsid w:val="58AA5EF7"/>
    <w:rsid w:val="58C61EBA"/>
    <w:rsid w:val="58CA2B88"/>
    <w:rsid w:val="58DC7930"/>
    <w:rsid w:val="58DF6CF4"/>
    <w:rsid w:val="58E93DFA"/>
    <w:rsid w:val="58E95271"/>
    <w:rsid w:val="5904132B"/>
    <w:rsid w:val="590B665F"/>
    <w:rsid w:val="59101387"/>
    <w:rsid w:val="59157827"/>
    <w:rsid w:val="59176145"/>
    <w:rsid w:val="591921E1"/>
    <w:rsid w:val="59193D74"/>
    <w:rsid w:val="591B0C23"/>
    <w:rsid w:val="591C1ADA"/>
    <w:rsid w:val="591F270D"/>
    <w:rsid w:val="59301A29"/>
    <w:rsid w:val="5936432D"/>
    <w:rsid w:val="59372AC5"/>
    <w:rsid w:val="594400A5"/>
    <w:rsid w:val="594472A6"/>
    <w:rsid w:val="59460EC7"/>
    <w:rsid w:val="59471FF6"/>
    <w:rsid w:val="594A7657"/>
    <w:rsid w:val="594D6137"/>
    <w:rsid w:val="5955429F"/>
    <w:rsid w:val="595F6B3C"/>
    <w:rsid w:val="596E3941"/>
    <w:rsid w:val="59754791"/>
    <w:rsid w:val="59784A2A"/>
    <w:rsid w:val="597A1B52"/>
    <w:rsid w:val="59806A57"/>
    <w:rsid w:val="59872500"/>
    <w:rsid w:val="598D0C2A"/>
    <w:rsid w:val="599A7C6D"/>
    <w:rsid w:val="59A16CA2"/>
    <w:rsid w:val="59A33FA9"/>
    <w:rsid w:val="59A749CF"/>
    <w:rsid w:val="59AA17DC"/>
    <w:rsid w:val="59AE605B"/>
    <w:rsid w:val="59B13A03"/>
    <w:rsid w:val="59B22E18"/>
    <w:rsid w:val="59B44408"/>
    <w:rsid w:val="59BD32BD"/>
    <w:rsid w:val="59C8672D"/>
    <w:rsid w:val="59C90F05"/>
    <w:rsid w:val="59CD4A2B"/>
    <w:rsid w:val="59CE766A"/>
    <w:rsid w:val="59D14FBA"/>
    <w:rsid w:val="59DD395F"/>
    <w:rsid w:val="59E135FA"/>
    <w:rsid w:val="59E16A51"/>
    <w:rsid w:val="59F14D15"/>
    <w:rsid w:val="59F46D49"/>
    <w:rsid w:val="59FA7A62"/>
    <w:rsid w:val="5A08761E"/>
    <w:rsid w:val="5A0A3167"/>
    <w:rsid w:val="5A0B3DB7"/>
    <w:rsid w:val="5A116B9E"/>
    <w:rsid w:val="5A146C55"/>
    <w:rsid w:val="5A2D7975"/>
    <w:rsid w:val="5A342013"/>
    <w:rsid w:val="5A366631"/>
    <w:rsid w:val="5A374B89"/>
    <w:rsid w:val="5A3D61AC"/>
    <w:rsid w:val="5A4F7C8D"/>
    <w:rsid w:val="5A582FE6"/>
    <w:rsid w:val="5A5D23AA"/>
    <w:rsid w:val="5A6574B1"/>
    <w:rsid w:val="5A6E0A5B"/>
    <w:rsid w:val="5A706581"/>
    <w:rsid w:val="5A783688"/>
    <w:rsid w:val="5A7C3C82"/>
    <w:rsid w:val="5A7F454F"/>
    <w:rsid w:val="5A81253D"/>
    <w:rsid w:val="5A8156AB"/>
    <w:rsid w:val="5A820F0F"/>
    <w:rsid w:val="5A9410D3"/>
    <w:rsid w:val="5A9437AB"/>
    <w:rsid w:val="5A960E21"/>
    <w:rsid w:val="5A96184C"/>
    <w:rsid w:val="5A9750D9"/>
    <w:rsid w:val="5A9E0DF1"/>
    <w:rsid w:val="5AA4566E"/>
    <w:rsid w:val="5AA557F6"/>
    <w:rsid w:val="5AA659C5"/>
    <w:rsid w:val="5AB1347D"/>
    <w:rsid w:val="5AB23A35"/>
    <w:rsid w:val="5AB53F94"/>
    <w:rsid w:val="5AC421AA"/>
    <w:rsid w:val="5AC80EDD"/>
    <w:rsid w:val="5ACB6612"/>
    <w:rsid w:val="5AD32AD7"/>
    <w:rsid w:val="5AE15225"/>
    <w:rsid w:val="5AE54C55"/>
    <w:rsid w:val="5AEB52E8"/>
    <w:rsid w:val="5AEE394A"/>
    <w:rsid w:val="5AF413B3"/>
    <w:rsid w:val="5AFD5152"/>
    <w:rsid w:val="5AFF3461"/>
    <w:rsid w:val="5B202DA7"/>
    <w:rsid w:val="5B220814"/>
    <w:rsid w:val="5B274449"/>
    <w:rsid w:val="5B280C0A"/>
    <w:rsid w:val="5B2829B8"/>
    <w:rsid w:val="5B2937BB"/>
    <w:rsid w:val="5B300B41"/>
    <w:rsid w:val="5B3300C0"/>
    <w:rsid w:val="5B346874"/>
    <w:rsid w:val="5B370E4D"/>
    <w:rsid w:val="5B371F8E"/>
    <w:rsid w:val="5B401F40"/>
    <w:rsid w:val="5B403DA0"/>
    <w:rsid w:val="5B451C46"/>
    <w:rsid w:val="5B462375"/>
    <w:rsid w:val="5B4A26E7"/>
    <w:rsid w:val="5B4F5DC4"/>
    <w:rsid w:val="5B4F7AA0"/>
    <w:rsid w:val="5B50416D"/>
    <w:rsid w:val="5B5E5ADA"/>
    <w:rsid w:val="5B5F1F57"/>
    <w:rsid w:val="5B6065F6"/>
    <w:rsid w:val="5B6D1C5E"/>
    <w:rsid w:val="5B7439DC"/>
    <w:rsid w:val="5B76550D"/>
    <w:rsid w:val="5B7E0124"/>
    <w:rsid w:val="5B82377C"/>
    <w:rsid w:val="5B835E40"/>
    <w:rsid w:val="5B8A3673"/>
    <w:rsid w:val="5B9015C6"/>
    <w:rsid w:val="5B903DD1"/>
    <w:rsid w:val="5B93137D"/>
    <w:rsid w:val="5BA95E07"/>
    <w:rsid w:val="5BAA261F"/>
    <w:rsid w:val="5BB05E54"/>
    <w:rsid w:val="5BB62E45"/>
    <w:rsid w:val="5BB8245A"/>
    <w:rsid w:val="5BC85F49"/>
    <w:rsid w:val="5BDE46D4"/>
    <w:rsid w:val="5BE112DE"/>
    <w:rsid w:val="5BF74B6C"/>
    <w:rsid w:val="5BF907F8"/>
    <w:rsid w:val="5C007491"/>
    <w:rsid w:val="5C063EDE"/>
    <w:rsid w:val="5C1465D3"/>
    <w:rsid w:val="5C1645D3"/>
    <w:rsid w:val="5C180C7F"/>
    <w:rsid w:val="5C1B51DB"/>
    <w:rsid w:val="5C2068F5"/>
    <w:rsid w:val="5C2F421A"/>
    <w:rsid w:val="5C3914B8"/>
    <w:rsid w:val="5C393B54"/>
    <w:rsid w:val="5C3A6CDE"/>
    <w:rsid w:val="5C597E89"/>
    <w:rsid w:val="5C5A1297"/>
    <w:rsid w:val="5C5F065B"/>
    <w:rsid w:val="5C5F49CB"/>
    <w:rsid w:val="5C6277EC"/>
    <w:rsid w:val="5C652406"/>
    <w:rsid w:val="5C6D68F5"/>
    <w:rsid w:val="5C6E089F"/>
    <w:rsid w:val="5C6E4C16"/>
    <w:rsid w:val="5C7543CA"/>
    <w:rsid w:val="5C7942D9"/>
    <w:rsid w:val="5C7C6482"/>
    <w:rsid w:val="5C7E3117"/>
    <w:rsid w:val="5C83144D"/>
    <w:rsid w:val="5C85755D"/>
    <w:rsid w:val="5C881FC6"/>
    <w:rsid w:val="5C8A20DC"/>
    <w:rsid w:val="5C945012"/>
    <w:rsid w:val="5C997BE1"/>
    <w:rsid w:val="5C9C1D83"/>
    <w:rsid w:val="5CA22C3E"/>
    <w:rsid w:val="5CA31E2B"/>
    <w:rsid w:val="5CA32EE4"/>
    <w:rsid w:val="5CA6628A"/>
    <w:rsid w:val="5CAA4206"/>
    <w:rsid w:val="5CB169DD"/>
    <w:rsid w:val="5CB200B1"/>
    <w:rsid w:val="5CB81978"/>
    <w:rsid w:val="5CB84210"/>
    <w:rsid w:val="5CB863EB"/>
    <w:rsid w:val="5CBF1F61"/>
    <w:rsid w:val="5CC132EF"/>
    <w:rsid w:val="5CC44962"/>
    <w:rsid w:val="5CCE4FCE"/>
    <w:rsid w:val="5CD31C30"/>
    <w:rsid w:val="5CD65F70"/>
    <w:rsid w:val="5CF224D6"/>
    <w:rsid w:val="5CFC5D8D"/>
    <w:rsid w:val="5CFE65C9"/>
    <w:rsid w:val="5CFF023F"/>
    <w:rsid w:val="5D060EFB"/>
    <w:rsid w:val="5D0C6AE9"/>
    <w:rsid w:val="5D0D0C29"/>
    <w:rsid w:val="5D1209D8"/>
    <w:rsid w:val="5D132F64"/>
    <w:rsid w:val="5D1615FD"/>
    <w:rsid w:val="5D2C5841"/>
    <w:rsid w:val="5D2E6280"/>
    <w:rsid w:val="5D3778BE"/>
    <w:rsid w:val="5D38332A"/>
    <w:rsid w:val="5D3923D5"/>
    <w:rsid w:val="5D3A4C25"/>
    <w:rsid w:val="5D471B21"/>
    <w:rsid w:val="5D487342"/>
    <w:rsid w:val="5D55380D"/>
    <w:rsid w:val="5D5A45D1"/>
    <w:rsid w:val="5D5C09F8"/>
    <w:rsid w:val="5D5C433C"/>
    <w:rsid w:val="5D5D6704"/>
    <w:rsid w:val="5D6A78EC"/>
    <w:rsid w:val="5D6F0D72"/>
    <w:rsid w:val="5D7647EC"/>
    <w:rsid w:val="5D79574D"/>
    <w:rsid w:val="5D7C523D"/>
    <w:rsid w:val="5D7F0889"/>
    <w:rsid w:val="5D834FA1"/>
    <w:rsid w:val="5D8738E6"/>
    <w:rsid w:val="5D882F9A"/>
    <w:rsid w:val="5D8D0191"/>
    <w:rsid w:val="5D8F4D1A"/>
    <w:rsid w:val="5D934290"/>
    <w:rsid w:val="5D9957EB"/>
    <w:rsid w:val="5D9B48C8"/>
    <w:rsid w:val="5D9C07F6"/>
    <w:rsid w:val="5DA11230"/>
    <w:rsid w:val="5DAD68CF"/>
    <w:rsid w:val="5DB80AF6"/>
    <w:rsid w:val="5DBA1FF8"/>
    <w:rsid w:val="5DBF0B82"/>
    <w:rsid w:val="5DC75882"/>
    <w:rsid w:val="5DCA4CDD"/>
    <w:rsid w:val="5DCD5A99"/>
    <w:rsid w:val="5DCF3574"/>
    <w:rsid w:val="5DDB1F64"/>
    <w:rsid w:val="5DDB4A3D"/>
    <w:rsid w:val="5DDE7CB7"/>
    <w:rsid w:val="5DEA664B"/>
    <w:rsid w:val="5E06062B"/>
    <w:rsid w:val="5E0C438B"/>
    <w:rsid w:val="5E0E1594"/>
    <w:rsid w:val="5E1D3356"/>
    <w:rsid w:val="5E1D3725"/>
    <w:rsid w:val="5E211941"/>
    <w:rsid w:val="5E2819E4"/>
    <w:rsid w:val="5E2960AD"/>
    <w:rsid w:val="5E3157A3"/>
    <w:rsid w:val="5E32748A"/>
    <w:rsid w:val="5E37668B"/>
    <w:rsid w:val="5E416895"/>
    <w:rsid w:val="5E4E2F65"/>
    <w:rsid w:val="5E5A37D0"/>
    <w:rsid w:val="5E5B110F"/>
    <w:rsid w:val="5E6657AF"/>
    <w:rsid w:val="5E6A0F6E"/>
    <w:rsid w:val="5E725E32"/>
    <w:rsid w:val="5E7A0A21"/>
    <w:rsid w:val="5E7D3261"/>
    <w:rsid w:val="5E8E0F1C"/>
    <w:rsid w:val="5E931FD7"/>
    <w:rsid w:val="5E981D92"/>
    <w:rsid w:val="5E9C51FA"/>
    <w:rsid w:val="5EAA57A2"/>
    <w:rsid w:val="5EAE2E11"/>
    <w:rsid w:val="5EB44121"/>
    <w:rsid w:val="5EB56FFB"/>
    <w:rsid w:val="5EBB1D95"/>
    <w:rsid w:val="5EC42D73"/>
    <w:rsid w:val="5ECA750A"/>
    <w:rsid w:val="5ECC5C53"/>
    <w:rsid w:val="5ECD58CB"/>
    <w:rsid w:val="5ED17FF8"/>
    <w:rsid w:val="5ED20E77"/>
    <w:rsid w:val="5ED54C52"/>
    <w:rsid w:val="5EDD61AF"/>
    <w:rsid w:val="5EDD6E26"/>
    <w:rsid w:val="5EEA03C6"/>
    <w:rsid w:val="5EEB267A"/>
    <w:rsid w:val="5EEE216B"/>
    <w:rsid w:val="5EF84D97"/>
    <w:rsid w:val="5F066AF8"/>
    <w:rsid w:val="5F180506"/>
    <w:rsid w:val="5F191AFB"/>
    <w:rsid w:val="5F1D3B2D"/>
    <w:rsid w:val="5F1E3BC0"/>
    <w:rsid w:val="5F227813"/>
    <w:rsid w:val="5F2328FD"/>
    <w:rsid w:val="5F245B8C"/>
    <w:rsid w:val="5F2505CE"/>
    <w:rsid w:val="5F2569A8"/>
    <w:rsid w:val="5F3412AF"/>
    <w:rsid w:val="5F395EA5"/>
    <w:rsid w:val="5F3A715E"/>
    <w:rsid w:val="5F3E6C4E"/>
    <w:rsid w:val="5F443336"/>
    <w:rsid w:val="5F4B5EE4"/>
    <w:rsid w:val="5F4E6765"/>
    <w:rsid w:val="5F537870"/>
    <w:rsid w:val="5F553F46"/>
    <w:rsid w:val="5F585836"/>
    <w:rsid w:val="5F593A88"/>
    <w:rsid w:val="5F5C79BE"/>
    <w:rsid w:val="5F5D4BFA"/>
    <w:rsid w:val="5F630659"/>
    <w:rsid w:val="5F637B5C"/>
    <w:rsid w:val="5F6D2400"/>
    <w:rsid w:val="5F6D7533"/>
    <w:rsid w:val="5F707A36"/>
    <w:rsid w:val="5F86738D"/>
    <w:rsid w:val="5F8759CF"/>
    <w:rsid w:val="5F8C7FB7"/>
    <w:rsid w:val="5F9217AD"/>
    <w:rsid w:val="5F92436A"/>
    <w:rsid w:val="5F94796C"/>
    <w:rsid w:val="5F9826B5"/>
    <w:rsid w:val="5F9F5213"/>
    <w:rsid w:val="5FAA6092"/>
    <w:rsid w:val="5FAF1A3E"/>
    <w:rsid w:val="5FB52C88"/>
    <w:rsid w:val="5FB7050C"/>
    <w:rsid w:val="5FB777D9"/>
    <w:rsid w:val="5FBC4D33"/>
    <w:rsid w:val="5FBE3F64"/>
    <w:rsid w:val="5FBF3FC7"/>
    <w:rsid w:val="5FBF618C"/>
    <w:rsid w:val="5FCD40EC"/>
    <w:rsid w:val="5FD632A1"/>
    <w:rsid w:val="5FE70B7E"/>
    <w:rsid w:val="5FEB16C5"/>
    <w:rsid w:val="5FED2422"/>
    <w:rsid w:val="5FEF7F48"/>
    <w:rsid w:val="5FF1145E"/>
    <w:rsid w:val="5FF43BB0"/>
    <w:rsid w:val="5FFA36CB"/>
    <w:rsid w:val="5FFE63DD"/>
    <w:rsid w:val="60011A2A"/>
    <w:rsid w:val="600704CB"/>
    <w:rsid w:val="600E24AE"/>
    <w:rsid w:val="601C7169"/>
    <w:rsid w:val="601D2D62"/>
    <w:rsid w:val="602C2F4B"/>
    <w:rsid w:val="602E275B"/>
    <w:rsid w:val="602F4169"/>
    <w:rsid w:val="603718EF"/>
    <w:rsid w:val="6037544B"/>
    <w:rsid w:val="6040567D"/>
    <w:rsid w:val="60451960"/>
    <w:rsid w:val="604A0AE1"/>
    <w:rsid w:val="604D3375"/>
    <w:rsid w:val="60525B05"/>
    <w:rsid w:val="605A5D15"/>
    <w:rsid w:val="605D1DF0"/>
    <w:rsid w:val="60647798"/>
    <w:rsid w:val="606869D0"/>
    <w:rsid w:val="607D76D3"/>
    <w:rsid w:val="60824919"/>
    <w:rsid w:val="60832F80"/>
    <w:rsid w:val="608369B9"/>
    <w:rsid w:val="60A71170"/>
    <w:rsid w:val="60AA74EF"/>
    <w:rsid w:val="60B0496C"/>
    <w:rsid w:val="60B1490C"/>
    <w:rsid w:val="60B62331"/>
    <w:rsid w:val="60BD1DF5"/>
    <w:rsid w:val="60C346C6"/>
    <w:rsid w:val="60C42130"/>
    <w:rsid w:val="60C50CA9"/>
    <w:rsid w:val="60C52B4F"/>
    <w:rsid w:val="60C73328"/>
    <w:rsid w:val="60D010E1"/>
    <w:rsid w:val="60D50803"/>
    <w:rsid w:val="60E6447A"/>
    <w:rsid w:val="60EA0710"/>
    <w:rsid w:val="61024E93"/>
    <w:rsid w:val="6106379C"/>
    <w:rsid w:val="610D284A"/>
    <w:rsid w:val="610F1105"/>
    <w:rsid w:val="61141727"/>
    <w:rsid w:val="61155A6F"/>
    <w:rsid w:val="611670E2"/>
    <w:rsid w:val="6117207C"/>
    <w:rsid w:val="611F41B0"/>
    <w:rsid w:val="61205237"/>
    <w:rsid w:val="6126611E"/>
    <w:rsid w:val="61275BC4"/>
    <w:rsid w:val="612B6850"/>
    <w:rsid w:val="613004E0"/>
    <w:rsid w:val="613B0F6B"/>
    <w:rsid w:val="613D2F35"/>
    <w:rsid w:val="614E072A"/>
    <w:rsid w:val="61515D28"/>
    <w:rsid w:val="61521585"/>
    <w:rsid w:val="61614E76"/>
    <w:rsid w:val="617030C9"/>
    <w:rsid w:val="617678DB"/>
    <w:rsid w:val="617A1A94"/>
    <w:rsid w:val="617C0E5F"/>
    <w:rsid w:val="617C627B"/>
    <w:rsid w:val="617D6400"/>
    <w:rsid w:val="617E72D4"/>
    <w:rsid w:val="617F6FC1"/>
    <w:rsid w:val="61821292"/>
    <w:rsid w:val="61845429"/>
    <w:rsid w:val="618A7729"/>
    <w:rsid w:val="61907472"/>
    <w:rsid w:val="61914788"/>
    <w:rsid w:val="61932948"/>
    <w:rsid w:val="619F75E8"/>
    <w:rsid w:val="61A057D0"/>
    <w:rsid w:val="61A7655F"/>
    <w:rsid w:val="61A94127"/>
    <w:rsid w:val="61AB7E9F"/>
    <w:rsid w:val="61AE7D0E"/>
    <w:rsid w:val="61BC6A68"/>
    <w:rsid w:val="61BD4AD4"/>
    <w:rsid w:val="61C3302C"/>
    <w:rsid w:val="61D41829"/>
    <w:rsid w:val="61D70C94"/>
    <w:rsid w:val="61E93520"/>
    <w:rsid w:val="61EE32A6"/>
    <w:rsid w:val="620219E0"/>
    <w:rsid w:val="6212388C"/>
    <w:rsid w:val="62156F75"/>
    <w:rsid w:val="62164897"/>
    <w:rsid w:val="621A2B05"/>
    <w:rsid w:val="621B515A"/>
    <w:rsid w:val="6221464B"/>
    <w:rsid w:val="622C0CEF"/>
    <w:rsid w:val="622C48C4"/>
    <w:rsid w:val="622F6646"/>
    <w:rsid w:val="623029B2"/>
    <w:rsid w:val="62326738"/>
    <w:rsid w:val="62480406"/>
    <w:rsid w:val="62495C62"/>
    <w:rsid w:val="62532B7D"/>
    <w:rsid w:val="625E1FC6"/>
    <w:rsid w:val="62624DA7"/>
    <w:rsid w:val="626A3C62"/>
    <w:rsid w:val="62704242"/>
    <w:rsid w:val="62721F7A"/>
    <w:rsid w:val="627D236F"/>
    <w:rsid w:val="628030DA"/>
    <w:rsid w:val="62960B4F"/>
    <w:rsid w:val="6299419B"/>
    <w:rsid w:val="629B7F14"/>
    <w:rsid w:val="62A554BB"/>
    <w:rsid w:val="62A600C2"/>
    <w:rsid w:val="62B35AD8"/>
    <w:rsid w:val="62BB2091"/>
    <w:rsid w:val="62BE41DA"/>
    <w:rsid w:val="62D33022"/>
    <w:rsid w:val="62D81168"/>
    <w:rsid w:val="62DF104A"/>
    <w:rsid w:val="62E22628"/>
    <w:rsid w:val="62E25FC4"/>
    <w:rsid w:val="62E70066"/>
    <w:rsid w:val="62E713AB"/>
    <w:rsid w:val="62EA0E9B"/>
    <w:rsid w:val="62F664D4"/>
    <w:rsid w:val="630048F7"/>
    <w:rsid w:val="63073570"/>
    <w:rsid w:val="631D033A"/>
    <w:rsid w:val="631D75C4"/>
    <w:rsid w:val="63215DB8"/>
    <w:rsid w:val="632757F0"/>
    <w:rsid w:val="633A6571"/>
    <w:rsid w:val="633F29E1"/>
    <w:rsid w:val="634725DB"/>
    <w:rsid w:val="634C56B2"/>
    <w:rsid w:val="6353259C"/>
    <w:rsid w:val="635B701A"/>
    <w:rsid w:val="63640C4D"/>
    <w:rsid w:val="63652925"/>
    <w:rsid w:val="636E01E1"/>
    <w:rsid w:val="63754353"/>
    <w:rsid w:val="637C665D"/>
    <w:rsid w:val="637E33DD"/>
    <w:rsid w:val="637F3617"/>
    <w:rsid w:val="637F4388"/>
    <w:rsid w:val="63844E4C"/>
    <w:rsid w:val="638A0451"/>
    <w:rsid w:val="638A4F30"/>
    <w:rsid w:val="639C2195"/>
    <w:rsid w:val="63B14EF3"/>
    <w:rsid w:val="63B77B8E"/>
    <w:rsid w:val="63C35974"/>
    <w:rsid w:val="63CB66EE"/>
    <w:rsid w:val="63D55654"/>
    <w:rsid w:val="63D77671"/>
    <w:rsid w:val="63D84CF0"/>
    <w:rsid w:val="63DD41E3"/>
    <w:rsid w:val="63E24358"/>
    <w:rsid w:val="63E329D5"/>
    <w:rsid w:val="63EE6769"/>
    <w:rsid w:val="63F44F6B"/>
    <w:rsid w:val="63FF121A"/>
    <w:rsid w:val="64067E94"/>
    <w:rsid w:val="640A6CED"/>
    <w:rsid w:val="640E2967"/>
    <w:rsid w:val="641C6E32"/>
    <w:rsid w:val="642406E1"/>
    <w:rsid w:val="64244518"/>
    <w:rsid w:val="6427071F"/>
    <w:rsid w:val="642C59E6"/>
    <w:rsid w:val="64323C66"/>
    <w:rsid w:val="6434679F"/>
    <w:rsid w:val="643B0233"/>
    <w:rsid w:val="643D3518"/>
    <w:rsid w:val="643E7EF6"/>
    <w:rsid w:val="64462101"/>
    <w:rsid w:val="644C7914"/>
    <w:rsid w:val="644F52EB"/>
    <w:rsid w:val="645079A9"/>
    <w:rsid w:val="646C3332"/>
    <w:rsid w:val="646C5DBB"/>
    <w:rsid w:val="647A1F92"/>
    <w:rsid w:val="6482625F"/>
    <w:rsid w:val="648A4ECF"/>
    <w:rsid w:val="648C4E8A"/>
    <w:rsid w:val="648E510E"/>
    <w:rsid w:val="64955C62"/>
    <w:rsid w:val="64993BEF"/>
    <w:rsid w:val="649B39A5"/>
    <w:rsid w:val="649D67AE"/>
    <w:rsid w:val="64A05CB5"/>
    <w:rsid w:val="64A77044"/>
    <w:rsid w:val="64AC63B6"/>
    <w:rsid w:val="64B93503"/>
    <w:rsid w:val="64BE130D"/>
    <w:rsid w:val="64C8419E"/>
    <w:rsid w:val="64C91E1B"/>
    <w:rsid w:val="64D241D9"/>
    <w:rsid w:val="64D50079"/>
    <w:rsid w:val="64E23781"/>
    <w:rsid w:val="64E92F4D"/>
    <w:rsid w:val="64EF7D9D"/>
    <w:rsid w:val="64F44FB0"/>
    <w:rsid w:val="64FB773A"/>
    <w:rsid w:val="650A4AEB"/>
    <w:rsid w:val="650B7681"/>
    <w:rsid w:val="65141DE9"/>
    <w:rsid w:val="651727CC"/>
    <w:rsid w:val="65195C25"/>
    <w:rsid w:val="651E4AE7"/>
    <w:rsid w:val="6524091F"/>
    <w:rsid w:val="653328BA"/>
    <w:rsid w:val="653E145C"/>
    <w:rsid w:val="654C3747"/>
    <w:rsid w:val="654D494E"/>
    <w:rsid w:val="65520FA5"/>
    <w:rsid w:val="655C5151"/>
    <w:rsid w:val="656517F2"/>
    <w:rsid w:val="65682852"/>
    <w:rsid w:val="657333CA"/>
    <w:rsid w:val="65743348"/>
    <w:rsid w:val="657767E3"/>
    <w:rsid w:val="65786809"/>
    <w:rsid w:val="657B5DDA"/>
    <w:rsid w:val="657E3181"/>
    <w:rsid w:val="65833974"/>
    <w:rsid w:val="659B7048"/>
    <w:rsid w:val="65B718B3"/>
    <w:rsid w:val="65B813E2"/>
    <w:rsid w:val="65BD52D0"/>
    <w:rsid w:val="65D53696"/>
    <w:rsid w:val="65DA51F7"/>
    <w:rsid w:val="65DE048F"/>
    <w:rsid w:val="65E41BD1"/>
    <w:rsid w:val="65E52F40"/>
    <w:rsid w:val="65E55800"/>
    <w:rsid w:val="65E94B0A"/>
    <w:rsid w:val="65FF4506"/>
    <w:rsid w:val="660F5092"/>
    <w:rsid w:val="661125BE"/>
    <w:rsid w:val="66113D6C"/>
    <w:rsid w:val="661B2BD2"/>
    <w:rsid w:val="66210588"/>
    <w:rsid w:val="66244894"/>
    <w:rsid w:val="66291CDA"/>
    <w:rsid w:val="662D79CE"/>
    <w:rsid w:val="66312BF0"/>
    <w:rsid w:val="6635242D"/>
    <w:rsid w:val="66356B5C"/>
    <w:rsid w:val="663578A6"/>
    <w:rsid w:val="66455E1D"/>
    <w:rsid w:val="66473AFB"/>
    <w:rsid w:val="664E34EF"/>
    <w:rsid w:val="66527B78"/>
    <w:rsid w:val="665B1454"/>
    <w:rsid w:val="666176C6"/>
    <w:rsid w:val="66641BC5"/>
    <w:rsid w:val="66672FCC"/>
    <w:rsid w:val="666E595E"/>
    <w:rsid w:val="66715A41"/>
    <w:rsid w:val="66725DEB"/>
    <w:rsid w:val="668F7750"/>
    <w:rsid w:val="669B6734"/>
    <w:rsid w:val="669C24AC"/>
    <w:rsid w:val="66B4419A"/>
    <w:rsid w:val="66B9509F"/>
    <w:rsid w:val="66C1744F"/>
    <w:rsid w:val="66C25E3E"/>
    <w:rsid w:val="66C96A6D"/>
    <w:rsid w:val="66D13048"/>
    <w:rsid w:val="66D41C46"/>
    <w:rsid w:val="66D76166"/>
    <w:rsid w:val="66DE1A77"/>
    <w:rsid w:val="66E41372"/>
    <w:rsid w:val="66F40537"/>
    <w:rsid w:val="66F95B50"/>
    <w:rsid w:val="66FE3167"/>
    <w:rsid w:val="67082894"/>
    <w:rsid w:val="67092F25"/>
    <w:rsid w:val="671100FB"/>
    <w:rsid w:val="67281F92"/>
    <w:rsid w:val="672D0AB3"/>
    <w:rsid w:val="673031F4"/>
    <w:rsid w:val="67313AC8"/>
    <w:rsid w:val="6732696D"/>
    <w:rsid w:val="673A7750"/>
    <w:rsid w:val="673A7B83"/>
    <w:rsid w:val="67422180"/>
    <w:rsid w:val="674748CF"/>
    <w:rsid w:val="67496777"/>
    <w:rsid w:val="674F751F"/>
    <w:rsid w:val="67506B17"/>
    <w:rsid w:val="676905E0"/>
    <w:rsid w:val="67696832"/>
    <w:rsid w:val="676B5DD8"/>
    <w:rsid w:val="676C1E7F"/>
    <w:rsid w:val="67721686"/>
    <w:rsid w:val="6773320D"/>
    <w:rsid w:val="677745D8"/>
    <w:rsid w:val="6778579B"/>
    <w:rsid w:val="6780592A"/>
    <w:rsid w:val="67957D33"/>
    <w:rsid w:val="679A69EC"/>
    <w:rsid w:val="679B09B6"/>
    <w:rsid w:val="67AD3747"/>
    <w:rsid w:val="67AE16CA"/>
    <w:rsid w:val="67B724D0"/>
    <w:rsid w:val="67B756C3"/>
    <w:rsid w:val="67C55FCF"/>
    <w:rsid w:val="67CC1F33"/>
    <w:rsid w:val="67CE51C8"/>
    <w:rsid w:val="67D533B8"/>
    <w:rsid w:val="67D635BE"/>
    <w:rsid w:val="67D839B8"/>
    <w:rsid w:val="67DF6801"/>
    <w:rsid w:val="67E1286C"/>
    <w:rsid w:val="67F13E17"/>
    <w:rsid w:val="67F87BB6"/>
    <w:rsid w:val="67F931B2"/>
    <w:rsid w:val="67FA2386"/>
    <w:rsid w:val="68024591"/>
    <w:rsid w:val="6813679E"/>
    <w:rsid w:val="681E143E"/>
    <w:rsid w:val="6820016A"/>
    <w:rsid w:val="6822175D"/>
    <w:rsid w:val="68262975"/>
    <w:rsid w:val="683A3D2B"/>
    <w:rsid w:val="683C3F47"/>
    <w:rsid w:val="683E1A6D"/>
    <w:rsid w:val="684D2A07"/>
    <w:rsid w:val="68505064"/>
    <w:rsid w:val="68516591"/>
    <w:rsid w:val="68560392"/>
    <w:rsid w:val="68580067"/>
    <w:rsid w:val="685B7F17"/>
    <w:rsid w:val="6865349E"/>
    <w:rsid w:val="68674585"/>
    <w:rsid w:val="68733608"/>
    <w:rsid w:val="6878082B"/>
    <w:rsid w:val="688343BB"/>
    <w:rsid w:val="68865F84"/>
    <w:rsid w:val="688D705F"/>
    <w:rsid w:val="68970A5A"/>
    <w:rsid w:val="689A2794"/>
    <w:rsid w:val="68A369F2"/>
    <w:rsid w:val="68A60A48"/>
    <w:rsid w:val="68A9573D"/>
    <w:rsid w:val="68AD3D8C"/>
    <w:rsid w:val="68BD3C88"/>
    <w:rsid w:val="68C53F3C"/>
    <w:rsid w:val="68CB1E67"/>
    <w:rsid w:val="68D90AF0"/>
    <w:rsid w:val="68DB19C1"/>
    <w:rsid w:val="68DB4CE6"/>
    <w:rsid w:val="68E02160"/>
    <w:rsid w:val="68E36170"/>
    <w:rsid w:val="68E819D9"/>
    <w:rsid w:val="68ED3493"/>
    <w:rsid w:val="68EE26FE"/>
    <w:rsid w:val="68F10571"/>
    <w:rsid w:val="68F50862"/>
    <w:rsid w:val="68F760C0"/>
    <w:rsid w:val="68F95994"/>
    <w:rsid w:val="68FB291F"/>
    <w:rsid w:val="69230C63"/>
    <w:rsid w:val="69252C2D"/>
    <w:rsid w:val="69281617"/>
    <w:rsid w:val="69284ADB"/>
    <w:rsid w:val="692A1F3E"/>
    <w:rsid w:val="692A379C"/>
    <w:rsid w:val="692B0CE1"/>
    <w:rsid w:val="692D6520"/>
    <w:rsid w:val="692E55DE"/>
    <w:rsid w:val="692F7608"/>
    <w:rsid w:val="694767DE"/>
    <w:rsid w:val="69485CD1"/>
    <w:rsid w:val="694A4441"/>
    <w:rsid w:val="694B5740"/>
    <w:rsid w:val="69561038"/>
    <w:rsid w:val="696B0C22"/>
    <w:rsid w:val="697C3A7A"/>
    <w:rsid w:val="69814582"/>
    <w:rsid w:val="69821E2D"/>
    <w:rsid w:val="698330A4"/>
    <w:rsid w:val="6985699C"/>
    <w:rsid w:val="6986527A"/>
    <w:rsid w:val="698E78BA"/>
    <w:rsid w:val="69916B78"/>
    <w:rsid w:val="69A96D8B"/>
    <w:rsid w:val="69C6302D"/>
    <w:rsid w:val="69C74893"/>
    <w:rsid w:val="69C81B50"/>
    <w:rsid w:val="69DC2FDF"/>
    <w:rsid w:val="69DF55A1"/>
    <w:rsid w:val="69E20612"/>
    <w:rsid w:val="69E20834"/>
    <w:rsid w:val="69EB7D82"/>
    <w:rsid w:val="69EC0ABA"/>
    <w:rsid w:val="69ED1E71"/>
    <w:rsid w:val="69F110E6"/>
    <w:rsid w:val="69F80DA9"/>
    <w:rsid w:val="69F83E9D"/>
    <w:rsid w:val="69FA5E67"/>
    <w:rsid w:val="6A007968"/>
    <w:rsid w:val="6A070584"/>
    <w:rsid w:val="6A0710F2"/>
    <w:rsid w:val="6A0823F8"/>
    <w:rsid w:val="6A1036F2"/>
    <w:rsid w:val="6A125358"/>
    <w:rsid w:val="6A160FCF"/>
    <w:rsid w:val="6A170175"/>
    <w:rsid w:val="6A1B20C9"/>
    <w:rsid w:val="6A1F435F"/>
    <w:rsid w:val="6A264739"/>
    <w:rsid w:val="6A296146"/>
    <w:rsid w:val="6A2B6021"/>
    <w:rsid w:val="6A2D7FEB"/>
    <w:rsid w:val="6A3C4D50"/>
    <w:rsid w:val="6A411262"/>
    <w:rsid w:val="6A622ABA"/>
    <w:rsid w:val="6A6629E8"/>
    <w:rsid w:val="6A7E11C4"/>
    <w:rsid w:val="6A7E25F5"/>
    <w:rsid w:val="6A7E297B"/>
    <w:rsid w:val="6A80789A"/>
    <w:rsid w:val="6A846DCA"/>
    <w:rsid w:val="6A8614A9"/>
    <w:rsid w:val="6A876178"/>
    <w:rsid w:val="6A8F72B9"/>
    <w:rsid w:val="6A9635BE"/>
    <w:rsid w:val="6A9A4F55"/>
    <w:rsid w:val="6A9E7FF6"/>
    <w:rsid w:val="6AA00147"/>
    <w:rsid w:val="6AA265C6"/>
    <w:rsid w:val="6AA74760"/>
    <w:rsid w:val="6AAB7F50"/>
    <w:rsid w:val="6AB26742"/>
    <w:rsid w:val="6AB37DC4"/>
    <w:rsid w:val="6AB853DB"/>
    <w:rsid w:val="6ABD1870"/>
    <w:rsid w:val="6ABF221F"/>
    <w:rsid w:val="6AC60B18"/>
    <w:rsid w:val="6ACD70D8"/>
    <w:rsid w:val="6AD14E1A"/>
    <w:rsid w:val="6AD31E30"/>
    <w:rsid w:val="6AD70146"/>
    <w:rsid w:val="6AD7578C"/>
    <w:rsid w:val="6AD83A39"/>
    <w:rsid w:val="6ADF041C"/>
    <w:rsid w:val="6AE52304"/>
    <w:rsid w:val="6AE60F83"/>
    <w:rsid w:val="6AEF6DD3"/>
    <w:rsid w:val="6AF02956"/>
    <w:rsid w:val="6AF20FCD"/>
    <w:rsid w:val="6AF865EC"/>
    <w:rsid w:val="6AFA518A"/>
    <w:rsid w:val="6AFC176B"/>
    <w:rsid w:val="6B2D55FF"/>
    <w:rsid w:val="6B341F03"/>
    <w:rsid w:val="6B3473C0"/>
    <w:rsid w:val="6B39476E"/>
    <w:rsid w:val="6B495161"/>
    <w:rsid w:val="6B555AFB"/>
    <w:rsid w:val="6B574C6A"/>
    <w:rsid w:val="6B611BFD"/>
    <w:rsid w:val="6B626F30"/>
    <w:rsid w:val="6B633408"/>
    <w:rsid w:val="6B6F325D"/>
    <w:rsid w:val="6B7D3E4B"/>
    <w:rsid w:val="6B820631"/>
    <w:rsid w:val="6B880B52"/>
    <w:rsid w:val="6B8A4FC9"/>
    <w:rsid w:val="6B8B03B8"/>
    <w:rsid w:val="6B8B7EF1"/>
    <w:rsid w:val="6B934A08"/>
    <w:rsid w:val="6BA426B2"/>
    <w:rsid w:val="6BAB4090"/>
    <w:rsid w:val="6BB12556"/>
    <w:rsid w:val="6BB46349"/>
    <w:rsid w:val="6BBA24B6"/>
    <w:rsid w:val="6BBB33D4"/>
    <w:rsid w:val="6BBD0EFB"/>
    <w:rsid w:val="6BC60733"/>
    <w:rsid w:val="6BC92D18"/>
    <w:rsid w:val="6BCC6637"/>
    <w:rsid w:val="6BCE4EB6"/>
    <w:rsid w:val="6BCE6035"/>
    <w:rsid w:val="6BD53CC8"/>
    <w:rsid w:val="6BD76AC6"/>
    <w:rsid w:val="6BE04BE9"/>
    <w:rsid w:val="6BE11055"/>
    <w:rsid w:val="6BEC1C93"/>
    <w:rsid w:val="6BEC2B2E"/>
    <w:rsid w:val="6BEF05AD"/>
    <w:rsid w:val="6BFC662E"/>
    <w:rsid w:val="6C0B2B1B"/>
    <w:rsid w:val="6C0C0A3F"/>
    <w:rsid w:val="6C1172AD"/>
    <w:rsid w:val="6C197835"/>
    <w:rsid w:val="6C1A634D"/>
    <w:rsid w:val="6C2C7E07"/>
    <w:rsid w:val="6C310293"/>
    <w:rsid w:val="6C37132C"/>
    <w:rsid w:val="6C491FA7"/>
    <w:rsid w:val="6C4C0AD1"/>
    <w:rsid w:val="6C4E5FF7"/>
    <w:rsid w:val="6C551424"/>
    <w:rsid w:val="6C574CF9"/>
    <w:rsid w:val="6C586E75"/>
    <w:rsid w:val="6C5A7023"/>
    <w:rsid w:val="6C5D7FE5"/>
    <w:rsid w:val="6C5F6456"/>
    <w:rsid w:val="6C6235E8"/>
    <w:rsid w:val="6C671EC3"/>
    <w:rsid w:val="6C6778AB"/>
    <w:rsid w:val="6C72551B"/>
    <w:rsid w:val="6C744EE0"/>
    <w:rsid w:val="6C847041"/>
    <w:rsid w:val="6C87358B"/>
    <w:rsid w:val="6C8B2DA7"/>
    <w:rsid w:val="6C8E634F"/>
    <w:rsid w:val="6C933ED4"/>
    <w:rsid w:val="6C935742"/>
    <w:rsid w:val="6C976D17"/>
    <w:rsid w:val="6CAC5558"/>
    <w:rsid w:val="6CB546E3"/>
    <w:rsid w:val="6CB6520A"/>
    <w:rsid w:val="6CBB272A"/>
    <w:rsid w:val="6CC90D79"/>
    <w:rsid w:val="6CCB7647"/>
    <w:rsid w:val="6CDC0FAA"/>
    <w:rsid w:val="6CE55693"/>
    <w:rsid w:val="6CEB5F3B"/>
    <w:rsid w:val="6CED6176"/>
    <w:rsid w:val="6CF145E0"/>
    <w:rsid w:val="6CF2271D"/>
    <w:rsid w:val="6CF4562A"/>
    <w:rsid w:val="6CF7043C"/>
    <w:rsid w:val="6CFA1CDB"/>
    <w:rsid w:val="6CFC0CF8"/>
    <w:rsid w:val="6D071698"/>
    <w:rsid w:val="6D11704A"/>
    <w:rsid w:val="6D1C4B34"/>
    <w:rsid w:val="6D1E1003"/>
    <w:rsid w:val="6D1E5712"/>
    <w:rsid w:val="6D244591"/>
    <w:rsid w:val="6D2B6338"/>
    <w:rsid w:val="6D3B09DB"/>
    <w:rsid w:val="6D3B47CD"/>
    <w:rsid w:val="6D3C22F7"/>
    <w:rsid w:val="6D3F56BC"/>
    <w:rsid w:val="6D45758A"/>
    <w:rsid w:val="6D491C00"/>
    <w:rsid w:val="6D4A3FD9"/>
    <w:rsid w:val="6D5D43C7"/>
    <w:rsid w:val="6D6211D5"/>
    <w:rsid w:val="6D657A9C"/>
    <w:rsid w:val="6D6E391F"/>
    <w:rsid w:val="6D7C64AC"/>
    <w:rsid w:val="6D7F14DA"/>
    <w:rsid w:val="6D853C9A"/>
    <w:rsid w:val="6D8D0186"/>
    <w:rsid w:val="6D953F91"/>
    <w:rsid w:val="6D9956BA"/>
    <w:rsid w:val="6DA87B9F"/>
    <w:rsid w:val="6DAA42AB"/>
    <w:rsid w:val="6DB176F2"/>
    <w:rsid w:val="6DB30807"/>
    <w:rsid w:val="6DBB590E"/>
    <w:rsid w:val="6DBF6CE2"/>
    <w:rsid w:val="6DC45C54"/>
    <w:rsid w:val="6DC5053A"/>
    <w:rsid w:val="6DC53107"/>
    <w:rsid w:val="6DC80F28"/>
    <w:rsid w:val="6DC96BAD"/>
    <w:rsid w:val="6DCE58E2"/>
    <w:rsid w:val="6DE07122"/>
    <w:rsid w:val="6DF67F9A"/>
    <w:rsid w:val="6DFC351E"/>
    <w:rsid w:val="6E004123"/>
    <w:rsid w:val="6E0649EF"/>
    <w:rsid w:val="6E0B0BFD"/>
    <w:rsid w:val="6E0C1BB5"/>
    <w:rsid w:val="6E0F4548"/>
    <w:rsid w:val="6E281527"/>
    <w:rsid w:val="6E292877"/>
    <w:rsid w:val="6E36203A"/>
    <w:rsid w:val="6E414FEB"/>
    <w:rsid w:val="6E4A0A40"/>
    <w:rsid w:val="6E4A36FE"/>
    <w:rsid w:val="6E4A7A10"/>
    <w:rsid w:val="6E4D3223"/>
    <w:rsid w:val="6E4E0FC6"/>
    <w:rsid w:val="6E510956"/>
    <w:rsid w:val="6E526272"/>
    <w:rsid w:val="6E5A4005"/>
    <w:rsid w:val="6E5F56C8"/>
    <w:rsid w:val="6E625129"/>
    <w:rsid w:val="6E720A33"/>
    <w:rsid w:val="6E751F61"/>
    <w:rsid w:val="6E762510"/>
    <w:rsid w:val="6E7F693B"/>
    <w:rsid w:val="6E825347"/>
    <w:rsid w:val="6E835AA8"/>
    <w:rsid w:val="6E8C2E06"/>
    <w:rsid w:val="6E95412F"/>
    <w:rsid w:val="6E965E0F"/>
    <w:rsid w:val="6E9C20B4"/>
    <w:rsid w:val="6EA16987"/>
    <w:rsid w:val="6EA46E41"/>
    <w:rsid w:val="6EAC5256"/>
    <w:rsid w:val="6EAE7348"/>
    <w:rsid w:val="6EAF557F"/>
    <w:rsid w:val="6EBB49FF"/>
    <w:rsid w:val="6EC24A7A"/>
    <w:rsid w:val="6EC41959"/>
    <w:rsid w:val="6EC9744D"/>
    <w:rsid w:val="6ED45E07"/>
    <w:rsid w:val="6ED6282D"/>
    <w:rsid w:val="6ED80C66"/>
    <w:rsid w:val="6ED823D1"/>
    <w:rsid w:val="6EE16435"/>
    <w:rsid w:val="6EE7195F"/>
    <w:rsid w:val="6EEC72A1"/>
    <w:rsid w:val="6EF020B7"/>
    <w:rsid w:val="6EFA4214"/>
    <w:rsid w:val="6F002A48"/>
    <w:rsid w:val="6F052ACB"/>
    <w:rsid w:val="6F0633EF"/>
    <w:rsid w:val="6F0E1DC6"/>
    <w:rsid w:val="6F1232E1"/>
    <w:rsid w:val="6F147F92"/>
    <w:rsid w:val="6F200022"/>
    <w:rsid w:val="6F231513"/>
    <w:rsid w:val="6F2E10F9"/>
    <w:rsid w:val="6F305C3A"/>
    <w:rsid w:val="6F351BAF"/>
    <w:rsid w:val="6F433E0D"/>
    <w:rsid w:val="6F441CAA"/>
    <w:rsid w:val="6F484143"/>
    <w:rsid w:val="6F4C5049"/>
    <w:rsid w:val="6F574271"/>
    <w:rsid w:val="6F5778B8"/>
    <w:rsid w:val="6F59718C"/>
    <w:rsid w:val="6F5F0DC5"/>
    <w:rsid w:val="6F662024"/>
    <w:rsid w:val="6F6A3147"/>
    <w:rsid w:val="6F745D74"/>
    <w:rsid w:val="6F750F26"/>
    <w:rsid w:val="6F7B72E9"/>
    <w:rsid w:val="6F8166E3"/>
    <w:rsid w:val="6F8445D4"/>
    <w:rsid w:val="6F8C58B1"/>
    <w:rsid w:val="6F8D5C1A"/>
    <w:rsid w:val="6F8E342E"/>
    <w:rsid w:val="6FA8133A"/>
    <w:rsid w:val="6FAA3530"/>
    <w:rsid w:val="6FB8153F"/>
    <w:rsid w:val="6FB846F5"/>
    <w:rsid w:val="6FB940CF"/>
    <w:rsid w:val="6FBA55F4"/>
    <w:rsid w:val="6FBB4C3C"/>
    <w:rsid w:val="6FBE084A"/>
    <w:rsid w:val="6FC34F4E"/>
    <w:rsid w:val="6FC82655"/>
    <w:rsid w:val="6FC85BE2"/>
    <w:rsid w:val="6FD27139"/>
    <w:rsid w:val="6FDD7E87"/>
    <w:rsid w:val="6FE74079"/>
    <w:rsid w:val="6FE87350"/>
    <w:rsid w:val="6FEA07C3"/>
    <w:rsid w:val="6FF01EE9"/>
    <w:rsid w:val="6FF43662"/>
    <w:rsid w:val="6FF454B4"/>
    <w:rsid w:val="6FF70753"/>
    <w:rsid w:val="7001163F"/>
    <w:rsid w:val="70042D2E"/>
    <w:rsid w:val="7005616D"/>
    <w:rsid w:val="700A7CDF"/>
    <w:rsid w:val="70194B6E"/>
    <w:rsid w:val="701A3C85"/>
    <w:rsid w:val="701B2694"/>
    <w:rsid w:val="701F6988"/>
    <w:rsid w:val="70223A22"/>
    <w:rsid w:val="70242284"/>
    <w:rsid w:val="70343755"/>
    <w:rsid w:val="70352F12"/>
    <w:rsid w:val="703B0F88"/>
    <w:rsid w:val="704C6A05"/>
    <w:rsid w:val="704F558C"/>
    <w:rsid w:val="70575FF5"/>
    <w:rsid w:val="705F00BC"/>
    <w:rsid w:val="7061658F"/>
    <w:rsid w:val="70625EC0"/>
    <w:rsid w:val="7063761B"/>
    <w:rsid w:val="70691651"/>
    <w:rsid w:val="70695EF8"/>
    <w:rsid w:val="70726756"/>
    <w:rsid w:val="70750FBD"/>
    <w:rsid w:val="707A1135"/>
    <w:rsid w:val="70827219"/>
    <w:rsid w:val="70860CE0"/>
    <w:rsid w:val="70862027"/>
    <w:rsid w:val="708A455A"/>
    <w:rsid w:val="708A68F9"/>
    <w:rsid w:val="708D3467"/>
    <w:rsid w:val="70974E05"/>
    <w:rsid w:val="70AE3508"/>
    <w:rsid w:val="70BE20AC"/>
    <w:rsid w:val="70BF5715"/>
    <w:rsid w:val="70C525FF"/>
    <w:rsid w:val="70CD2B48"/>
    <w:rsid w:val="70CD7E32"/>
    <w:rsid w:val="70D23E2B"/>
    <w:rsid w:val="70D64680"/>
    <w:rsid w:val="70DF1913"/>
    <w:rsid w:val="70E02726"/>
    <w:rsid w:val="70EB1819"/>
    <w:rsid w:val="70F1729C"/>
    <w:rsid w:val="70F22AA4"/>
    <w:rsid w:val="710454D5"/>
    <w:rsid w:val="71126EE7"/>
    <w:rsid w:val="71196A51"/>
    <w:rsid w:val="711D27F9"/>
    <w:rsid w:val="711F7F62"/>
    <w:rsid w:val="71200232"/>
    <w:rsid w:val="71247ACE"/>
    <w:rsid w:val="712E1BFD"/>
    <w:rsid w:val="713338E1"/>
    <w:rsid w:val="71422988"/>
    <w:rsid w:val="714E141B"/>
    <w:rsid w:val="715F786C"/>
    <w:rsid w:val="716167CC"/>
    <w:rsid w:val="71654E27"/>
    <w:rsid w:val="71707E34"/>
    <w:rsid w:val="717A3FCB"/>
    <w:rsid w:val="717B5AE0"/>
    <w:rsid w:val="717F6C52"/>
    <w:rsid w:val="718511BE"/>
    <w:rsid w:val="7185693C"/>
    <w:rsid w:val="7186244E"/>
    <w:rsid w:val="718B25C3"/>
    <w:rsid w:val="719477B9"/>
    <w:rsid w:val="719759F7"/>
    <w:rsid w:val="719A4503"/>
    <w:rsid w:val="719D577A"/>
    <w:rsid w:val="719E73CE"/>
    <w:rsid w:val="71A32941"/>
    <w:rsid w:val="71A42199"/>
    <w:rsid w:val="71A43FE7"/>
    <w:rsid w:val="71A70106"/>
    <w:rsid w:val="71AE2D17"/>
    <w:rsid w:val="71B42DA0"/>
    <w:rsid w:val="71B763EC"/>
    <w:rsid w:val="71C64EDD"/>
    <w:rsid w:val="71CB17A6"/>
    <w:rsid w:val="71CC00E9"/>
    <w:rsid w:val="71CD2C6D"/>
    <w:rsid w:val="71D13A0F"/>
    <w:rsid w:val="71D3049F"/>
    <w:rsid w:val="71D634A2"/>
    <w:rsid w:val="71D65918"/>
    <w:rsid w:val="71DD5D48"/>
    <w:rsid w:val="71E643AF"/>
    <w:rsid w:val="71E806D8"/>
    <w:rsid w:val="71EB41E4"/>
    <w:rsid w:val="71F6500C"/>
    <w:rsid w:val="71F77285"/>
    <w:rsid w:val="71FA2C4E"/>
    <w:rsid w:val="720158B9"/>
    <w:rsid w:val="72113D4E"/>
    <w:rsid w:val="721215DD"/>
    <w:rsid w:val="72160662"/>
    <w:rsid w:val="721A55BB"/>
    <w:rsid w:val="721B697B"/>
    <w:rsid w:val="721D26F3"/>
    <w:rsid w:val="72216D7F"/>
    <w:rsid w:val="7232196E"/>
    <w:rsid w:val="724E1E90"/>
    <w:rsid w:val="724F4D0B"/>
    <w:rsid w:val="726819D1"/>
    <w:rsid w:val="727A5D97"/>
    <w:rsid w:val="728F6212"/>
    <w:rsid w:val="729131C4"/>
    <w:rsid w:val="729624A5"/>
    <w:rsid w:val="729802F2"/>
    <w:rsid w:val="72AA3A4C"/>
    <w:rsid w:val="72AB1549"/>
    <w:rsid w:val="72AB7029"/>
    <w:rsid w:val="72B13D0A"/>
    <w:rsid w:val="72B17117"/>
    <w:rsid w:val="72BC4572"/>
    <w:rsid w:val="72C47013"/>
    <w:rsid w:val="72CB03A1"/>
    <w:rsid w:val="72CC236B"/>
    <w:rsid w:val="72CE6755"/>
    <w:rsid w:val="72D1450E"/>
    <w:rsid w:val="72D34D7D"/>
    <w:rsid w:val="72E340AC"/>
    <w:rsid w:val="72E42717"/>
    <w:rsid w:val="72E43211"/>
    <w:rsid w:val="72F079F1"/>
    <w:rsid w:val="72F62F44"/>
    <w:rsid w:val="72F74868"/>
    <w:rsid w:val="7300126B"/>
    <w:rsid w:val="73005B71"/>
    <w:rsid w:val="73027489"/>
    <w:rsid w:val="73047724"/>
    <w:rsid w:val="730B4C41"/>
    <w:rsid w:val="73276A0C"/>
    <w:rsid w:val="733673D9"/>
    <w:rsid w:val="733E6DC5"/>
    <w:rsid w:val="73444C4E"/>
    <w:rsid w:val="73447A7D"/>
    <w:rsid w:val="73470341"/>
    <w:rsid w:val="735000B1"/>
    <w:rsid w:val="73504851"/>
    <w:rsid w:val="735463C8"/>
    <w:rsid w:val="73576FF4"/>
    <w:rsid w:val="735924E2"/>
    <w:rsid w:val="735E01A5"/>
    <w:rsid w:val="73661E78"/>
    <w:rsid w:val="73716FAA"/>
    <w:rsid w:val="737767F8"/>
    <w:rsid w:val="737B0530"/>
    <w:rsid w:val="737C282B"/>
    <w:rsid w:val="737E24ED"/>
    <w:rsid w:val="73844C49"/>
    <w:rsid w:val="7388115F"/>
    <w:rsid w:val="738B7B30"/>
    <w:rsid w:val="73955FA5"/>
    <w:rsid w:val="73983049"/>
    <w:rsid w:val="739C2A76"/>
    <w:rsid w:val="739F57E9"/>
    <w:rsid w:val="73B07183"/>
    <w:rsid w:val="73B57E4B"/>
    <w:rsid w:val="73B82B73"/>
    <w:rsid w:val="73BA0F31"/>
    <w:rsid w:val="73C01AB0"/>
    <w:rsid w:val="73C130D8"/>
    <w:rsid w:val="73C51099"/>
    <w:rsid w:val="73C53042"/>
    <w:rsid w:val="73D11C5C"/>
    <w:rsid w:val="73D17583"/>
    <w:rsid w:val="73D818B4"/>
    <w:rsid w:val="73DA4614"/>
    <w:rsid w:val="73FC0A2E"/>
    <w:rsid w:val="74033B6B"/>
    <w:rsid w:val="740663F7"/>
    <w:rsid w:val="741B7106"/>
    <w:rsid w:val="74203020"/>
    <w:rsid w:val="742217E5"/>
    <w:rsid w:val="74261F54"/>
    <w:rsid w:val="744644EE"/>
    <w:rsid w:val="744A31B1"/>
    <w:rsid w:val="744D3B71"/>
    <w:rsid w:val="744F6DB0"/>
    <w:rsid w:val="74544B29"/>
    <w:rsid w:val="745D18E8"/>
    <w:rsid w:val="74687E72"/>
    <w:rsid w:val="747C24C2"/>
    <w:rsid w:val="74850A24"/>
    <w:rsid w:val="748527D2"/>
    <w:rsid w:val="74876C4F"/>
    <w:rsid w:val="748C0004"/>
    <w:rsid w:val="749067A4"/>
    <w:rsid w:val="74926778"/>
    <w:rsid w:val="74942A2F"/>
    <w:rsid w:val="749972FA"/>
    <w:rsid w:val="74A7099A"/>
    <w:rsid w:val="74A82EE2"/>
    <w:rsid w:val="74A90290"/>
    <w:rsid w:val="74B213F1"/>
    <w:rsid w:val="74B27B1B"/>
    <w:rsid w:val="74BB5783"/>
    <w:rsid w:val="74CC0400"/>
    <w:rsid w:val="74CD57F7"/>
    <w:rsid w:val="74D82744"/>
    <w:rsid w:val="74DB0643"/>
    <w:rsid w:val="74E06D5C"/>
    <w:rsid w:val="74E62003"/>
    <w:rsid w:val="74E7348C"/>
    <w:rsid w:val="74EC0A46"/>
    <w:rsid w:val="74F5036D"/>
    <w:rsid w:val="74F77D80"/>
    <w:rsid w:val="74FD05BA"/>
    <w:rsid w:val="75033868"/>
    <w:rsid w:val="75041948"/>
    <w:rsid w:val="75150BB6"/>
    <w:rsid w:val="7522181F"/>
    <w:rsid w:val="75284813"/>
    <w:rsid w:val="752A3786"/>
    <w:rsid w:val="752E5AD3"/>
    <w:rsid w:val="75367E50"/>
    <w:rsid w:val="75393BB0"/>
    <w:rsid w:val="755661E3"/>
    <w:rsid w:val="755C22DD"/>
    <w:rsid w:val="755C26BF"/>
    <w:rsid w:val="755D3B49"/>
    <w:rsid w:val="756E2093"/>
    <w:rsid w:val="7571335D"/>
    <w:rsid w:val="75752846"/>
    <w:rsid w:val="757549CA"/>
    <w:rsid w:val="75764564"/>
    <w:rsid w:val="757C043C"/>
    <w:rsid w:val="758B7DA1"/>
    <w:rsid w:val="758D046E"/>
    <w:rsid w:val="758F0B16"/>
    <w:rsid w:val="759232B3"/>
    <w:rsid w:val="75924506"/>
    <w:rsid w:val="759929D8"/>
    <w:rsid w:val="759C0E51"/>
    <w:rsid w:val="75A003FD"/>
    <w:rsid w:val="75A12490"/>
    <w:rsid w:val="75A2127E"/>
    <w:rsid w:val="75A44ED9"/>
    <w:rsid w:val="75A924F0"/>
    <w:rsid w:val="75AB270C"/>
    <w:rsid w:val="75B47B1B"/>
    <w:rsid w:val="75BA4C94"/>
    <w:rsid w:val="75BD1156"/>
    <w:rsid w:val="75C15A8B"/>
    <w:rsid w:val="75C26938"/>
    <w:rsid w:val="75CA1286"/>
    <w:rsid w:val="75CC6EA4"/>
    <w:rsid w:val="75D03F20"/>
    <w:rsid w:val="75D576C6"/>
    <w:rsid w:val="75E27D6E"/>
    <w:rsid w:val="75E33C54"/>
    <w:rsid w:val="75EB2B08"/>
    <w:rsid w:val="75EF370E"/>
    <w:rsid w:val="75F25C45"/>
    <w:rsid w:val="75F662D7"/>
    <w:rsid w:val="75FA3731"/>
    <w:rsid w:val="75FE0C2A"/>
    <w:rsid w:val="760A1BFF"/>
    <w:rsid w:val="760E2FC6"/>
    <w:rsid w:val="760E6331"/>
    <w:rsid w:val="76134845"/>
    <w:rsid w:val="761E670E"/>
    <w:rsid w:val="761E7399"/>
    <w:rsid w:val="76234EE1"/>
    <w:rsid w:val="76242BC3"/>
    <w:rsid w:val="762431F4"/>
    <w:rsid w:val="76255738"/>
    <w:rsid w:val="762A335A"/>
    <w:rsid w:val="762A7AD4"/>
    <w:rsid w:val="762B0F1B"/>
    <w:rsid w:val="762D7DFA"/>
    <w:rsid w:val="762F0C47"/>
    <w:rsid w:val="76310452"/>
    <w:rsid w:val="7635655C"/>
    <w:rsid w:val="763639DD"/>
    <w:rsid w:val="763922F4"/>
    <w:rsid w:val="763C5295"/>
    <w:rsid w:val="763D0E36"/>
    <w:rsid w:val="763F59CD"/>
    <w:rsid w:val="7645409B"/>
    <w:rsid w:val="764741E2"/>
    <w:rsid w:val="764D347E"/>
    <w:rsid w:val="764D457D"/>
    <w:rsid w:val="765A0B7B"/>
    <w:rsid w:val="765E7C81"/>
    <w:rsid w:val="76631FBF"/>
    <w:rsid w:val="76676633"/>
    <w:rsid w:val="7669115C"/>
    <w:rsid w:val="766B7792"/>
    <w:rsid w:val="766E1913"/>
    <w:rsid w:val="76702DDE"/>
    <w:rsid w:val="76713672"/>
    <w:rsid w:val="767B647F"/>
    <w:rsid w:val="76920849"/>
    <w:rsid w:val="76955C78"/>
    <w:rsid w:val="76966F18"/>
    <w:rsid w:val="76991851"/>
    <w:rsid w:val="76A57BDA"/>
    <w:rsid w:val="76AC04E9"/>
    <w:rsid w:val="76B000B8"/>
    <w:rsid w:val="76B63116"/>
    <w:rsid w:val="76C05C49"/>
    <w:rsid w:val="76D10343"/>
    <w:rsid w:val="76D2138C"/>
    <w:rsid w:val="76DA3C64"/>
    <w:rsid w:val="76DB70F1"/>
    <w:rsid w:val="76DF08BF"/>
    <w:rsid w:val="76E00193"/>
    <w:rsid w:val="76E62A28"/>
    <w:rsid w:val="76EB5504"/>
    <w:rsid w:val="76ED4113"/>
    <w:rsid w:val="76F65C09"/>
    <w:rsid w:val="76FB4FCD"/>
    <w:rsid w:val="770E0C1A"/>
    <w:rsid w:val="7714207A"/>
    <w:rsid w:val="77147E3D"/>
    <w:rsid w:val="771B3980"/>
    <w:rsid w:val="771F2A69"/>
    <w:rsid w:val="77271F99"/>
    <w:rsid w:val="772C6707"/>
    <w:rsid w:val="772F7464"/>
    <w:rsid w:val="7731208C"/>
    <w:rsid w:val="77343875"/>
    <w:rsid w:val="7735228D"/>
    <w:rsid w:val="773D52C2"/>
    <w:rsid w:val="77454A83"/>
    <w:rsid w:val="774B075C"/>
    <w:rsid w:val="774B7D02"/>
    <w:rsid w:val="774D3A2F"/>
    <w:rsid w:val="774F5A13"/>
    <w:rsid w:val="77526798"/>
    <w:rsid w:val="7756051D"/>
    <w:rsid w:val="775841CD"/>
    <w:rsid w:val="77594712"/>
    <w:rsid w:val="775C5FD7"/>
    <w:rsid w:val="775D5504"/>
    <w:rsid w:val="775F37AE"/>
    <w:rsid w:val="77641D1B"/>
    <w:rsid w:val="776459B8"/>
    <w:rsid w:val="77672662"/>
    <w:rsid w:val="77741395"/>
    <w:rsid w:val="7778611F"/>
    <w:rsid w:val="77835F42"/>
    <w:rsid w:val="77843214"/>
    <w:rsid w:val="77883B43"/>
    <w:rsid w:val="77896DD2"/>
    <w:rsid w:val="778B063C"/>
    <w:rsid w:val="778B6351"/>
    <w:rsid w:val="77902BE1"/>
    <w:rsid w:val="7798538D"/>
    <w:rsid w:val="779B2934"/>
    <w:rsid w:val="779F004E"/>
    <w:rsid w:val="779F1DFC"/>
    <w:rsid w:val="77A348D5"/>
    <w:rsid w:val="77A634D1"/>
    <w:rsid w:val="77C36223"/>
    <w:rsid w:val="77C96B54"/>
    <w:rsid w:val="77CB73F2"/>
    <w:rsid w:val="77D25D2E"/>
    <w:rsid w:val="77D630EC"/>
    <w:rsid w:val="77D91686"/>
    <w:rsid w:val="77D96B89"/>
    <w:rsid w:val="77DE19E0"/>
    <w:rsid w:val="77E205AA"/>
    <w:rsid w:val="77E56A41"/>
    <w:rsid w:val="77E71C38"/>
    <w:rsid w:val="77F04406"/>
    <w:rsid w:val="77F076AB"/>
    <w:rsid w:val="77F8360C"/>
    <w:rsid w:val="77FD7254"/>
    <w:rsid w:val="78001D9A"/>
    <w:rsid w:val="78006D3F"/>
    <w:rsid w:val="78014865"/>
    <w:rsid w:val="78017D0D"/>
    <w:rsid w:val="78063EEF"/>
    <w:rsid w:val="780B39D6"/>
    <w:rsid w:val="7813546A"/>
    <w:rsid w:val="78164F9D"/>
    <w:rsid w:val="781C5C85"/>
    <w:rsid w:val="781E5417"/>
    <w:rsid w:val="782169F2"/>
    <w:rsid w:val="78255245"/>
    <w:rsid w:val="782858B1"/>
    <w:rsid w:val="782A7F03"/>
    <w:rsid w:val="782B18E2"/>
    <w:rsid w:val="782F64FB"/>
    <w:rsid w:val="78347BEA"/>
    <w:rsid w:val="78432D6F"/>
    <w:rsid w:val="784A656D"/>
    <w:rsid w:val="784C1F84"/>
    <w:rsid w:val="785157C9"/>
    <w:rsid w:val="78524E8C"/>
    <w:rsid w:val="7859644F"/>
    <w:rsid w:val="785E19EB"/>
    <w:rsid w:val="78645796"/>
    <w:rsid w:val="786A67ED"/>
    <w:rsid w:val="78776825"/>
    <w:rsid w:val="787B4617"/>
    <w:rsid w:val="787E114F"/>
    <w:rsid w:val="78890E72"/>
    <w:rsid w:val="78900DBA"/>
    <w:rsid w:val="789E2C69"/>
    <w:rsid w:val="78A81D4B"/>
    <w:rsid w:val="78AA387B"/>
    <w:rsid w:val="78B2790D"/>
    <w:rsid w:val="78B3563A"/>
    <w:rsid w:val="78B62C2E"/>
    <w:rsid w:val="78C46F9F"/>
    <w:rsid w:val="78CA4C9D"/>
    <w:rsid w:val="78D14D12"/>
    <w:rsid w:val="78E026CC"/>
    <w:rsid w:val="78E07452"/>
    <w:rsid w:val="78E4494C"/>
    <w:rsid w:val="78EA70A7"/>
    <w:rsid w:val="78EE0C4C"/>
    <w:rsid w:val="78F341AE"/>
    <w:rsid w:val="78FA311C"/>
    <w:rsid w:val="790A7963"/>
    <w:rsid w:val="79110AD8"/>
    <w:rsid w:val="79135755"/>
    <w:rsid w:val="79231027"/>
    <w:rsid w:val="7923708D"/>
    <w:rsid w:val="79256F3B"/>
    <w:rsid w:val="79292601"/>
    <w:rsid w:val="79322641"/>
    <w:rsid w:val="79326B5C"/>
    <w:rsid w:val="7936596C"/>
    <w:rsid w:val="794C148D"/>
    <w:rsid w:val="79541474"/>
    <w:rsid w:val="79556C16"/>
    <w:rsid w:val="79557CA7"/>
    <w:rsid w:val="79586E14"/>
    <w:rsid w:val="79616DC4"/>
    <w:rsid w:val="79654980"/>
    <w:rsid w:val="79680055"/>
    <w:rsid w:val="7969603B"/>
    <w:rsid w:val="796E7CD8"/>
    <w:rsid w:val="7982489B"/>
    <w:rsid w:val="79845D9F"/>
    <w:rsid w:val="79AC0800"/>
    <w:rsid w:val="79AE27CB"/>
    <w:rsid w:val="79BC5797"/>
    <w:rsid w:val="79BD7604"/>
    <w:rsid w:val="79C002CB"/>
    <w:rsid w:val="79C35C72"/>
    <w:rsid w:val="79CB058E"/>
    <w:rsid w:val="79CE0D8E"/>
    <w:rsid w:val="79CE63A9"/>
    <w:rsid w:val="79D20A2C"/>
    <w:rsid w:val="79DC704B"/>
    <w:rsid w:val="79E31BD0"/>
    <w:rsid w:val="79E54E2B"/>
    <w:rsid w:val="79E55C98"/>
    <w:rsid w:val="79E820BE"/>
    <w:rsid w:val="79EC40BD"/>
    <w:rsid w:val="79ED7113"/>
    <w:rsid w:val="79EF706B"/>
    <w:rsid w:val="79F07583"/>
    <w:rsid w:val="79FC4231"/>
    <w:rsid w:val="79FC4D1F"/>
    <w:rsid w:val="7A0E1E10"/>
    <w:rsid w:val="7A1C6AFD"/>
    <w:rsid w:val="7A290E6C"/>
    <w:rsid w:val="7A2B59A2"/>
    <w:rsid w:val="7A2E4763"/>
    <w:rsid w:val="7A39286F"/>
    <w:rsid w:val="7A3B5EBC"/>
    <w:rsid w:val="7A453A61"/>
    <w:rsid w:val="7A460C55"/>
    <w:rsid w:val="7A47696D"/>
    <w:rsid w:val="7A57076C"/>
    <w:rsid w:val="7A591612"/>
    <w:rsid w:val="7A5C2D01"/>
    <w:rsid w:val="7A6115EB"/>
    <w:rsid w:val="7A65462C"/>
    <w:rsid w:val="7A6A4943"/>
    <w:rsid w:val="7A805F15"/>
    <w:rsid w:val="7A862644"/>
    <w:rsid w:val="7A886B78"/>
    <w:rsid w:val="7A895914"/>
    <w:rsid w:val="7A920D69"/>
    <w:rsid w:val="7A9267EE"/>
    <w:rsid w:val="7A96124D"/>
    <w:rsid w:val="7A970A5F"/>
    <w:rsid w:val="7A990D85"/>
    <w:rsid w:val="7AA10C0E"/>
    <w:rsid w:val="7AA24C33"/>
    <w:rsid w:val="7AA377B5"/>
    <w:rsid w:val="7AB7185D"/>
    <w:rsid w:val="7AB7745D"/>
    <w:rsid w:val="7ABE4CF6"/>
    <w:rsid w:val="7ABF5752"/>
    <w:rsid w:val="7AC022EF"/>
    <w:rsid w:val="7AC7799B"/>
    <w:rsid w:val="7AC85F87"/>
    <w:rsid w:val="7AC92AA5"/>
    <w:rsid w:val="7AC948CB"/>
    <w:rsid w:val="7AD031F2"/>
    <w:rsid w:val="7AD25691"/>
    <w:rsid w:val="7AD313B6"/>
    <w:rsid w:val="7AD54C77"/>
    <w:rsid w:val="7AD65B35"/>
    <w:rsid w:val="7ADE1882"/>
    <w:rsid w:val="7AE921C3"/>
    <w:rsid w:val="7AE94743"/>
    <w:rsid w:val="7AEE0F58"/>
    <w:rsid w:val="7AEE6E2A"/>
    <w:rsid w:val="7AF65772"/>
    <w:rsid w:val="7AF73D47"/>
    <w:rsid w:val="7AF914C0"/>
    <w:rsid w:val="7AFB0962"/>
    <w:rsid w:val="7B0F0542"/>
    <w:rsid w:val="7B116B6D"/>
    <w:rsid w:val="7B1571BD"/>
    <w:rsid w:val="7B171802"/>
    <w:rsid w:val="7B1B79EC"/>
    <w:rsid w:val="7B1D086E"/>
    <w:rsid w:val="7B1D7C08"/>
    <w:rsid w:val="7B203254"/>
    <w:rsid w:val="7B256ABC"/>
    <w:rsid w:val="7B2D0704"/>
    <w:rsid w:val="7B2D1507"/>
    <w:rsid w:val="7B34132B"/>
    <w:rsid w:val="7B37738D"/>
    <w:rsid w:val="7B3A0C3E"/>
    <w:rsid w:val="7B3B62E0"/>
    <w:rsid w:val="7B4128F5"/>
    <w:rsid w:val="7B4350A0"/>
    <w:rsid w:val="7B467FC7"/>
    <w:rsid w:val="7B5543A1"/>
    <w:rsid w:val="7B5A7DCD"/>
    <w:rsid w:val="7B681A01"/>
    <w:rsid w:val="7B6F06F8"/>
    <w:rsid w:val="7B7317DB"/>
    <w:rsid w:val="7B747F60"/>
    <w:rsid w:val="7B754A79"/>
    <w:rsid w:val="7B7C2D28"/>
    <w:rsid w:val="7B86410F"/>
    <w:rsid w:val="7B8F22CB"/>
    <w:rsid w:val="7B900F0C"/>
    <w:rsid w:val="7B9630A1"/>
    <w:rsid w:val="7B971768"/>
    <w:rsid w:val="7BA06143"/>
    <w:rsid w:val="7BA429B4"/>
    <w:rsid w:val="7BA64FCC"/>
    <w:rsid w:val="7BAE0860"/>
    <w:rsid w:val="7BB34DAF"/>
    <w:rsid w:val="7BB87F79"/>
    <w:rsid w:val="7BBC0371"/>
    <w:rsid w:val="7BBC11CF"/>
    <w:rsid w:val="7BC91CAD"/>
    <w:rsid w:val="7BCE3D5E"/>
    <w:rsid w:val="7BD3539E"/>
    <w:rsid w:val="7BD45874"/>
    <w:rsid w:val="7BD77296"/>
    <w:rsid w:val="7BE10A38"/>
    <w:rsid w:val="7BE57F4F"/>
    <w:rsid w:val="7BE75B20"/>
    <w:rsid w:val="7BF035AF"/>
    <w:rsid w:val="7BFA3AA5"/>
    <w:rsid w:val="7BFF7C80"/>
    <w:rsid w:val="7C0115D3"/>
    <w:rsid w:val="7C0764D7"/>
    <w:rsid w:val="7C0C0428"/>
    <w:rsid w:val="7C2D3DB3"/>
    <w:rsid w:val="7C321491"/>
    <w:rsid w:val="7C340013"/>
    <w:rsid w:val="7C3D1311"/>
    <w:rsid w:val="7C3E0D7E"/>
    <w:rsid w:val="7C400253"/>
    <w:rsid w:val="7C460A98"/>
    <w:rsid w:val="7C464F3C"/>
    <w:rsid w:val="7C46760A"/>
    <w:rsid w:val="7C47478B"/>
    <w:rsid w:val="7C495AF7"/>
    <w:rsid w:val="7C4E4BEE"/>
    <w:rsid w:val="7C5C7EEF"/>
    <w:rsid w:val="7C65411C"/>
    <w:rsid w:val="7C6B01C3"/>
    <w:rsid w:val="7C745605"/>
    <w:rsid w:val="7C7C095E"/>
    <w:rsid w:val="7C8021FC"/>
    <w:rsid w:val="7C8154D1"/>
    <w:rsid w:val="7C8E3FE1"/>
    <w:rsid w:val="7CA54FF4"/>
    <w:rsid w:val="7CB42860"/>
    <w:rsid w:val="7CB42C75"/>
    <w:rsid w:val="7CB645AE"/>
    <w:rsid w:val="7CBB76D8"/>
    <w:rsid w:val="7CC14E75"/>
    <w:rsid w:val="7CC55E61"/>
    <w:rsid w:val="7CD3238B"/>
    <w:rsid w:val="7CDE5175"/>
    <w:rsid w:val="7CE16A13"/>
    <w:rsid w:val="7CE537E3"/>
    <w:rsid w:val="7CE73B3B"/>
    <w:rsid w:val="7CE93701"/>
    <w:rsid w:val="7CEE2024"/>
    <w:rsid w:val="7CF4552C"/>
    <w:rsid w:val="7CF52A51"/>
    <w:rsid w:val="7CF67D38"/>
    <w:rsid w:val="7CF77FE5"/>
    <w:rsid w:val="7CFF5FBA"/>
    <w:rsid w:val="7D00333D"/>
    <w:rsid w:val="7D010984"/>
    <w:rsid w:val="7D021F92"/>
    <w:rsid w:val="7D081E5B"/>
    <w:rsid w:val="7D096D78"/>
    <w:rsid w:val="7D140B97"/>
    <w:rsid w:val="7D216992"/>
    <w:rsid w:val="7D231CB2"/>
    <w:rsid w:val="7D241A25"/>
    <w:rsid w:val="7D250C61"/>
    <w:rsid w:val="7D270829"/>
    <w:rsid w:val="7D2C7C8E"/>
    <w:rsid w:val="7D2E7895"/>
    <w:rsid w:val="7D342FE7"/>
    <w:rsid w:val="7D3644B4"/>
    <w:rsid w:val="7D3E5F5C"/>
    <w:rsid w:val="7D4A6514"/>
    <w:rsid w:val="7D4B26CB"/>
    <w:rsid w:val="7D4C6582"/>
    <w:rsid w:val="7D555476"/>
    <w:rsid w:val="7D5D2BC7"/>
    <w:rsid w:val="7D615EBE"/>
    <w:rsid w:val="7D657644"/>
    <w:rsid w:val="7D6F3B9E"/>
    <w:rsid w:val="7D7864E4"/>
    <w:rsid w:val="7D7B6E68"/>
    <w:rsid w:val="7D7D673C"/>
    <w:rsid w:val="7D88568C"/>
    <w:rsid w:val="7D8A2FE4"/>
    <w:rsid w:val="7D923D1C"/>
    <w:rsid w:val="7D962394"/>
    <w:rsid w:val="7D9F3E03"/>
    <w:rsid w:val="7DA4016C"/>
    <w:rsid w:val="7DA97531"/>
    <w:rsid w:val="7DB8087D"/>
    <w:rsid w:val="7DBF424F"/>
    <w:rsid w:val="7DC10FCE"/>
    <w:rsid w:val="7DC425BD"/>
    <w:rsid w:val="7DC53CD9"/>
    <w:rsid w:val="7DC544D5"/>
    <w:rsid w:val="7DC8187F"/>
    <w:rsid w:val="7DC94BD6"/>
    <w:rsid w:val="7DCD1769"/>
    <w:rsid w:val="7DD02B52"/>
    <w:rsid w:val="7DD373C4"/>
    <w:rsid w:val="7DDD542C"/>
    <w:rsid w:val="7DE14B70"/>
    <w:rsid w:val="7DE2387B"/>
    <w:rsid w:val="7DE408FE"/>
    <w:rsid w:val="7DE83EAE"/>
    <w:rsid w:val="7DED0F15"/>
    <w:rsid w:val="7DF0482B"/>
    <w:rsid w:val="7DF0526F"/>
    <w:rsid w:val="7DF45470"/>
    <w:rsid w:val="7DF45569"/>
    <w:rsid w:val="7DF63DA9"/>
    <w:rsid w:val="7E037699"/>
    <w:rsid w:val="7E044B9C"/>
    <w:rsid w:val="7E046E5D"/>
    <w:rsid w:val="7E066731"/>
    <w:rsid w:val="7E0B01EB"/>
    <w:rsid w:val="7E126ABD"/>
    <w:rsid w:val="7E180C47"/>
    <w:rsid w:val="7E2111B6"/>
    <w:rsid w:val="7E2474EB"/>
    <w:rsid w:val="7E2B3A6B"/>
    <w:rsid w:val="7E2E247B"/>
    <w:rsid w:val="7E425B4A"/>
    <w:rsid w:val="7E4A1640"/>
    <w:rsid w:val="7E4E1E86"/>
    <w:rsid w:val="7E551332"/>
    <w:rsid w:val="7E5A1376"/>
    <w:rsid w:val="7E5A5B06"/>
    <w:rsid w:val="7E5F5E41"/>
    <w:rsid w:val="7E610830"/>
    <w:rsid w:val="7E631DD5"/>
    <w:rsid w:val="7E6E2E4D"/>
    <w:rsid w:val="7E815D64"/>
    <w:rsid w:val="7E8A39A9"/>
    <w:rsid w:val="7E8B4029"/>
    <w:rsid w:val="7E923843"/>
    <w:rsid w:val="7EA570B1"/>
    <w:rsid w:val="7EAC460E"/>
    <w:rsid w:val="7EB64ADA"/>
    <w:rsid w:val="7EBE6F11"/>
    <w:rsid w:val="7EC01132"/>
    <w:rsid w:val="7EC138A4"/>
    <w:rsid w:val="7EC16430"/>
    <w:rsid w:val="7EC40A46"/>
    <w:rsid w:val="7EC53C21"/>
    <w:rsid w:val="7ECE4CFB"/>
    <w:rsid w:val="7ED00AED"/>
    <w:rsid w:val="7EDA1503"/>
    <w:rsid w:val="7EDB61EB"/>
    <w:rsid w:val="7EDF777D"/>
    <w:rsid w:val="7EE30DF1"/>
    <w:rsid w:val="7EE8197C"/>
    <w:rsid w:val="7EE822DB"/>
    <w:rsid w:val="7EEA6202"/>
    <w:rsid w:val="7EF54663"/>
    <w:rsid w:val="7EFB1903"/>
    <w:rsid w:val="7F0300F7"/>
    <w:rsid w:val="7F066ECC"/>
    <w:rsid w:val="7F0F1615"/>
    <w:rsid w:val="7F17126F"/>
    <w:rsid w:val="7F182B1F"/>
    <w:rsid w:val="7F1932DF"/>
    <w:rsid w:val="7F322421"/>
    <w:rsid w:val="7F324B31"/>
    <w:rsid w:val="7F3379FA"/>
    <w:rsid w:val="7F341F76"/>
    <w:rsid w:val="7F421A90"/>
    <w:rsid w:val="7F45772D"/>
    <w:rsid w:val="7F5003CE"/>
    <w:rsid w:val="7F526375"/>
    <w:rsid w:val="7F5D2259"/>
    <w:rsid w:val="7F5E1F5E"/>
    <w:rsid w:val="7F5F07EF"/>
    <w:rsid w:val="7F6012B7"/>
    <w:rsid w:val="7F6212F9"/>
    <w:rsid w:val="7F625BE9"/>
    <w:rsid w:val="7F700E9F"/>
    <w:rsid w:val="7F775A40"/>
    <w:rsid w:val="7F7A5538"/>
    <w:rsid w:val="7F7B6CAB"/>
    <w:rsid w:val="7F833D8D"/>
    <w:rsid w:val="7F873CA1"/>
    <w:rsid w:val="7F8C1817"/>
    <w:rsid w:val="7F8E5458"/>
    <w:rsid w:val="7F943438"/>
    <w:rsid w:val="7F954882"/>
    <w:rsid w:val="7F9F2CE0"/>
    <w:rsid w:val="7FA753BF"/>
    <w:rsid w:val="7FAA52DD"/>
    <w:rsid w:val="7FB148E2"/>
    <w:rsid w:val="7FB7346C"/>
    <w:rsid w:val="7FB83A5B"/>
    <w:rsid w:val="7FB83B76"/>
    <w:rsid w:val="7FB960B6"/>
    <w:rsid w:val="7FC45207"/>
    <w:rsid w:val="7FC65E22"/>
    <w:rsid w:val="7FCB5E84"/>
    <w:rsid w:val="7FDD5BB8"/>
    <w:rsid w:val="7FE20049"/>
    <w:rsid w:val="7FED4FC7"/>
    <w:rsid w:val="7FEE3921"/>
    <w:rsid w:val="7FF539A2"/>
    <w:rsid w:val="7FFE54D1"/>
    <w:rsid w:val="7FFE6121"/>
    <w:rsid w:val="7FFF1A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3"/>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4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1"/>
    <w:link w:val="4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38">
    <w:name w:val="Default Paragraph Font"/>
    <w:semiHidden/>
    <w:qFormat/>
    <w:uiPriority w:val="0"/>
  </w:style>
  <w:style w:type="table" w:default="1" w:styleId="3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7"/>
    <w:basedOn w:val="1"/>
    <w:next w:val="1"/>
    <w:qFormat/>
    <w:uiPriority w:val="39"/>
    <w:pPr>
      <w:ind w:left="2520" w:leftChars="1200"/>
    </w:pPr>
  </w:style>
  <w:style w:type="paragraph" w:styleId="6">
    <w:name w:val="Normal Indent"/>
    <w:basedOn w:val="1"/>
    <w:qFormat/>
    <w:uiPriority w:val="0"/>
    <w:pPr>
      <w:autoSpaceDE w:val="0"/>
      <w:autoSpaceDN w:val="0"/>
      <w:adjustRightInd w:val="0"/>
      <w:ind w:firstLine="420"/>
      <w:jc w:val="left"/>
    </w:pPr>
    <w:rPr>
      <w:rFonts w:ascii="宋体"/>
      <w:kern w:val="0"/>
      <w:sz w:val="24"/>
      <w:szCs w:val="20"/>
    </w:rPr>
  </w:style>
  <w:style w:type="paragraph" w:styleId="7">
    <w:name w:val="index 5"/>
    <w:basedOn w:val="1"/>
    <w:next w:val="1"/>
    <w:qFormat/>
    <w:uiPriority w:val="0"/>
    <w:pPr>
      <w:ind w:left="800" w:leftChars="800"/>
    </w:pPr>
    <w:rPr>
      <w:szCs w:val="20"/>
      <w:lang w:bidi="he-IL"/>
    </w:rPr>
  </w:style>
  <w:style w:type="paragraph" w:styleId="8">
    <w:name w:val="toa heading"/>
    <w:basedOn w:val="3"/>
    <w:next w:val="1"/>
    <w:qFormat/>
    <w:uiPriority w:val="0"/>
    <w:pPr>
      <w:spacing w:before="120"/>
    </w:pPr>
    <w:rPr>
      <w:rFonts w:ascii="Cambria" w:hAnsi="Cambria"/>
      <w:sz w:val="24"/>
    </w:rPr>
  </w:style>
  <w:style w:type="paragraph" w:styleId="9">
    <w:name w:val="annotation text"/>
    <w:basedOn w:val="1"/>
    <w:link w:val="46"/>
    <w:qFormat/>
    <w:uiPriority w:val="99"/>
    <w:pPr>
      <w:jc w:val="left"/>
    </w:pPr>
  </w:style>
  <w:style w:type="paragraph" w:styleId="10">
    <w:name w:val="Body Text"/>
    <w:basedOn w:val="1"/>
    <w:next w:val="1"/>
    <w:link w:val="47"/>
    <w:qFormat/>
    <w:uiPriority w:val="0"/>
    <w:pPr>
      <w:tabs>
        <w:tab w:val="left" w:pos="567"/>
      </w:tabs>
      <w:spacing w:before="120" w:line="22" w:lineRule="atLeast"/>
    </w:pPr>
    <w:rPr>
      <w:rFonts w:ascii="宋体" w:hAnsi="宋体"/>
      <w:sz w:val="24"/>
    </w:rPr>
  </w:style>
  <w:style w:type="paragraph" w:styleId="11">
    <w:name w:val="Body Text Indent"/>
    <w:basedOn w:val="1"/>
    <w:qFormat/>
    <w:uiPriority w:val="0"/>
    <w:pPr>
      <w:spacing w:line="360" w:lineRule="auto"/>
      <w:ind w:firstLine="570"/>
    </w:pPr>
    <w:rPr>
      <w:sz w:val="24"/>
    </w:rPr>
  </w:style>
  <w:style w:type="paragraph" w:styleId="12">
    <w:name w:val="Block Text"/>
    <w:basedOn w:val="1"/>
    <w:qFormat/>
    <w:uiPriority w:val="0"/>
    <w:pPr>
      <w:spacing w:after="120"/>
      <w:ind w:left="1440" w:leftChars="700" w:right="700" w:rightChars="700"/>
    </w:pPr>
  </w:style>
  <w:style w:type="paragraph" w:styleId="13">
    <w:name w:val="toc 5"/>
    <w:basedOn w:val="1"/>
    <w:next w:val="1"/>
    <w:qFormat/>
    <w:uiPriority w:val="39"/>
    <w:pPr>
      <w:ind w:left="1680" w:leftChars="800"/>
    </w:pPr>
  </w:style>
  <w:style w:type="paragraph" w:styleId="14">
    <w:name w:val="toc 3"/>
    <w:basedOn w:val="1"/>
    <w:next w:val="1"/>
    <w:qFormat/>
    <w:uiPriority w:val="39"/>
    <w:pPr>
      <w:tabs>
        <w:tab w:val="left" w:pos="1260"/>
        <w:tab w:val="right" w:leader="dot" w:pos="8630"/>
      </w:tabs>
      <w:ind w:left="840" w:leftChars="400"/>
    </w:pPr>
  </w:style>
  <w:style w:type="paragraph" w:styleId="15">
    <w:name w:val="Plain Text"/>
    <w:basedOn w:val="1"/>
    <w:link w:val="48"/>
    <w:qFormat/>
    <w:uiPriority w:val="0"/>
    <w:rPr>
      <w:rFonts w:ascii="宋体" w:hAnsi="Courier New"/>
      <w:szCs w:val="20"/>
    </w:rPr>
  </w:style>
  <w:style w:type="paragraph" w:styleId="16">
    <w:name w:val="toc 8"/>
    <w:basedOn w:val="1"/>
    <w:next w:val="1"/>
    <w:qFormat/>
    <w:uiPriority w:val="39"/>
    <w:pPr>
      <w:ind w:left="2940" w:leftChars="1400"/>
    </w:pPr>
  </w:style>
  <w:style w:type="paragraph" w:styleId="17">
    <w:name w:val="Date"/>
    <w:basedOn w:val="1"/>
    <w:next w:val="1"/>
    <w:link w:val="49"/>
    <w:qFormat/>
    <w:uiPriority w:val="0"/>
    <w:pPr>
      <w:ind w:left="100" w:leftChars="2500"/>
    </w:pPr>
    <w:rPr>
      <w:rFonts w:ascii="仿宋_GB2312" w:hAnsi="宋体" w:eastAsia="仿宋_GB2312"/>
      <w:color w:val="000000"/>
      <w:sz w:val="24"/>
    </w:rPr>
  </w:style>
  <w:style w:type="paragraph" w:styleId="18">
    <w:name w:val="Body Text Indent 2"/>
    <w:basedOn w:val="1"/>
    <w:qFormat/>
    <w:uiPriority w:val="0"/>
    <w:pPr>
      <w:ind w:firstLine="480" w:firstLineChars="200"/>
    </w:pPr>
    <w:rPr>
      <w:rFonts w:ascii="仿宋_GB2312" w:eastAsia="仿宋_GB2312"/>
      <w:sz w:val="24"/>
    </w:rPr>
  </w:style>
  <w:style w:type="paragraph" w:styleId="19">
    <w:name w:val="Balloon Text"/>
    <w:basedOn w:val="1"/>
    <w:link w:val="50"/>
    <w:qFormat/>
    <w:uiPriority w:val="0"/>
    <w:rPr>
      <w:sz w:val="18"/>
      <w:szCs w:val="18"/>
    </w:rPr>
  </w:style>
  <w:style w:type="paragraph" w:styleId="20">
    <w:name w:val="footer"/>
    <w:basedOn w:val="1"/>
    <w:link w:val="5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1">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style>
  <w:style w:type="paragraph" w:styleId="23">
    <w:name w:val="toc 4"/>
    <w:basedOn w:val="1"/>
    <w:next w:val="1"/>
    <w:qFormat/>
    <w:uiPriority w:val="39"/>
    <w:pPr>
      <w:ind w:left="1260" w:leftChars="600"/>
    </w:pPr>
  </w:style>
  <w:style w:type="paragraph" w:styleId="24">
    <w:name w:val="footnote text"/>
    <w:basedOn w:val="1"/>
    <w:next w:val="10"/>
    <w:qFormat/>
    <w:uiPriority w:val="0"/>
    <w:pPr>
      <w:snapToGrid w:val="0"/>
      <w:jc w:val="left"/>
    </w:pPr>
    <w:rPr>
      <w:sz w:val="18"/>
    </w:rPr>
  </w:style>
  <w:style w:type="paragraph" w:styleId="25">
    <w:name w:val="toc 6"/>
    <w:basedOn w:val="1"/>
    <w:next w:val="1"/>
    <w:qFormat/>
    <w:uiPriority w:val="39"/>
    <w:pPr>
      <w:ind w:left="2100" w:leftChars="1000"/>
    </w:pPr>
  </w:style>
  <w:style w:type="paragraph" w:styleId="26">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style>
  <w:style w:type="paragraph" w:styleId="29">
    <w:name w:val="Normal (Web)"/>
    <w:basedOn w:val="1"/>
    <w:next w:val="30"/>
    <w:qFormat/>
    <w:uiPriority w:val="0"/>
    <w:pPr>
      <w:spacing w:before="100" w:beforeAutospacing="1" w:after="100" w:afterAutospacing="1"/>
      <w:ind w:left="0" w:right="0"/>
      <w:jc w:val="left"/>
    </w:pPr>
    <w:rPr>
      <w:kern w:val="0"/>
      <w:sz w:val="24"/>
      <w:lang w:val="en-US" w:eastAsia="zh-CN" w:bidi="ar"/>
    </w:rPr>
  </w:style>
  <w:style w:type="paragraph" w:customStyle="1" w:styleId="30">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styleId="31">
    <w:name w:val="index 1"/>
    <w:basedOn w:val="1"/>
    <w:next w:val="1"/>
    <w:semiHidden/>
    <w:qFormat/>
    <w:uiPriority w:val="0"/>
    <w:rPr>
      <w:szCs w:val="20"/>
    </w:rPr>
  </w:style>
  <w:style w:type="paragraph" w:styleId="32">
    <w:name w:val="Title"/>
    <w:basedOn w:val="1"/>
    <w:next w:val="1"/>
    <w:qFormat/>
    <w:uiPriority w:val="0"/>
  </w:style>
  <w:style w:type="paragraph" w:styleId="33">
    <w:name w:val="annotation subject"/>
    <w:basedOn w:val="9"/>
    <w:next w:val="9"/>
    <w:link w:val="53"/>
    <w:qFormat/>
    <w:uiPriority w:val="0"/>
    <w:rPr>
      <w:b/>
      <w:bCs/>
    </w:rPr>
  </w:style>
  <w:style w:type="paragraph" w:styleId="34">
    <w:name w:val="Body Text First Indent"/>
    <w:basedOn w:val="10"/>
    <w:unhideWhenUsed/>
    <w:qFormat/>
    <w:uiPriority w:val="99"/>
    <w:pPr>
      <w:ind w:firstLine="420" w:firstLineChars="100"/>
    </w:pPr>
  </w:style>
  <w:style w:type="paragraph" w:styleId="35">
    <w:name w:val="Body Text First Indent 2"/>
    <w:basedOn w:val="11"/>
    <w:next w:val="1"/>
    <w:qFormat/>
    <w:uiPriority w:val="0"/>
    <w:pPr>
      <w:ind w:firstLine="420" w:firstLineChars="200"/>
    </w:pPr>
    <w:rPr>
      <w:rFonts w:ascii="Times New Roman" w:hAnsi="Times New Roman" w:eastAsia="宋体" w:cs="Times New Roman"/>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0"/>
    <w:rPr>
      <w:b/>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1 字符"/>
    <w:link w:val="3"/>
    <w:qFormat/>
    <w:uiPriority w:val="0"/>
    <w:rPr>
      <w:rFonts w:ascii="宋体"/>
      <w:b/>
      <w:kern w:val="44"/>
      <w:sz w:val="32"/>
    </w:rPr>
  </w:style>
  <w:style w:type="character" w:customStyle="1" w:styleId="44">
    <w:name w:val="标题 2 字符"/>
    <w:link w:val="4"/>
    <w:qFormat/>
    <w:uiPriority w:val="0"/>
    <w:rPr>
      <w:rFonts w:ascii="Arial" w:hAnsi="Arial" w:eastAsia="黑体"/>
      <w:b/>
      <w:sz w:val="30"/>
    </w:rPr>
  </w:style>
  <w:style w:type="character" w:customStyle="1" w:styleId="45">
    <w:name w:val="标题 3 字符"/>
    <w:link w:val="2"/>
    <w:qFormat/>
    <w:uiPriority w:val="0"/>
    <w:rPr>
      <w:rFonts w:ascii="宋体"/>
      <w:b/>
      <w:sz w:val="24"/>
      <w:u w:val="single"/>
    </w:rPr>
  </w:style>
  <w:style w:type="character" w:customStyle="1" w:styleId="46">
    <w:name w:val="批注文字 字符"/>
    <w:link w:val="9"/>
    <w:qFormat/>
    <w:uiPriority w:val="99"/>
    <w:rPr>
      <w:kern w:val="2"/>
      <w:sz w:val="21"/>
      <w:szCs w:val="24"/>
    </w:rPr>
  </w:style>
  <w:style w:type="character" w:customStyle="1" w:styleId="47">
    <w:name w:val="正文文本 字符"/>
    <w:link w:val="10"/>
    <w:qFormat/>
    <w:uiPriority w:val="0"/>
    <w:rPr>
      <w:rFonts w:ascii="宋体" w:hAnsi="宋体"/>
      <w:kern w:val="2"/>
      <w:sz w:val="24"/>
      <w:szCs w:val="24"/>
    </w:rPr>
  </w:style>
  <w:style w:type="character" w:customStyle="1" w:styleId="48">
    <w:name w:val="纯文本 字符"/>
    <w:link w:val="15"/>
    <w:qFormat/>
    <w:uiPriority w:val="0"/>
    <w:rPr>
      <w:rFonts w:ascii="宋体" w:hAnsi="Courier New"/>
      <w:kern w:val="2"/>
      <w:sz w:val="21"/>
    </w:rPr>
  </w:style>
  <w:style w:type="character" w:customStyle="1" w:styleId="49">
    <w:name w:val="日期 字符"/>
    <w:link w:val="17"/>
    <w:qFormat/>
    <w:uiPriority w:val="0"/>
    <w:rPr>
      <w:rFonts w:ascii="仿宋_GB2312" w:hAnsi="宋体" w:eastAsia="仿宋_GB2312"/>
      <w:color w:val="000000"/>
      <w:kern w:val="2"/>
      <w:sz w:val="24"/>
      <w:szCs w:val="24"/>
    </w:rPr>
  </w:style>
  <w:style w:type="character" w:customStyle="1" w:styleId="50">
    <w:name w:val="批注框文本 字符"/>
    <w:link w:val="19"/>
    <w:qFormat/>
    <w:uiPriority w:val="0"/>
    <w:rPr>
      <w:kern w:val="2"/>
      <w:sz w:val="18"/>
      <w:szCs w:val="18"/>
    </w:rPr>
  </w:style>
  <w:style w:type="character" w:customStyle="1" w:styleId="51">
    <w:name w:val="页脚 字符"/>
    <w:link w:val="20"/>
    <w:qFormat/>
    <w:uiPriority w:val="99"/>
    <w:rPr>
      <w:rFonts w:ascii="宋体"/>
      <w:sz w:val="18"/>
    </w:rPr>
  </w:style>
  <w:style w:type="character" w:customStyle="1" w:styleId="52">
    <w:name w:val="页眉 字符"/>
    <w:link w:val="21"/>
    <w:qFormat/>
    <w:uiPriority w:val="0"/>
    <w:rPr>
      <w:kern w:val="2"/>
      <w:sz w:val="18"/>
      <w:szCs w:val="18"/>
    </w:rPr>
  </w:style>
  <w:style w:type="character" w:customStyle="1" w:styleId="53">
    <w:name w:val="批注主题 字符"/>
    <w:link w:val="33"/>
    <w:qFormat/>
    <w:uiPriority w:val="0"/>
    <w:rPr>
      <w:b/>
      <w:bCs/>
      <w:kern w:val="2"/>
      <w:sz w:val="21"/>
      <w:szCs w:val="24"/>
    </w:rPr>
  </w:style>
  <w:style w:type="character" w:customStyle="1" w:styleId="54">
    <w:name w:val="font101"/>
    <w:qFormat/>
    <w:uiPriority w:val="0"/>
    <w:rPr>
      <w:rFonts w:hint="eastAsia" w:ascii="宋体" w:hAnsi="宋体" w:eastAsia="宋体" w:cs="宋体"/>
      <w:b/>
      <w:color w:val="FF0000"/>
      <w:sz w:val="22"/>
      <w:szCs w:val="22"/>
      <w:u w:val="none"/>
    </w:rPr>
  </w:style>
  <w:style w:type="character" w:customStyle="1" w:styleId="55">
    <w:name w:val="正文缩进 Char1"/>
    <w:link w:val="56"/>
    <w:qFormat/>
    <w:uiPriority w:val="0"/>
    <w:rPr>
      <w:rFonts w:ascii="宋体"/>
      <w:sz w:val="24"/>
    </w:rPr>
  </w:style>
  <w:style w:type="paragraph" w:customStyle="1" w:styleId="56">
    <w:name w:val="正文缩进1"/>
    <w:basedOn w:val="1"/>
    <w:link w:val="55"/>
    <w:qFormat/>
    <w:uiPriority w:val="0"/>
    <w:pPr>
      <w:autoSpaceDE w:val="0"/>
      <w:autoSpaceDN w:val="0"/>
      <w:adjustRightInd w:val="0"/>
      <w:ind w:firstLine="420"/>
      <w:jc w:val="left"/>
    </w:pPr>
    <w:rPr>
      <w:rFonts w:ascii="宋体"/>
      <w:kern w:val="0"/>
      <w:sz w:val="24"/>
      <w:szCs w:val="20"/>
    </w:rPr>
  </w:style>
  <w:style w:type="character" w:customStyle="1" w:styleId="57">
    <w:name w:val="font61"/>
    <w:qFormat/>
    <w:uiPriority w:val="0"/>
    <w:rPr>
      <w:rFonts w:hint="eastAsia" w:ascii="宋体" w:hAnsi="宋体" w:eastAsia="宋体" w:cs="宋体"/>
      <w:b/>
      <w:color w:val="FF0000"/>
      <w:sz w:val="20"/>
      <w:szCs w:val="20"/>
      <w:u w:val="none"/>
    </w:rPr>
  </w:style>
  <w:style w:type="character" w:customStyle="1" w:styleId="58">
    <w:name w:val="font51"/>
    <w:qFormat/>
    <w:uiPriority w:val="0"/>
    <w:rPr>
      <w:rFonts w:hint="eastAsia" w:ascii="宋体" w:hAnsi="宋体" w:eastAsia="宋体" w:cs="宋体"/>
      <w:b/>
      <w:color w:val="000000"/>
      <w:sz w:val="20"/>
      <w:szCs w:val="20"/>
      <w:u w:val="none"/>
    </w:rPr>
  </w:style>
  <w:style w:type="character" w:customStyle="1" w:styleId="59">
    <w:name w:val="font21"/>
    <w:qFormat/>
    <w:uiPriority w:val="0"/>
    <w:rPr>
      <w:rFonts w:hint="default" w:ascii="方正仿宋简体" w:hAnsi="方正仿宋简体" w:eastAsia="方正仿宋简体" w:cs="方正仿宋简体"/>
      <w:color w:val="000000"/>
      <w:sz w:val="20"/>
      <w:szCs w:val="20"/>
      <w:u w:val="none"/>
    </w:rPr>
  </w:style>
  <w:style w:type="character" w:customStyle="1" w:styleId="60">
    <w:name w:val="apple-style-span"/>
    <w:basedOn w:val="38"/>
    <w:qFormat/>
    <w:uiPriority w:val="0"/>
  </w:style>
  <w:style w:type="character" w:customStyle="1" w:styleId="61">
    <w:name w:val="10"/>
    <w:qFormat/>
    <w:uiPriority w:val="0"/>
    <w:rPr>
      <w:rFonts w:hint="default" w:ascii="Calibri" w:hAnsi="Calibri" w:cs="Calibri"/>
    </w:rPr>
  </w:style>
  <w:style w:type="character" w:customStyle="1" w:styleId="62">
    <w:name w:val="批注框文本 Char1"/>
    <w:semiHidden/>
    <w:qFormat/>
    <w:uiPriority w:val="99"/>
    <w:rPr>
      <w:kern w:val="2"/>
      <w:sz w:val="18"/>
      <w:szCs w:val="18"/>
    </w:rPr>
  </w:style>
  <w:style w:type="character" w:customStyle="1" w:styleId="63">
    <w:name w:val="font91"/>
    <w:qFormat/>
    <w:uiPriority w:val="0"/>
    <w:rPr>
      <w:rFonts w:hint="eastAsia" w:ascii="宋体" w:hAnsi="宋体" w:eastAsia="宋体" w:cs="宋体"/>
      <w:color w:val="FF0000"/>
      <w:sz w:val="20"/>
      <w:szCs w:val="20"/>
      <w:u w:val="none"/>
    </w:rPr>
  </w:style>
  <w:style w:type="character" w:customStyle="1" w:styleId="64">
    <w:name w:val="批注主题 Char1"/>
    <w:semiHidden/>
    <w:qFormat/>
    <w:uiPriority w:val="99"/>
    <w:rPr>
      <w:b/>
      <w:bCs/>
      <w:kern w:val="2"/>
      <w:sz w:val="21"/>
      <w:szCs w:val="24"/>
    </w:rPr>
  </w:style>
  <w:style w:type="character" w:customStyle="1" w:styleId="65">
    <w:name w:val="font151"/>
    <w:qFormat/>
    <w:uiPriority w:val="0"/>
    <w:rPr>
      <w:rFonts w:hint="default" w:ascii="Times New Roman" w:hAnsi="Times New Roman" w:cs="Times New Roman"/>
      <w:color w:val="000000"/>
      <w:sz w:val="20"/>
      <w:szCs w:val="20"/>
      <w:u w:val="none"/>
    </w:rPr>
  </w:style>
  <w:style w:type="character" w:customStyle="1" w:styleId="66">
    <w:name w:val="15"/>
    <w:qFormat/>
    <w:uiPriority w:val="0"/>
    <w:rPr>
      <w:rFonts w:hint="default" w:ascii="Calibri" w:hAnsi="Calibri" w:cs="Calibri"/>
    </w:rPr>
  </w:style>
  <w:style w:type="character" w:customStyle="1" w:styleId="67">
    <w:name w:val="font31"/>
    <w:qFormat/>
    <w:uiPriority w:val="0"/>
    <w:rPr>
      <w:rFonts w:hint="eastAsia" w:ascii="宋体" w:hAnsi="宋体" w:eastAsia="宋体" w:cs="宋体"/>
      <w:color w:val="000000"/>
      <w:sz w:val="24"/>
      <w:szCs w:val="24"/>
      <w:u w:val="none"/>
    </w:rPr>
  </w:style>
  <w:style w:type="character" w:customStyle="1" w:styleId="68">
    <w:name w:val="批注文字 Char1"/>
    <w:semiHidden/>
    <w:qFormat/>
    <w:uiPriority w:val="99"/>
    <w:rPr>
      <w:kern w:val="2"/>
      <w:sz w:val="21"/>
      <w:szCs w:val="24"/>
    </w:rPr>
  </w:style>
  <w:style w:type="character" w:customStyle="1" w:styleId="69">
    <w:name w:val="font71"/>
    <w:qFormat/>
    <w:uiPriority w:val="0"/>
    <w:rPr>
      <w:rFonts w:hint="eastAsia" w:ascii="宋体" w:hAnsi="宋体" w:eastAsia="宋体" w:cs="宋体"/>
      <w:b/>
      <w:color w:val="000000"/>
      <w:sz w:val="22"/>
      <w:szCs w:val="22"/>
      <w:u w:val="none"/>
    </w:rPr>
  </w:style>
  <w:style w:type="character" w:customStyle="1" w:styleId="70">
    <w:name w:val="font41"/>
    <w:basedOn w:val="38"/>
    <w:qFormat/>
    <w:uiPriority w:val="0"/>
    <w:rPr>
      <w:rFonts w:hint="eastAsia" w:ascii="宋体" w:hAnsi="宋体" w:eastAsia="宋体" w:cs="宋体"/>
      <w:color w:val="000000"/>
      <w:sz w:val="20"/>
      <w:szCs w:val="20"/>
      <w:u w:val="none"/>
    </w:rPr>
  </w:style>
  <w:style w:type="character" w:customStyle="1" w:styleId="71">
    <w:name w:val="font01"/>
    <w:basedOn w:val="38"/>
    <w:qFormat/>
    <w:uiPriority w:val="0"/>
    <w:rPr>
      <w:rFonts w:ascii="宋体" w:hAnsi="宋体" w:eastAsia="宋体" w:cs="宋体"/>
      <w:color w:val="000000"/>
      <w:sz w:val="20"/>
      <w:szCs w:val="20"/>
      <w:u w:val="none"/>
    </w:rPr>
  </w:style>
  <w:style w:type="character" w:customStyle="1" w:styleId="72">
    <w:name w:val="页眉 Char1"/>
    <w:semiHidden/>
    <w:qFormat/>
    <w:uiPriority w:val="99"/>
    <w:rPr>
      <w:kern w:val="2"/>
      <w:sz w:val="18"/>
      <w:szCs w:val="18"/>
    </w:rPr>
  </w:style>
  <w:style w:type="character" w:customStyle="1" w:styleId="73">
    <w:name w:val="NormalCharacter"/>
    <w:link w:val="74"/>
    <w:semiHidden/>
    <w:qFormat/>
    <w:uiPriority w:val="0"/>
  </w:style>
  <w:style w:type="paragraph" w:customStyle="1" w:styleId="74">
    <w:name w:val="UserStyle_5"/>
    <w:basedOn w:val="1"/>
    <w:link w:val="73"/>
    <w:qFormat/>
    <w:uiPriority w:val="0"/>
    <w:pPr>
      <w:widowControl/>
      <w:spacing w:after="160" w:line="240" w:lineRule="exact"/>
      <w:jc w:val="left"/>
      <w:textAlignment w:val="baseline"/>
    </w:pPr>
  </w:style>
  <w:style w:type="character" w:customStyle="1" w:styleId="75">
    <w:name w:val="font141"/>
    <w:qFormat/>
    <w:uiPriority w:val="0"/>
    <w:rPr>
      <w:rFonts w:hint="eastAsia" w:ascii="宋体" w:hAnsi="宋体" w:eastAsia="宋体" w:cs="宋体"/>
      <w:color w:val="000000"/>
      <w:sz w:val="20"/>
      <w:szCs w:val="20"/>
      <w:u w:val="none"/>
    </w:rPr>
  </w:style>
  <w:style w:type="character" w:customStyle="1" w:styleId="76">
    <w:name w:val="font131"/>
    <w:basedOn w:val="38"/>
    <w:qFormat/>
    <w:uiPriority w:val="0"/>
    <w:rPr>
      <w:rFonts w:hint="eastAsia" w:ascii="宋体" w:hAnsi="宋体" w:eastAsia="宋体" w:cs="宋体"/>
      <w:b/>
      <w:bCs/>
      <w:color w:val="538DD5"/>
      <w:sz w:val="20"/>
      <w:szCs w:val="20"/>
      <w:u w:val="none"/>
    </w:rPr>
  </w:style>
  <w:style w:type="character" w:customStyle="1" w:styleId="77">
    <w:name w:val="font11"/>
    <w:qFormat/>
    <w:uiPriority w:val="0"/>
    <w:rPr>
      <w:rFonts w:hint="default" w:ascii="方正仿宋简体" w:hAnsi="方正仿宋简体" w:eastAsia="方正仿宋简体" w:cs="方正仿宋简体"/>
      <w:color w:val="000000"/>
      <w:sz w:val="20"/>
      <w:szCs w:val="20"/>
      <w:u w:val="none"/>
      <w:vertAlign w:val="subscript"/>
    </w:rPr>
  </w:style>
  <w:style w:type="character" w:customStyle="1" w:styleId="78">
    <w:name w:val="纯文本 Char1"/>
    <w:link w:val="79"/>
    <w:qFormat/>
    <w:uiPriority w:val="0"/>
    <w:rPr>
      <w:rFonts w:ascii="宋体" w:hAnsi="Courier New"/>
    </w:rPr>
  </w:style>
  <w:style w:type="paragraph" w:customStyle="1" w:styleId="79">
    <w:name w:val="纯文本1"/>
    <w:basedOn w:val="1"/>
    <w:link w:val="78"/>
    <w:qFormat/>
    <w:uiPriority w:val="0"/>
    <w:rPr>
      <w:rFonts w:ascii="宋体" w:hAnsi="Courier New"/>
      <w:kern w:val="0"/>
      <w:sz w:val="20"/>
      <w:szCs w:val="20"/>
    </w:rPr>
  </w:style>
  <w:style w:type="paragraph" w:customStyle="1" w:styleId="8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1">
    <w:name w:val="正文首行缩进两字符"/>
    <w:basedOn w:val="1"/>
    <w:qFormat/>
    <w:uiPriority w:val="0"/>
    <w:pPr>
      <w:spacing w:line="360" w:lineRule="auto"/>
      <w:ind w:firstLine="200" w:firstLineChars="200"/>
    </w:pPr>
  </w:style>
  <w:style w:type="paragraph" w:customStyle="1" w:styleId="82">
    <w:name w:val="表名称"/>
    <w:basedOn w:val="6"/>
    <w:qFormat/>
    <w:uiPriority w:val="0"/>
    <w:pPr>
      <w:numPr>
        <w:ilvl w:val="0"/>
        <w:numId w:val="1"/>
      </w:numPr>
      <w:ind w:firstLine="0" w:firstLineChars="0"/>
      <w:jc w:val="center"/>
    </w:pPr>
  </w:style>
  <w:style w:type="paragraph" w:customStyle="1" w:styleId="83">
    <w:name w:val="Char"/>
    <w:basedOn w:val="1"/>
    <w:qFormat/>
    <w:uiPriority w:val="0"/>
    <w:pPr>
      <w:tabs>
        <w:tab w:val="left" w:pos="360"/>
      </w:tabs>
    </w:pPr>
    <w:rPr>
      <w:sz w:val="24"/>
    </w:rPr>
  </w:style>
  <w:style w:type="paragraph" w:customStyle="1" w:styleId="84">
    <w:name w:val="_Style 1"/>
    <w:qFormat/>
    <w:uiPriority w:val="99"/>
    <w:pPr>
      <w:widowControl w:val="0"/>
      <w:ind w:firstLine="200" w:firstLineChars="200"/>
      <w:jc w:val="both"/>
    </w:pPr>
    <w:rPr>
      <w:rFonts w:ascii="Times New Roman" w:hAnsi="Times New Roman" w:eastAsia="仿宋_GB2312" w:cs="Times New Roman"/>
      <w:kern w:val="2"/>
      <w:sz w:val="24"/>
      <w:szCs w:val="22"/>
      <w:lang w:val="en-US" w:eastAsia="zh-CN" w:bidi="ar-SA"/>
    </w:rPr>
  </w:style>
  <w:style w:type="paragraph" w:styleId="85">
    <w:name w:val="List Paragraph"/>
    <w:basedOn w:val="1"/>
    <w:qFormat/>
    <w:uiPriority w:val="34"/>
    <w:pPr>
      <w:ind w:firstLine="420" w:firstLineChars="200"/>
    </w:pPr>
  </w:style>
  <w:style w:type="paragraph" w:customStyle="1" w:styleId="86">
    <w:name w:val="图例"/>
    <w:basedOn w:val="1"/>
    <w:qFormat/>
    <w:uiPriority w:val="0"/>
    <w:pPr>
      <w:spacing w:before="120" w:beforeLines="0" w:after="120" w:afterLines="0" w:line="360" w:lineRule="auto"/>
      <w:jc w:val="center"/>
    </w:pPr>
    <w:rPr>
      <w:rFonts w:eastAsia="仿宋_GB2312"/>
      <w:b/>
      <w:sz w:val="24"/>
    </w:rPr>
  </w:style>
  <w:style w:type="paragraph" w:customStyle="1" w:styleId="87">
    <w:name w:val="首行缩进"/>
    <w:basedOn w:val="1"/>
    <w:qFormat/>
    <w:uiPriority w:val="0"/>
    <w:pPr>
      <w:ind w:firstLine="480" w:firstLineChars="200"/>
    </w:pPr>
    <w:rPr>
      <w:lang w:val="zh-CN"/>
    </w:rPr>
  </w:style>
  <w:style w:type="paragraph" w:customStyle="1" w:styleId="88">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89">
    <w:name w:val="Default"/>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90">
    <w:name w:val="列出段落1"/>
    <w:basedOn w:val="1"/>
    <w:qFormat/>
    <w:uiPriority w:val="34"/>
    <w:pPr>
      <w:widowControl/>
      <w:ind w:firstLine="420" w:firstLineChars="200"/>
      <w:jc w:val="left"/>
    </w:pPr>
    <w:rPr>
      <w:kern w:val="0"/>
      <w:sz w:val="24"/>
    </w:rPr>
  </w:style>
  <w:style w:type="paragraph" w:customStyle="1" w:styleId="91">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92">
    <w:name w:val="标题 5（有编号）（绿盟科技）"/>
    <w:basedOn w:val="1"/>
    <w:next w:val="91"/>
    <w:qFormat/>
    <w:uiPriority w:val="0"/>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93">
    <w:name w:val="索引 11"/>
    <w:basedOn w:val="1"/>
    <w:next w:val="1"/>
    <w:qFormat/>
    <w:uiPriority w:val="0"/>
    <w:pPr>
      <w:spacing w:line="360" w:lineRule="auto"/>
    </w:pPr>
    <w:rPr>
      <w:rFonts w:ascii="仿宋_GB2312" w:eastAsia="仿宋_GB2312"/>
      <w:sz w:val="24"/>
      <w:szCs w:val="20"/>
    </w:rPr>
  </w:style>
  <w:style w:type="paragraph" w:customStyle="1" w:styleId="94">
    <w:name w:val="样式 样式 样式 左侧:  2 字符1 + 首行缩进:  2 字符1 + 首行缩进:  2 字符"/>
    <w:basedOn w:val="1"/>
    <w:qFormat/>
    <w:uiPriority w:val="0"/>
    <w:pPr>
      <w:widowControl/>
      <w:adjustRightInd w:val="0"/>
      <w:spacing w:before="60" w:beforeLines="0" w:after="120" w:afterLines="0" w:line="440" w:lineRule="atLeast"/>
      <w:ind w:firstLine="480"/>
      <w:textAlignment w:val="baseline"/>
    </w:pPr>
    <w:rPr>
      <w:sz w:val="24"/>
    </w:rPr>
  </w:style>
  <w:style w:type="paragraph" w:customStyle="1" w:styleId="95">
    <w:name w:val="WPS Plain"/>
    <w:qFormat/>
    <w:uiPriority w:val="0"/>
    <w:rPr>
      <w:rFonts w:ascii="Times New Roman" w:hAnsi="Times New Roman" w:eastAsia="宋体" w:cs="Times New Roman"/>
      <w:lang w:val="en-US" w:eastAsia="zh-CN" w:bidi="ar-SA"/>
    </w:rPr>
  </w:style>
  <w:style w:type="paragraph" w:customStyle="1" w:styleId="96">
    <w:name w:val="列出段落2"/>
    <w:basedOn w:val="1"/>
    <w:qFormat/>
    <w:uiPriority w:val="34"/>
    <w:pPr>
      <w:widowControl/>
      <w:adjustRightInd w:val="0"/>
      <w:snapToGrid w:val="0"/>
      <w:spacing w:after="200"/>
      <w:ind w:firstLine="420" w:firstLineChars="200"/>
      <w:jc w:val="left"/>
    </w:pPr>
    <w:rPr>
      <w:rFonts w:ascii="Tahoma" w:hAnsi="Tahoma" w:eastAsia="微软雅黑" w:cs="黑体"/>
      <w:kern w:val="0"/>
      <w:sz w:val="22"/>
    </w:rPr>
  </w:style>
  <w:style w:type="paragraph" w:customStyle="1" w:styleId="97">
    <w:name w:val="Table Paragraph"/>
    <w:basedOn w:val="1"/>
    <w:qFormat/>
    <w:uiPriority w:val="1"/>
    <w:rPr>
      <w:rFonts w:ascii="宋体" w:hAnsi="宋体" w:eastAsia="宋体" w:cs="宋体"/>
      <w:lang w:val="zh-CN" w:eastAsia="zh-CN" w:bidi="zh-CN"/>
    </w:rPr>
  </w:style>
  <w:style w:type="paragraph" w:customStyle="1" w:styleId="98">
    <w:name w:val="采购正文"/>
    <w:qFormat/>
    <w:uiPriority w:val="0"/>
    <w:pPr>
      <w:snapToGrid w:val="0"/>
      <w:spacing w:line="560" w:lineRule="exact"/>
      <w:ind w:firstLine="200" w:firstLineChars="200"/>
      <w:jc w:val="both"/>
    </w:pPr>
    <w:rPr>
      <w:rFonts w:ascii="仿宋" w:hAnsi="仿宋" w:eastAsia="仿宋" w:cs="Times New Roman"/>
      <w:kern w:val="2"/>
      <w:sz w:val="24"/>
      <w:szCs w:val="24"/>
      <w:lang w:val="en-US" w:eastAsia="zh-CN" w:bidi="ar-SA"/>
    </w:rPr>
  </w:style>
  <w:style w:type="paragraph" w:customStyle="1" w:styleId="99">
    <w:name w:val="正文_0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00">
    <w:name w:val="font81"/>
    <w:basedOn w:val="38"/>
    <w:qFormat/>
    <w:uiPriority w:val="0"/>
    <w:rPr>
      <w:rFonts w:ascii="Arial" w:hAnsi="Arial" w:cs="Arial"/>
      <w:color w:val="000000"/>
      <w:sz w:val="16"/>
      <w:szCs w:val="16"/>
      <w:u w:val="none"/>
    </w:rPr>
  </w:style>
  <w:style w:type="table" w:customStyle="1" w:styleId="101">
    <w:name w:val="Table Normal"/>
    <w:qFormat/>
    <w:uiPriority w:val="0"/>
    <w:tblPr>
      <w:tblCellMar>
        <w:top w:w="0" w:type="dxa"/>
        <w:left w:w="0" w:type="dxa"/>
        <w:bottom w:w="0" w:type="dxa"/>
        <w:right w:w="0" w:type="dxa"/>
      </w:tblCellMar>
    </w:tblPr>
  </w:style>
  <w:style w:type="paragraph" w:customStyle="1" w:styleId="102">
    <w:name w:val="Table Text"/>
    <w:basedOn w:val="1"/>
    <w:semiHidden/>
    <w:qFormat/>
    <w:uiPriority w:val="0"/>
    <w:rPr>
      <w:rFonts w:ascii="仿宋" w:hAnsi="仿宋" w:eastAsia="仿宋" w:cs="仿宋"/>
      <w:sz w:val="24"/>
      <w:szCs w:val="24"/>
      <w:lang w:val="en-US" w:eastAsia="en-US" w:bidi="ar-SA"/>
    </w:rPr>
  </w:style>
  <w:style w:type="paragraph" w:customStyle="1" w:styleId="103">
    <w:name w:val="正文文本1"/>
    <w:basedOn w:val="1"/>
    <w:qFormat/>
    <w:uiPriority w:val="0"/>
    <w:pPr>
      <w:tabs>
        <w:tab w:val="left" w:pos="567"/>
      </w:tabs>
      <w:spacing w:before="120" w:line="22" w:lineRule="atLeas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12288</Words>
  <Characters>13069</Characters>
  <Lines>269</Lines>
  <Paragraphs>75</Paragraphs>
  <TotalTime>6</TotalTime>
  <ScaleCrop>false</ScaleCrop>
  <LinksUpToDate>false</LinksUpToDate>
  <CharactersWithSpaces>13662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2021-01-08T05:06:00Z</dcterms:created>
  <dc:creator>USER-</dc:creator>
  <cp:lastModifiedBy>Administrator</cp:lastModifiedBy>
  <cp:lastPrinted>2023-07-09T05:51:00Z</cp:lastPrinted>
  <dcterms:modified xsi:type="dcterms:W3CDTF">2025-06-30T08:54:23Z</dcterms:modified>
  <dc:title>02年杜范本稿</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7B2A29F9C5754362AF207187952C3893_13</vt:lpwstr>
  </property>
  <property fmtid="{D5CDD505-2E9C-101B-9397-08002B2CF9AE}" pid="4" name="KSOTemplateDocerSaveRecord">
    <vt:lpwstr>eyJoZGlkIjoiYTg2MWU1NGFhNmU5NDk5ZDU1YmY2YjNjOWM0NTQ1MzAifQ==</vt:lpwstr>
  </property>
</Properties>
</file>