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C2E357">
      <w:pPr>
        <w:spacing w:line="240" w:lineRule="atLeast"/>
        <w:ind w:left="1079" w:leftChars="257" w:hanging="540"/>
        <w:jc w:val="center"/>
        <w:rPr>
          <w:rFonts w:hint="eastAsia" w:ascii="仿宋" w:hAnsi="仿宋" w:eastAsia="仿宋" w:cs="仿宋"/>
          <w:b/>
          <w:color w:val="auto"/>
          <w:sz w:val="30"/>
          <w:szCs w:val="30"/>
          <w:highlight w:val="none"/>
        </w:rPr>
      </w:pPr>
      <w:bookmarkStart w:id="0" w:name="_Toc16057"/>
      <w:bookmarkStart w:id="1" w:name="_Toc518923125"/>
      <w:bookmarkStart w:id="2" w:name="_Toc13673"/>
      <w:bookmarkStart w:id="3" w:name="_Toc512937850"/>
      <w:bookmarkStart w:id="4" w:name="_Toc636"/>
      <w:bookmarkStart w:id="5" w:name="_Toc507399903"/>
      <w:bookmarkStart w:id="6" w:name="_Toc8423"/>
      <w:bookmarkStart w:id="7" w:name="_Toc216582823"/>
      <w:bookmarkStart w:id="8" w:name="_Toc28647"/>
    </w:p>
    <w:p w14:paraId="043EA39C">
      <w:pPr>
        <w:rPr>
          <w:rFonts w:hint="eastAsia" w:ascii="仿宋" w:hAnsi="仿宋" w:eastAsia="仿宋" w:cs="仿宋"/>
          <w:color w:val="auto"/>
          <w:highlight w:val="none"/>
        </w:rPr>
      </w:pPr>
    </w:p>
    <w:p w14:paraId="0EB05C0A">
      <w:pPr>
        <w:tabs>
          <w:tab w:val="center" w:pos="4890"/>
          <w:tab w:val="left" w:pos="7987"/>
        </w:tabs>
        <w:spacing w:line="240" w:lineRule="atLeast"/>
        <w:jc w:val="center"/>
        <w:outlineLvl w:val="9"/>
        <w:rPr>
          <w:rFonts w:hint="eastAsia" w:ascii="仿宋" w:hAnsi="仿宋" w:eastAsia="仿宋" w:cs="仿宋"/>
          <w:b/>
          <w:bCs w:val="0"/>
          <w:color w:val="auto"/>
          <w:sz w:val="72"/>
          <w:szCs w:val="72"/>
          <w:highlight w:val="none"/>
          <w:lang w:eastAsia="zh-CN"/>
        </w:rPr>
      </w:pPr>
      <w:bookmarkStart w:id="9" w:name="_Toc21717"/>
      <w:bookmarkStart w:id="10" w:name="_Toc11553"/>
      <w:r>
        <w:rPr>
          <w:rFonts w:hint="eastAsia"/>
          <w:b/>
          <w:bCs/>
          <w:spacing w:val="-21"/>
          <w:sz w:val="52"/>
          <w:szCs w:val="52"/>
          <w:highlight w:val="none"/>
          <w:lang w:eastAsia="zh-CN"/>
        </w:rPr>
        <w:t>叶城县2025年宗朗乡产业园区鲜食玉米加工设备采购项目</w:t>
      </w:r>
    </w:p>
    <w:p w14:paraId="5AC9F338">
      <w:pPr>
        <w:tabs>
          <w:tab w:val="center" w:pos="4890"/>
          <w:tab w:val="left" w:pos="7987"/>
        </w:tabs>
        <w:spacing w:line="240" w:lineRule="atLeast"/>
        <w:jc w:val="center"/>
        <w:outlineLvl w:val="9"/>
        <w:rPr>
          <w:rFonts w:hint="eastAsia"/>
          <w:b/>
          <w:bCs/>
          <w:spacing w:val="-21"/>
          <w:sz w:val="52"/>
          <w:szCs w:val="52"/>
          <w:highlight w:val="none"/>
          <w:lang w:eastAsia="zh-CN"/>
        </w:rPr>
      </w:pPr>
      <w:r>
        <w:rPr>
          <w:rFonts w:hint="eastAsia"/>
          <w:b/>
          <w:bCs/>
          <w:spacing w:val="-21"/>
          <w:sz w:val="52"/>
          <w:szCs w:val="52"/>
          <w:highlight w:val="none"/>
          <w:lang w:eastAsia="zh-CN"/>
        </w:rPr>
        <w:t>公开招标文件</w:t>
      </w:r>
      <w:bookmarkEnd w:id="9"/>
      <w:bookmarkEnd w:id="10"/>
    </w:p>
    <w:p w14:paraId="6CABC63C">
      <w:pPr>
        <w:pStyle w:val="4"/>
        <w:jc w:val="center"/>
        <w:outlineLvl w:val="9"/>
        <w:rPr>
          <w:rFonts w:hint="eastAsia" w:ascii="仿宋" w:hAnsi="仿宋" w:eastAsia="仿宋" w:cs="仿宋"/>
          <w:b/>
          <w:color w:val="auto"/>
          <w:sz w:val="28"/>
          <w:highlight w:val="none"/>
        </w:rPr>
      </w:pPr>
    </w:p>
    <w:p w14:paraId="3F0C960E">
      <w:pPr>
        <w:jc w:val="center"/>
        <w:outlineLvl w:val="9"/>
        <w:rPr>
          <w:rFonts w:hint="eastAsia" w:ascii="仿宋" w:hAnsi="仿宋" w:eastAsia="仿宋" w:cs="仿宋"/>
          <w:color w:val="auto"/>
          <w:highlight w:val="none"/>
        </w:rPr>
      </w:pPr>
    </w:p>
    <w:p w14:paraId="6478C2A8">
      <w:pPr>
        <w:spacing w:line="240" w:lineRule="atLeast"/>
        <w:ind w:left="1976" w:leftChars="941" w:firstLine="154" w:firstLineChars="43"/>
        <w:jc w:val="both"/>
        <w:outlineLvl w:val="9"/>
        <w:rPr>
          <w:rFonts w:hint="default" w:ascii="仿宋" w:hAnsi="仿宋" w:eastAsia="仿宋" w:cs="仿宋"/>
          <w:b/>
          <w:color w:val="auto"/>
          <w:sz w:val="48"/>
          <w:szCs w:val="48"/>
          <w:highlight w:val="none"/>
          <w:u w:val="none"/>
          <w:lang w:val="en-US"/>
        </w:rPr>
      </w:pPr>
      <w:r>
        <w:rPr>
          <w:rFonts w:hint="eastAsia" w:ascii="仿宋" w:hAnsi="仿宋" w:eastAsia="仿宋" w:cs="仿宋"/>
          <w:b/>
          <w:bCs/>
          <w:color w:val="auto"/>
          <w:sz w:val="36"/>
          <w:szCs w:val="36"/>
          <w:highlight w:val="none"/>
          <w:u w:val="none"/>
          <w:lang w:eastAsia="zh-CN"/>
        </w:rPr>
        <w:t>项目编号</w:t>
      </w:r>
      <w:r>
        <w:rPr>
          <w:rFonts w:hint="eastAsia" w:ascii="仿宋" w:hAnsi="仿宋" w:eastAsia="仿宋" w:cs="仿宋"/>
          <w:b/>
          <w:bCs/>
          <w:color w:val="auto"/>
          <w:kern w:val="0"/>
          <w:sz w:val="48"/>
          <w:szCs w:val="48"/>
          <w:highlight w:val="none"/>
          <w:shd w:val="clear" w:color="auto" w:fill="FFFFFF"/>
        </w:rPr>
        <w:t>：</w:t>
      </w:r>
      <w:r>
        <w:rPr>
          <w:rFonts w:hint="eastAsia" w:ascii="仿宋" w:hAnsi="仿宋" w:eastAsia="仿宋" w:cs="仿宋"/>
          <w:b/>
          <w:bCs/>
          <w:color w:val="auto"/>
          <w:sz w:val="36"/>
          <w:szCs w:val="36"/>
          <w:highlight w:val="none"/>
          <w:u w:val="none"/>
          <w:lang w:eastAsia="zh-CN"/>
        </w:rPr>
        <w:t>KSZJ</w:t>
      </w:r>
      <w:r>
        <w:rPr>
          <w:rFonts w:hint="eastAsia" w:ascii="仿宋" w:hAnsi="仿宋" w:eastAsia="仿宋" w:cs="仿宋"/>
          <w:b/>
          <w:bCs/>
          <w:color w:val="auto"/>
          <w:sz w:val="36"/>
          <w:szCs w:val="36"/>
          <w:highlight w:val="none"/>
          <w:u w:val="none"/>
          <w:lang w:val="en-US" w:eastAsia="zh-CN"/>
        </w:rPr>
        <w:t>YCX</w:t>
      </w:r>
      <w:r>
        <w:rPr>
          <w:rFonts w:hint="eastAsia" w:ascii="仿宋" w:hAnsi="仿宋" w:eastAsia="仿宋" w:cs="仿宋"/>
          <w:b/>
          <w:bCs/>
          <w:color w:val="auto"/>
          <w:sz w:val="36"/>
          <w:szCs w:val="36"/>
          <w:highlight w:val="none"/>
          <w:u w:val="none"/>
          <w:lang w:eastAsia="zh-CN"/>
        </w:rPr>
        <w:t>-DHGK-2025-1</w:t>
      </w:r>
      <w:r>
        <w:rPr>
          <w:rFonts w:hint="eastAsia" w:ascii="仿宋" w:hAnsi="仿宋" w:eastAsia="仿宋" w:cs="仿宋"/>
          <w:b/>
          <w:bCs/>
          <w:color w:val="auto"/>
          <w:sz w:val="36"/>
          <w:szCs w:val="36"/>
          <w:highlight w:val="none"/>
          <w:u w:val="none"/>
          <w:lang w:val="en-US" w:eastAsia="zh-CN"/>
        </w:rPr>
        <w:t>2号</w:t>
      </w:r>
    </w:p>
    <w:p w14:paraId="4F62AAD2">
      <w:pPr>
        <w:spacing w:line="720" w:lineRule="auto"/>
        <w:outlineLvl w:val="9"/>
        <w:rPr>
          <w:rFonts w:hint="eastAsia" w:ascii="仿宋" w:hAnsi="仿宋" w:eastAsia="仿宋" w:cs="仿宋"/>
          <w:b/>
          <w:bCs/>
          <w:color w:val="auto"/>
          <w:spacing w:val="80"/>
          <w:kern w:val="0"/>
          <w:sz w:val="32"/>
          <w:szCs w:val="32"/>
          <w:highlight w:val="none"/>
          <w:fitText w:val="400" w:id="895385294"/>
        </w:rPr>
      </w:pPr>
      <w:bookmarkStart w:id="11" w:name="_Toc26642"/>
      <w:bookmarkStart w:id="12" w:name="_Toc20774"/>
    </w:p>
    <w:p w14:paraId="1AFEFC04">
      <w:pPr>
        <w:spacing w:line="720" w:lineRule="auto"/>
        <w:outlineLvl w:val="9"/>
        <w:rPr>
          <w:rFonts w:hint="eastAsia" w:ascii="仿宋" w:hAnsi="仿宋" w:eastAsia="仿宋" w:cs="仿宋"/>
          <w:b/>
          <w:bCs/>
          <w:color w:val="auto"/>
          <w:kern w:val="0"/>
          <w:sz w:val="32"/>
          <w:szCs w:val="32"/>
          <w:highlight w:val="none"/>
        </w:rPr>
      </w:pPr>
    </w:p>
    <w:p w14:paraId="625D5559">
      <w:pPr>
        <w:spacing w:line="720" w:lineRule="auto"/>
        <w:outlineLvl w:val="9"/>
        <w:rPr>
          <w:rFonts w:hint="eastAsia" w:ascii="仿宋" w:hAnsi="仿宋" w:eastAsia="仿宋" w:cs="仿宋"/>
          <w:b/>
          <w:bCs/>
          <w:color w:val="auto"/>
          <w:spacing w:val="80"/>
          <w:kern w:val="0"/>
          <w:sz w:val="32"/>
          <w:szCs w:val="32"/>
          <w:highlight w:val="none"/>
          <w:fitText w:val="400" w:id="895385294"/>
        </w:rPr>
      </w:pPr>
    </w:p>
    <w:p w14:paraId="771669F8">
      <w:pPr>
        <w:spacing w:line="720" w:lineRule="auto"/>
        <w:outlineLvl w:val="9"/>
        <w:rPr>
          <w:rFonts w:hint="eastAsia" w:ascii="仿宋" w:hAnsi="仿宋" w:eastAsia="仿宋" w:cs="仿宋"/>
          <w:b/>
          <w:bCs/>
          <w:color w:val="auto"/>
          <w:kern w:val="0"/>
          <w:sz w:val="32"/>
          <w:szCs w:val="32"/>
          <w:highlight w:val="none"/>
        </w:rPr>
      </w:pPr>
    </w:p>
    <w:p w14:paraId="416BFE9D">
      <w:pPr>
        <w:spacing w:line="720" w:lineRule="auto"/>
        <w:outlineLvl w:val="9"/>
        <w:rPr>
          <w:rFonts w:hint="eastAsia" w:ascii="仿宋" w:hAnsi="仿宋" w:eastAsia="仿宋" w:cs="仿宋"/>
          <w:b/>
          <w:bCs/>
          <w:color w:val="auto"/>
          <w:spacing w:val="80"/>
          <w:kern w:val="0"/>
          <w:sz w:val="32"/>
          <w:szCs w:val="32"/>
          <w:highlight w:val="none"/>
          <w:fitText w:val="2160" w:id="895385294"/>
        </w:rPr>
      </w:pPr>
    </w:p>
    <w:p w14:paraId="299E9BA1">
      <w:pPr>
        <w:spacing w:line="720" w:lineRule="auto"/>
        <w:ind w:firstLine="960" w:firstLineChars="200"/>
        <w:outlineLvl w:val="9"/>
        <w:rPr>
          <w:rFonts w:hint="eastAsia" w:ascii="仿宋" w:hAnsi="仿宋" w:eastAsia="仿宋" w:cs="仿宋"/>
          <w:b/>
          <w:bCs/>
          <w:color w:val="auto"/>
          <w:sz w:val="32"/>
          <w:szCs w:val="32"/>
          <w:highlight w:val="none"/>
          <w:u w:val="single"/>
          <w:lang w:eastAsia="zh-CN"/>
        </w:rPr>
      </w:pPr>
      <w:r>
        <w:rPr>
          <w:rFonts w:hint="eastAsia" w:ascii="仿宋" w:hAnsi="仿宋" w:eastAsia="仿宋" w:cs="仿宋"/>
          <w:b/>
          <w:bCs/>
          <w:color w:val="auto"/>
          <w:spacing w:val="80"/>
          <w:kern w:val="0"/>
          <w:sz w:val="32"/>
          <w:szCs w:val="32"/>
          <w:highlight w:val="none"/>
          <w:fitText w:val="2160" w:id="895385294"/>
        </w:rPr>
        <w:t>采购单</w:t>
      </w:r>
      <w:r>
        <w:rPr>
          <w:rFonts w:hint="eastAsia" w:ascii="仿宋" w:hAnsi="仿宋" w:eastAsia="仿宋" w:cs="仿宋"/>
          <w:b/>
          <w:bCs/>
          <w:color w:val="auto"/>
          <w:spacing w:val="0"/>
          <w:kern w:val="0"/>
          <w:sz w:val="32"/>
          <w:szCs w:val="32"/>
          <w:highlight w:val="none"/>
          <w:fitText w:val="2160" w:id="895385294"/>
        </w:rPr>
        <w:t>位</w:t>
      </w:r>
      <w:r>
        <w:rPr>
          <w:rFonts w:hint="eastAsia" w:ascii="仿宋" w:hAnsi="仿宋" w:eastAsia="仿宋" w:cs="仿宋"/>
          <w:b/>
          <w:bCs/>
          <w:color w:val="auto"/>
          <w:sz w:val="32"/>
          <w:szCs w:val="32"/>
          <w:highlight w:val="none"/>
        </w:rPr>
        <w:t>：</w:t>
      </w:r>
      <w:bookmarkEnd w:id="11"/>
      <w:bookmarkEnd w:id="12"/>
      <w:r>
        <w:rPr>
          <w:rFonts w:hint="eastAsia" w:ascii="仿宋" w:hAnsi="仿宋" w:eastAsia="仿宋" w:cs="仿宋"/>
          <w:b/>
          <w:bCs/>
          <w:color w:val="auto"/>
          <w:sz w:val="32"/>
          <w:szCs w:val="32"/>
          <w:highlight w:val="none"/>
          <w:u w:val="single"/>
          <w:lang w:val="en-US" w:eastAsia="zh-CN"/>
        </w:rPr>
        <w:t xml:space="preserve"> </w:t>
      </w:r>
      <w:r>
        <w:rPr>
          <w:rFonts w:hint="eastAsia" w:ascii="仿宋" w:hAnsi="仿宋" w:eastAsia="仿宋" w:cs="仿宋"/>
          <w:b/>
          <w:bCs/>
          <w:color w:val="auto"/>
          <w:sz w:val="32"/>
          <w:szCs w:val="32"/>
          <w:highlight w:val="none"/>
          <w:u w:val="single"/>
          <w:lang w:eastAsia="zh-CN"/>
        </w:rPr>
        <w:t>叶城县宗朗乡人民政府</w:t>
      </w:r>
    </w:p>
    <w:p w14:paraId="0A799E9C">
      <w:pPr>
        <w:spacing w:line="720" w:lineRule="auto"/>
        <w:ind w:firstLine="960" w:firstLineChars="300"/>
        <w:outlineLvl w:val="9"/>
        <w:rPr>
          <w:rFonts w:hint="eastAsia" w:ascii="仿宋" w:hAnsi="仿宋" w:eastAsia="仿宋" w:cs="仿宋"/>
          <w:b/>
          <w:bCs/>
          <w:color w:val="auto"/>
          <w:sz w:val="32"/>
          <w:szCs w:val="32"/>
          <w:highlight w:val="none"/>
          <w:u w:val="single"/>
        </w:rPr>
      </w:pPr>
      <w:r>
        <w:rPr>
          <w:rFonts w:hint="eastAsia" w:ascii="仿宋" w:hAnsi="仿宋" w:eastAsia="仿宋" w:cs="仿宋"/>
          <w:b/>
          <w:bCs/>
          <w:color w:val="auto"/>
          <w:sz w:val="32"/>
          <w:szCs w:val="32"/>
          <w:highlight w:val="none"/>
        </w:rPr>
        <w:t>采购代理机构：</w:t>
      </w:r>
      <w:r>
        <w:rPr>
          <w:rFonts w:hint="eastAsia" w:ascii="仿宋" w:hAnsi="仿宋" w:eastAsia="仿宋" w:cs="仿宋"/>
          <w:b/>
          <w:bCs/>
          <w:color w:val="auto"/>
          <w:sz w:val="32"/>
          <w:szCs w:val="32"/>
          <w:highlight w:val="none"/>
          <w:u w:val="single"/>
          <w:lang w:eastAsia="zh-CN"/>
        </w:rPr>
        <w:t>新疆中京工程项目管理有限公司</w:t>
      </w:r>
      <w:r>
        <w:rPr>
          <w:rFonts w:hint="eastAsia" w:ascii="仿宋" w:hAnsi="仿宋" w:eastAsia="仿宋" w:cs="仿宋"/>
          <w:b/>
          <w:bCs/>
          <w:color w:val="auto"/>
          <w:sz w:val="32"/>
          <w:szCs w:val="32"/>
          <w:highlight w:val="none"/>
          <w:u w:val="single"/>
        </w:rPr>
        <w:t xml:space="preserve">  </w:t>
      </w:r>
    </w:p>
    <w:p w14:paraId="262D3732">
      <w:pPr>
        <w:spacing w:line="720" w:lineRule="auto"/>
        <w:ind w:firstLine="1224" w:firstLineChars="200"/>
        <w:outlineLvl w:val="9"/>
        <w:rPr>
          <w:rFonts w:hint="eastAsia" w:ascii="仿宋" w:hAnsi="仿宋" w:eastAsia="仿宋" w:cs="仿宋"/>
          <w:b/>
          <w:color w:val="E54C5E" w:themeColor="accent6"/>
          <w:sz w:val="22"/>
          <w:szCs w:val="22"/>
          <w:highlight w:val="none"/>
          <w:lang w:eastAsia="zh-CN"/>
          <w14:textFill>
            <w14:solidFill>
              <w14:schemeClr w14:val="accent6"/>
            </w14:solidFill>
          </w14:textFill>
        </w:rPr>
      </w:pPr>
      <w:r>
        <w:rPr>
          <w:rFonts w:hint="eastAsia" w:ascii="仿宋" w:hAnsi="仿宋" w:eastAsia="仿宋" w:cs="仿宋"/>
          <w:b/>
          <w:bCs/>
          <w:color w:val="auto"/>
          <w:spacing w:val="146"/>
          <w:kern w:val="0"/>
          <w:sz w:val="32"/>
          <w:szCs w:val="32"/>
          <w:highlight w:val="none"/>
          <w:fitText w:val="2160" w:id="2066746324"/>
        </w:rPr>
        <w:t>发出日</w:t>
      </w:r>
      <w:r>
        <w:rPr>
          <w:rFonts w:hint="eastAsia" w:ascii="仿宋" w:hAnsi="仿宋" w:eastAsia="仿宋" w:cs="仿宋"/>
          <w:b/>
          <w:bCs/>
          <w:color w:val="auto"/>
          <w:spacing w:val="2"/>
          <w:kern w:val="0"/>
          <w:sz w:val="32"/>
          <w:szCs w:val="32"/>
          <w:highlight w:val="none"/>
          <w:fitText w:val="2160" w:id="2066746324"/>
        </w:rPr>
        <w:t>期</w:t>
      </w:r>
      <w:r>
        <w:rPr>
          <w:rFonts w:hint="eastAsia" w:ascii="仿宋" w:hAnsi="仿宋" w:eastAsia="仿宋" w:cs="仿宋"/>
          <w:b/>
          <w:bCs/>
          <w:color w:val="auto"/>
          <w:sz w:val="32"/>
          <w:szCs w:val="32"/>
          <w:highlight w:val="none"/>
        </w:rPr>
        <w:t>：</w:t>
      </w:r>
      <w:r>
        <w:rPr>
          <w:rFonts w:hint="eastAsia" w:ascii="仿宋" w:hAnsi="仿宋" w:eastAsia="仿宋" w:cs="仿宋"/>
          <w:b/>
          <w:bCs/>
          <w:color w:val="000000" w:themeColor="text1"/>
          <w:kern w:val="0"/>
          <w:sz w:val="32"/>
          <w:szCs w:val="32"/>
          <w:highlight w:val="none"/>
          <w:u w:val="single"/>
          <w:lang w:eastAsia="zh-CN"/>
          <w14:textFill>
            <w14:solidFill>
              <w14:schemeClr w14:val="tx1"/>
            </w14:solidFill>
          </w14:textFill>
        </w:rPr>
        <w:t>202</w:t>
      </w:r>
      <w:r>
        <w:rPr>
          <w:rFonts w:hint="eastAsia" w:ascii="仿宋" w:hAnsi="仿宋" w:eastAsia="仿宋" w:cs="仿宋"/>
          <w:b/>
          <w:bCs/>
          <w:color w:val="000000" w:themeColor="text1"/>
          <w:kern w:val="0"/>
          <w:sz w:val="32"/>
          <w:szCs w:val="32"/>
          <w:highlight w:val="none"/>
          <w:u w:val="single"/>
          <w:lang w:val="en-US" w:eastAsia="zh-CN"/>
          <w14:textFill>
            <w14:solidFill>
              <w14:schemeClr w14:val="tx1"/>
            </w14:solidFill>
          </w14:textFill>
        </w:rPr>
        <w:t>5</w:t>
      </w:r>
      <w:r>
        <w:rPr>
          <w:rFonts w:hint="eastAsia" w:ascii="仿宋" w:hAnsi="仿宋" w:eastAsia="仿宋" w:cs="仿宋"/>
          <w:b/>
          <w:bCs/>
          <w:color w:val="000000" w:themeColor="text1"/>
          <w:kern w:val="0"/>
          <w:sz w:val="32"/>
          <w:szCs w:val="32"/>
          <w:highlight w:val="none"/>
          <w:u w:val="single"/>
          <w:lang w:eastAsia="zh-CN"/>
          <w14:textFill>
            <w14:solidFill>
              <w14:schemeClr w14:val="tx1"/>
            </w14:solidFill>
          </w14:textFill>
        </w:rPr>
        <w:t>年</w:t>
      </w:r>
      <w:r>
        <w:rPr>
          <w:rFonts w:hint="eastAsia" w:ascii="仿宋" w:hAnsi="仿宋" w:eastAsia="仿宋" w:cs="仿宋"/>
          <w:b/>
          <w:bCs/>
          <w:color w:val="000000" w:themeColor="text1"/>
          <w:kern w:val="0"/>
          <w:sz w:val="32"/>
          <w:szCs w:val="32"/>
          <w:highlight w:val="none"/>
          <w:u w:val="single"/>
          <w:lang w:val="en-US" w:eastAsia="zh-CN"/>
          <w14:textFill>
            <w14:solidFill>
              <w14:schemeClr w14:val="tx1"/>
            </w14:solidFill>
          </w14:textFill>
        </w:rPr>
        <w:t>6</w:t>
      </w:r>
      <w:r>
        <w:rPr>
          <w:rFonts w:hint="eastAsia" w:ascii="仿宋" w:hAnsi="仿宋" w:eastAsia="仿宋" w:cs="仿宋"/>
          <w:b/>
          <w:bCs/>
          <w:color w:val="000000" w:themeColor="text1"/>
          <w:kern w:val="0"/>
          <w:sz w:val="32"/>
          <w:szCs w:val="32"/>
          <w:highlight w:val="none"/>
          <w:u w:val="single"/>
          <w:lang w:eastAsia="zh-CN"/>
          <w14:textFill>
            <w14:solidFill>
              <w14:schemeClr w14:val="tx1"/>
            </w14:solidFill>
          </w14:textFill>
        </w:rPr>
        <w:t>月</w:t>
      </w:r>
      <w:r>
        <w:rPr>
          <w:rFonts w:hint="eastAsia" w:ascii="仿宋" w:hAnsi="仿宋" w:eastAsia="仿宋" w:cs="仿宋"/>
          <w:b/>
          <w:bCs/>
          <w:color w:val="000000" w:themeColor="text1"/>
          <w:kern w:val="0"/>
          <w:sz w:val="32"/>
          <w:szCs w:val="32"/>
          <w:highlight w:val="none"/>
          <w:u w:val="single"/>
          <w:lang w:val="en-US" w:eastAsia="zh-CN"/>
          <w14:textFill>
            <w14:solidFill>
              <w14:schemeClr w14:val="tx1"/>
            </w14:solidFill>
          </w14:textFill>
        </w:rPr>
        <w:t>23</w:t>
      </w:r>
      <w:r>
        <w:rPr>
          <w:rFonts w:hint="eastAsia" w:ascii="仿宋" w:hAnsi="仿宋" w:eastAsia="仿宋" w:cs="仿宋"/>
          <w:b/>
          <w:bCs/>
          <w:color w:val="000000" w:themeColor="text1"/>
          <w:kern w:val="0"/>
          <w:sz w:val="32"/>
          <w:szCs w:val="32"/>
          <w:highlight w:val="none"/>
          <w:u w:val="single"/>
          <w:lang w:eastAsia="zh-CN"/>
          <w14:textFill>
            <w14:solidFill>
              <w14:schemeClr w14:val="tx1"/>
            </w14:solidFill>
          </w14:textFill>
        </w:rPr>
        <w:t>日</w:t>
      </w:r>
    </w:p>
    <w:p w14:paraId="67C5C314">
      <w:pPr>
        <w:spacing w:line="240" w:lineRule="atLeast"/>
        <w:ind w:left="1079" w:leftChars="257" w:hanging="540"/>
        <w:rPr>
          <w:rFonts w:hint="eastAsia" w:ascii="仿宋" w:hAnsi="仿宋" w:eastAsia="仿宋" w:cs="仿宋"/>
          <w:b/>
          <w:color w:val="auto"/>
          <w:szCs w:val="21"/>
          <w:highlight w:val="none"/>
        </w:rPr>
      </w:pPr>
    </w:p>
    <w:p w14:paraId="21DA9153">
      <w:pPr>
        <w:rPr>
          <w:rFonts w:hint="eastAsia" w:ascii="仿宋" w:hAnsi="仿宋" w:eastAsia="仿宋" w:cs="仿宋"/>
          <w:color w:val="auto"/>
          <w:highlight w:val="none"/>
        </w:rPr>
      </w:pPr>
    </w:p>
    <w:p w14:paraId="39515BBA">
      <w:pPr>
        <w:spacing w:line="240" w:lineRule="atLeast"/>
        <w:ind w:left="1079" w:leftChars="257" w:hanging="540"/>
        <w:jc w:val="both"/>
        <w:rPr>
          <w:rFonts w:hint="eastAsia" w:ascii="仿宋" w:hAnsi="仿宋" w:eastAsia="仿宋" w:cs="仿宋"/>
          <w:b/>
          <w:bCs/>
          <w:sz w:val="24"/>
          <w:szCs w:val="32"/>
          <w:highlight w:val="none"/>
        </w:rPr>
        <w:sectPr>
          <w:headerReference r:id="rId3" w:type="default"/>
          <w:footerReference r:id="rId4" w:type="default"/>
          <w:pgSz w:w="11906" w:h="16838"/>
          <w:pgMar w:top="1440" w:right="1080" w:bottom="1440" w:left="1080" w:header="851" w:footer="992" w:gutter="0"/>
          <w:pgNumType w:fmt="decimal" w:start="1"/>
          <w:cols w:space="720" w:num="1"/>
          <w:docGrid w:type="linesAndChars" w:linePitch="312" w:charSpace="0"/>
        </w:sectPr>
      </w:pPr>
    </w:p>
    <w:p w14:paraId="556A0865">
      <w:pPr>
        <w:spacing w:line="240" w:lineRule="atLeast"/>
        <w:ind w:left="1079" w:leftChars="257" w:hanging="540"/>
        <w:jc w:val="center"/>
        <w:rPr>
          <w:rFonts w:hint="eastAsia" w:ascii="仿宋" w:hAnsi="仿宋" w:eastAsia="仿宋" w:cs="仿宋"/>
          <w:b/>
          <w:bCs/>
          <w:sz w:val="24"/>
          <w:szCs w:val="32"/>
          <w:highlight w:val="none"/>
        </w:rPr>
      </w:pPr>
      <w:r>
        <w:rPr>
          <w:rFonts w:hint="eastAsia" w:ascii="仿宋" w:hAnsi="仿宋" w:eastAsia="仿宋" w:cs="仿宋"/>
          <w:b/>
          <w:bCs/>
          <w:sz w:val="24"/>
          <w:szCs w:val="32"/>
          <w:highlight w:val="none"/>
        </w:rPr>
        <w:t>目录</w:t>
      </w:r>
    </w:p>
    <w:p w14:paraId="34AE5481">
      <w:pPr>
        <w:pStyle w:val="16"/>
        <w:tabs>
          <w:tab w:val="right" w:leader="dot" w:pos="9746"/>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TOC \o "1-3" \h \u </w:instrText>
      </w:r>
      <w:r>
        <w:rPr>
          <w:rFonts w:hint="eastAsia" w:ascii="仿宋" w:hAnsi="仿宋" w:eastAsia="仿宋" w:cs="仿宋"/>
          <w:highlight w:val="none"/>
        </w:rPr>
        <w:fldChar w:fldCharType="separate"/>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_Toc18845 </w:instrText>
      </w:r>
      <w:r>
        <w:rPr>
          <w:rFonts w:hint="eastAsia" w:ascii="仿宋" w:hAnsi="仿宋" w:eastAsia="仿宋" w:cs="仿宋"/>
          <w:highlight w:val="none"/>
        </w:rPr>
        <w:fldChar w:fldCharType="separate"/>
      </w:r>
      <w:r>
        <w:rPr>
          <w:rFonts w:hint="eastAsia" w:ascii="仿宋" w:hAnsi="仿宋" w:eastAsia="仿宋" w:cs="仿宋"/>
          <w:kern w:val="0"/>
          <w:szCs w:val="22"/>
          <w:highlight w:val="none"/>
        </w:rPr>
        <w:t>第一章</w:t>
      </w:r>
      <w:r>
        <w:rPr>
          <w:rFonts w:hint="eastAsia" w:ascii="仿宋" w:hAnsi="仿宋" w:eastAsia="仿宋" w:cs="仿宋"/>
          <w:szCs w:val="21"/>
          <w:highlight w:val="none"/>
        </w:rPr>
        <w:t xml:space="preserve">  投标人须知</w:t>
      </w:r>
      <w:r>
        <w:rPr>
          <w:highlight w:val="none"/>
        </w:rPr>
        <w:tab/>
      </w:r>
      <w:r>
        <w:rPr>
          <w:highlight w:val="none"/>
        </w:rPr>
        <w:fldChar w:fldCharType="begin"/>
      </w:r>
      <w:r>
        <w:rPr>
          <w:highlight w:val="none"/>
        </w:rPr>
        <w:instrText xml:space="preserve"> PAGEREF _Toc18845 \h </w:instrText>
      </w:r>
      <w:r>
        <w:rPr>
          <w:highlight w:val="none"/>
        </w:rPr>
        <w:fldChar w:fldCharType="separate"/>
      </w:r>
      <w:r>
        <w:rPr>
          <w:highlight w:val="none"/>
        </w:rPr>
        <w:t>5</w:t>
      </w:r>
      <w:r>
        <w:rPr>
          <w:highlight w:val="none"/>
        </w:rPr>
        <w:fldChar w:fldCharType="end"/>
      </w:r>
      <w:r>
        <w:rPr>
          <w:rFonts w:hint="eastAsia" w:ascii="仿宋" w:hAnsi="仿宋" w:eastAsia="仿宋" w:cs="仿宋"/>
          <w:highlight w:val="none"/>
        </w:rPr>
        <w:fldChar w:fldCharType="end"/>
      </w:r>
    </w:p>
    <w:p w14:paraId="1B084588">
      <w:pPr>
        <w:pStyle w:val="17"/>
        <w:tabs>
          <w:tab w:val="right" w:leader="dot" w:pos="9746"/>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_Toc27102 </w:instrText>
      </w:r>
      <w:r>
        <w:rPr>
          <w:rFonts w:hint="eastAsia" w:ascii="仿宋" w:hAnsi="仿宋" w:eastAsia="仿宋" w:cs="仿宋"/>
          <w:highlight w:val="none"/>
        </w:rPr>
        <w:fldChar w:fldCharType="separate"/>
      </w:r>
      <w:r>
        <w:rPr>
          <w:rFonts w:hint="eastAsia" w:ascii="仿宋" w:hAnsi="仿宋" w:eastAsia="仿宋" w:cs="仿宋"/>
          <w:szCs w:val="32"/>
          <w:highlight w:val="none"/>
        </w:rPr>
        <w:t>一   总  则</w:t>
      </w:r>
      <w:r>
        <w:rPr>
          <w:highlight w:val="none"/>
        </w:rPr>
        <w:tab/>
      </w:r>
      <w:r>
        <w:rPr>
          <w:highlight w:val="none"/>
        </w:rPr>
        <w:fldChar w:fldCharType="begin"/>
      </w:r>
      <w:r>
        <w:rPr>
          <w:highlight w:val="none"/>
        </w:rPr>
        <w:instrText xml:space="preserve"> PAGEREF _Toc27102 \h </w:instrText>
      </w:r>
      <w:r>
        <w:rPr>
          <w:highlight w:val="none"/>
        </w:rPr>
        <w:fldChar w:fldCharType="separate"/>
      </w:r>
      <w:r>
        <w:rPr>
          <w:highlight w:val="none"/>
        </w:rPr>
        <w:t>5</w:t>
      </w:r>
      <w:r>
        <w:rPr>
          <w:highlight w:val="none"/>
        </w:rPr>
        <w:fldChar w:fldCharType="end"/>
      </w:r>
      <w:r>
        <w:rPr>
          <w:rFonts w:hint="eastAsia" w:ascii="仿宋" w:hAnsi="仿宋" w:eastAsia="仿宋" w:cs="仿宋"/>
          <w:highlight w:val="none"/>
        </w:rPr>
        <w:fldChar w:fldCharType="end"/>
      </w:r>
    </w:p>
    <w:p w14:paraId="6A242C9C">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_Toc15789 </w:instrText>
      </w:r>
      <w:r>
        <w:rPr>
          <w:rFonts w:hint="eastAsia" w:ascii="仿宋" w:hAnsi="仿宋" w:eastAsia="仿宋" w:cs="仿宋"/>
          <w:highlight w:val="none"/>
        </w:rPr>
        <w:fldChar w:fldCharType="separate"/>
      </w:r>
      <w:r>
        <w:rPr>
          <w:rFonts w:hint="eastAsia" w:ascii="仿宋" w:hAnsi="仿宋" w:eastAsia="仿宋" w:cs="仿宋"/>
          <w:szCs w:val="28"/>
          <w:highlight w:val="none"/>
        </w:rPr>
        <w:t>1.采购人、采购代理机构及投标人</w:t>
      </w:r>
      <w:r>
        <w:rPr>
          <w:highlight w:val="none"/>
        </w:rPr>
        <w:tab/>
      </w:r>
      <w:r>
        <w:rPr>
          <w:highlight w:val="none"/>
        </w:rPr>
        <w:fldChar w:fldCharType="begin"/>
      </w:r>
      <w:r>
        <w:rPr>
          <w:highlight w:val="none"/>
        </w:rPr>
        <w:instrText xml:space="preserve"> PAGEREF _Toc15789 \h </w:instrText>
      </w:r>
      <w:r>
        <w:rPr>
          <w:highlight w:val="none"/>
        </w:rPr>
        <w:fldChar w:fldCharType="separate"/>
      </w:r>
      <w:r>
        <w:rPr>
          <w:highlight w:val="none"/>
        </w:rPr>
        <w:t>5</w:t>
      </w:r>
      <w:r>
        <w:rPr>
          <w:highlight w:val="none"/>
        </w:rPr>
        <w:fldChar w:fldCharType="end"/>
      </w:r>
      <w:r>
        <w:rPr>
          <w:rFonts w:hint="eastAsia" w:ascii="仿宋" w:hAnsi="仿宋" w:eastAsia="仿宋" w:cs="仿宋"/>
          <w:highlight w:val="none"/>
        </w:rPr>
        <w:fldChar w:fldCharType="end"/>
      </w:r>
    </w:p>
    <w:p w14:paraId="745E95D0">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_Toc19770 </w:instrText>
      </w:r>
      <w:r>
        <w:rPr>
          <w:rFonts w:hint="eastAsia" w:ascii="仿宋" w:hAnsi="仿宋" w:eastAsia="仿宋" w:cs="仿宋"/>
          <w:highlight w:val="none"/>
        </w:rPr>
        <w:fldChar w:fldCharType="separate"/>
      </w:r>
      <w:r>
        <w:rPr>
          <w:rFonts w:hint="eastAsia" w:ascii="仿宋" w:hAnsi="仿宋" w:eastAsia="仿宋" w:cs="仿宋"/>
          <w:szCs w:val="28"/>
          <w:highlight w:val="none"/>
        </w:rPr>
        <w:t>2.资金来源</w:t>
      </w:r>
      <w:r>
        <w:rPr>
          <w:highlight w:val="none"/>
        </w:rPr>
        <w:tab/>
      </w:r>
      <w:r>
        <w:rPr>
          <w:highlight w:val="none"/>
        </w:rPr>
        <w:fldChar w:fldCharType="begin"/>
      </w:r>
      <w:r>
        <w:rPr>
          <w:highlight w:val="none"/>
        </w:rPr>
        <w:instrText xml:space="preserve"> PAGEREF _Toc19770 \h </w:instrText>
      </w:r>
      <w:r>
        <w:rPr>
          <w:highlight w:val="none"/>
        </w:rPr>
        <w:fldChar w:fldCharType="separate"/>
      </w:r>
      <w:r>
        <w:rPr>
          <w:highlight w:val="none"/>
        </w:rPr>
        <w:t>7</w:t>
      </w:r>
      <w:r>
        <w:rPr>
          <w:highlight w:val="none"/>
        </w:rPr>
        <w:fldChar w:fldCharType="end"/>
      </w:r>
      <w:r>
        <w:rPr>
          <w:rFonts w:hint="eastAsia" w:ascii="仿宋" w:hAnsi="仿宋" w:eastAsia="仿宋" w:cs="仿宋"/>
          <w:highlight w:val="none"/>
        </w:rPr>
        <w:fldChar w:fldCharType="end"/>
      </w:r>
    </w:p>
    <w:p w14:paraId="7B9B9867">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_Toc17305 </w:instrText>
      </w:r>
      <w:r>
        <w:rPr>
          <w:rFonts w:hint="eastAsia" w:ascii="仿宋" w:hAnsi="仿宋" w:eastAsia="仿宋" w:cs="仿宋"/>
          <w:highlight w:val="none"/>
        </w:rPr>
        <w:fldChar w:fldCharType="separate"/>
      </w:r>
      <w:r>
        <w:rPr>
          <w:rFonts w:hint="eastAsia" w:ascii="仿宋" w:hAnsi="仿宋" w:eastAsia="仿宋" w:cs="仿宋"/>
          <w:szCs w:val="28"/>
          <w:highlight w:val="none"/>
        </w:rPr>
        <w:t>3.投标费用</w:t>
      </w:r>
      <w:r>
        <w:rPr>
          <w:highlight w:val="none"/>
        </w:rPr>
        <w:tab/>
      </w:r>
      <w:r>
        <w:rPr>
          <w:highlight w:val="none"/>
        </w:rPr>
        <w:fldChar w:fldCharType="begin"/>
      </w:r>
      <w:r>
        <w:rPr>
          <w:highlight w:val="none"/>
        </w:rPr>
        <w:instrText xml:space="preserve"> PAGEREF _Toc17305 \h </w:instrText>
      </w:r>
      <w:r>
        <w:rPr>
          <w:highlight w:val="none"/>
        </w:rPr>
        <w:fldChar w:fldCharType="separate"/>
      </w:r>
      <w:r>
        <w:rPr>
          <w:highlight w:val="none"/>
        </w:rPr>
        <w:t>7</w:t>
      </w:r>
      <w:r>
        <w:rPr>
          <w:highlight w:val="none"/>
        </w:rPr>
        <w:fldChar w:fldCharType="end"/>
      </w:r>
      <w:r>
        <w:rPr>
          <w:rFonts w:hint="eastAsia" w:ascii="仿宋" w:hAnsi="仿宋" w:eastAsia="仿宋" w:cs="仿宋"/>
          <w:highlight w:val="none"/>
        </w:rPr>
        <w:fldChar w:fldCharType="end"/>
      </w:r>
    </w:p>
    <w:p w14:paraId="56271B7D">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_Toc24475 </w:instrText>
      </w:r>
      <w:r>
        <w:rPr>
          <w:rFonts w:hint="eastAsia" w:ascii="仿宋" w:hAnsi="仿宋" w:eastAsia="仿宋" w:cs="仿宋"/>
          <w:highlight w:val="none"/>
        </w:rPr>
        <w:fldChar w:fldCharType="separate"/>
      </w:r>
      <w:r>
        <w:rPr>
          <w:rFonts w:hint="eastAsia" w:ascii="仿宋" w:hAnsi="仿宋" w:eastAsia="仿宋" w:cs="仿宋"/>
          <w:szCs w:val="28"/>
          <w:highlight w:val="none"/>
        </w:rPr>
        <w:t>4.适用法律</w:t>
      </w:r>
      <w:r>
        <w:rPr>
          <w:highlight w:val="none"/>
        </w:rPr>
        <w:tab/>
      </w:r>
      <w:r>
        <w:rPr>
          <w:highlight w:val="none"/>
        </w:rPr>
        <w:fldChar w:fldCharType="begin"/>
      </w:r>
      <w:r>
        <w:rPr>
          <w:highlight w:val="none"/>
        </w:rPr>
        <w:instrText xml:space="preserve"> PAGEREF _Toc24475 \h </w:instrText>
      </w:r>
      <w:r>
        <w:rPr>
          <w:highlight w:val="none"/>
        </w:rPr>
        <w:fldChar w:fldCharType="separate"/>
      </w:r>
      <w:r>
        <w:rPr>
          <w:highlight w:val="none"/>
        </w:rPr>
        <w:t>7</w:t>
      </w:r>
      <w:r>
        <w:rPr>
          <w:highlight w:val="none"/>
        </w:rPr>
        <w:fldChar w:fldCharType="end"/>
      </w:r>
      <w:r>
        <w:rPr>
          <w:rFonts w:hint="eastAsia" w:ascii="仿宋" w:hAnsi="仿宋" w:eastAsia="仿宋" w:cs="仿宋"/>
          <w:highlight w:val="none"/>
        </w:rPr>
        <w:fldChar w:fldCharType="end"/>
      </w:r>
    </w:p>
    <w:p w14:paraId="531845EE">
      <w:pPr>
        <w:pStyle w:val="17"/>
        <w:tabs>
          <w:tab w:val="right" w:leader="dot" w:pos="9746"/>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_Toc935 </w:instrText>
      </w:r>
      <w:r>
        <w:rPr>
          <w:rFonts w:hint="eastAsia" w:ascii="仿宋" w:hAnsi="仿宋" w:eastAsia="仿宋" w:cs="仿宋"/>
          <w:highlight w:val="none"/>
        </w:rPr>
        <w:fldChar w:fldCharType="separate"/>
      </w:r>
      <w:r>
        <w:rPr>
          <w:rFonts w:hint="eastAsia" w:ascii="仿宋" w:hAnsi="仿宋" w:eastAsia="仿宋" w:cs="仿宋"/>
          <w:szCs w:val="32"/>
          <w:highlight w:val="none"/>
        </w:rPr>
        <w:t>二   招标文件</w:t>
      </w:r>
      <w:r>
        <w:rPr>
          <w:highlight w:val="none"/>
        </w:rPr>
        <w:tab/>
      </w:r>
      <w:r>
        <w:rPr>
          <w:highlight w:val="none"/>
        </w:rPr>
        <w:fldChar w:fldCharType="begin"/>
      </w:r>
      <w:r>
        <w:rPr>
          <w:highlight w:val="none"/>
        </w:rPr>
        <w:instrText xml:space="preserve"> PAGEREF _Toc935 \h </w:instrText>
      </w:r>
      <w:r>
        <w:rPr>
          <w:highlight w:val="none"/>
        </w:rPr>
        <w:fldChar w:fldCharType="separate"/>
      </w:r>
      <w:r>
        <w:rPr>
          <w:highlight w:val="none"/>
        </w:rPr>
        <w:t>8</w:t>
      </w:r>
      <w:r>
        <w:rPr>
          <w:highlight w:val="none"/>
        </w:rPr>
        <w:fldChar w:fldCharType="end"/>
      </w:r>
      <w:r>
        <w:rPr>
          <w:rFonts w:hint="eastAsia" w:ascii="仿宋" w:hAnsi="仿宋" w:eastAsia="仿宋" w:cs="仿宋"/>
          <w:highlight w:val="none"/>
        </w:rPr>
        <w:fldChar w:fldCharType="end"/>
      </w:r>
    </w:p>
    <w:p w14:paraId="61AB3EED">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_Toc3831 </w:instrText>
      </w:r>
      <w:r>
        <w:rPr>
          <w:rFonts w:hint="eastAsia" w:ascii="仿宋" w:hAnsi="仿宋" w:eastAsia="仿宋" w:cs="仿宋"/>
          <w:highlight w:val="none"/>
        </w:rPr>
        <w:fldChar w:fldCharType="separate"/>
      </w:r>
      <w:r>
        <w:rPr>
          <w:rFonts w:hint="eastAsia" w:ascii="仿宋" w:hAnsi="仿宋" w:eastAsia="仿宋" w:cs="仿宋"/>
          <w:szCs w:val="28"/>
          <w:highlight w:val="none"/>
        </w:rPr>
        <w:t>5.招标文件构成</w:t>
      </w:r>
      <w:r>
        <w:rPr>
          <w:highlight w:val="none"/>
        </w:rPr>
        <w:tab/>
      </w:r>
      <w:r>
        <w:rPr>
          <w:highlight w:val="none"/>
        </w:rPr>
        <w:fldChar w:fldCharType="begin"/>
      </w:r>
      <w:r>
        <w:rPr>
          <w:highlight w:val="none"/>
        </w:rPr>
        <w:instrText xml:space="preserve"> PAGEREF _Toc3831 \h </w:instrText>
      </w:r>
      <w:r>
        <w:rPr>
          <w:highlight w:val="none"/>
        </w:rPr>
        <w:fldChar w:fldCharType="separate"/>
      </w:r>
      <w:r>
        <w:rPr>
          <w:highlight w:val="none"/>
        </w:rPr>
        <w:t>8</w:t>
      </w:r>
      <w:r>
        <w:rPr>
          <w:highlight w:val="none"/>
        </w:rPr>
        <w:fldChar w:fldCharType="end"/>
      </w:r>
      <w:r>
        <w:rPr>
          <w:rFonts w:hint="eastAsia" w:ascii="仿宋" w:hAnsi="仿宋" w:eastAsia="仿宋" w:cs="仿宋"/>
          <w:highlight w:val="none"/>
        </w:rPr>
        <w:fldChar w:fldCharType="end"/>
      </w:r>
    </w:p>
    <w:p w14:paraId="7DA7029E">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_Toc10141 </w:instrText>
      </w:r>
      <w:r>
        <w:rPr>
          <w:rFonts w:hint="eastAsia" w:ascii="仿宋" w:hAnsi="仿宋" w:eastAsia="仿宋" w:cs="仿宋"/>
          <w:highlight w:val="none"/>
        </w:rPr>
        <w:fldChar w:fldCharType="separate"/>
      </w:r>
      <w:r>
        <w:rPr>
          <w:rFonts w:hint="eastAsia" w:ascii="仿宋" w:hAnsi="仿宋" w:eastAsia="仿宋" w:cs="仿宋"/>
          <w:szCs w:val="28"/>
          <w:highlight w:val="none"/>
        </w:rPr>
        <w:t>6.招标文件的澄清与修改</w:t>
      </w:r>
      <w:r>
        <w:rPr>
          <w:highlight w:val="none"/>
        </w:rPr>
        <w:tab/>
      </w:r>
      <w:r>
        <w:rPr>
          <w:highlight w:val="none"/>
        </w:rPr>
        <w:fldChar w:fldCharType="begin"/>
      </w:r>
      <w:r>
        <w:rPr>
          <w:highlight w:val="none"/>
        </w:rPr>
        <w:instrText xml:space="preserve"> PAGEREF _Toc10141 \h </w:instrText>
      </w:r>
      <w:r>
        <w:rPr>
          <w:highlight w:val="none"/>
        </w:rPr>
        <w:fldChar w:fldCharType="separate"/>
      </w:r>
      <w:r>
        <w:rPr>
          <w:highlight w:val="none"/>
        </w:rPr>
        <w:t>8</w:t>
      </w:r>
      <w:r>
        <w:rPr>
          <w:highlight w:val="none"/>
        </w:rPr>
        <w:fldChar w:fldCharType="end"/>
      </w:r>
      <w:r>
        <w:rPr>
          <w:rFonts w:hint="eastAsia" w:ascii="仿宋" w:hAnsi="仿宋" w:eastAsia="仿宋" w:cs="仿宋"/>
          <w:highlight w:val="none"/>
        </w:rPr>
        <w:fldChar w:fldCharType="end"/>
      </w:r>
    </w:p>
    <w:p w14:paraId="252BBB03">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_Toc2841 </w:instrText>
      </w:r>
      <w:r>
        <w:rPr>
          <w:rFonts w:hint="eastAsia" w:ascii="仿宋" w:hAnsi="仿宋" w:eastAsia="仿宋" w:cs="仿宋"/>
          <w:highlight w:val="none"/>
        </w:rPr>
        <w:fldChar w:fldCharType="separate"/>
      </w:r>
      <w:r>
        <w:rPr>
          <w:rFonts w:hint="eastAsia" w:ascii="仿宋" w:hAnsi="仿宋" w:eastAsia="仿宋" w:cs="仿宋"/>
          <w:szCs w:val="28"/>
          <w:highlight w:val="none"/>
        </w:rPr>
        <w:t>7.投标截止时间的顺延</w:t>
      </w:r>
      <w:r>
        <w:rPr>
          <w:highlight w:val="none"/>
        </w:rPr>
        <w:tab/>
      </w:r>
      <w:r>
        <w:rPr>
          <w:highlight w:val="none"/>
        </w:rPr>
        <w:fldChar w:fldCharType="begin"/>
      </w:r>
      <w:r>
        <w:rPr>
          <w:highlight w:val="none"/>
        </w:rPr>
        <w:instrText xml:space="preserve"> PAGEREF _Toc2841 \h </w:instrText>
      </w:r>
      <w:r>
        <w:rPr>
          <w:highlight w:val="none"/>
        </w:rPr>
        <w:fldChar w:fldCharType="separate"/>
      </w:r>
      <w:r>
        <w:rPr>
          <w:highlight w:val="none"/>
        </w:rPr>
        <w:t>9</w:t>
      </w:r>
      <w:r>
        <w:rPr>
          <w:highlight w:val="none"/>
        </w:rPr>
        <w:fldChar w:fldCharType="end"/>
      </w:r>
      <w:r>
        <w:rPr>
          <w:rFonts w:hint="eastAsia" w:ascii="仿宋" w:hAnsi="仿宋" w:eastAsia="仿宋" w:cs="仿宋"/>
          <w:highlight w:val="none"/>
        </w:rPr>
        <w:fldChar w:fldCharType="end"/>
      </w:r>
    </w:p>
    <w:p w14:paraId="39D9DDD2">
      <w:pPr>
        <w:pStyle w:val="17"/>
        <w:tabs>
          <w:tab w:val="right" w:leader="dot" w:pos="9746"/>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_Toc199 </w:instrText>
      </w:r>
      <w:r>
        <w:rPr>
          <w:rFonts w:hint="eastAsia" w:ascii="仿宋" w:hAnsi="仿宋" w:eastAsia="仿宋" w:cs="仿宋"/>
          <w:highlight w:val="none"/>
        </w:rPr>
        <w:fldChar w:fldCharType="separate"/>
      </w:r>
      <w:r>
        <w:rPr>
          <w:rFonts w:hint="eastAsia" w:ascii="仿宋" w:hAnsi="仿宋" w:eastAsia="仿宋" w:cs="仿宋"/>
          <w:szCs w:val="32"/>
          <w:highlight w:val="none"/>
        </w:rPr>
        <w:t>三   投标文件的编制</w:t>
      </w:r>
      <w:r>
        <w:rPr>
          <w:highlight w:val="none"/>
        </w:rPr>
        <w:tab/>
      </w:r>
      <w:r>
        <w:rPr>
          <w:highlight w:val="none"/>
        </w:rPr>
        <w:fldChar w:fldCharType="begin"/>
      </w:r>
      <w:r>
        <w:rPr>
          <w:highlight w:val="none"/>
        </w:rPr>
        <w:instrText xml:space="preserve"> PAGEREF _Toc199 \h </w:instrText>
      </w:r>
      <w:r>
        <w:rPr>
          <w:highlight w:val="none"/>
        </w:rPr>
        <w:fldChar w:fldCharType="separate"/>
      </w:r>
      <w:r>
        <w:rPr>
          <w:highlight w:val="none"/>
        </w:rPr>
        <w:t>9</w:t>
      </w:r>
      <w:r>
        <w:rPr>
          <w:highlight w:val="none"/>
        </w:rPr>
        <w:fldChar w:fldCharType="end"/>
      </w:r>
      <w:r>
        <w:rPr>
          <w:rFonts w:hint="eastAsia" w:ascii="仿宋" w:hAnsi="仿宋" w:eastAsia="仿宋" w:cs="仿宋"/>
          <w:highlight w:val="none"/>
        </w:rPr>
        <w:fldChar w:fldCharType="end"/>
      </w:r>
    </w:p>
    <w:p w14:paraId="6281E9CE">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_Toc1543 </w:instrText>
      </w:r>
      <w:r>
        <w:rPr>
          <w:rFonts w:hint="eastAsia" w:ascii="仿宋" w:hAnsi="仿宋" w:eastAsia="仿宋" w:cs="仿宋"/>
          <w:highlight w:val="none"/>
        </w:rPr>
        <w:fldChar w:fldCharType="separate"/>
      </w:r>
      <w:r>
        <w:rPr>
          <w:rFonts w:hint="eastAsia" w:ascii="仿宋" w:hAnsi="仿宋" w:eastAsia="仿宋" w:cs="仿宋"/>
          <w:szCs w:val="28"/>
          <w:highlight w:val="none"/>
        </w:rPr>
        <w:t>8.投标范围及投标文件中标准和计量单位的使用</w:t>
      </w:r>
      <w:r>
        <w:rPr>
          <w:highlight w:val="none"/>
        </w:rPr>
        <w:tab/>
      </w:r>
      <w:r>
        <w:rPr>
          <w:highlight w:val="none"/>
        </w:rPr>
        <w:fldChar w:fldCharType="begin"/>
      </w:r>
      <w:r>
        <w:rPr>
          <w:highlight w:val="none"/>
        </w:rPr>
        <w:instrText xml:space="preserve"> PAGEREF _Toc1543 \h </w:instrText>
      </w:r>
      <w:r>
        <w:rPr>
          <w:highlight w:val="none"/>
        </w:rPr>
        <w:fldChar w:fldCharType="separate"/>
      </w:r>
      <w:r>
        <w:rPr>
          <w:highlight w:val="none"/>
        </w:rPr>
        <w:t>9</w:t>
      </w:r>
      <w:r>
        <w:rPr>
          <w:highlight w:val="none"/>
        </w:rPr>
        <w:fldChar w:fldCharType="end"/>
      </w:r>
      <w:r>
        <w:rPr>
          <w:rFonts w:hint="eastAsia" w:ascii="仿宋" w:hAnsi="仿宋" w:eastAsia="仿宋" w:cs="仿宋"/>
          <w:highlight w:val="none"/>
        </w:rPr>
        <w:fldChar w:fldCharType="end"/>
      </w:r>
    </w:p>
    <w:p w14:paraId="13F09533">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_Toc12122 </w:instrText>
      </w:r>
      <w:r>
        <w:rPr>
          <w:rFonts w:hint="eastAsia" w:ascii="仿宋" w:hAnsi="仿宋" w:eastAsia="仿宋" w:cs="仿宋"/>
          <w:highlight w:val="none"/>
        </w:rPr>
        <w:fldChar w:fldCharType="separate"/>
      </w:r>
      <w:r>
        <w:rPr>
          <w:rFonts w:hint="eastAsia" w:ascii="仿宋" w:hAnsi="仿宋" w:eastAsia="仿宋" w:cs="仿宋"/>
          <w:szCs w:val="28"/>
          <w:highlight w:val="none"/>
        </w:rPr>
        <w:t>9.投标文件构成</w:t>
      </w:r>
      <w:r>
        <w:rPr>
          <w:highlight w:val="none"/>
        </w:rPr>
        <w:tab/>
      </w:r>
      <w:r>
        <w:rPr>
          <w:highlight w:val="none"/>
        </w:rPr>
        <w:fldChar w:fldCharType="begin"/>
      </w:r>
      <w:r>
        <w:rPr>
          <w:highlight w:val="none"/>
        </w:rPr>
        <w:instrText xml:space="preserve"> PAGEREF _Toc12122 \h </w:instrText>
      </w:r>
      <w:r>
        <w:rPr>
          <w:highlight w:val="none"/>
        </w:rPr>
        <w:fldChar w:fldCharType="separate"/>
      </w:r>
      <w:r>
        <w:rPr>
          <w:highlight w:val="none"/>
        </w:rPr>
        <w:t>10</w:t>
      </w:r>
      <w:r>
        <w:rPr>
          <w:highlight w:val="none"/>
        </w:rPr>
        <w:fldChar w:fldCharType="end"/>
      </w:r>
      <w:r>
        <w:rPr>
          <w:rFonts w:hint="eastAsia" w:ascii="仿宋" w:hAnsi="仿宋" w:eastAsia="仿宋" w:cs="仿宋"/>
          <w:highlight w:val="none"/>
        </w:rPr>
        <w:fldChar w:fldCharType="end"/>
      </w:r>
    </w:p>
    <w:p w14:paraId="57798124">
      <w:pPr>
        <w:pStyle w:val="10"/>
        <w:tabs>
          <w:tab w:val="right" w:pos="2800"/>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_Toc1118 </w:instrText>
      </w:r>
      <w:r>
        <w:rPr>
          <w:rFonts w:hint="eastAsia" w:ascii="仿宋" w:hAnsi="仿宋" w:eastAsia="仿宋" w:cs="仿宋"/>
          <w:highlight w:val="none"/>
        </w:rPr>
        <w:fldChar w:fldCharType="separate"/>
      </w:r>
      <w:r>
        <w:rPr>
          <w:rFonts w:hint="eastAsia" w:ascii="仿宋" w:hAnsi="仿宋" w:eastAsia="仿宋" w:cs="仿宋"/>
          <w:szCs w:val="28"/>
          <w:highlight w:val="none"/>
        </w:rPr>
        <w:t>10.</w:t>
      </w:r>
      <w:r>
        <w:rPr>
          <w:rFonts w:hint="eastAsia" w:ascii="仿宋" w:hAnsi="仿宋" w:eastAsia="仿宋" w:cs="仿宋"/>
          <w:szCs w:val="28"/>
          <w:highlight w:val="none"/>
        </w:rPr>
        <w:tab/>
      </w:r>
      <w:r>
        <w:rPr>
          <w:rFonts w:hint="eastAsia" w:ascii="仿宋" w:hAnsi="仿宋" w:eastAsia="仿宋" w:cs="仿宋"/>
          <w:szCs w:val="28"/>
          <w:highlight w:val="none"/>
        </w:rPr>
        <w:t>证明投标标的的合格性和符合招标文件规定的技术文件</w:t>
      </w:r>
      <w:r>
        <w:rPr>
          <w:highlight w:val="none"/>
        </w:rPr>
        <w:tab/>
      </w:r>
      <w:r>
        <w:rPr>
          <w:highlight w:val="none"/>
        </w:rPr>
        <w:fldChar w:fldCharType="begin"/>
      </w:r>
      <w:r>
        <w:rPr>
          <w:highlight w:val="none"/>
        </w:rPr>
        <w:instrText xml:space="preserve"> PAGEREF _Toc1118 \h </w:instrText>
      </w:r>
      <w:r>
        <w:rPr>
          <w:highlight w:val="none"/>
        </w:rPr>
        <w:fldChar w:fldCharType="separate"/>
      </w:r>
      <w:r>
        <w:rPr>
          <w:highlight w:val="none"/>
        </w:rPr>
        <w:t>10</w:t>
      </w:r>
      <w:r>
        <w:rPr>
          <w:highlight w:val="none"/>
        </w:rPr>
        <w:fldChar w:fldCharType="end"/>
      </w:r>
      <w:r>
        <w:rPr>
          <w:rFonts w:hint="eastAsia" w:ascii="仿宋" w:hAnsi="仿宋" w:eastAsia="仿宋" w:cs="仿宋"/>
          <w:highlight w:val="none"/>
        </w:rPr>
        <w:fldChar w:fldCharType="end"/>
      </w:r>
    </w:p>
    <w:p w14:paraId="777E456D">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_Toc24012 </w:instrText>
      </w:r>
      <w:r>
        <w:rPr>
          <w:rFonts w:hint="eastAsia" w:ascii="仿宋" w:hAnsi="仿宋" w:eastAsia="仿宋" w:cs="仿宋"/>
          <w:highlight w:val="none"/>
        </w:rPr>
        <w:fldChar w:fldCharType="separate"/>
      </w:r>
      <w:r>
        <w:rPr>
          <w:rFonts w:hint="eastAsia" w:ascii="仿宋" w:hAnsi="仿宋" w:eastAsia="仿宋" w:cs="仿宋"/>
          <w:szCs w:val="28"/>
          <w:highlight w:val="none"/>
        </w:rPr>
        <w:t>11.投标报价</w:t>
      </w:r>
      <w:r>
        <w:rPr>
          <w:highlight w:val="none"/>
        </w:rPr>
        <w:tab/>
      </w:r>
      <w:r>
        <w:rPr>
          <w:highlight w:val="none"/>
        </w:rPr>
        <w:fldChar w:fldCharType="begin"/>
      </w:r>
      <w:r>
        <w:rPr>
          <w:highlight w:val="none"/>
        </w:rPr>
        <w:instrText xml:space="preserve"> PAGEREF _Toc24012 \h </w:instrText>
      </w:r>
      <w:r>
        <w:rPr>
          <w:highlight w:val="none"/>
        </w:rPr>
        <w:fldChar w:fldCharType="separate"/>
      </w:r>
      <w:r>
        <w:rPr>
          <w:highlight w:val="none"/>
        </w:rPr>
        <w:t>10</w:t>
      </w:r>
      <w:r>
        <w:rPr>
          <w:highlight w:val="none"/>
        </w:rPr>
        <w:fldChar w:fldCharType="end"/>
      </w:r>
      <w:r>
        <w:rPr>
          <w:rFonts w:hint="eastAsia" w:ascii="仿宋" w:hAnsi="仿宋" w:eastAsia="仿宋" w:cs="仿宋"/>
          <w:highlight w:val="none"/>
        </w:rPr>
        <w:fldChar w:fldCharType="end"/>
      </w:r>
    </w:p>
    <w:p w14:paraId="2E5A09F3">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_Toc9664 </w:instrText>
      </w:r>
      <w:r>
        <w:rPr>
          <w:rFonts w:hint="eastAsia" w:ascii="仿宋" w:hAnsi="仿宋" w:eastAsia="仿宋" w:cs="仿宋"/>
          <w:highlight w:val="none"/>
        </w:rPr>
        <w:fldChar w:fldCharType="separate"/>
      </w:r>
      <w:r>
        <w:rPr>
          <w:rFonts w:hint="eastAsia" w:ascii="仿宋" w:hAnsi="仿宋" w:eastAsia="仿宋" w:cs="仿宋"/>
          <w:szCs w:val="28"/>
          <w:highlight w:val="none"/>
        </w:rPr>
        <w:t>12.投标保证金</w:t>
      </w:r>
      <w:r>
        <w:rPr>
          <w:highlight w:val="none"/>
        </w:rPr>
        <w:tab/>
      </w:r>
      <w:r>
        <w:rPr>
          <w:highlight w:val="none"/>
        </w:rPr>
        <w:fldChar w:fldCharType="begin"/>
      </w:r>
      <w:r>
        <w:rPr>
          <w:highlight w:val="none"/>
        </w:rPr>
        <w:instrText xml:space="preserve"> PAGEREF _Toc9664 \h </w:instrText>
      </w:r>
      <w:r>
        <w:rPr>
          <w:highlight w:val="none"/>
        </w:rPr>
        <w:fldChar w:fldCharType="separate"/>
      </w:r>
      <w:r>
        <w:rPr>
          <w:highlight w:val="none"/>
        </w:rPr>
        <w:t>11</w:t>
      </w:r>
      <w:r>
        <w:rPr>
          <w:highlight w:val="none"/>
        </w:rPr>
        <w:fldChar w:fldCharType="end"/>
      </w:r>
      <w:r>
        <w:rPr>
          <w:rFonts w:hint="eastAsia" w:ascii="仿宋" w:hAnsi="仿宋" w:eastAsia="仿宋" w:cs="仿宋"/>
          <w:highlight w:val="none"/>
        </w:rPr>
        <w:fldChar w:fldCharType="end"/>
      </w:r>
    </w:p>
    <w:p w14:paraId="7414B28E">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_Toc30748 </w:instrText>
      </w:r>
      <w:r>
        <w:rPr>
          <w:rFonts w:hint="eastAsia" w:ascii="仿宋" w:hAnsi="仿宋" w:eastAsia="仿宋" w:cs="仿宋"/>
          <w:highlight w:val="none"/>
        </w:rPr>
        <w:fldChar w:fldCharType="separate"/>
      </w:r>
      <w:r>
        <w:rPr>
          <w:rFonts w:hint="eastAsia" w:ascii="仿宋" w:hAnsi="仿宋" w:eastAsia="仿宋" w:cs="仿宋"/>
          <w:szCs w:val="28"/>
          <w:highlight w:val="none"/>
        </w:rPr>
        <w:t>13.投标有效期</w:t>
      </w:r>
      <w:r>
        <w:rPr>
          <w:highlight w:val="none"/>
        </w:rPr>
        <w:tab/>
      </w:r>
      <w:r>
        <w:rPr>
          <w:highlight w:val="none"/>
        </w:rPr>
        <w:fldChar w:fldCharType="begin"/>
      </w:r>
      <w:r>
        <w:rPr>
          <w:highlight w:val="none"/>
        </w:rPr>
        <w:instrText xml:space="preserve"> PAGEREF _Toc30748 \h </w:instrText>
      </w:r>
      <w:r>
        <w:rPr>
          <w:highlight w:val="none"/>
        </w:rPr>
        <w:fldChar w:fldCharType="separate"/>
      </w:r>
      <w:r>
        <w:rPr>
          <w:highlight w:val="none"/>
        </w:rPr>
        <w:t>12</w:t>
      </w:r>
      <w:r>
        <w:rPr>
          <w:highlight w:val="none"/>
        </w:rPr>
        <w:fldChar w:fldCharType="end"/>
      </w:r>
      <w:r>
        <w:rPr>
          <w:rFonts w:hint="eastAsia" w:ascii="仿宋" w:hAnsi="仿宋" w:eastAsia="仿宋" w:cs="仿宋"/>
          <w:highlight w:val="none"/>
        </w:rPr>
        <w:fldChar w:fldCharType="end"/>
      </w:r>
    </w:p>
    <w:p w14:paraId="72B7ABD6">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_Toc19852 </w:instrText>
      </w:r>
      <w:r>
        <w:rPr>
          <w:rFonts w:hint="eastAsia" w:ascii="仿宋" w:hAnsi="仿宋" w:eastAsia="仿宋" w:cs="仿宋"/>
          <w:highlight w:val="none"/>
        </w:rPr>
        <w:fldChar w:fldCharType="separate"/>
      </w:r>
      <w:r>
        <w:rPr>
          <w:rFonts w:hint="eastAsia" w:ascii="仿宋" w:hAnsi="仿宋" w:eastAsia="仿宋" w:cs="仿宋"/>
          <w:szCs w:val="28"/>
          <w:highlight w:val="none"/>
        </w:rPr>
        <w:t>14.投标文件的签署及规定</w:t>
      </w:r>
      <w:r>
        <w:rPr>
          <w:highlight w:val="none"/>
        </w:rPr>
        <w:tab/>
      </w:r>
      <w:r>
        <w:rPr>
          <w:highlight w:val="none"/>
        </w:rPr>
        <w:fldChar w:fldCharType="begin"/>
      </w:r>
      <w:r>
        <w:rPr>
          <w:highlight w:val="none"/>
        </w:rPr>
        <w:instrText xml:space="preserve"> PAGEREF _Toc19852 \h </w:instrText>
      </w:r>
      <w:r>
        <w:rPr>
          <w:highlight w:val="none"/>
        </w:rPr>
        <w:fldChar w:fldCharType="separate"/>
      </w:r>
      <w:r>
        <w:rPr>
          <w:highlight w:val="none"/>
        </w:rPr>
        <w:t>13</w:t>
      </w:r>
      <w:r>
        <w:rPr>
          <w:highlight w:val="none"/>
        </w:rPr>
        <w:fldChar w:fldCharType="end"/>
      </w:r>
      <w:r>
        <w:rPr>
          <w:rFonts w:hint="eastAsia" w:ascii="仿宋" w:hAnsi="仿宋" w:eastAsia="仿宋" w:cs="仿宋"/>
          <w:highlight w:val="none"/>
        </w:rPr>
        <w:fldChar w:fldCharType="end"/>
      </w:r>
    </w:p>
    <w:p w14:paraId="39E51D94">
      <w:pPr>
        <w:pStyle w:val="17"/>
        <w:tabs>
          <w:tab w:val="right" w:leader="dot" w:pos="9746"/>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_Toc17950 </w:instrText>
      </w:r>
      <w:r>
        <w:rPr>
          <w:rFonts w:hint="eastAsia" w:ascii="仿宋" w:hAnsi="仿宋" w:eastAsia="仿宋" w:cs="仿宋"/>
          <w:highlight w:val="none"/>
        </w:rPr>
        <w:fldChar w:fldCharType="separate"/>
      </w:r>
      <w:r>
        <w:rPr>
          <w:rFonts w:hint="eastAsia" w:ascii="仿宋" w:hAnsi="仿宋" w:eastAsia="仿宋" w:cs="仿宋"/>
          <w:szCs w:val="32"/>
          <w:highlight w:val="none"/>
        </w:rPr>
        <w:t>四</w:t>
      </w:r>
      <w:r>
        <w:rPr>
          <w:rFonts w:hint="eastAsia" w:ascii="仿宋" w:hAnsi="仿宋" w:eastAsia="仿宋" w:cs="仿宋"/>
          <w:szCs w:val="32"/>
          <w:highlight w:val="none"/>
          <w:lang w:val="en-US" w:eastAsia="zh-CN"/>
        </w:rPr>
        <w:t xml:space="preserve"> </w:t>
      </w:r>
      <w:r>
        <w:rPr>
          <w:rFonts w:hint="eastAsia" w:ascii="仿宋" w:hAnsi="仿宋" w:eastAsia="仿宋" w:cs="仿宋"/>
          <w:szCs w:val="32"/>
          <w:highlight w:val="none"/>
        </w:rPr>
        <w:t xml:space="preserve"> 投标文件的递交</w:t>
      </w:r>
      <w:r>
        <w:rPr>
          <w:highlight w:val="none"/>
        </w:rPr>
        <w:tab/>
      </w:r>
      <w:r>
        <w:rPr>
          <w:highlight w:val="none"/>
        </w:rPr>
        <w:fldChar w:fldCharType="begin"/>
      </w:r>
      <w:r>
        <w:rPr>
          <w:highlight w:val="none"/>
        </w:rPr>
        <w:instrText xml:space="preserve"> PAGEREF _Toc17950 \h </w:instrText>
      </w:r>
      <w:r>
        <w:rPr>
          <w:highlight w:val="none"/>
        </w:rPr>
        <w:fldChar w:fldCharType="separate"/>
      </w:r>
      <w:r>
        <w:rPr>
          <w:highlight w:val="none"/>
        </w:rPr>
        <w:t>13</w:t>
      </w:r>
      <w:r>
        <w:rPr>
          <w:highlight w:val="none"/>
        </w:rPr>
        <w:fldChar w:fldCharType="end"/>
      </w:r>
      <w:r>
        <w:rPr>
          <w:rFonts w:hint="eastAsia" w:ascii="仿宋" w:hAnsi="仿宋" w:eastAsia="仿宋" w:cs="仿宋"/>
          <w:highlight w:val="none"/>
        </w:rPr>
        <w:fldChar w:fldCharType="end"/>
      </w:r>
    </w:p>
    <w:p w14:paraId="1159F1BF">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_Toc5750 </w:instrText>
      </w:r>
      <w:r>
        <w:rPr>
          <w:rFonts w:hint="eastAsia" w:ascii="仿宋" w:hAnsi="仿宋" w:eastAsia="仿宋" w:cs="仿宋"/>
          <w:highlight w:val="none"/>
        </w:rPr>
        <w:fldChar w:fldCharType="separate"/>
      </w:r>
      <w:r>
        <w:rPr>
          <w:rFonts w:hint="eastAsia" w:ascii="仿宋" w:hAnsi="仿宋" w:eastAsia="仿宋" w:cs="仿宋"/>
          <w:szCs w:val="28"/>
          <w:highlight w:val="none"/>
        </w:rPr>
        <w:t>15.投标文件的密封和标记</w:t>
      </w:r>
      <w:r>
        <w:rPr>
          <w:highlight w:val="none"/>
        </w:rPr>
        <w:tab/>
      </w:r>
      <w:r>
        <w:rPr>
          <w:highlight w:val="none"/>
        </w:rPr>
        <w:fldChar w:fldCharType="begin"/>
      </w:r>
      <w:r>
        <w:rPr>
          <w:highlight w:val="none"/>
        </w:rPr>
        <w:instrText xml:space="preserve"> PAGEREF _Toc5750 \h </w:instrText>
      </w:r>
      <w:r>
        <w:rPr>
          <w:highlight w:val="none"/>
        </w:rPr>
        <w:fldChar w:fldCharType="separate"/>
      </w:r>
      <w:r>
        <w:rPr>
          <w:highlight w:val="none"/>
        </w:rPr>
        <w:t>13</w:t>
      </w:r>
      <w:r>
        <w:rPr>
          <w:highlight w:val="none"/>
        </w:rPr>
        <w:fldChar w:fldCharType="end"/>
      </w:r>
      <w:r>
        <w:rPr>
          <w:rFonts w:hint="eastAsia" w:ascii="仿宋" w:hAnsi="仿宋" w:eastAsia="仿宋" w:cs="仿宋"/>
          <w:highlight w:val="none"/>
        </w:rPr>
        <w:fldChar w:fldCharType="end"/>
      </w:r>
    </w:p>
    <w:p w14:paraId="441467FA">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_Toc18746 </w:instrText>
      </w:r>
      <w:r>
        <w:rPr>
          <w:rFonts w:hint="eastAsia" w:ascii="仿宋" w:hAnsi="仿宋" w:eastAsia="仿宋" w:cs="仿宋"/>
          <w:highlight w:val="none"/>
        </w:rPr>
        <w:fldChar w:fldCharType="separate"/>
      </w:r>
      <w:r>
        <w:rPr>
          <w:rFonts w:hint="eastAsia" w:ascii="仿宋" w:hAnsi="仿宋" w:eastAsia="仿宋" w:cs="仿宋"/>
          <w:szCs w:val="28"/>
          <w:highlight w:val="none"/>
        </w:rPr>
        <w:t>16.投标截止</w:t>
      </w:r>
      <w:r>
        <w:rPr>
          <w:highlight w:val="none"/>
        </w:rPr>
        <w:tab/>
      </w:r>
      <w:r>
        <w:rPr>
          <w:highlight w:val="none"/>
        </w:rPr>
        <w:fldChar w:fldCharType="begin"/>
      </w:r>
      <w:r>
        <w:rPr>
          <w:highlight w:val="none"/>
        </w:rPr>
        <w:instrText xml:space="preserve"> PAGEREF _Toc18746 \h </w:instrText>
      </w:r>
      <w:r>
        <w:rPr>
          <w:highlight w:val="none"/>
        </w:rPr>
        <w:fldChar w:fldCharType="separate"/>
      </w:r>
      <w:r>
        <w:rPr>
          <w:highlight w:val="none"/>
        </w:rPr>
        <w:t>14</w:t>
      </w:r>
      <w:r>
        <w:rPr>
          <w:highlight w:val="none"/>
        </w:rPr>
        <w:fldChar w:fldCharType="end"/>
      </w:r>
      <w:r>
        <w:rPr>
          <w:rFonts w:hint="eastAsia" w:ascii="仿宋" w:hAnsi="仿宋" w:eastAsia="仿宋" w:cs="仿宋"/>
          <w:highlight w:val="none"/>
        </w:rPr>
        <w:fldChar w:fldCharType="end"/>
      </w:r>
    </w:p>
    <w:p w14:paraId="65D0A383">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_Toc4022 </w:instrText>
      </w:r>
      <w:r>
        <w:rPr>
          <w:rFonts w:hint="eastAsia" w:ascii="仿宋" w:hAnsi="仿宋" w:eastAsia="仿宋" w:cs="仿宋"/>
          <w:highlight w:val="none"/>
        </w:rPr>
        <w:fldChar w:fldCharType="separate"/>
      </w:r>
      <w:r>
        <w:rPr>
          <w:rFonts w:hint="eastAsia" w:ascii="仿宋" w:hAnsi="仿宋" w:eastAsia="仿宋" w:cs="仿宋"/>
          <w:szCs w:val="28"/>
          <w:highlight w:val="none"/>
        </w:rPr>
        <w:t>17.投标文件的接收、修改与撤回</w:t>
      </w:r>
      <w:r>
        <w:rPr>
          <w:highlight w:val="none"/>
        </w:rPr>
        <w:tab/>
      </w:r>
      <w:r>
        <w:rPr>
          <w:highlight w:val="none"/>
        </w:rPr>
        <w:fldChar w:fldCharType="begin"/>
      </w:r>
      <w:r>
        <w:rPr>
          <w:highlight w:val="none"/>
        </w:rPr>
        <w:instrText xml:space="preserve"> PAGEREF _Toc4022 \h </w:instrText>
      </w:r>
      <w:r>
        <w:rPr>
          <w:highlight w:val="none"/>
        </w:rPr>
        <w:fldChar w:fldCharType="separate"/>
      </w:r>
      <w:r>
        <w:rPr>
          <w:highlight w:val="none"/>
        </w:rPr>
        <w:t>14</w:t>
      </w:r>
      <w:r>
        <w:rPr>
          <w:highlight w:val="none"/>
        </w:rPr>
        <w:fldChar w:fldCharType="end"/>
      </w:r>
      <w:r>
        <w:rPr>
          <w:rFonts w:hint="eastAsia" w:ascii="仿宋" w:hAnsi="仿宋" w:eastAsia="仿宋" w:cs="仿宋"/>
          <w:highlight w:val="none"/>
        </w:rPr>
        <w:fldChar w:fldCharType="end"/>
      </w:r>
    </w:p>
    <w:p w14:paraId="119A4444">
      <w:pPr>
        <w:pStyle w:val="17"/>
        <w:tabs>
          <w:tab w:val="right" w:leader="dot" w:pos="9746"/>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_Toc342 </w:instrText>
      </w:r>
      <w:r>
        <w:rPr>
          <w:rFonts w:hint="eastAsia" w:ascii="仿宋" w:hAnsi="仿宋" w:eastAsia="仿宋" w:cs="仿宋"/>
          <w:highlight w:val="none"/>
        </w:rPr>
        <w:fldChar w:fldCharType="separate"/>
      </w:r>
      <w:r>
        <w:rPr>
          <w:rFonts w:hint="eastAsia" w:ascii="仿宋" w:hAnsi="仿宋" w:eastAsia="仿宋" w:cs="仿宋"/>
          <w:szCs w:val="32"/>
          <w:highlight w:val="none"/>
        </w:rPr>
        <w:t>五   开标及评标</w:t>
      </w:r>
      <w:r>
        <w:rPr>
          <w:highlight w:val="none"/>
        </w:rPr>
        <w:tab/>
      </w:r>
      <w:r>
        <w:rPr>
          <w:highlight w:val="none"/>
        </w:rPr>
        <w:fldChar w:fldCharType="begin"/>
      </w:r>
      <w:r>
        <w:rPr>
          <w:highlight w:val="none"/>
        </w:rPr>
        <w:instrText xml:space="preserve"> PAGEREF _Toc342 \h </w:instrText>
      </w:r>
      <w:r>
        <w:rPr>
          <w:highlight w:val="none"/>
        </w:rPr>
        <w:fldChar w:fldCharType="separate"/>
      </w:r>
      <w:r>
        <w:rPr>
          <w:highlight w:val="none"/>
        </w:rPr>
        <w:t>15</w:t>
      </w:r>
      <w:r>
        <w:rPr>
          <w:highlight w:val="none"/>
        </w:rPr>
        <w:fldChar w:fldCharType="end"/>
      </w:r>
      <w:r>
        <w:rPr>
          <w:rFonts w:hint="eastAsia" w:ascii="仿宋" w:hAnsi="仿宋" w:eastAsia="仿宋" w:cs="仿宋"/>
          <w:highlight w:val="none"/>
        </w:rPr>
        <w:fldChar w:fldCharType="end"/>
      </w:r>
    </w:p>
    <w:p w14:paraId="18B6E582">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_Toc30958 </w:instrText>
      </w:r>
      <w:r>
        <w:rPr>
          <w:rFonts w:hint="eastAsia" w:ascii="仿宋" w:hAnsi="仿宋" w:eastAsia="仿宋" w:cs="仿宋"/>
          <w:highlight w:val="none"/>
        </w:rPr>
        <w:fldChar w:fldCharType="separate"/>
      </w:r>
      <w:r>
        <w:rPr>
          <w:rFonts w:hint="eastAsia" w:ascii="仿宋" w:hAnsi="仿宋" w:eastAsia="仿宋" w:cs="仿宋"/>
          <w:szCs w:val="28"/>
          <w:highlight w:val="none"/>
          <w:lang w:val="en-US" w:eastAsia="zh-CN"/>
        </w:rPr>
        <w:t>18.</w:t>
      </w:r>
      <w:r>
        <w:rPr>
          <w:rFonts w:hint="eastAsia" w:ascii="仿宋" w:hAnsi="仿宋" w:eastAsia="仿宋" w:cs="仿宋"/>
          <w:szCs w:val="28"/>
          <w:highlight w:val="none"/>
        </w:rPr>
        <w:t>开标</w:t>
      </w:r>
      <w:r>
        <w:rPr>
          <w:highlight w:val="none"/>
        </w:rPr>
        <w:tab/>
      </w:r>
      <w:r>
        <w:rPr>
          <w:highlight w:val="none"/>
        </w:rPr>
        <w:fldChar w:fldCharType="begin"/>
      </w:r>
      <w:r>
        <w:rPr>
          <w:highlight w:val="none"/>
        </w:rPr>
        <w:instrText xml:space="preserve"> PAGEREF _Toc30958 \h </w:instrText>
      </w:r>
      <w:r>
        <w:rPr>
          <w:highlight w:val="none"/>
        </w:rPr>
        <w:fldChar w:fldCharType="separate"/>
      </w:r>
      <w:r>
        <w:rPr>
          <w:highlight w:val="none"/>
        </w:rPr>
        <w:t>15</w:t>
      </w:r>
      <w:r>
        <w:rPr>
          <w:highlight w:val="none"/>
        </w:rPr>
        <w:fldChar w:fldCharType="end"/>
      </w:r>
      <w:r>
        <w:rPr>
          <w:rFonts w:hint="eastAsia" w:ascii="仿宋" w:hAnsi="仿宋" w:eastAsia="仿宋" w:cs="仿宋"/>
          <w:highlight w:val="none"/>
        </w:rPr>
        <w:fldChar w:fldCharType="end"/>
      </w:r>
    </w:p>
    <w:p w14:paraId="217170B6">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_Toc6577 </w:instrText>
      </w:r>
      <w:r>
        <w:rPr>
          <w:rFonts w:hint="eastAsia" w:ascii="仿宋" w:hAnsi="仿宋" w:eastAsia="仿宋" w:cs="仿宋"/>
          <w:highlight w:val="none"/>
        </w:rPr>
        <w:fldChar w:fldCharType="separate"/>
      </w:r>
      <w:r>
        <w:rPr>
          <w:rFonts w:hint="eastAsia" w:ascii="仿宋" w:hAnsi="仿宋" w:eastAsia="仿宋" w:cs="仿宋"/>
          <w:szCs w:val="28"/>
          <w:highlight w:val="none"/>
        </w:rPr>
        <w:t>19.资格审查及组建评标委员会</w:t>
      </w:r>
      <w:r>
        <w:rPr>
          <w:highlight w:val="none"/>
        </w:rPr>
        <w:tab/>
      </w:r>
      <w:r>
        <w:rPr>
          <w:highlight w:val="none"/>
        </w:rPr>
        <w:fldChar w:fldCharType="begin"/>
      </w:r>
      <w:r>
        <w:rPr>
          <w:highlight w:val="none"/>
        </w:rPr>
        <w:instrText xml:space="preserve"> PAGEREF _Toc6577 \h </w:instrText>
      </w:r>
      <w:r>
        <w:rPr>
          <w:highlight w:val="none"/>
        </w:rPr>
        <w:fldChar w:fldCharType="separate"/>
      </w:r>
      <w:r>
        <w:rPr>
          <w:highlight w:val="none"/>
        </w:rPr>
        <w:t>16</w:t>
      </w:r>
      <w:r>
        <w:rPr>
          <w:highlight w:val="none"/>
        </w:rPr>
        <w:fldChar w:fldCharType="end"/>
      </w:r>
      <w:r>
        <w:rPr>
          <w:rFonts w:hint="eastAsia" w:ascii="仿宋" w:hAnsi="仿宋" w:eastAsia="仿宋" w:cs="仿宋"/>
          <w:highlight w:val="none"/>
        </w:rPr>
        <w:fldChar w:fldCharType="end"/>
      </w:r>
    </w:p>
    <w:p w14:paraId="077EC769">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_Toc6642 </w:instrText>
      </w:r>
      <w:r>
        <w:rPr>
          <w:rFonts w:hint="eastAsia" w:ascii="仿宋" w:hAnsi="仿宋" w:eastAsia="仿宋" w:cs="仿宋"/>
          <w:highlight w:val="none"/>
        </w:rPr>
        <w:fldChar w:fldCharType="separate"/>
      </w:r>
      <w:r>
        <w:rPr>
          <w:rFonts w:hint="eastAsia" w:ascii="仿宋" w:hAnsi="仿宋" w:eastAsia="仿宋" w:cs="仿宋"/>
          <w:szCs w:val="28"/>
          <w:highlight w:val="none"/>
        </w:rPr>
        <w:t>20.投标文件符合性审查与澄清</w:t>
      </w:r>
      <w:r>
        <w:rPr>
          <w:highlight w:val="none"/>
        </w:rPr>
        <w:tab/>
      </w:r>
      <w:r>
        <w:rPr>
          <w:highlight w:val="none"/>
        </w:rPr>
        <w:fldChar w:fldCharType="begin"/>
      </w:r>
      <w:r>
        <w:rPr>
          <w:highlight w:val="none"/>
        </w:rPr>
        <w:instrText xml:space="preserve"> PAGEREF _Toc6642 \h </w:instrText>
      </w:r>
      <w:r>
        <w:rPr>
          <w:highlight w:val="none"/>
        </w:rPr>
        <w:fldChar w:fldCharType="separate"/>
      </w:r>
      <w:r>
        <w:rPr>
          <w:highlight w:val="none"/>
        </w:rPr>
        <w:t>17</w:t>
      </w:r>
      <w:r>
        <w:rPr>
          <w:highlight w:val="none"/>
        </w:rPr>
        <w:fldChar w:fldCharType="end"/>
      </w:r>
      <w:r>
        <w:rPr>
          <w:rFonts w:hint="eastAsia" w:ascii="仿宋" w:hAnsi="仿宋" w:eastAsia="仿宋" w:cs="仿宋"/>
          <w:highlight w:val="none"/>
        </w:rPr>
        <w:fldChar w:fldCharType="end"/>
      </w:r>
    </w:p>
    <w:p w14:paraId="3AB5BCDC">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_Toc17919 </w:instrText>
      </w:r>
      <w:r>
        <w:rPr>
          <w:rFonts w:hint="eastAsia" w:ascii="仿宋" w:hAnsi="仿宋" w:eastAsia="仿宋" w:cs="仿宋"/>
          <w:highlight w:val="none"/>
        </w:rPr>
        <w:fldChar w:fldCharType="separate"/>
      </w:r>
      <w:r>
        <w:rPr>
          <w:rFonts w:hint="eastAsia" w:ascii="仿宋" w:hAnsi="仿宋" w:eastAsia="仿宋" w:cs="仿宋"/>
          <w:szCs w:val="28"/>
          <w:highlight w:val="none"/>
        </w:rPr>
        <w:t>21.投标偏离</w:t>
      </w:r>
      <w:r>
        <w:rPr>
          <w:highlight w:val="none"/>
        </w:rPr>
        <w:tab/>
      </w:r>
      <w:r>
        <w:rPr>
          <w:highlight w:val="none"/>
        </w:rPr>
        <w:fldChar w:fldCharType="begin"/>
      </w:r>
      <w:r>
        <w:rPr>
          <w:highlight w:val="none"/>
        </w:rPr>
        <w:instrText xml:space="preserve"> PAGEREF _Toc17919 \h </w:instrText>
      </w:r>
      <w:r>
        <w:rPr>
          <w:highlight w:val="none"/>
        </w:rPr>
        <w:fldChar w:fldCharType="separate"/>
      </w:r>
      <w:r>
        <w:rPr>
          <w:highlight w:val="none"/>
        </w:rPr>
        <w:t>19</w:t>
      </w:r>
      <w:r>
        <w:rPr>
          <w:highlight w:val="none"/>
        </w:rPr>
        <w:fldChar w:fldCharType="end"/>
      </w:r>
      <w:r>
        <w:rPr>
          <w:rFonts w:hint="eastAsia" w:ascii="仿宋" w:hAnsi="仿宋" w:eastAsia="仿宋" w:cs="仿宋"/>
          <w:highlight w:val="none"/>
        </w:rPr>
        <w:fldChar w:fldCharType="end"/>
      </w:r>
    </w:p>
    <w:p w14:paraId="71AC09EB">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_Toc32277 </w:instrText>
      </w:r>
      <w:r>
        <w:rPr>
          <w:rFonts w:hint="eastAsia" w:ascii="仿宋" w:hAnsi="仿宋" w:eastAsia="仿宋" w:cs="仿宋"/>
          <w:highlight w:val="none"/>
        </w:rPr>
        <w:fldChar w:fldCharType="separate"/>
      </w:r>
      <w:r>
        <w:rPr>
          <w:rFonts w:hint="eastAsia" w:ascii="仿宋" w:hAnsi="仿宋" w:eastAsia="仿宋" w:cs="仿宋"/>
          <w:szCs w:val="28"/>
          <w:highlight w:val="none"/>
        </w:rPr>
        <w:t>22.投标无效</w:t>
      </w:r>
      <w:r>
        <w:rPr>
          <w:highlight w:val="none"/>
        </w:rPr>
        <w:tab/>
      </w:r>
      <w:r>
        <w:rPr>
          <w:highlight w:val="none"/>
        </w:rPr>
        <w:fldChar w:fldCharType="begin"/>
      </w:r>
      <w:r>
        <w:rPr>
          <w:highlight w:val="none"/>
        </w:rPr>
        <w:instrText xml:space="preserve"> PAGEREF _Toc32277 \h </w:instrText>
      </w:r>
      <w:r>
        <w:rPr>
          <w:highlight w:val="none"/>
        </w:rPr>
        <w:fldChar w:fldCharType="separate"/>
      </w:r>
      <w:r>
        <w:rPr>
          <w:highlight w:val="none"/>
        </w:rPr>
        <w:t>19</w:t>
      </w:r>
      <w:r>
        <w:rPr>
          <w:highlight w:val="none"/>
        </w:rPr>
        <w:fldChar w:fldCharType="end"/>
      </w:r>
      <w:r>
        <w:rPr>
          <w:rFonts w:hint="eastAsia" w:ascii="仿宋" w:hAnsi="仿宋" w:eastAsia="仿宋" w:cs="仿宋"/>
          <w:highlight w:val="none"/>
        </w:rPr>
        <w:fldChar w:fldCharType="end"/>
      </w:r>
    </w:p>
    <w:p w14:paraId="7A0C8D36">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_Toc6412 </w:instrText>
      </w:r>
      <w:r>
        <w:rPr>
          <w:rFonts w:hint="eastAsia" w:ascii="仿宋" w:hAnsi="仿宋" w:eastAsia="仿宋" w:cs="仿宋"/>
          <w:highlight w:val="none"/>
        </w:rPr>
        <w:fldChar w:fldCharType="separate"/>
      </w:r>
      <w:r>
        <w:rPr>
          <w:rFonts w:hint="eastAsia" w:ascii="仿宋" w:hAnsi="仿宋" w:eastAsia="仿宋" w:cs="仿宋"/>
          <w:szCs w:val="28"/>
          <w:highlight w:val="none"/>
        </w:rPr>
        <w:t>23.比较与评价</w:t>
      </w:r>
      <w:r>
        <w:rPr>
          <w:highlight w:val="none"/>
        </w:rPr>
        <w:tab/>
      </w:r>
      <w:r>
        <w:rPr>
          <w:highlight w:val="none"/>
        </w:rPr>
        <w:fldChar w:fldCharType="begin"/>
      </w:r>
      <w:r>
        <w:rPr>
          <w:highlight w:val="none"/>
        </w:rPr>
        <w:instrText xml:space="preserve"> PAGEREF _Toc6412 \h </w:instrText>
      </w:r>
      <w:r>
        <w:rPr>
          <w:highlight w:val="none"/>
        </w:rPr>
        <w:fldChar w:fldCharType="separate"/>
      </w:r>
      <w:r>
        <w:rPr>
          <w:highlight w:val="none"/>
        </w:rPr>
        <w:t>20</w:t>
      </w:r>
      <w:r>
        <w:rPr>
          <w:highlight w:val="none"/>
        </w:rPr>
        <w:fldChar w:fldCharType="end"/>
      </w:r>
      <w:r>
        <w:rPr>
          <w:rFonts w:hint="eastAsia" w:ascii="仿宋" w:hAnsi="仿宋" w:eastAsia="仿宋" w:cs="仿宋"/>
          <w:highlight w:val="none"/>
        </w:rPr>
        <w:fldChar w:fldCharType="end"/>
      </w:r>
    </w:p>
    <w:p w14:paraId="3750DF3A">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_Toc22192 </w:instrText>
      </w:r>
      <w:r>
        <w:rPr>
          <w:rFonts w:hint="eastAsia" w:ascii="仿宋" w:hAnsi="仿宋" w:eastAsia="仿宋" w:cs="仿宋"/>
          <w:highlight w:val="none"/>
        </w:rPr>
        <w:fldChar w:fldCharType="separate"/>
      </w:r>
      <w:r>
        <w:rPr>
          <w:rFonts w:hint="eastAsia" w:ascii="仿宋" w:hAnsi="仿宋" w:eastAsia="仿宋" w:cs="仿宋"/>
          <w:szCs w:val="28"/>
          <w:highlight w:val="none"/>
        </w:rPr>
        <w:t>24.废标</w:t>
      </w:r>
      <w:r>
        <w:rPr>
          <w:highlight w:val="none"/>
        </w:rPr>
        <w:tab/>
      </w:r>
      <w:r>
        <w:rPr>
          <w:highlight w:val="none"/>
        </w:rPr>
        <w:fldChar w:fldCharType="begin"/>
      </w:r>
      <w:r>
        <w:rPr>
          <w:highlight w:val="none"/>
        </w:rPr>
        <w:instrText xml:space="preserve"> PAGEREF _Toc22192 \h </w:instrText>
      </w:r>
      <w:r>
        <w:rPr>
          <w:highlight w:val="none"/>
        </w:rPr>
        <w:fldChar w:fldCharType="separate"/>
      </w:r>
      <w:r>
        <w:rPr>
          <w:highlight w:val="none"/>
        </w:rPr>
        <w:t>21</w:t>
      </w:r>
      <w:r>
        <w:rPr>
          <w:highlight w:val="none"/>
        </w:rPr>
        <w:fldChar w:fldCharType="end"/>
      </w:r>
      <w:r>
        <w:rPr>
          <w:rFonts w:hint="eastAsia" w:ascii="仿宋" w:hAnsi="仿宋" w:eastAsia="仿宋" w:cs="仿宋"/>
          <w:highlight w:val="none"/>
        </w:rPr>
        <w:fldChar w:fldCharType="end"/>
      </w:r>
    </w:p>
    <w:p w14:paraId="05B05791">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_Toc10654 </w:instrText>
      </w:r>
      <w:r>
        <w:rPr>
          <w:rFonts w:hint="eastAsia" w:ascii="仿宋" w:hAnsi="仿宋" w:eastAsia="仿宋" w:cs="仿宋"/>
          <w:highlight w:val="none"/>
        </w:rPr>
        <w:fldChar w:fldCharType="separate"/>
      </w:r>
      <w:r>
        <w:rPr>
          <w:rFonts w:hint="eastAsia" w:ascii="仿宋" w:hAnsi="仿宋" w:eastAsia="仿宋" w:cs="仿宋"/>
          <w:szCs w:val="28"/>
          <w:highlight w:val="none"/>
        </w:rPr>
        <w:t>25.保密原则</w:t>
      </w:r>
      <w:r>
        <w:rPr>
          <w:highlight w:val="none"/>
        </w:rPr>
        <w:tab/>
      </w:r>
      <w:r>
        <w:rPr>
          <w:highlight w:val="none"/>
        </w:rPr>
        <w:fldChar w:fldCharType="begin"/>
      </w:r>
      <w:r>
        <w:rPr>
          <w:highlight w:val="none"/>
        </w:rPr>
        <w:instrText xml:space="preserve"> PAGEREF _Toc10654 \h </w:instrText>
      </w:r>
      <w:r>
        <w:rPr>
          <w:highlight w:val="none"/>
        </w:rPr>
        <w:fldChar w:fldCharType="separate"/>
      </w:r>
      <w:r>
        <w:rPr>
          <w:highlight w:val="none"/>
        </w:rPr>
        <w:t>21</w:t>
      </w:r>
      <w:r>
        <w:rPr>
          <w:highlight w:val="none"/>
        </w:rPr>
        <w:fldChar w:fldCharType="end"/>
      </w:r>
      <w:r>
        <w:rPr>
          <w:rFonts w:hint="eastAsia" w:ascii="仿宋" w:hAnsi="仿宋" w:eastAsia="仿宋" w:cs="仿宋"/>
          <w:highlight w:val="none"/>
        </w:rPr>
        <w:fldChar w:fldCharType="end"/>
      </w:r>
    </w:p>
    <w:p w14:paraId="64474713">
      <w:pPr>
        <w:pStyle w:val="17"/>
        <w:tabs>
          <w:tab w:val="right" w:leader="dot" w:pos="9746"/>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_Toc9970 </w:instrText>
      </w:r>
      <w:r>
        <w:rPr>
          <w:rFonts w:hint="eastAsia" w:ascii="仿宋" w:hAnsi="仿宋" w:eastAsia="仿宋" w:cs="仿宋"/>
          <w:highlight w:val="none"/>
        </w:rPr>
        <w:fldChar w:fldCharType="separate"/>
      </w:r>
      <w:r>
        <w:rPr>
          <w:rFonts w:hint="eastAsia" w:ascii="仿宋" w:hAnsi="仿宋" w:eastAsia="仿宋" w:cs="仿宋"/>
          <w:szCs w:val="32"/>
          <w:highlight w:val="none"/>
        </w:rPr>
        <w:t>六   确定中标</w:t>
      </w:r>
      <w:r>
        <w:rPr>
          <w:highlight w:val="none"/>
        </w:rPr>
        <w:tab/>
      </w:r>
      <w:r>
        <w:rPr>
          <w:highlight w:val="none"/>
        </w:rPr>
        <w:fldChar w:fldCharType="begin"/>
      </w:r>
      <w:r>
        <w:rPr>
          <w:highlight w:val="none"/>
        </w:rPr>
        <w:instrText xml:space="preserve"> PAGEREF _Toc9970 \h </w:instrText>
      </w:r>
      <w:r>
        <w:rPr>
          <w:highlight w:val="none"/>
        </w:rPr>
        <w:fldChar w:fldCharType="separate"/>
      </w:r>
      <w:r>
        <w:rPr>
          <w:highlight w:val="none"/>
        </w:rPr>
        <w:t>21</w:t>
      </w:r>
      <w:r>
        <w:rPr>
          <w:highlight w:val="none"/>
        </w:rPr>
        <w:fldChar w:fldCharType="end"/>
      </w:r>
      <w:r>
        <w:rPr>
          <w:rFonts w:hint="eastAsia" w:ascii="仿宋" w:hAnsi="仿宋" w:eastAsia="仿宋" w:cs="仿宋"/>
          <w:highlight w:val="none"/>
        </w:rPr>
        <w:fldChar w:fldCharType="end"/>
      </w:r>
    </w:p>
    <w:p w14:paraId="350D9434">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_Toc16263 </w:instrText>
      </w:r>
      <w:r>
        <w:rPr>
          <w:rFonts w:hint="eastAsia" w:ascii="仿宋" w:hAnsi="仿宋" w:eastAsia="仿宋" w:cs="仿宋"/>
          <w:highlight w:val="none"/>
        </w:rPr>
        <w:fldChar w:fldCharType="separate"/>
      </w:r>
      <w:r>
        <w:rPr>
          <w:rFonts w:hint="eastAsia" w:ascii="仿宋" w:hAnsi="仿宋" w:eastAsia="仿宋" w:cs="仿宋"/>
          <w:szCs w:val="28"/>
          <w:highlight w:val="none"/>
        </w:rPr>
        <w:t>26.中标候选人的确定原则及标准</w:t>
      </w:r>
      <w:r>
        <w:rPr>
          <w:highlight w:val="none"/>
        </w:rPr>
        <w:tab/>
      </w:r>
      <w:r>
        <w:rPr>
          <w:highlight w:val="none"/>
        </w:rPr>
        <w:fldChar w:fldCharType="begin"/>
      </w:r>
      <w:r>
        <w:rPr>
          <w:highlight w:val="none"/>
        </w:rPr>
        <w:instrText xml:space="preserve"> PAGEREF _Toc16263 \h </w:instrText>
      </w:r>
      <w:r>
        <w:rPr>
          <w:highlight w:val="none"/>
        </w:rPr>
        <w:fldChar w:fldCharType="separate"/>
      </w:r>
      <w:r>
        <w:rPr>
          <w:highlight w:val="none"/>
        </w:rPr>
        <w:t>21</w:t>
      </w:r>
      <w:r>
        <w:rPr>
          <w:highlight w:val="none"/>
        </w:rPr>
        <w:fldChar w:fldCharType="end"/>
      </w:r>
      <w:r>
        <w:rPr>
          <w:rFonts w:hint="eastAsia" w:ascii="仿宋" w:hAnsi="仿宋" w:eastAsia="仿宋" w:cs="仿宋"/>
          <w:highlight w:val="none"/>
        </w:rPr>
        <w:fldChar w:fldCharType="end"/>
      </w:r>
    </w:p>
    <w:p w14:paraId="502B0452">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_Toc11082 </w:instrText>
      </w:r>
      <w:r>
        <w:rPr>
          <w:rFonts w:hint="eastAsia" w:ascii="仿宋" w:hAnsi="仿宋" w:eastAsia="仿宋" w:cs="仿宋"/>
          <w:highlight w:val="none"/>
        </w:rPr>
        <w:fldChar w:fldCharType="separate"/>
      </w:r>
      <w:r>
        <w:rPr>
          <w:rFonts w:hint="eastAsia" w:ascii="仿宋" w:hAnsi="仿宋" w:eastAsia="仿宋" w:cs="仿宋"/>
          <w:szCs w:val="28"/>
          <w:highlight w:val="none"/>
        </w:rPr>
        <w:t>27.确定中标候选人和中标人</w:t>
      </w:r>
      <w:r>
        <w:rPr>
          <w:highlight w:val="none"/>
        </w:rPr>
        <w:tab/>
      </w:r>
      <w:r>
        <w:rPr>
          <w:highlight w:val="none"/>
        </w:rPr>
        <w:fldChar w:fldCharType="begin"/>
      </w:r>
      <w:r>
        <w:rPr>
          <w:highlight w:val="none"/>
        </w:rPr>
        <w:instrText xml:space="preserve"> PAGEREF _Toc11082 \h </w:instrText>
      </w:r>
      <w:r>
        <w:rPr>
          <w:highlight w:val="none"/>
        </w:rPr>
        <w:fldChar w:fldCharType="separate"/>
      </w:r>
      <w:r>
        <w:rPr>
          <w:highlight w:val="none"/>
        </w:rPr>
        <w:t>22</w:t>
      </w:r>
      <w:r>
        <w:rPr>
          <w:highlight w:val="none"/>
        </w:rPr>
        <w:fldChar w:fldCharType="end"/>
      </w:r>
      <w:r>
        <w:rPr>
          <w:rFonts w:hint="eastAsia" w:ascii="仿宋" w:hAnsi="仿宋" w:eastAsia="仿宋" w:cs="仿宋"/>
          <w:highlight w:val="none"/>
        </w:rPr>
        <w:fldChar w:fldCharType="end"/>
      </w:r>
    </w:p>
    <w:p w14:paraId="6BE92172">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_Toc20977 </w:instrText>
      </w:r>
      <w:r>
        <w:rPr>
          <w:rFonts w:hint="eastAsia" w:ascii="仿宋" w:hAnsi="仿宋" w:eastAsia="仿宋" w:cs="仿宋"/>
          <w:highlight w:val="none"/>
        </w:rPr>
        <w:fldChar w:fldCharType="separate"/>
      </w:r>
      <w:r>
        <w:rPr>
          <w:rFonts w:hint="eastAsia" w:ascii="仿宋" w:hAnsi="仿宋" w:eastAsia="仿宋" w:cs="仿宋"/>
          <w:szCs w:val="28"/>
          <w:highlight w:val="none"/>
        </w:rPr>
        <w:t>28.采购任务取消</w:t>
      </w:r>
      <w:r>
        <w:rPr>
          <w:highlight w:val="none"/>
        </w:rPr>
        <w:tab/>
      </w:r>
      <w:r>
        <w:rPr>
          <w:highlight w:val="none"/>
        </w:rPr>
        <w:fldChar w:fldCharType="begin"/>
      </w:r>
      <w:r>
        <w:rPr>
          <w:highlight w:val="none"/>
        </w:rPr>
        <w:instrText xml:space="preserve"> PAGEREF _Toc20977 \h </w:instrText>
      </w:r>
      <w:r>
        <w:rPr>
          <w:highlight w:val="none"/>
        </w:rPr>
        <w:fldChar w:fldCharType="separate"/>
      </w:r>
      <w:r>
        <w:rPr>
          <w:highlight w:val="none"/>
        </w:rPr>
        <w:t>22</w:t>
      </w:r>
      <w:r>
        <w:rPr>
          <w:highlight w:val="none"/>
        </w:rPr>
        <w:fldChar w:fldCharType="end"/>
      </w:r>
      <w:r>
        <w:rPr>
          <w:rFonts w:hint="eastAsia" w:ascii="仿宋" w:hAnsi="仿宋" w:eastAsia="仿宋" w:cs="仿宋"/>
          <w:highlight w:val="none"/>
        </w:rPr>
        <w:fldChar w:fldCharType="end"/>
      </w:r>
    </w:p>
    <w:p w14:paraId="4E73DE00">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_Toc16602 </w:instrText>
      </w:r>
      <w:r>
        <w:rPr>
          <w:rFonts w:hint="eastAsia" w:ascii="仿宋" w:hAnsi="仿宋" w:eastAsia="仿宋" w:cs="仿宋"/>
          <w:highlight w:val="none"/>
        </w:rPr>
        <w:fldChar w:fldCharType="separate"/>
      </w:r>
      <w:r>
        <w:rPr>
          <w:rFonts w:hint="eastAsia" w:ascii="仿宋" w:hAnsi="仿宋" w:eastAsia="仿宋" w:cs="仿宋"/>
          <w:szCs w:val="28"/>
          <w:highlight w:val="none"/>
        </w:rPr>
        <w:t>29.中标通知书和招标结果通知书</w:t>
      </w:r>
      <w:r>
        <w:rPr>
          <w:highlight w:val="none"/>
        </w:rPr>
        <w:tab/>
      </w:r>
      <w:r>
        <w:rPr>
          <w:highlight w:val="none"/>
        </w:rPr>
        <w:fldChar w:fldCharType="begin"/>
      </w:r>
      <w:r>
        <w:rPr>
          <w:highlight w:val="none"/>
        </w:rPr>
        <w:instrText xml:space="preserve"> PAGEREF _Toc16602 \h </w:instrText>
      </w:r>
      <w:r>
        <w:rPr>
          <w:highlight w:val="none"/>
        </w:rPr>
        <w:fldChar w:fldCharType="separate"/>
      </w:r>
      <w:r>
        <w:rPr>
          <w:highlight w:val="none"/>
        </w:rPr>
        <w:t>22</w:t>
      </w:r>
      <w:r>
        <w:rPr>
          <w:highlight w:val="none"/>
        </w:rPr>
        <w:fldChar w:fldCharType="end"/>
      </w:r>
      <w:r>
        <w:rPr>
          <w:rFonts w:hint="eastAsia" w:ascii="仿宋" w:hAnsi="仿宋" w:eastAsia="仿宋" w:cs="仿宋"/>
          <w:highlight w:val="none"/>
        </w:rPr>
        <w:fldChar w:fldCharType="end"/>
      </w:r>
    </w:p>
    <w:p w14:paraId="5FF697D8">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_Toc10611 </w:instrText>
      </w:r>
      <w:r>
        <w:rPr>
          <w:rFonts w:hint="eastAsia" w:ascii="仿宋" w:hAnsi="仿宋" w:eastAsia="仿宋" w:cs="仿宋"/>
          <w:highlight w:val="none"/>
        </w:rPr>
        <w:fldChar w:fldCharType="separate"/>
      </w:r>
      <w:r>
        <w:rPr>
          <w:rFonts w:hint="eastAsia" w:ascii="仿宋" w:hAnsi="仿宋" w:eastAsia="仿宋" w:cs="仿宋"/>
          <w:szCs w:val="28"/>
          <w:highlight w:val="none"/>
        </w:rPr>
        <w:t>30.签订合同</w:t>
      </w:r>
      <w:r>
        <w:rPr>
          <w:highlight w:val="none"/>
        </w:rPr>
        <w:tab/>
      </w:r>
      <w:r>
        <w:rPr>
          <w:highlight w:val="none"/>
        </w:rPr>
        <w:fldChar w:fldCharType="begin"/>
      </w:r>
      <w:r>
        <w:rPr>
          <w:highlight w:val="none"/>
        </w:rPr>
        <w:instrText xml:space="preserve"> PAGEREF _Toc10611 \h </w:instrText>
      </w:r>
      <w:r>
        <w:rPr>
          <w:highlight w:val="none"/>
        </w:rPr>
        <w:fldChar w:fldCharType="separate"/>
      </w:r>
      <w:r>
        <w:rPr>
          <w:highlight w:val="none"/>
        </w:rPr>
        <w:t>22</w:t>
      </w:r>
      <w:r>
        <w:rPr>
          <w:highlight w:val="none"/>
        </w:rPr>
        <w:fldChar w:fldCharType="end"/>
      </w:r>
      <w:r>
        <w:rPr>
          <w:rFonts w:hint="eastAsia" w:ascii="仿宋" w:hAnsi="仿宋" w:eastAsia="仿宋" w:cs="仿宋"/>
          <w:highlight w:val="none"/>
        </w:rPr>
        <w:fldChar w:fldCharType="end"/>
      </w:r>
    </w:p>
    <w:p w14:paraId="35669598">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_Toc30172 </w:instrText>
      </w:r>
      <w:r>
        <w:rPr>
          <w:rFonts w:hint="eastAsia" w:ascii="仿宋" w:hAnsi="仿宋" w:eastAsia="仿宋" w:cs="仿宋"/>
          <w:highlight w:val="none"/>
        </w:rPr>
        <w:fldChar w:fldCharType="separate"/>
      </w:r>
      <w:r>
        <w:rPr>
          <w:rFonts w:hint="eastAsia" w:ascii="仿宋" w:hAnsi="仿宋" w:eastAsia="仿宋" w:cs="仿宋"/>
          <w:szCs w:val="28"/>
          <w:highlight w:val="none"/>
        </w:rPr>
        <w:t>31.履约保证金</w:t>
      </w:r>
      <w:r>
        <w:rPr>
          <w:highlight w:val="none"/>
        </w:rPr>
        <w:tab/>
      </w:r>
      <w:r>
        <w:rPr>
          <w:highlight w:val="none"/>
        </w:rPr>
        <w:fldChar w:fldCharType="begin"/>
      </w:r>
      <w:r>
        <w:rPr>
          <w:highlight w:val="none"/>
        </w:rPr>
        <w:instrText xml:space="preserve"> PAGEREF _Toc30172 \h </w:instrText>
      </w:r>
      <w:r>
        <w:rPr>
          <w:highlight w:val="none"/>
        </w:rPr>
        <w:fldChar w:fldCharType="separate"/>
      </w:r>
      <w:r>
        <w:rPr>
          <w:highlight w:val="none"/>
        </w:rPr>
        <w:t>23</w:t>
      </w:r>
      <w:r>
        <w:rPr>
          <w:highlight w:val="none"/>
        </w:rPr>
        <w:fldChar w:fldCharType="end"/>
      </w:r>
      <w:r>
        <w:rPr>
          <w:rFonts w:hint="eastAsia" w:ascii="仿宋" w:hAnsi="仿宋" w:eastAsia="仿宋" w:cs="仿宋"/>
          <w:highlight w:val="none"/>
        </w:rPr>
        <w:fldChar w:fldCharType="end"/>
      </w:r>
    </w:p>
    <w:p w14:paraId="28E8AA9B">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_Toc19317 </w:instrText>
      </w:r>
      <w:r>
        <w:rPr>
          <w:rFonts w:hint="eastAsia" w:ascii="仿宋" w:hAnsi="仿宋" w:eastAsia="仿宋" w:cs="仿宋"/>
          <w:highlight w:val="none"/>
        </w:rPr>
        <w:fldChar w:fldCharType="separate"/>
      </w:r>
      <w:r>
        <w:rPr>
          <w:rFonts w:hint="eastAsia" w:ascii="仿宋" w:hAnsi="仿宋" w:eastAsia="仿宋" w:cs="仿宋"/>
          <w:szCs w:val="28"/>
          <w:highlight w:val="none"/>
        </w:rPr>
        <w:t>32.中标服务费</w:t>
      </w:r>
      <w:r>
        <w:rPr>
          <w:highlight w:val="none"/>
        </w:rPr>
        <w:tab/>
      </w:r>
      <w:r>
        <w:rPr>
          <w:highlight w:val="none"/>
        </w:rPr>
        <w:fldChar w:fldCharType="begin"/>
      </w:r>
      <w:r>
        <w:rPr>
          <w:highlight w:val="none"/>
        </w:rPr>
        <w:instrText xml:space="preserve"> PAGEREF _Toc19317 \h </w:instrText>
      </w:r>
      <w:r>
        <w:rPr>
          <w:highlight w:val="none"/>
        </w:rPr>
        <w:fldChar w:fldCharType="separate"/>
      </w:r>
      <w:r>
        <w:rPr>
          <w:highlight w:val="none"/>
        </w:rPr>
        <w:t>23</w:t>
      </w:r>
      <w:r>
        <w:rPr>
          <w:highlight w:val="none"/>
        </w:rPr>
        <w:fldChar w:fldCharType="end"/>
      </w:r>
      <w:r>
        <w:rPr>
          <w:rFonts w:hint="eastAsia" w:ascii="仿宋" w:hAnsi="仿宋" w:eastAsia="仿宋" w:cs="仿宋"/>
          <w:highlight w:val="none"/>
        </w:rPr>
        <w:fldChar w:fldCharType="end"/>
      </w:r>
    </w:p>
    <w:p w14:paraId="1CAB1002">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_Toc29155 </w:instrText>
      </w:r>
      <w:r>
        <w:rPr>
          <w:rFonts w:hint="eastAsia" w:ascii="仿宋" w:hAnsi="仿宋" w:eastAsia="仿宋" w:cs="仿宋"/>
          <w:highlight w:val="none"/>
        </w:rPr>
        <w:fldChar w:fldCharType="separate"/>
      </w:r>
      <w:r>
        <w:rPr>
          <w:rFonts w:hint="eastAsia" w:ascii="仿宋" w:hAnsi="仿宋" w:eastAsia="仿宋" w:cs="仿宋"/>
          <w:szCs w:val="28"/>
          <w:highlight w:val="none"/>
        </w:rPr>
        <w:t>33.政府采购信用担保</w:t>
      </w:r>
      <w:r>
        <w:rPr>
          <w:highlight w:val="none"/>
        </w:rPr>
        <w:tab/>
      </w:r>
      <w:r>
        <w:rPr>
          <w:highlight w:val="none"/>
        </w:rPr>
        <w:fldChar w:fldCharType="begin"/>
      </w:r>
      <w:r>
        <w:rPr>
          <w:highlight w:val="none"/>
        </w:rPr>
        <w:instrText xml:space="preserve"> PAGEREF _Toc29155 \h </w:instrText>
      </w:r>
      <w:r>
        <w:rPr>
          <w:highlight w:val="none"/>
        </w:rPr>
        <w:fldChar w:fldCharType="separate"/>
      </w:r>
      <w:r>
        <w:rPr>
          <w:highlight w:val="none"/>
        </w:rPr>
        <w:t>23</w:t>
      </w:r>
      <w:r>
        <w:rPr>
          <w:highlight w:val="none"/>
        </w:rPr>
        <w:fldChar w:fldCharType="end"/>
      </w:r>
      <w:r>
        <w:rPr>
          <w:rFonts w:hint="eastAsia" w:ascii="仿宋" w:hAnsi="仿宋" w:eastAsia="仿宋" w:cs="仿宋"/>
          <w:highlight w:val="none"/>
        </w:rPr>
        <w:fldChar w:fldCharType="end"/>
      </w:r>
    </w:p>
    <w:p w14:paraId="29A8DEBB">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_Toc16860 </w:instrText>
      </w:r>
      <w:r>
        <w:rPr>
          <w:rFonts w:hint="eastAsia" w:ascii="仿宋" w:hAnsi="仿宋" w:eastAsia="仿宋" w:cs="仿宋"/>
          <w:highlight w:val="none"/>
        </w:rPr>
        <w:fldChar w:fldCharType="separate"/>
      </w:r>
      <w:r>
        <w:rPr>
          <w:rFonts w:hint="eastAsia" w:ascii="仿宋" w:hAnsi="仿宋" w:eastAsia="仿宋" w:cs="仿宋"/>
          <w:szCs w:val="28"/>
          <w:highlight w:val="none"/>
        </w:rPr>
        <w:t>34.廉洁自律规定</w:t>
      </w:r>
      <w:r>
        <w:rPr>
          <w:highlight w:val="none"/>
        </w:rPr>
        <w:tab/>
      </w:r>
      <w:r>
        <w:rPr>
          <w:highlight w:val="none"/>
        </w:rPr>
        <w:fldChar w:fldCharType="begin"/>
      </w:r>
      <w:r>
        <w:rPr>
          <w:highlight w:val="none"/>
        </w:rPr>
        <w:instrText xml:space="preserve"> PAGEREF _Toc16860 \h </w:instrText>
      </w:r>
      <w:r>
        <w:rPr>
          <w:highlight w:val="none"/>
        </w:rPr>
        <w:fldChar w:fldCharType="separate"/>
      </w:r>
      <w:r>
        <w:rPr>
          <w:highlight w:val="none"/>
        </w:rPr>
        <w:t>24</w:t>
      </w:r>
      <w:r>
        <w:rPr>
          <w:highlight w:val="none"/>
        </w:rPr>
        <w:fldChar w:fldCharType="end"/>
      </w:r>
      <w:r>
        <w:rPr>
          <w:rFonts w:hint="eastAsia" w:ascii="仿宋" w:hAnsi="仿宋" w:eastAsia="仿宋" w:cs="仿宋"/>
          <w:highlight w:val="none"/>
        </w:rPr>
        <w:fldChar w:fldCharType="end"/>
      </w:r>
    </w:p>
    <w:p w14:paraId="5815E511">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_Toc7509 </w:instrText>
      </w:r>
      <w:r>
        <w:rPr>
          <w:rFonts w:hint="eastAsia" w:ascii="仿宋" w:hAnsi="仿宋" w:eastAsia="仿宋" w:cs="仿宋"/>
          <w:highlight w:val="none"/>
        </w:rPr>
        <w:fldChar w:fldCharType="separate"/>
      </w:r>
      <w:r>
        <w:rPr>
          <w:rFonts w:hint="eastAsia" w:ascii="仿宋" w:hAnsi="仿宋" w:eastAsia="仿宋" w:cs="仿宋"/>
          <w:szCs w:val="28"/>
          <w:highlight w:val="none"/>
        </w:rPr>
        <w:t>35.人员回避</w:t>
      </w:r>
      <w:r>
        <w:rPr>
          <w:highlight w:val="none"/>
        </w:rPr>
        <w:tab/>
      </w:r>
      <w:r>
        <w:rPr>
          <w:highlight w:val="none"/>
        </w:rPr>
        <w:fldChar w:fldCharType="begin"/>
      </w:r>
      <w:r>
        <w:rPr>
          <w:highlight w:val="none"/>
        </w:rPr>
        <w:instrText xml:space="preserve"> PAGEREF _Toc7509 \h </w:instrText>
      </w:r>
      <w:r>
        <w:rPr>
          <w:highlight w:val="none"/>
        </w:rPr>
        <w:fldChar w:fldCharType="separate"/>
      </w:r>
      <w:r>
        <w:rPr>
          <w:highlight w:val="none"/>
        </w:rPr>
        <w:t>24</w:t>
      </w:r>
      <w:r>
        <w:rPr>
          <w:highlight w:val="none"/>
        </w:rPr>
        <w:fldChar w:fldCharType="end"/>
      </w:r>
      <w:r>
        <w:rPr>
          <w:rFonts w:hint="eastAsia" w:ascii="仿宋" w:hAnsi="仿宋" w:eastAsia="仿宋" w:cs="仿宋"/>
          <w:highlight w:val="none"/>
        </w:rPr>
        <w:fldChar w:fldCharType="end"/>
      </w:r>
    </w:p>
    <w:p w14:paraId="0E58F538">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_Toc10538 </w:instrText>
      </w:r>
      <w:r>
        <w:rPr>
          <w:rFonts w:hint="eastAsia" w:ascii="仿宋" w:hAnsi="仿宋" w:eastAsia="仿宋" w:cs="仿宋"/>
          <w:highlight w:val="none"/>
        </w:rPr>
        <w:fldChar w:fldCharType="separate"/>
      </w:r>
      <w:r>
        <w:rPr>
          <w:rFonts w:hint="eastAsia" w:ascii="仿宋" w:hAnsi="仿宋" w:eastAsia="仿宋" w:cs="仿宋"/>
          <w:szCs w:val="28"/>
          <w:highlight w:val="none"/>
        </w:rPr>
        <w:t>36.质疑与接收</w:t>
      </w:r>
      <w:r>
        <w:rPr>
          <w:highlight w:val="none"/>
        </w:rPr>
        <w:tab/>
      </w:r>
      <w:r>
        <w:rPr>
          <w:highlight w:val="none"/>
        </w:rPr>
        <w:fldChar w:fldCharType="begin"/>
      </w:r>
      <w:r>
        <w:rPr>
          <w:highlight w:val="none"/>
        </w:rPr>
        <w:instrText xml:space="preserve"> PAGEREF _Toc10538 \h </w:instrText>
      </w:r>
      <w:r>
        <w:rPr>
          <w:highlight w:val="none"/>
        </w:rPr>
        <w:fldChar w:fldCharType="separate"/>
      </w:r>
      <w:r>
        <w:rPr>
          <w:highlight w:val="none"/>
        </w:rPr>
        <w:t>24</w:t>
      </w:r>
      <w:r>
        <w:rPr>
          <w:highlight w:val="none"/>
        </w:rPr>
        <w:fldChar w:fldCharType="end"/>
      </w:r>
      <w:r>
        <w:rPr>
          <w:rFonts w:hint="eastAsia" w:ascii="仿宋" w:hAnsi="仿宋" w:eastAsia="仿宋" w:cs="仿宋"/>
          <w:highlight w:val="none"/>
        </w:rPr>
        <w:fldChar w:fldCharType="end"/>
      </w:r>
    </w:p>
    <w:p w14:paraId="11247431">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_Toc27035 </w:instrText>
      </w:r>
      <w:r>
        <w:rPr>
          <w:rFonts w:hint="eastAsia" w:ascii="仿宋" w:hAnsi="仿宋" w:eastAsia="仿宋" w:cs="仿宋"/>
          <w:highlight w:val="none"/>
        </w:rPr>
        <w:fldChar w:fldCharType="separate"/>
      </w:r>
      <w:r>
        <w:rPr>
          <w:rFonts w:hint="eastAsia" w:ascii="仿宋" w:hAnsi="仿宋" w:eastAsia="仿宋" w:cs="仿宋"/>
          <w:kern w:val="0"/>
          <w:szCs w:val="28"/>
          <w:highlight w:val="none"/>
          <w:lang w:val="en-US" w:eastAsia="zh-CN" w:bidi="ar-SA"/>
        </w:rPr>
        <w:t>附件1：履约保证金保函（格式）</w:t>
      </w:r>
      <w:r>
        <w:rPr>
          <w:highlight w:val="none"/>
        </w:rPr>
        <w:tab/>
      </w:r>
      <w:r>
        <w:rPr>
          <w:highlight w:val="none"/>
        </w:rPr>
        <w:fldChar w:fldCharType="begin"/>
      </w:r>
      <w:r>
        <w:rPr>
          <w:highlight w:val="none"/>
        </w:rPr>
        <w:instrText xml:space="preserve"> PAGEREF _Toc27035 \h </w:instrText>
      </w:r>
      <w:r>
        <w:rPr>
          <w:highlight w:val="none"/>
        </w:rPr>
        <w:fldChar w:fldCharType="separate"/>
      </w:r>
      <w:r>
        <w:rPr>
          <w:highlight w:val="none"/>
        </w:rPr>
        <w:t>26</w:t>
      </w:r>
      <w:r>
        <w:rPr>
          <w:highlight w:val="none"/>
        </w:rPr>
        <w:fldChar w:fldCharType="end"/>
      </w:r>
      <w:r>
        <w:rPr>
          <w:rFonts w:hint="eastAsia" w:ascii="仿宋" w:hAnsi="仿宋" w:eastAsia="仿宋" w:cs="仿宋"/>
          <w:highlight w:val="none"/>
        </w:rPr>
        <w:fldChar w:fldCharType="end"/>
      </w:r>
    </w:p>
    <w:p w14:paraId="7401B67E">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_Toc106 </w:instrText>
      </w:r>
      <w:r>
        <w:rPr>
          <w:rFonts w:hint="eastAsia" w:ascii="仿宋" w:hAnsi="仿宋" w:eastAsia="仿宋" w:cs="仿宋"/>
          <w:highlight w:val="none"/>
        </w:rPr>
        <w:fldChar w:fldCharType="separate"/>
      </w:r>
      <w:r>
        <w:rPr>
          <w:rFonts w:hint="eastAsia" w:ascii="仿宋" w:hAnsi="仿宋" w:eastAsia="仿宋" w:cs="仿宋"/>
          <w:kern w:val="0"/>
          <w:szCs w:val="28"/>
          <w:highlight w:val="none"/>
          <w:lang w:val="en-US" w:eastAsia="zh-CN" w:bidi="ar-SA"/>
        </w:rPr>
        <w:t>附件2：履约担保函格式</w:t>
      </w:r>
      <w:r>
        <w:rPr>
          <w:highlight w:val="none"/>
        </w:rPr>
        <w:tab/>
      </w:r>
      <w:r>
        <w:rPr>
          <w:highlight w:val="none"/>
        </w:rPr>
        <w:fldChar w:fldCharType="begin"/>
      </w:r>
      <w:r>
        <w:rPr>
          <w:highlight w:val="none"/>
        </w:rPr>
        <w:instrText xml:space="preserve"> PAGEREF _Toc106 \h </w:instrText>
      </w:r>
      <w:r>
        <w:rPr>
          <w:highlight w:val="none"/>
        </w:rPr>
        <w:fldChar w:fldCharType="separate"/>
      </w:r>
      <w:r>
        <w:rPr>
          <w:highlight w:val="none"/>
        </w:rPr>
        <w:t>28</w:t>
      </w:r>
      <w:r>
        <w:rPr>
          <w:highlight w:val="none"/>
        </w:rPr>
        <w:fldChar w:fldCharType="end"/>
      </w:r>
      <w:r>
        <w:rPr>
          <w:rFonts w:hint="eastAsia" w:ascii="仿宋" w:hAnsi="仿宋" w:eastAsia="仿宋" w:cs="仿宋"/>
          <w:highlight w:val="none"/>
        </w:rPr>
        <w:fldChar w:fldCharType="end"/>
      </w:r>
    </w:p>
    <w:p w14:paraId="5792501A">
      <w:pPr>
        <w:pStyle w:val="16"/>
        <w:tabs>
          <w:tab w:val="right" w:leader="dot" w:pos="9746"/>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_Toc26574 </w:instrText>
      </w:r>
      <w:r>
        <w:rPr>
          <w:rFonts w:hint="eastAsia" w:ascii="仿宋" w:hAnsi="仿宋" w:eastAsia="仿宋" w:cs="仿宋"/>
          <w:highlight w:val="none"/>
        </w:rPr>
        <w:fldChar w:fldCharType="separate"/>
      </w:r>
      <w:r>
        <w:rPr>
          <w:rFonts w:hint="eastAsia" w:ascii="仿宋" w:hAnsi="仿宋" w:eastAsia="仿宋" w:cs="仿宋"/>
          <w:kern w:val="0"/>
          <w:szCs w:val="22"/>
          <w:highlight w:val="none"/>
        </w:rPr>
        <w:t>第二章  投标文件格式</w:t>
      </w:r>
      <w:r>
        <w:rPr>
          <w:highlight w:val="none"/>
        </w:rPr>
        <w:tab/>
      </w:r>
      <w:r>
        <w:rPr>
          <w:highlight w:val="none"/>
        </w:rPr>
        <w:fldChar w:fldCharType="begin"/>
      </w:r>
      <w:r>
        <w:rPr>
          <w:highlight w:val="none"/>
        </w:rPr>
        <w:instrText xml:space="preserve"> PAGEREF _Toc26574 \h </w:instrText>
      </w:r>
      <w:r>
        <w:rPr>
          <w:highlight w:val="none"/>
        </w:rPr>
        <w:fldChar w:fldCharType="separate"/>
      </w:r>
      <w:r>
        <w:rPr>
          <w:highlight w:val="none"/>
        </w:rPr>
        <w:t>31</w:t>
      </w:r>
      <w:r>
        <w:rPr>
          <w:highlight w:val="none"/>
        </w:rPr>
        <w:fldChar w:fldCharType="end"/>
      </w:r>
      <w:r>
        <w:rPr>
          <w:rFonts w:hint="eastAsia" w:ascii="仿宋" w:hAnsi="仿宋" w:eastAsia="仿宋" w:cs="仿宋"/>
          <w:highlight w:val="none"/>
        </w:rPr>
        <w:fldChar w:fldCharType="end"/>
      </w:r>
    </w:p>
    <w:p w14:paraId="2A698B0F">
      <w:pPr>
        <w:pStyle w:val="17"/>
        <w:tabs>
          <w:tab w:val="right" w:leader="dot" w:pos="9746"/>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_Toc20890 </w:instrText>
      </w:r>
      <w:r>
        <w:rPr>
          <w:rFonts w:hint="eastAsia" w:ascii="仿宋" w:hAnsi="仿宋" w:eastAsia="仿宋" w:cs="仿宋"/>
          <w:highlight w:val="none"/>
        </w:rPr>
        <w:fldChar w:fldCharType="separate"/>
      </w:r>
      <w:r>
        <w:rPr>
          <w:rFonts w:hint="eastAsia" w:ascii="仿宋" w:hAnsi="仿宋" w:eastAsia="仿宋" w:cs="仿宋"/>
          <w:szCs w:val="32"/>
          <w:highlight w:val="none"/>
        </w:rPr>
        <w:t>第一部分 开标一览表及资格证明文件</w:t>
      </w:r>
      <w:r>
        <w:rPr>
          <w:highlight w:val="none"/>
        </w:rPr>
        <w:tab/>
      </w:r>
      <w:r>
        <w:rPr>
          <w:highlight w:val="none"/>
        </w:rPr>
        <w:fldChar w:fldCharType="begin"/>
      </w:r>
      <w:r>
        <w:rPr>
          <w:highlight w:val="none"/>
        </w:rPr>
        <w:instrText xml:space="preserve"> PAGEREF _Toc20890 \h </w:instrText>
      </w:r>
      <w:r>
        <w:rPr>
          <w:highlight w:val="none"/>
        </w:rPr>
        <w:fldChar w:fldCharType="separate"/>
      </w:r>
      <w:r>
        <w:rPr>
          <w:highlight w:val="none"/>
        </w:rPr>
        <w:t>31</w:t>
      </w:r>
      <w:r>
        <w:rPr>
          <w:highlight w:val="none"/>
        </w:rPr>
        <w:fldChar w:fldCharType="end"/>
      </w:r>
      <w:r>
        <w:rPr>
          <w:rFonts w:hint="eastAsia" w:ascii="仿宋" w:hAnsi="仿宋" w:eastAsia="仿宋" w:cs="仿宋"/>
          <w:highlight w:val="none"/>
        </w:rPr>
        <w:fldChar w:fldCharType="end"/>
      </w:r>
    </w:p>
    <w:p w14:paraId="6165C2B2">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_Toc2553 </w:instrText>
      </w:r>
      <w:r>
        <w:rPr>
          <w:rFonts w:hint="eastAsia" w:ascii="仿宋" w:hAnsi="仿宋" w:eastAsia="仿宋" w:cs="仿宋"/>
          <w:highlight w:val="none"/>
        </w:rPr>
        <w:fldChar w:fldCharType="separate"/>
      </w:r>
      <w:r>
        <w:rPr>
          <w:rFonts w:hint="eastAsia" w:ascii="仿宋" w:hAnsi="仿宋" w:eastAsia="仿宋" w:cs="仿宋"/>
          <w:szCs w:val="28"/>
          <w:highlight w:val="none"/>
        </w:rPr>
        <w:t>1</w:t>
      </w:r>
      <w:r>
        <w:rPr>
          <w:rFonts w:hint="eastAsia" w:ascii="仿宋" w:hAnsi="仿宋" w:eastAsia="仿宋" w:cs="仿宋"/>
          <w:szCs w:val="28"/>
          <w:highlight w:val="none"/>
          <w:lang w:val="en-US" w:eastAsia="zh-CN"/>
        </w:rPr>
        <w:t xml:space="preserve">  </w:t>
      </w:r>
      <w:r>
        <w:rPr>
          <w:rFonts w:hint="eastAsia" w:ascii="仿宋" w:hAnsi="仿宋" w:eastAsia="仿宋" w:cs="仿宋"/>
          <w:szCs w:val="28"/>
          <w:highlight w:val="none"/>
        </w:rPr>
        <w:t>开标一览表（投标文件格式一）</w:t>
      </w:r>
      <w:r>
        <w:rPr>
          <w:highlight w:val="none"/>
        </w:rPr>
        <w:tab/>
      </w:r>
      <w:r>
        <w:rPr>
          <w:highlight w:val="none"/>
        </w:rPr>
        <w:fldChar w:fldCharType="begin"/>
      </w:r>
      <w:r>
        <w:rPr>
          <w:highlight w:val="none"/>
        </w:rPr>
        <w:instrText xml:space="preserve"> PAGEREF _Toc2553 \h </w:instrText>
      </w:r>
      <w:r>
        <w:rPr>
          <w:highlight w:val="none"/>
        </w:rPr>
        <w:fldChar w:fldCharType="separate"/>
      </w:r>
      <w:r>
        <w:rPr>
          <w:highlight w:val="none"/>
        </w:rPr>
        <w:t>33</w:t>
      </w:r>
      <w:r>
        <w:rPr>
          <w:highlight w:val="none"/>
        </w:rPr>
        <w:fldChar w:fldCharType="end"/>
      </w:r>
      <w:r>
        <w:rPr>
          <w:rFonts w:hint="eastAsia" w:ascii="仿宋" w:hAnsi="仿宋" w:eastAsia="仿宋" w:cs="仿宋"/>
          <w:highlight w:val="none"/>
        </w:rPr>
        <w:fldChar w:fldCharType="end"/>
      </w:r>
    </w:p>
    <w:p w14:paraId="080C77DF">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_Toc16005 </w:instrText>
      </w:r>
      <w:r>
        <w:rPr>
          <w:rFonts w:hint="eastAsia" w:ascii="仿宋" w:hAnsi="仿宋" w:eastAsia="仿宋" w:cs="仿宋"/>
          <w:highlight w:val="none"/>
        </w:rPr>
        <w:fldChar w:fldCharType="separate"/>
      </w:r>
      <w:r>
        <w:rPr>
          <w:rFonts w:hint="eastAsia" w:ascii="仿宋" w:hAnsi="仿宋" w:eastAsia="仿宋" w:cs="仿宋"/>
          <w:szCs w:val="28"/>
          <w:highlight w:val="none"/>
          <w:lang w:val="en-US" w:eastAsia="zh-CN"/>
        </w:rPr>
        <w:t>2  法人或者非法人组织的营业执照等证明文件或自然人的身份证明</w:t>
      </w:r>
      <w:r>
        <w:rPr>
          <w:highlight w:val="none"/>
        </w:rPr>
        <w:tab/>
      </w:r>
      <w:r>
        <w:rPr>
          <w:highlight w:val="none"/>
        </w:rPr>
        <w:fldChar w:fldCharType="begin"/>
      </w:r>
      <w:r>
        <w:rPr>
          <w:highlight w:val="none"/>
        </w:rPr>
        <w:instrText xml:space="preserve"> PAGEREF _Toc16005 \h </w:instrText>
      </w:r>
      <w:r>
        <w:rPr>
          <w:highlight w:val="none"/>
        </w:rPr>
        <w:fldChar w:fldCharType="separate"/>
      </w:r>
      <w:r>
        <w:rPr>
          <w:highlight w:val="none"/>
        </w:rPr>
        <w:t>34</w:t>
      </w:r>
      <w:r>
        <w:rPr>
          <w:highlight w:val="none"/>
        </w:rPr>
        <w:fldChar w:fldCharType="end"/>
      </w:r>
      <w:r>
        <w:rPr>
          <w:rFonts w:hint="eastAsia" w:ascii="仿宋" w:hAnsi="仿宋" w:eastAsia="仿宋" w:cs="仿宋"/>
          <w:highlight w:val="none"/>
        </w:rPr>
        <w:fldChar w:fldCharType="end"/>
      </w:r>
    </w:p>
    <w:p w14:paraId="39B1BA18">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_Toc2843 </w:instrText>
      </w:r>
      <w:r>
        <w:rPr>
          <w:rFonts w:hint="eastAsia" w:ascii="仿宋" w:hAnsi="仿宋" w:eastAsia="仿宋" w:cs="仿宋"/>
          <w:highlight w:val="none"/>
        </w:rPr>
        <w:fldChar w:fldCharType="separate"/>
      </w:r>
      <w:r>
        <w:rPr>
          <w:rFonts w:hint="eastAsia" w:ascii="仿宋" w:hAnsi="仿宋" w:eastAsia="仿宋" w:cs="仿宋"/>
          <w:szCs w:val="28"/>
          <w:highlight w:val="none"/>
        </w:rPr>
        <w:t>3  法定代表人授权书(投标文件格式二，自然人投标的无需提供)</w:t>
      </w:r>
      <w:r>
        <w:rPr>
          <w:highlight w:val="none"/>
        </w:rPr>
        <w:tab/>
      </w:r>
      <w:r>
        <w:rPr>
          <w:highlight w:val="none"/>
        </w:rPr>
        <w:fldChar w:fldCharType="begin"/>
      </w:r>
      <w:r>
        <w:rPr>
          <w:highlight w:val="none"/>
        </w:rPr>
        <w:instrText xml:space="preserve"> PAGEREF _Toc2843 \h </w:instrText>
      </w:r>
      <w:r>
        <w:rPr>
          <w:highlight w:val="none"/>
        </w:rPr>
        <w:fldChar w:fldCharType="separate"/>
      </w:r>
      <w:r>
        <w:rPr>
          <w:highlight w:val="none"/>
        </w:rPr>
        <w:t>35</w:t>
      </w:r>
      <w:r>
        <w:rPr>
          <w:highlight w:val="none"/>
        </w:rPr>
        <w:fldChar w:fldCharType="end"/>
      </w:r>
      <w:r>
        <w:rPr>
          <w:rFonts w:hint="eastAsia" w:ascii="仿宋" w:hAnsi="仿宋" w:eastAsia="仿宋" w:cs="仿宋"/>
          <w:highlight w:val="none"/>
        </w:rPr>
        <w:fldChar w:fldCharType="end"/>
      </w:r>
    </w:p>
    <w:p w14:paraId="133C5923">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_Toc7448 </w:instrText>
      </w:r>
      <w:r>
        <w:rPr>
          <w:rFonts w:hint="eastAsia" w:ascii="仿宋" w:hAnsi="仿宋" w:eastAsia="仿宋" w:cs="仿宋"/>
          <w:highlight w:val="none"/>
        </w:rPr>
        <w:fldChar w:fldCharType="separate"/>
      </w:r>
      <w:r>
        <w:rPr>
          <w:rFonts w:hint="eastAsia" w:ascii="仿宋" w:hAnsi="仿宋" w:eastAsia="仿宋" w:cs="仿宋"/>
          <w:kern w:val="0"/>
          <w:szCs w:val="28"/>
          <w:highlight w:val="none"/>
          <w:lang w:val="en-US" w:eastAsia="zh-CN" w:bidi="ar-SA"/>
        </w:rPr>
        <w:t>4  具有良好的商业信誉和健全的财务会计制度的证明文件；提供2024年度的财务审计报告(成立不满一年的提供开标前一个月内有效银行资信证明）；</w:t>
      </w:r>
      <w:r>
        <w:rPr>
          <w:highlight w:val="none"/>
        </w:rPr>
        <w:tab/>
      </w:r>
      <w:r>
        <w:rPr>
          <w:highlight w:val="none"/>
        </w:rPr>
        <w:fldChar w:fldCharType="begin"/>
      </w:r>
      <w:r>
        <w:rPr>
          <w:highlight w:val="none"/>
        </w:rPr>
        <w:instrText xml:space="preserve"> PAGEREF _Toc7448 \h </w:instrText>
      </w:r>
      <w:r>
        <w:rPr>
          <w:highlight w:val="none"/>
        </w:rPr>
        <w:fldChar w:fldCharType="separate"/>
      </w:r>
      <w:r>
        <w:rPr>
          <w:highlight w:val="none"/>
        </w:rPr>
        <w:t>36</w:t>
      </w:r>
      <w:r>
        <w:rPr>
          <w:highlight w:val="none"/>
        </w:rPr>
        <w:fldChar w:fldCharType="end"/>
      </w:r>
      <w:r>
        <w:rPr>
          <w:rFonts w:hint="eastAsia" w:ascii="仿宋" w:hAnsi="仿宋" w:eastAsia="仿宋" w:cs="仿宋"/>
          <w:highlight w:val="none"/>
        </w:rPr>
        <w:fldChar w:fldCharType="end"/>
      </w:r>
    </w:p>
    <w:p w14:paraId="0E1A50A0">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_Toc7315 </w:instrText>
      </w:r>
      <w:r>
        <w:rPr>
          <w:rFonts w:hint="eastAsia" w:ascii="仿宋" w:hAnsi="仿宋" w:eastAsia="仿宋" w:cs="仿宋"/>
          <w:highlight w:val="none"/>
        </w:rPr>
        <w:fldChar w:fldCharType="separate"/>
      </w:r>
      <w:r>
        <w:rPr>
          <w:rFonts w:hint="eastAsia" w:ascii="仿宋" w:hAnsi="仿宋" w:eastAsia="仿宋" w:cs="仿宋"/>
          <w:szCs w:val="28"/>
          <w:highlight w:val="none"/>
        </w:rPr>
        <w:t>5  社会保障资金的缴纳记录</w:t>
      </w:r>
      <w:r>
        <w:rPr>
          <w:highlight w:val="none"/>
        </w:rPr>
        <w:tab/>
      </w:r>
      <w:r>
        <w:rPr>
          <w:highlight w:val="none"/>
        </w:rPr>
        <w:fldChar w:fldCharType="begin"/>
      </w:r>
      <w:r>
        <w:rPr>
          <w:highlight w:val="none"/>
        </w:rPr>
        <w:instrText xml:space="preserve"> PAGEREF _Toc7315 \h </w:instrText>
      </w:r>
      <w:r>
        <w:rPr>
          <w:highlight w:val="none"/>
        </w:rPr>
        <w:fldChar w:fldCharType="separate"/>
      </w:r>
      <w:r>
        <w:rPr>
          <w:highlight w:val="none"/>
        </w:rPr>
        <w:t>37</w:t>
      </w:r>
      <w:r>
        <w:rPr>
          <w:highlight w:val="none"/>
        </w:rPr>
        <w:fldChar w:fldCharType="end"/>
      </w:r>
      <w:r>
        <w:rPr>
          <w:rFonts w:hint="eastAsia" w:ascii="仿宋" w:hAnsi="仿宋" w:eastAsia="仿宋" w:cs="仿宋"/>
          <w:highlight w:val="none"/>
        </w:rPr>
        <w:fldChar w:fldCharType="end"/>
      </w:r>
    </w:p>
    <w:p w14:paraId="32175EFC">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_Toc26556 </w:instrText>
      </w:r>
      <w:r>
        <w:rPr>
          <w:rFonts w:hint="eastAsia" w:ascii="仿宋" w:hAnsi="仿宋" w:eastAsia="仿宋" w:cs="仿宋"/>
          <w:highlight w:val="none"/>
        </w:rPr>
        <w:fldChar w:fldCharType="separate"/>
      </w:r>
      <w:r>
        <w:rPr>
          <w:rFonts w:hint="eastAsia" w:ascii="仿宋" w:hAnsi="仿宋" w:eastAsia="仿宋" w:cs="仿宋"/>
          <w:kern w:val="0"/>
          <w:szCs w:val="28"/>
          <w:highlight w:val="none"/>
          <w:lang w:val="en-US" w:eastAsia="zh-CN" w:bidi="ar-SA"/>
        </w:rPr>
        <w:t>6  依法缴纳税收的证明</w:t>
      </w:r>
      <w:r>
        <w:rPr>
          <w:highlight w:val="none"/>
        </w:rPr>
        <w:tab/>
      </w:r>
      <w:r>
        <w:rPr>
          <w:highlight w:val="none"/>
        </w:rPr>
        <w:fldChar w:fldCharType="begin"/>
      </w:r>
      <w:r>
        <w:rPr>
          <w:highlight w:val="none"/>
        </w:rPr>
        <w:instrText xml:space="preserve"> PAGEREF _Toc26556 \h </w:instrText>
      </w:r>
      <w:r>
        <w:rPr>
          <w:highlight w:val="none"/>
        </w:rPr>
        <w:fldChar w:fldCharType="separate"/>
      </w:r>
      <w:r>
        <w:rPr>
          <w:highlight w:val="none"/>
        </w:rPr>
        <w:t>38</w:t>
      </w:r>
      <w:r>
        <w:rPr>
          <w:highlight w:val="none"/>
        </w:rPr>
        <w:fldChar w:fldCharType="end"/>
      </w:r>
      <w:r>
        <w:rPr>
          <w:rFonts w:hint="eastAsia" w:ascii="仿宋" w:hAnsi="仿宋" w:eastAsia="仿宋" w:cs="仿宋"/>
          <w:highlight w:val="none"/>
        </w:rPr>
        <w:fldChar w:fldCharType="end"/>
      </w:r>
    </w:p>
    <w:p w14:paraId="0B26BBBC">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_Toc11168 </w:instrText>
      </w:r>
      <w:r>
        <w:rPr>
          <w:rFonts w:hint="eastAsia" w:ascii="仿宋" w:hAnsi="仿宋" w:eastAsia="仿宋" w:cs="仿宋"/>
          <w:highlight w:val="none"/>
        </w:rPr>
        <w:fldChar w:fldCharType="separate"/>
      </w:r>
      <w:r>
        <w:rPr>
          <w:rFonts w:hint="eastAsia" w:ascii="仿宋" w:hAnsi="仿宋" w:eastAsia="仿宋" w:cs="仿宋"/>
          <w:szCs w:val="28"/>
          <w:highlight w:val="none"/>
        </w:rPr>
        <w:t>7  投标保证金缴纳凭证复印件或投标担保函</w:t>
      </w:r>
      <w:r>
        <w:rPr>
          <w:highlight w:val="none"/>
        </w:rPr>
        <w:tab/>
      </w:r>
      <w:r>
        <w:rPr>
          <w:highlight w:val="none"/>
        </w:rPr>
        <w:fldChar w:fldCharType="begin"/>
      </w:r>
      <w:r>
        <w:rPr>
          <w:highlight w:val="none"/>
        </w:rPr>
        <w:instrText xml:space="preserve"> PAGEREF _Toc11168 \h </w:instrText>
      </w:r>
      <w:r>
        <w:rPr>
          <w:highlight w:val="none"/>
        </w:rPr>
        <w:fldChar w:fldCharType="separate"/>
      </w:r>
      <w:r>
        <w:rPr>
          <w:highlight w:val="none"/>
        </w:rPr>
        <w:t>39</w:t>
      </w:r>
      <w:r>
        <w:rPr>
          <w:highlight w:val="none"/>
        </w:rPr>
        <w:fldChar w:fldCharType="end"/>
      </w:r>
      <w:r>
        <w:rPr>
          <w:rFonts w:hint="eastAsia" w:ascii="仿宋" w:hAnsi="仿宋" w:eastAsia="仿宋" w:cs="仿宋"/>
          <w:highlight w:val="none"/>
        </w:rPr>
        <w:fldChar w:fldCharType="end"/>
      </w:r>
    </w:p>
    <w:p w14:paraId="4C0706CC">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_Toc2408 </w:instrText>
      </w:r>
      <w:r>
        <w:rPr>
          <w:rFonts w:hint="eastAsia" w:ascii="仿宋" w:hAnsi="仿宋" w:eastAsia="仿宋" w:cs="仿宋"/>
          <w:highlight w:val="none"/>
        </w:rPr>
        <w:fldChar w:fldCharType="separate"/>
      </w:r>
      <w:r>
        <w:rPr>
          <w:rFonts w:hint="eastAsia" w:ascii="仿宋" w:hAnsi="仿宋" w:eastAsia="仿宋" w:cs="仿宋"/>
          <w:kern w:val="0"/>
          <w:szCs w:val="28"/>
          <w:highlight w:val="none"/>
          <w:lang w:val="en-US" w:eastAsia="zh-CN" w:bidi="ar-SA"/>
        </w:rPr>
        <w:t>8  参加政府采购活动前3年内在经营活动中没有重大违法记录的书面声明反商业受贿承诺</w:t>
      </w:r>
      <w:r>
        <w:rPr>
          <w:highlight w:val="none"/>
        </w:rPr>
        <w:tab/>
      </w:r>
      <w:r>
        <w:rPr>
          <w:highlight w:val="none"/>
        </w:rPr>
        <w:fldChar w:fldCharType="begin"/>
      </w:r>
      <w:r>
        <w:rPr>
          <w:highlight w:val="none"/>
        </w:rPr>
        <w:instrText xml:space="preserve"> PAGEREF _Toc2408 \h </w:instrText>
      </w:r>
      <w:r>
        <w:rPr>
          <w:highlight w:val="none"/>
        </w:rPr>
        <w:fldChar w:fldCharType="separate"/>
      </w:r>
      <w:r>
        <w:rPr>
          <w:highlight w:val="none"/>
        </w:rPr>
        <w:t>43</w:t>
      </w:r>
      <w:r>
        <w:rPr>
          <w:highlight w:val="none"/>
        </w:rPr>
        <w:fldChar w:fldCharType="end"/>
      </w:r>
      <w:r>
        <w:rPr>
          <w:rFonts w:hint="eastAsia" w:ascii="仿宋" w:hAnsi="仿宋" w:eastAsia="仿宋" w:cs="仿宋"/>
          <w:highlight w:val="none"/>
        </w:rPr>
        <w:fldChar w:fldCharType="end"/>
      </w:r>
    </w:p>
    <w:p w14:paraId="7EF48C21">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_Toc15718 </w:instrText>
      </w:r>
      <w:r>
        <w:rPr>
          <w:rFonts w:hint="eastAsia" w:ascii="仿宋" w:hAnsi="仿宋" w:eastAsia="仿宋" w:cs="仿宋"/>
          <w:highlight w:val="none"/>
        </w:rPr>
        <w:fldChar w:fldCharType="separate"/>
      </w:r>
      <w:r>
        <w:rPr>
          <w:rFonts w:hint="eastAsia" w:ascii="仿宋" w:hAnsi="仿宋" w:eastAsia="仿宋" w:cs="仿宋"/>
          <w:szCs w:val="28"/>
          <w:highlight w:val="none"/>
        </w:rPr>
        <w:t>9  在信用中国、中国政府采购网被列入失信被执行人、企业经营异常名录、列入严重违法失信企业名单（黑名单）信息、政府采购严重违法失信名单（自本公告发出之时起尚在处罚期内的或限制其参加政府采购活动的企业）将拒绝其参加本次政府采购活动</w:t>
      </w:r>
      <w:r>
        <w:rPr>
          <w:rFonts w:hint="eastAsia" w:ascii="仿宋" w:hAnsi="仿宋" w:eastAsia="仿宋" w:cs="仿宋"/>
          <w:szCs w:val="28"/>
          <w:highlight w:val="none"/>
          <w:lang w:eastAsia="zh-CN"/>
        </w:rPr>
        <w:t>；</w:t>
      </w:r>
      <w:r>
        <w:rPr>
          <w:highlight w:val="none"/>
        </w:rPr>
        <w:tab/>
      </w:r>
      <w:r>
        <w:rPr>
          <w:highlight w:val="none"/>
        </w:rPr>
        <w:fldChar w:fldCharType="begin"/>
      </w:r>
      <w:r>
        <w:rPr>
          <w:highlight w:val="none"/>
        </w:rPr>
        <w:instrText xml:space="preserve"> PAGEREF _Toc15718 \h </w:instrText>
      </w:r>
      <w:r>
        <w:rPr>
          <w:highlight w:val="none"/>
        </w:rPr>
        <w:fldChar w:fldCharType="separate"/>
      </w:r>
      <w:r>
        <w:rPr>
          <w:highlight w:val="none"/>
        </w:rPr>
        <w:t>43</w:t>
      </w:r>
      <w:r>
        <w:rPr>
          <w:highlight w:val="none"/>
        </w:rPr>
        <w:fldChar w:fldCharType="end"/>
      </w:r>
      <w:r>
        <w:rPr>
          <w:rFonts w:hint="eastAsia" w:ascii="仿宋" w:hAnsi="仿宋" w:eastAsia="仿宋" w:cs="仿宋"/>
          <w:highlight w:val="none"/>
        </w:rPr>
        <w:fldChar w:fldCharType="end"/>
      </w:r>
    </w:p>
    <w:p w14:paraId="19E03DA5">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_Toc1498 </w:instrText>
      </w:r>
      <w:r>
        <w:rPr>
          <w:rFonts w:hint="eastAsia" w:ascii="仿宋" w:hAnsi="仿宋" w:eastAsia="仿宋" w:cs="仿宋"/>
          <w:highlight w:val="none"/>
        </w:rPr>
        <w:fldChar w:fldCharType="separate"/>
      </w:r>
      <w:r>
        <w:rPr>
          <w:rFonts w:hint="eastAsia" w:ascii="仿宋" w:hAnsi="仿宋" w:eastAsia="仿宋" w:cs="仿宋"/>
          <w:szCs w:val="28"/>
          <w:highlight w:val="none"/>
        </w:rPr>
        <w:t>1</w:t>
      </w:r>
      <w:r>
        <w:rPr>
          <w:rFonts w:hint="eastAsia" w:ascii="仿宋" w:hAnsi="仿宋" w:eastAsia="仿宋" w:cs="仿宋"/>
          <w:szCs w:val="28"/>
          <w:highlight w:val="none"/>
          <w:lang w:val="en-US" w:eastAsia="zh-CN"/>
        </w:rPr>
        <w:t>1</w:t>
      </w:r>
      <w:r>
        <w:rPr>
          <w:rFonts w:hint="eastAsia" w:ascii="仿宋" w:hAnsi="仿宋" w:eastAsia="仿宋" w:cs="仿宋"/>
          <w:szCs w:val="28"/>
          <w:highlight w:val="none"/>
        </w:rPr>
        <w:t xml:space="preserve">  投标人须知资料表要求的其他资格证明文件</w:t>
      </w:r>
      <w:r>
        <w:rPr>
          <w:highlight w:val="none"/>
        </w:rPr>
        <w:tab/>
      </w:r>
      <w:r>
        <w:rPr>
          <w:highlight w:val="none"/>
        </w:rPr>
        <w:fldChar w:fldCharType="begin"/>
      </w:r>
      <w:r>
        <w:rPr>
          <w:highlight w:val="none"/>
        </w:rPr>
        <w:instrText xml:space="preserve"> PAGEREF _Toc1498 \h </w:instrText>
      </w:r>
      <w:r>
        <w:rPr>
          <w:highlight w:val="none"/>
        </w:rPr>
        <w:fldChar w:fldCharType="separate"/>
      </w:r>
      <w:r>
        <w:rPr>
          <w:highlight w:val="none"/>
        </w:rPr>
        <w:t>44</w:t>
      </w:r>
      <w:r>
        <w:rPr>
          <w:highlight w:val="none"/>
        </w:rPr>
        <w:fldChar w:fldCharType="end"/>
      </w:r>
      <w:r>
        <w:rPr>
          <w:rFonts w:hint="eastAsia" w:ascii="仿宋" w:hAnsi="仿宋" w:eastAsia="仿宋" w:cs="仿宋"/>
          <w:highlight w:val="none"/>
        </w:rPr>
        <w:fldChar w:fldCharType="end"/>
      </w:r>
    </w:p>
    <w:p w14:paraId="6090E021">
      <w:pPr>
        <w:pStyle w:val="17"/>
        <w:tabs>
          <w:tab w:val="right" w:leader="dot" w:pos="9746"/>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_Toc14819 </w:instrText>
      </w:r>
      <w:r>
        <w:rPr>
          <w:rFonts w:hint="eastAsia" w:ascii="仿宋" w:hAnsi="仿宋" w:eastAsia="仿宋" w:cs="仿宋"/>
          <w:highlight w:val="none"/>
        </w:rPr>
        <w:fldChar w:fldCharType="separate"/>
      </w:r>
      <w:r>
        <w:rPr>
          <w:rFonts w:hint="eastAsia" w:ascii="仿宋" w:hAnsi="仿宋" w:eastAsia="仿宋" w:cs="仿宋"/>
          <w:szCs w:val="32"/>
          <w:highlight w:val="none"/>
        </w:rPr>
        <w:t>第二部分  商务及技术文件</w:t>
      </w:r>
      <w:r>
        <w:rPr>
          <w:highlight w:val="none"/>
        </w:rPr>
        <w:tab/>
      </w:r>
      <w:r>
        <w:rPr>
          <w:highlight w:val="none"/>
        </w:rPr>
        <w:fldChar w:fldCharType="begin"/>
      </w:r>
      <w:r>
        <w:rPr>
          <w:highlight w:val="none"/>
        </w:rPr>
        <w:instrText xml:space="preserve"> PAGEREF _Toc14819 \h </w:instrText>
      </w:r>
      <w:r>
        <w:rPr>
          <w:highlight w:val="none"/>
        </w:rPr>
        <w:fldChar w:fldCharType="separate"/>
      </w:r>
      <w:r>
        <w:rPr>
          <w:highlight w:val="none"/>
        </w:rPr>
        <w:t>45</w:t>
      </w:r>
      <w:r>
        <w:rPr>
          <w:highlight w:val="none"/>
        </w:rPr>
        <w:fldChar w:fldCharType="end"/>
      </w:r>
      <w:r>
        <w:rPr>
          <w:rFonts w:hint="eastAsia" w:ascii="仿宋" w:hAnsi="仿宋" w:eastAsia="仿宋" w:cs="仿宋"/>
          <w:highlight w:val="none"/>
        </w:rPr>
        <w:fldChar w:fldCharType="end"/>
      </w:r>
    </w:p>
    <w:p w14:paraId="65F7FBCD">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_Toc1420 </w:instrText>
      </w:r>
      <w:r>
        <w:rPr>
          <w:rFonts w:hint="eastAsia" w:ascii="仿宋" w:hAnsi="仿宋" w:eastAsia="仿宋" w:cs="仿宋"/>
          <w:highlight w:val="none"/>
        </w:rPr>
        <w:fldChar w:fldCharType="separate"/>
      </w:r>
      <w:r>
        <w:rPr>
          <w:rFonts w:hint="eastAsia" w:ascii="仿宋" w:hAnsi="仿宋" w:eastAsia="仿宋" w:cs="仿宋"/>
          <w:kern w:val="0"/>
          <w:szCs w:val="28"/>
          <w:highlight w:val="none"/>
          <w:lang w:val="en-US" w:eastAsia="zh-CN" w:bidi="ar-SA"/>
        </w:rPr>
        <w:t>1  投标书（投标文件格式四）</w:t>
      </w:r>
      <w:r>
        <w:rPr>
          <w:highlight w:val="none"/>
        </w:rPr>
        <w:tab/>
      </w:r>
      <w:r>
        <w:rPr>
          <w:highlight w:val="none"/>
        </w:rPr>
        <w:fldChar w:fldCharType="begin"/>
      </w:r>
      <w:r>
        <w:rPr>
          <w:highlight w:val="none"/>
        </w:rPr>
        <w:instrText xml:space="preserve"> PAGEREF _Toc1420 \h </w:instrText>
      </w:r>
      <w:r>
        <w:rPr>
          <w:highlight w:val="none"/>
        </w:rPr>
        <w:fldChar w:fldCharType="separate"/>
      </w:r>
      <w:r>
        <w:rPr>
          <w:highlight w:val="none"/>
        </w:rPr>
        <w:t>46</w:t>
      </w:r>
      <w:r>
        <w:rPr>
          <w:highlight w:val="none"/>
        </w:rPr>
        <w:fldChar w:fldCharType="end"/>
      </w:r>
      <w:r>
        <w:rPr>
          <w:rFonts w:hint="eastAsia" w:ascii="仿宋" w:hAnsi="仿宋" w:eastAsia="仿宋" w:cs="仿宋"/>
          <w:highlight w:val="none"/>
        </w:rPr>
        <w:fldChar w:fldCharType="end"/>
      </w:r>
    </w:p>
    <w:p w14:paraId="628400F2">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_Toc31599 </w:instrText>
      </w:r>
      <w:r>
        <w:rPr>
          <w:rFonts w:hint="eastAsia" w:ascii="仿宋" w:hAnsi="仿宋" w:eastAsia="仿宋" w:cs="仿宋"/>
          <w:highlight w:val="none"/>
        </w:rPr>
        <w:fldChar w:fldCharType="separate"/>
      </w:r>
      <w:r>
        <w:rPr>
          <w:rFonts w:hint="eastAsia" w:ascii="仿宋" w:hAnsi="仿宋" w:eastAsia="仿宋" w:cs="仿宋"/>
          <w:kern w:val="0"/>
          <w:szCs w:val="28"/>
          <w:highlight w:val="none"/>
          <w:lang w:val="en-US" w:eastAsia="zh-CN" w:bidi="ar-SA"/>
        </w:rPr>
        <w:t>2 投标保证金缴纳凭证复印件或投标担保函</w:t>
      </w:r>
      <w:r>
        <w:rPr>
          <w:highlight w:val="none"/>
        </w:rPr>
        <w:tab/>
      </w:r>
      <w:r>
        <w:rPr>
          <w:highlight w:val="none"/>
        </w:rPr>
        <w:fldChar w:fldCharType="begin"/>
      </w:r>
      <w:r>
        <w:rPr>
          <w:highlight w:val="none"/>
        </w:rPr>
        <w:instrText xml:space="preserve"> PAGEREF _Toc31599 \h </w:instrText>
      </w:r>
      <w:r>
        <w:rPr>
          <w:highlight w:val="none"/>
        </w:rPr>
        <w:fldChar w:fldCharType="separate"/>
      </w:r>
      <w:r>
        <w:rPr>
          <w:highlight w:val="none"/>
        </w:rPr>
        <w:t>48</w:t>
      </w:r>
      <w:r>
        <w:rPr>
          <w:highlight w:val="none"/>
        </w:rPr>
        <w:fldChar w:fldCharType="end"/>
      </w:r>
      <w:r>
        <w:rPr>
          <w:rFonts w:hint="eastAsia" w:ascii="仿宋" w:hAnsi="仿宋" w:eastAsia="仿宋" w:cs="仿宋"/>
          <w:highlight w:val="none"/>
        </w:rPr>
        <w:fldChar w:fldCharType="end"/>
      </w:r>
    </w:p>
    <w:p w14:paraId="616E6C7B">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_Toc7841 </w:instrText>
      </w:r>
      <w:r>
        <w:rPr>
          <w:rFonts w:hint="eastAsia" w:ascii="仿宋" w:hAnsi="仿宋" w:eastAsia="仿宋" w:cs="仿宋"/>
          <w:highlight w:val="none"/>
        </w:rPr>
        <w:fldChar w:fldCharType="separate"/>
      </w:r>
      <w:r>
        <w:rPr>
          <w:rFonts w:hint="eastAsia" w:ascii="仿宋" w:hAnsi="仿宋" w:eastAsia="仿宋" w:cs="仿宋"/>
          <w:szCs w:val="28"/>
          <w:highlight w:val="none"/>
          <w:lang w:val="en-US" w:eastAsia="zh-CN"/>
        </w:rPr>
        <w:t xml:space="preserve">3  </w:t>
      </w:r>
      <w:r>
        <w:rPr>
          <w:rFonts w:hint="eastAsia" w:ascii="仿宋" w:hAnsi="仿宋" w:eastAsia="仿宋" w:cs="仿宋"/>
          <w:szCs w:val="28"/>
          <w:highlight w:val="none"/>
        </w:rPr>
        <w:t>投标分项报价表（投标文件格式六）</w:t>
      </w:r>
      <w:r>
        <w:rPr>
          <w:highlight w:val="none"/>
        </w:rPr>
        <w:tab/>
      </w:r>
      <w:r>
        <w:rPr>
          <w:highlight w:val="none"/>
        </w:rPr>
        <w:fldChar w:fldCharType="begin"/>
      </w:r>
      <w:r>
        <w:rPr>
          <w:highlight w:val="none"/>
        </w:rPr>
        <w:instrText xml:space="preserve"> PAGEREF _Toc7841 \h </w:instrText>
      </w:r>
      <w:r>
        <w:rPr>
          <w:highlight w:val="none"/>
        </w:rPr>
        <w:fldChar w:fldCharType="separate"/>
      </w:r>
      <w:r>
        <w:rPr>
          <w:highlight w:val="none"/>
        </w:rPr>
        <w:t>51</w:t>
      </w:r>
      <w:r>
        <w:rPr>
          <w:highlight w:val="none"/>
        </w:rPr>
        <w:fldChar w:fldCharType="end"/>
      </w:r>
      <w:r>
        <w:rPr>
          <w:rFonts w:hint="eastAsia" w:ascii="仿宋" w:hAnsi="仿宋" w:eastAsia="仿宋" w:cs="仿宋"/>
          <w:highlight w:val="none"/>
        </w:rPr>
        <w:fldChar w:fldCharType="end"/>
      </w:r>
    </w:p>
    <w:p w14:paraId="1F123006">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_Toc14384 </w:instrText>
      </w:r>
      <w:r>
        <w:rPr>
          <w:rFonts w:hint="eastAsia" w:ascii="仿宋" w:hAnsi="仿宋" w:eastAsia="仿宋" w:cs="仿宋"/>
          <w:highlight w:val="none"/>
        </w:rPr>
        <w:fldChar w:fldCharType="separate"/>
      </w:r>
      <w:r>
        <w:rPr>
          <w:rFonts w:hint="eastAsia" w:ascii="仿宋" w:hAnsi="仿宋" w:eastAsia="仿宋" w:cs="仿宋"/>
          <w:szCs w:val="28"/>
          <w:highlight w:val="none"/>
          <w:lang w:val="en-US" w:eastAsia="zh-CN"/>
        </w:rPr>
        <w:t xml:space="preserve">4 </w:t>
      </w:r>
      <w:r>
        <w:rPr>
          <w:rFonts w:hint="eastAsia" w:ascii="仿宋" w:hAnsi="仿宋" w:eastAsia="仿宋" w:cs="仿宋"/>
          <w:szCs w:val="28"/>
          <w:highlight w:val="none"/>
        </w:rPr>
        <w:t>技术规格偏离表（投标文件格式八）</w:t>
      </w:r>
      <w:r>
        <w:rPr>
          <w:highlight w:val="none"/>
        </w:rPr>
        <w:tab/>
      </w:r>
      <w:r>
        <w:rPr>
          <w:highlight w:val="none"/>
        </w:rPr>
        <w:fldChar w:fldCharType="begin"/>
      </w:r>
      <w:r>
        <w:rPr>
          <w:highlight w:val="none"/>
        </w:rPr>
        <w:instrText xml:space="preserve"> PAGEREF _Toc14384 \h </w:instrText>
      </w:r>
      <w:r>
        <w:rPr>
          <w:highlight w:val="none"/>
        </w:rPr>
        <w:fldChar w:fldCharType="separate"/>
      </w:r>
      <w:r>
        <w:rPr>
          <w:highlight w:val="none"/>
        </w:rPr>
        <w:t>52</w:t>
      </w:r>
      <w:r>
        <w:rPr>
          <w:highlight w:val="none"/>
        </w:rPr>
        <w:fldChar w:fldCharType="end"/>
      </w:r>
      <w:r>
        <w:rPr>
          <w:rFonts w:hint="eastAsia" w:ascii="仿宋" w:hAnsi="仿宋" w:eastAsia="仿宋" w:cs="仿宋"/>
          <w:highlight w:val="none"/>
        </w:rPr>
        <w:fldChar w:fldCharType="end"/>
      </w:r>
    </w:p>
    <w:p w14:paraId="756E749D">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_Toc27904 </w:instrText>
      </w:r>
      <w:r>
        <w:rPr>
          <w:rFonts w:hint="eastAsia" w:ascii="仿宋" w:hAnsi="仿宋" w:eastAsia="仿宋" w:cs="仿宋"/>
          <w:highlight w:val="none"/>
        </w:rPr>
        <w:fldChar w:fldCharType="separate"/>
      </w:r>
      <w:r>
        <w:rPr>
          <w:rFonts w:hint="eastAsia" w:ascii="仿宋" w:hAnsi="仿宋" w:eastAsia="仿宋" w:cs="仿宋"/>
          <w:szCs w:val="28"/>
          <w:highlight w:val="none"/>
          <w:lang w:val="en-US" w:eastAsia="zh-CN"/>
        </w:rPr>
        <w:t xml:space="preserve">5  </w:t>
      </w:r>
      <w:r>
        <w:rPr>
          <w:rFonts w:hint="eastAsia" w:ascii="仿宋" w:hAnsi="仿宋" w:eastAsia="仿宋" w:cs="仿宋"/>
          <w:szCs w:val="28"/>
          <w:highlight w:val="none"/>
        </w:rPr>
        <w:t>商务条款偏离表（投标文件格式九）</w:t>
      </w:r>
      <w:r>
        <w:rPr>
          <w:highlight w:val="none"/>
        </w:rPr>
        <w:tab/>
      </w:r>
      <w:r>
        <w:rPr>
          <w:highlight w:val="none"/>
        </w:rPr>
        <w:fldChar w:fldCharType="begin"/>
      </w:r>
      <w:r>
        <w:rPr>
          <w:highlight w:val="none"/>
        </w:rPr>
        <w:instrText xml:space="preserve"> PAGEREF _Toc27904 \h </w:instrText>
      </w:r>
      <w:r>
        <w:rPr>
          <w:highlight w:val="none"/>
        </w:rPr>
        <w:fldChar w:fldCharType="separate"/>
      </w:r>
      <w:r>
        <w:rPr>
          <w:highlight w:val="none"/>
        </w:rPr>
        <w:t>53</w:t>
      </w:r>
      <w:r>
        <w:rPr>
          <w:highlight w:val="none"/>
        </w:rPr>
        <w:fldChar w:fldCharType="end"/>
      </w:r>
      <w:r>
        <w:rPr>
          <w:rFonts w:hint="eastAsia" w:ascii="仿宋" w:hAnsi="仿宋" w:eastAsia="仿宋" w:cs="仿宋"/>
          <w:highlight w:val="none"/>
        </w:rPr>
        <w:fldChar w:fldCharType="end"/>
      </w:r>
    </w:p>
    <w:p w14:paraId="1404594D">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_Toc26950 </w:instrText>
      </w:r>
      <w:r>
        <w:rPr>
          <w:rFonts w:hint="eastAsia" w:ascii="仿宋" w:hAnsi="仿宋" w:eastAsia="仿宋" w:cs="仿宋"/>
          <w:highlight w:val="none"/>
        </w:rPr>
        <w:fldChar w:fldCharType="separate"/>
      </w:r>
      <w:r>
        <w:rPr>
          <w:rFonts w:hint="eastAsia" w:ascii="仿宋" w:hAnsi="仿宋" w:eastAsia="仿宋" w:cs="仿宋"/>
          <w:szCs w:val="28"/>
          <w:highlight w:val="none"/>
          <w:lang w:val="en-US" w:eastAsia="zh-CN"/>
        </w:rPr>
        <w:t>6</w:t>
      </w:r>
      <w:r>
        <w:rPr>
          <w:rFonts w:hint="eastAsia" w:ascii="仿宋" w:hAnsi="仿宋" w:eastAsia="仿宋" w:cs="仿宋"/>
          <w:szCs w:val="28"/>
          <w:highlight w:val="none"/>
        </w:rPr>
        <w:t>-1</w:t>
      </w:r>
      <w:r>
        <w:rPr>
          <w:rFonts w:hint="eastAsia" w:ascii="仿宋" w:hAnsi="仿宋" w:eastAsia="仿宋" w:cs="仿宋"/>
          <w:szCs w:val="28"/>
          <w:highlight w:val="none"/>
          <w:lang w:val="en-US" w:eastAsia="zh-CN"/>
        </w:rPr>
        <w:t xml:space="preserve">  </w:t>
      </w:r>
      <w:r>
        <w:rPr>
          <w:rFonts w:hint="eastAsia" w:ascii="仿宋" w:hAnsi="仿宋" w:eastAsia="仿宋" w:cs="仿宋"/>
          <w:szCs w:val="28"/>
          <w:highlight w:val="none"/>
        </w:rPr>
        <w:t>中小企业声明函（投标文件格式十）</w:t>
      </w:r>
      <w:r>
        <w:rPr>
          <w:highlight w:val="none"/>
        </w:rPr>
        <w:tab/>
      </w:r>
      <w:r>
        <w:rPr>
          <w:highlight w:val="none"/>
        </w:rPr>
        <w:fldChar w:fldCharType="begin"/>
      </w:r>
      <w:r>
        <w:rPr>
          <w:highlight w:val="none"/>
        </w:rPr>
        <w:instrText xml:space="preserve"> PAGEREF _Toc26950 \h </w:instrText>
      </w:r>
      <w:r>
        <w:rPr>
          <w:highlight w:val="none"/>
        </w:rPr>
        <w:fldChar w:fldCharType="separate"/>
      </w:r>
      <w:r>
        <w:rPr>
          <w:highlight w:val="none"/>
        </w:rPr>
        <w:t>54</w:t>
      </w:r>
      <w:r>
        <w:rPr>
          <w:highlight w:val="none"/>
        </w:rPr>
        <w:fldChar w:fldCharType="end"/>
      </w:r>
      <w:r>
        <w:rPr>
          <w:rFonts w:hint="eastAsia" w:ascii="仿宋" w:hAnsi="仿宋" w:eastAsia="仿宋" w:cs="仿宋"/>
          <w:highlight w:val="none"/>
        </w:rPr>
        <w:fldChar w:fldCharType="end"/>
      </w:r>
    </w:p>
    <w:p w14:paraId="42DBCE03">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_Toc1732 </w:instrText>
      </w:r>
      <w:r>
        <w:rPr>
          <w:rFonts w:hint="eastAsia" w:ascii="仿宋" w:hAnsi="仿宋" w:eastAsia="仿宋" w:cs="仿宋"/>
          <w:highlight w:val="none"/>
        </w:rPr>
        <w:fldChar w:fldCharType="separate"/>
      </w:r>
      <w:r>
        <w:rPr>
          <w:rFonts w:hint="eastAsia" w:ascii="仿宋" w:hAnsi="仿宋" w:eastAsia="仿宋" w:cs="仿宋"/>
          <w:szCs w:val="28"/>
          <w:highlight w:val="none"/>
          <w:lang w:val="en-US" w:eastAsia="zh-CN"/>
        </w:rPr>
        <w:t xml:space="preserve">7  </w:t>
      </w:r>
      <w:r>
        <w:rPr>
          <w:rFonts w:hint="eastAsia" w:ascii="仿宋" w:hAnsi="仿宋" w:eastAsia="仿宋" w:cs="仿宋"/>
          <w:szCs w:val="28"/>
          <w:highlight w:val="none"/>
        </w:rPr>
        <w:t>投标人关联单位的说明</w:t>
      </w:r>
      <w:r>
        <w:rPr>
          <w:highlight w:val="none"/>
        </w:rPr>
        <w:tab/>
      </w:r>
      <w:r>
        <w:rPr>
          <w:highlight w:val="none"/>
        </w:rPr>
        <w:fldChar w:fldCharType="begin"/>
      </w:r>
      <w:r>
        <w:rPr>
          <w:highlight w:val="none"/>
        </w:rPr>
        <w:instrText xml:space="preserve"> PAGEREF _Toc1732 \h </w:instrText>
      </w:r>
      <w:r>
        <w:rPr>
          <w:highlight w:val="none"/>
        </w:rPr>
        <w:fldChar w:fldCharType="separate"/>
      </w:r>
      <w:r>
        <w:rPr>
          <w:highlight w:val="none"/>
        </w:rPr>
        <w:t>59</w:t>
      </w:r>
      <w:r>
        <w:rPr>
          <w:highlight w:val="none"/>
        </w:rPr>
        <w:fldChar w:fldCharType="end"/>
      </w:r>
      <w:r>
        <w:rPr>
          <w:rFonts w:hint="eastAsia" w:ascii="仿宋" w:hAnsi="仿宋" w:eastAsia="仿宋" w:cs="仿宋"/>
          <w:highlight w:val="none"/>
        </w:rPr>
        <w:fldChar w:fldCharType="end"/>
      </w:r>
    </w:p>
    <w:p w14:paraId="35F31DCD">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_Toc4111 </w:instrText>
      </w:r>
      <w:r>
        <w:rPr>
          <w:rFonts w:hint="eastAsia" w:ascii="仿宋" w:hAnsi="仿宋" w:eastAsia="仿宋" w:cs="仿宋"/>
          <w:highlight w:val="none"/>
        </w:rPr>
        <w:fldChar w:fldCharType="separate"/>
      </w:r>
      <w:r>
        <w:rPr>
          <w:rFonts w:hint="eastAsia" w:ascii="仿宋" w:hAnsi="仿宋" w:eastAsia="仿宋" w:cs="仿宋"/>
          <w:szCs w:val="28"/>
          <w:highlight w:val="none"/>
          <w:lang w:val="en-US" w:eastAsia="zh-CN"/>
        </w:rPr>
        <w:t xml:space="preserve">8 </w:t>
      </w:r>
      <w:r>
        <w:rPr>
          <w:rFonts w:hint="eastAsia" w:ascii="仿宋" w:hAnsi="仿宋" w:eastAsia="仿宋" w:cs="仿宋"/>
          <w:szCs w:val="28"/>
          <w:highlight w:val="none"/>
        </w:rPr>
        <w:t>申明函</w:t>
      </w:r>
      <w:r>
        <w:rPr>
          <w:highlight w:val="none"/>
        </w:rPr>
        <w:tab/>
      </w:r>
      <w:r>
        <w:rPr>
          <w:highlight w:val="none"/>
        </w:rPr>
        <w:fldChar w:fldCharType="begin"/>
      </w:r>
      <w:r>
        <w:rPr>
          <w:highlight w:val="none"/>
        </w:rPr>
        <w:instrText xml:space="preserve"> PAGEREF _Toc4111 \h </w:instrText>
      </w:r>
      <w:r>
        <w:rPr>
          <w:highlight w:val="none"/>
        </w:rPr>
        <w:fldChar w:fldCharType="separate"/>
      </w:r>
      <w:r>
        <w:rPr>
          <w:highlight w:val="none"/>
        </w:rPr>
        <w:t>59</w:t>
      </w:r>
      <w:r>
        <w:rPr>
          <w:highlight w:val="none"/>
        </w:rPr>
        <w:fldChar w:fldCharType="end"/>
      </w:r>
      <w:r>
        <w:rPr>
          <w:rFonts w:hint="eastAsia" w:ascii="仿宋" w:hAnsi="仿宋" w:eastAsia="仿宋" w:cs="仿宋"/>
          <w:highlight w:val="none"/>
        </w:rPr>
        <w:fldChar w:fldCharType="end"/>
      </w:r>
    </w:p>
    <w:p w14:paraId="0A6F06B7">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_Toc17615 </w:instrText>
      </w:r>
      <w:r>
        <w:rPr>
          <w:rFonts w:hint="eastAsia" w:ascii="仿宋" w:hAnsi="仿宋" w:eastAsia="仿宋" w:cs="仿宋"/>
          <w:highlight w:val="none"/>
        </w:rPr>
        <w:fldChar w:fldCharType="separate"/>
      </w:r>
      <w:r>
        <w:rPr>
          <w:rFonts w:hint="eastAsia" w:ascii="仿宋" w:hAnsi="仿宋" w:eastAsia="仿宋" w:cs="仿宋"/>
          <w:szCs w:val="28"/>
          <w:highlight w:val="none"/>
          <w:lang w:val="en-US" w:eastAsia="zh-CN"/>
        </w:rPr>
        <w:t>9 自觉抵制招标领域商业贿赂行为承诺书</w:t>
      </w:r>
      <w:r>
        <w:rPr>
          <w:highlight w:val="none"/>
        </w:rPr>
        <w:tab/>
      </w:r>
      <w:r>
        <w:rPr>
          <w:highlight w:val="none"/>
        </w:rPr>
        <w:fldChar w:fldCharType="begin"/>
      </w:r>
      <w:r>
        <w:rPr>
          <w:highlight w:val="none"/>
        </w:rPr>
        <w:instrText xml:space="preserve"> PAGEREF _Toc17615 \h </w:instrText>
      </w:r>
      <w:r>
        <w:rPr>
          <w:highlight w:val="none"/>
        </w:rPr>
        <w:fldChar w:fldCharType="separate"/>
      </w:r>
      <w:r>
        <w:rPr>
          <w:highlight w:val="none"/>
        </w:rPr>
        <w:t>60</w:t>
      </w:r>
      <w:r>
        <w:rPr>
          <w:highlight w:val="none"/>
        </w:rPr>
        <w:fldChar w:fldCharType="end"/>
      </w:r>
      <w:r>
        <w:rPr>
          <w:rFonts w:hint="eastAsia" w:ascii="仿宋" w:hAnsi="仿宋" w:eastAsia="仿宋" w:cs="仿宋"/>
          <w:highlight w:val="none"/>
        </w:rPr>
        <w:fldChar w:fldCharType="end"/>
      </w:r>
    </w:p>
    <w:p w14:paraId="6E71398E">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_Toc4825 </w:instrText>
      </w:r>
      <w:r>
        <w:rPr>
          <w:rFonts w:hint="eastAsia" w:ascii="仿宋" w:hAnsi="仿宋" w:eastAsia="仿宋" w:cs="仿宋"/>
          <w:highlight w:val="none"/>
        </w:rPr>
        <w:fldChar w:fldCharType="separate"/>
      </w:r>
      <w:r>
        <w:rPr>
          <w:rFonts w:hint="eastAsia" w:ascii="仿宋" w:hAnsi="仿宋" w:eastAsia="仿宋" w:cs="仿宋"/>
          <w:kern w:val="0"/>
          <w:szCs w:val="28"/>
          <w:highlight w:val="none"/>
          <w:lang w:val="en-US" w:eastAsia="zh-CN" w:bidi="ar-SA"/>
        </w:rPr>
        <w:t>10  投标人没有被限制或取消投标资格的承诺函</w:t>
      </w:r>
      <w:r>
        <w:rPr>
          <w:highlight w:val="none"/>
        </w:rPr>
        <w:tab/>
      </w:r>
      <w:r>
        <w:rPr>
          <w:highlight w:val="none"/>
        </w:rPr>
        <w:fldChar w:fldCharType="begin"/>
      </w:r>
      <w:r>
        <w:rPr>
          <w:highlight w:val="none"/>
        </w:rPr>
        <w:instrText xml:space="preserve"> PAGEREF _Toc4825 \h </w:instrText>
      </w:r>
      <w:r>
        <w:rPr>
          <w:highlight w:val="none"/>
        </w:rPr>
        <w:fldChar w:fldCharType="separate"/>
      </w:r>
      <w:r>
        <w:rPr>
          <w:highlight w:val="none"/>
        </w:rPr>
        <w:t>62</w:t>
      </w:r>
      <w:r>
        <w:rPr>
          <w:highlight w:val="none"/>
        </w:rPr>
        <w:fldChar w:fldCharType="end"/>
      </w:r>
      <w:r>
        <w:rPr>
          <w:rFonts w:hint="eastAsia" w:ascii="仿宋" w:hAnsi="仿宋" w:eastAsia="仿宋" w:cs="仿宋"/>
          <w:highlight w:val="none"/>
        </w:rPr>
        <w:fldChar w:fldCharType="end"/>
      </w:r>
    </w:p>
    <w:p w14:paraId="67F98C9C">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_Toc2378 </w:instrText>
      </w:r>
      <w:r>
        <w:rPr>
          <w:rFonts w:hint="eastAsia" w:ascii="仿宋" w:hAnsi="仿宋" w:eastAsia="仿宋" w:cs="仿宋"/>
          <w:highlight w:val="none"/>
        </w:rPr>
        <w:fldChar w:fldCharType="separate"/>
      </w:r>
      <w:r>
        <w:rPr>
          <w:rFonts w:hint="eastAsia" w:ascii="仿宋" w:hAnsi="仿宋" w:eastAsia="仿宋" w:cs="仿宋"/>
          <w:szCs w:val="28"/>
          <w:highlight w:val="none"/>
          <w:lang w:val="en-US" w:eastAsia="zh-CN"/>
        </w:rPr>
        <w:t>11 投标人需要补充的其他文件和说明。</w:t>
      </w:r>
      <w:r>
        <w:rPr>
          <w:highlight w:val="none"/>
        </w:rPr>
        <w:tab/>
      </w:r>
      <w:r>
        <w:rPr>
          <w:highlight w:val="none"/>
        </w:rPr>
        <w:fldChar w:fldCharType="begin"/>
      </w:r>
      <w:r>
        <w:rPr>
          <w:highlight w:val="none"/>
        </w:rPr>
        <w:instrText xml:space="preserve"> PAGEREF _Toc2378 \h </w:instrText>
      </w:r>
      <w:r>
        <w:rPr>
          <w:highlight w:val="none"/>
        </w:rPr>
        <w:fldChar w:fldCharType="separate"/>
      </w:r>
      <w:r>
        <w:rPr>
          <w:highlight w:val="none"/>
        </w:rPr>
        <w:t>62</w:t>
      </w:r>
      <w:r>
        <w:rPr>
          <w:highlight w:val="none"/>
        </w:rPr>
        <w:fldChar w:fldCharType="end"/>
      </w:r>
      <w:r>
        <w:rPr>
          <w:rFonts w:hint="eastAsia" w:ascii="仿宋" w:hAnsi="仿宋" w:eastAsia="仿宋" w:cs="仿宋"/>
          <w:highlight w:val="none"/>
        </w:rPr>
        <w:fldChar w:fldCharType="end"/>
      </w:r>
    </w:p>
    <w:p w14:paraId="45103017">
      <w:pPr>
        <w:pStyle w:val="16"/>
        <w:tabs>
          <w:tab w:val="right" w:leader="dot" w:pos="9746"/>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_Toc21497 </w:instrText>
      </w:r>
      <w:r>
        <w:rPr>
          <w:rFonts w:hint="eastAsia" w:ascii="仿宋" w:hAnsi="仿宋" w:eastAsia="仿宋" w:cs="仿宋"/>
          <w:highlight w:val="none"/>
        </w:rPr>
        <w:fldChar w:fldCharType="separate"/>
      </w:r>
      <w:r>
        <w:rPr>
          <w:rFonts w:hint="eastAsia" w:ascii="仿宋" w:hAnsi="仿宋" w:eastAsia="仿宋" w:cs="仿宋"/>
          <w:kern w:val="0"/>
          <w:szCs w:val="22"/>
          <w:highlight w:val="none"/>
        </w:rPr>
        <w:t>第三章  投标邀请</w:t>
      </w:r>
      <w:r>
        <w:rPr>
          <w:highlight w:val="none"/>
        </w:rPr>
        <w:tab/>
      </w:r>
      <w:r>
        <w:rPr>
          <w:highlight w:val="none"/>
        </w:rPr>
        <w:fldChar w:fldCharType="begin"/>
      </w:r>
      <w:r>
        <w:rPr>
          <w:highlight w:val="none"/>
        </w:rPr>
        <w:instrText xml:space="preserve"> PAGEREF _Toc21497 \h </w:instrText>
      </w:r>
      <w:r>
        <w:rPr>
          <w:highlight w:val="none"/>
        </w:rPr>
        <w:fldChar w:fldCharType="separate"/>
      </w:r>
      <w:r>
        <w:rPr>
          <w:highlight w:val="none"/>
        </w:rPr>
        <w:t>64</w:t>
      </w:r>
      <w:r>
        <w:rPr>
          <w:highlight w:val="none"/>
        </w:rPr>
        <w:fldChar w:fldCharType="end"/>
      </w:r>
      <w:r>
        <w:rPr>
          <w:rFonts w:hint="eastAsia" w:ascii="仿宋" w:hAnsi="仿宋" w:eastAsia="仿宋" w:cs="仿宋"/>
          <w:highlight w:val="none"/>
        </w:rPr>
        <w:fldChar w:fldCharType="end"/>
      </w:r>
    </w:p>
    <w:p w14:paraId="28B1474C">
      <w:pPr>
        <w:pStyle w:val="16"/>
        <w:tabs>
          <w:tab w:val="right" w:leader="dot" w:pos="9746"/>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_Toc15069 </w:instrText>
      </w:r>
      <w:r>
        <w:rPr>
          <w:rFonts w:hint="eastAsia" w:ascii="仿宋" w:hAnsi="仿宋" w:eastAsia="仿宋" w:cs="仿宋"/>
          <w:highlight w:val="none"/>
        </w:rPr>
        <w:fldChar w:fldCharType="separate"/>
      </w:r>
      <w:r>
        <w:rPr>
          <w:rFonts w:hint="eastAsia" w:ascii="仿宋" w:hAnsi="仿宋" w:eastAsia="仿宋" w:cs="仿宋"/>
          <w:kern w:val="0"/>
          <w:szCs w:val="22"/>
          <w:highlight w:val="none"/>
        </w:rPr>
        <w:t>第四章  投标人须知资料表</w:t>
      </w:r>
      <w:r>
        <w:rPr>
          <w:highlight w:val="none"/>
        </w:rPr>
        <w:tab/>
      </w:r>
      <w:r>
        <w:rPr>
          <w:highlight w:val="none"/>
        </w:rPr>
        <w:fldChar w:fldCharType="begin"/>
      </w:r>
      <w:r>
        <w:rPr>
          <w:highlight w:val="none"/>
        </w:rPr>
        <w:instrText xml:space="preserve"> PAGEREF _Toc15069 \h </w:instrText>
      </w:r>
      <w:r>
        <w:rPr>
          <w:highlight w:val="none"/>
        </w:rPr>
        <w:fldChar w:fldCharType="separate"/>
      </w:r>
      <w:r>
        <w:rPr>
          <w:highlight w:val="none"/>
        </w:rPr>
        <w:t>67</w:t>
      </w:r>
      <w:r>
        <w:rPr>
          <w:highlight w:val="none"/>
        </w:rPr>
        <w:fldChar w:fldCharType="end"/>
      </w:r>
      <w:r>
        <w:rPr>
          <w:rFonts w:hint="eastAsia" w:ascii="仿宋" w:hAnsi="仿宋" w:eastAsia="仿宋" w:cs="仿宋"/>
          <w:highlight w:val="none"/>
        </w:rPr>
        <w:fldChar w:fldCharType="end"/>
      </w:r>
    </w:p>
    <w:p w14:paraId="426F3C6B">
      <w:pPr>
        <w:pStyle w:val="17"/>
        <w:tabs>
          <w:tab w:val="right" w:leader="dot" w:pos="9746"/>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_Toc32395 </w:instrText>
      </w:r>
      <w:r>
        <w:rPr>
          <w:rFonts w:hint="eastAsia" w:ascii="仿宋" w:hAnsi="仿宋" w:eastAsia="仿宋" w:cs="仿宋"/>
          <w:highlight w:val="none"/>
        </w:rPr>
        <w:fldChar w:fldCharType="separate"/>
      </w:r>
      <w:r>
        <w:rPr>
          <w:rFonts w:hint="eastAsia" w:ascii="仿宋" w:hAnsi="仿宋" w:eastAsia="仿宋" w:cs="仿宋"/>
          <w:kern w:val="0"/>
          <w:szCs w:val="32"/>
          <w:highlight w:val="none"/>
          <w:lang w:val="en-US" w:eastAsia="zh-CN" w:bidi="ar-SA"/>
        </w:rPr>
        <w:t>资格审查表</w:t>
      </w:r>
      <w:r>
        <w:rPr>
          <w:highlight w:val="none"/>
        </w:rPr>
        <w:tab/>
      </w:r>
      <w:r>
        <w:rPr>
          <w:highlight w:val="none"/>
        </w:rPr>
        <w:fldChar w:fldCharType="begin"/>
      </w:r>
      <w:r>
        <w:rPr>
          <w:highlight w:val="none"/>
        </w:rPr>
        <w:instrText xml:space="preserve"> PAGEREF _Toc32395 \h </w:instrText>
      </w:r>
      <w:r>
        <w:rPr>
          <w:highlight w:val="none"/>
        </w:rPr>
        <w:fldChar w:fldCharType="separate"/>
      </w:r>
      <w:r>
        <w:rPr>
          <w:highlight w:val="none"/>
        </w:rPr>
        <w:t>73</w:t>
      </w:r>
      <w:r>
        <w:rPr>
          <w:highlight w:val="none"/>
        </w:rPr>
        <w:fldChar w:fldCharType="end"/>
      </w:r>
      <w:r>
        <w:rPr>
          <w:rFonts w:hint="eastAsia" w:ascii="仿宋" w:hAnsi="仿宋" w:eastAsia="仿宋" w:cs="仿宋"/>
          <w:highlight w:val="none"/>
        </w:rPr>
        <w:fldChar w:fldCharType="end"/>
      </w:r>
    </w:p>
    <w:p w14:paraId="2C45431E">
      <w:pPr>
        <w:pStyle w:val="16"/>
        <w:tabs>
          <w:tab w:val="right" w:leader="dot" w:pos="9746"/>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_Toc8926 </w:instrText>
      </w:r>
      <w:r>
        <w:rPr>
          <w:rFonts w:hint="eastAsia" w:ascii="仿宋" w:hAnsi="仿宋" w:eastAsia="仿宋" w:cs="仿宋"/>
          <w:highlight w:val="none"/>
        </w:rPr>
        <w:fldChar w:fldCharType="separate"/>
      </w:r>
      <w:r>
        <w:rPr>
          <w:rFonts w:hint="eastAsia" w:ascii="仿宋" w:hAnsi="仿宋" w:eastAsia="仿宋" w:cs="仿宋"/>
          <w:kern w:val="0"/>
          <w:szCs w:val="22"/>
          <w:highlight w:val="none"/>
        </w:rPr>
        <w:t>第五章  货物需求一览表及技术规格</w:t>
      </w:r>
      <w:r>
        <w:rPr>
          <w:highlight w:val="none"/>
        </w:rPr>
        <w:tab/>
      </w:r>
      <w:r>
        <w:rPr>
          <w:highlight w:val="none"/>
        </w:rPr>
        <w:fldChar w:fldCharType="begin"/>
      </w:r>
      <w:r>
        <w:rPr>
          <w:highlight w:val="none"/>
        </w:rPr>
        <w:instrText xml:space="preserve"> PAGEREF _Toc8926 \h </w:instrText>
      </w:r>
      <w:r>
        <w:rPr>
          <w:highlight w:val="none"/>
        </w:rPr>
        <w:fldChar w:fldCharType="separate"/>
      </w:r>
      <w:r>
        <w:rPr>
          <w:b/>
          <w:highlight w:val="none"/>
        </w:rPr>
        <w:t>错误！未定义书签。</w:t>
      </w:r>
      <w:r>
        <w:rPr>
          <w:highlight w:val="none"/>
        </w:rPr>
        <w:fldChar w:fldCharType="end"/>
      </w:r>
      <w:r>
        <w:rPr>
          <w:rFonts w:hint="eastAsia" w:ascii="仿宋" w:hAnsi="仿宋" w:eastAsia="仿宋" w:cs="仿宋"/>
          <w:highlight w:val="none"/>
        </w:rPr>
        <w:fldChar w:fldCharType="end"/>
      </w:r>
    </w:p>
    <w:p w14:paraId="4451CC88">
      <w:pPr>
        <w:pStyle w:val="17"/>
        <w:tabs>
          <w:tab w:val="right" w:leader="dot" w:pos="9746"/>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_Toc7805 </w:instrText>
      </w:r>
      <w:r>
        <w:rPr>
          <w:rFonts w:hint="eastAsia" w:ascii="仿宋" w:hAnsi="仿宋" w:eastAsia="仿宋" w:cs="仿宋"/>
          <w:highlight w:val="none"/>
        </w:rPr>
        <w:fldChar w:fldCharType="separate"/>
      </w:r>
      <w:r>
        <w:rPr>
          <w:rFonts w:hint="eastAsia" w:ascii="仿宋" w:hAnsi="仿宋" w:eastAsia="仿宋" w:cs="仿宋"/>
          <w:kern w:val="0"/>
          <w:szCs w:val="32"/>
          <w:highlight w:val="none"/>
          <w:lang w:val="en-US" w:eastAsia="zh-CN" w:bidi="ar-SA"/>
        </w:rPr>
        <w:t>一、采购需求参数：</w:t>
      </w:r>
      <w:r>
        <w:rPr>
          <w:highlight w:val="none"/>
        </w:rPr>
        <w:tab/>
      </w:r>
      <w:r>
        <w:rPr>
          <w:highlight w:val="none"/>
        </w:rPr>
        <w:fldChar w:fldCharType="begin"/>
      </w:r>
      <w:r>
        <w:rPr>
          <w:highlight w:val="none"/>
        </w:rPr>
        <w:instrText xml:space="preserve"> PAGEREF _Toc7805 \h </w:instrText>
      </w:r>
      <w:r>
        <w:rPr>
          <w:highlight w:val="none"/>
        </w:rPr>
        <w:fldChar w:fldCharType="separate"/>
      </w:r>
      <w:r>
        <w:rPr>
          <w:b/>
          <w:highlight w:val="none"/>
        </w:rPr>
        <w:t>错误！未定义书签。</w:t>
      </w:r>
      <w:r>
        <w:rPr>
          <w:highlight w:val="none"/>
        </w:rPr>
        <w:fldChar w:fldCharType="end"/>
      </w:r>
      <w:r>
        <w:rPr>
          <w:rFonts w:hint="eastAsia" w:ascii="仿宋" w:hAnsi="仿宋" w:eastAsia="仿宋" w:cs="仿宋"/>
          <w:highlight w:val="none"/>
        </w:rPr>
        <w:fldChar w:fldCharType="end"/>
      </w:r>
    </w:p>
    <w:p w14:paraId="60FBA952">
      <w:pPr>
        <w:pStyle w:val="17"/>
        <w:tabs>
          <w:tab w:val="right" w:leader="dot" w:pos="9746"/>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_Toc3533 </w:instrText>
      </w:r>
      <w:r>
        <w:rPr>
          <w:rFonts w:hint="eastAsia" w:ascii="仿宋" w:hAnsi="仿宋" w:eastAsia="仿宋" w:cs="仿宋"/>
          <w:highlight w:val="none"/>
        </w:rPr>
        <w:fldChar w:fldCharType="separate"/>
      </w:r>
      <w:r>
        <w:rPr>
          <w:rFonts w:hint="eastAsia" w:ascii="仿宋" w:hAnsi="仿宋" w:eastAsia="仿宋" w:cs="仿宋"/>
          <w:kern w:val="0"/>
          <w:szCs w:val="32"/>
          <w:highlight w:val="none"/>
          <w:lang w:val="en-US" w:eastAsia="zh-CN" w:bidi="ar-SA"/>
        </w:rPr>
        <w:t>二、技术规格及要求说明</w:t>
      </w:r>
      <w:r>
        <w:rPr>
          <w:highlight w:val="none"/>
        </w:rPr>
        <w:tab/>
      </w:r>
      <w:r>
        <w:rPr>
          <w:highlight w:val="none"/>
        </w:rPr>
        <w:fldChar w:fldCharType="begin"/>
      </w:r>
      <w:r>
        <w:rPr>
          <w:highlight w:val="none"/>
        </w:rPr>
        <w:instrText xml:space="preserve"> PAGEREF _Toc3533 \h </w:instrText>
      </w:r>
      <w:r>
        <w:rPr>
          <w:highlight w:val="none"/>
        </w:rPr>
        <w:fldChar w:fldCharType="separate"/>
      </w:r>
      <w:r>
        <w:rPr>
          <w:b/>
          <w:highlight w:val="none"/>
        </w:rPr>
        <w:t>错误！未定义书签。</w:t>
      </w:r>
      <w:r>
        <w:rPr>
          <w:highlight w:val="none"/>
        </w:rPr>
        <w:fldChar w:fldCharType="end"/>
      </w:r>
      <w:r>
        <w:rPr>
          <w:rFonts w:hint="eastAsia" w:ascii="仿宋" w:hAnsi="仿宋" w:eastAsia="仿宋" w:cs="仿宋"/>
          <w:highlight w:val="none"/>
        </w:rPr>
        <w:fldChar w:fldCharType="end"/>
      </w:r>
    </w:p>
    <w:p w14:paraId="14FCC443">
      <w:pPr>
        <w:pStyle w:val="10"/>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_Toc1414 </w:instrText>
      </w:r>
      <w:r>
        <w:rPr>
          <w:rFonts w:hint="eastAsia" w:ascii="仿宋" w:hAnsi="仿宋" w:eastAsia="仿宋" w:cs="仿宋"/>
          <w:highlight w:val="none"/>
        </w:rPr>
        <w:fldChar w:fldCharType="separate"/>
      </w:r>
      <w:r>
        <w:rPr>
          <w:rFonts w:hint="eastAsia" w:ascii="仿宋" w:hAnsi="仿宋" w:eastAsia="仿宋" w:cs="仿宋"/>
          <w:kern w:val="0"/>
          <w:szCs w:val="28"/>
          <w:highlight w:val="none"/>
          <w:lang w:val="en-US" w:eastAsia="zh-CN" w:bidi="ar-SA"/>
        </w:rPr>
        <w:t>（一）实施（交货）时间</w:t>
      </w:r>
      <w:r>
        <w:rPr>
          <w:highlight w:val="none"/>
        </w:rPr>
        <w:tab/>
      </w:r>
      <w:r>
        <w:rPr>
          <w:highlight w:val="none"/>
        </w:rPr>
        <w:fldChar w:fldCharType="begin"/>
      </w:r>
      <w:r>
        <w:rPr>
          <w:highlight w:val="none"/>
        </w:rPr>
        <w:instrText xml:space="preserve"> PAGEREF _Toc1414 \h </w:instrText>
      </w:r>
      <w:r>
        <w:rPr>
          <w:highlight w:val="none"/>
        </w:rPr>
        <w:fldChar w:fldCharType="separate"/>
      </w:r>
      <w:r>
        <w:rPr>
          <w:b/>
          <w:highlight w:val="none"/>
        </w:rPr>
        <w:t>错误！未定义书签。</w:t>
      </w:r>
      <w:r>
        <w:rPr>
          <w:highlight w:val="none"/>
        </w:rPr>
        <w:fldChar w:fldCharType="end"/>
      </w:r>
      <w:r>
        <w:rPr>
          <w:rFonts w:hint="eastAsia" w:ascii="仿宋" w:hAnsi="仿宋" w:eastAsia="仿宋" w:cs="仿宋"/>
          <w:highlight w:val="none"/>
        </w:rPr>
        <w:fldChar w:fldCharType="end"/>
      </w:r>
    </w:p>
    <w:p w14:paraId="6A9B7311">
      <w:pPr>
        <w:pStyle w:val="16"/>
        <w:tabs>
          <w:tab w:val="right" w:leader="dot" w:pos="9746"/>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_Toc18642 </w:instrText>
      </w:r>
      <w:r>
        <w:rPr>
          <w:rFonts w:hint="eastAsia" w:ascii="仿宋" w:hAnsi="仿宋" w:eastAsia="仿宋" w:cs="仿宋"/>
          <w:highlight w:val="none"/>
        </w:rPr>
        <w:fldChar w:fldCharType="separate"/>
      </w:r>
      <w:r>
        <w:rPr>
          <w:rFonts w:hint="eastAsia" w:ascii="仿宋" w:hAnsi="仿宋" w:eastAsia="仿宋" w:cs="仿宋"/>
          <w:kern w:val="0"/>
          <w:szCs w:val="22"/>
          <w:highlight w:val="none"/>
        </w:rPr>
        <w:t>第六章  评标方法和标准</w:t>
      </w:r>
      <w:r>
        <w:rPr>
          <w:highlight w:val="none"/>
        </w:rPr>
        <w:tab/>
      </w:r>
      <w:r>
        <w:rPr>
          <w:highlight w:val="none"/>
        </w:rPr>
        <w:fldChar w:fldCharType="begin"/>
      </w:r>
      <w:r>
        <w:rPr>
          <w:highlight w:val="none"/>
        </w:rPr>
        <w:instrText xml:space="preserve"> PAGEREF _Toc18642 \h </w:instrText>
      </w:r>
      <w:r>
        <w:rPr>
          <w:highlight w:val="none"/>
        </w:rPr>
        <w:fldChar w:fldCharType="separate"/>
      </w:r>
      <w:r>
        <w:rPr>
          <w:highlight w:val="none"/>
        </w:rPr>
        <w:t>96</w:t>
      </w:r>
      <w:r>
        <w:rPr>
          <w:highlight w:val="none"/>
        </w:rPr>
        <w:fldChar w:fldCharType="end"/>
      </w:r>
      <w:r>
        <w:rPr>
          <w:rFonts w:hint="eastAsia" w:ascii="仿宋" w:hAnsi="仿宋" w:eastAsia="仿宋" w:cs="仿宋"/>
          <w:highlight w:val="none"/>
        </w:rPr>
        <w:fldChar w:fldCharType="end"/>
      </w:r>
    </w:p>
    <w:p w14:paraId="3D9F9F80">
      <w:pPr>
        <w:pStyle w:val="17"/>
        <w:tabs>
          <w:tab w:val="right" w:leader="dot" w:pos="9746"/>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_Toc19765 </w:instrText>
      </w:r>
      <w:r>
        <w:rPr>
          <w:rFonts w:hint="eastAsia" w:ascii="仿宋" w:hAnsi="仿宋" w:eastAsia="仿宋" w:cs="仿宋"/>
          <w:highlight w:val="none"/>
        </w:rPr>
        <w:fldChar w:fldCharType="separate"/>
      </w:r>
      <w:r>
        <w:rPr>
          <w:rFonts w:hint="eastAsia" w:ascii="仿宋" w:hAnsi="仿宋" w:eastAsia="仿宋" w:cs="仿宋"/>
          <w:kern w:val="0"/>
          <w:szCs w:val="28"/>
          <w:highlight w:val="none"/>
          <w:lang w:val="en-US" w:eastAsia="zh-CN" w:bidi="ar-SA"/>
        </w:rPr>
        <w:t>符合性审查表</w:t>
      </w:r>
      <w:r>
        <w:rPr>
          <w:highlight w:val="none"/>
        </w:rPr>
        <w:tab/>
      </w:r>
      <w:r>
        <w:rPr>
          <w:highlight w:val="none"/>
        </w:rPr>
        <w:fldChar w:fldCharType="begin"/>
      </w:r>
      <w:r>
        <w:rPr>
          <w:highlight w:val="none"/>
        </w:rPr>
        <w:instrText xml:space="preserve"> PAGEREF _Toc19765 \h </w:instrText>
      </w:r>
      <w:r>
        <w:rPr>
          <w:highlight w:val="none"/>
        </w:rPr>
        <w:fldChar w:fldCharType="separate"/>
      </w:r>
      <w:r>
        <w:rPr>
          <w:highlight w:val="none"/>
        </w:rPr>
        <w:t>102</w:t>
      </w:r>
      <w:r>
        <w:rPr>
          <w:highlight w:val="none"/>
        </w:rPr>
        <w:fldChar w:fldCharType="end"/>
      </w:r>
      <w:r>
        <w:rPr>
          <w:rFonts w:hint="eastAsia" w:ascii="仿宋" w:hAnsi="仿宋" w:eastAsia="仿宋" w:cs="仿宋"/>
          <w:highlight w:val="none"/>
        </w:rPr>
        <w:fldChar w:fldCharType="end"/>
      </w:r>
    </w:p>
    <w:p w14:paraId="3F5A1AB2">
      <w:pPr>
        <w:pStyle w:val="17"/>
        <w:tabs>
          <w:tab w:val="right" w:leader="dot" w:pos="9746"/>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_Toc11297 </w:instrText>
      </w:r>
      <w:r>
        <w:rPr>
          <w:rFonts w:hint="eastAsia" w:ascii="仿宋" w:hAnsi="仿宋" w:eastAsia="仿宋" w:cs="仿宋"/>
          <w:highlight w:val="none"/>
        </w:rPr>
        <w:fldChar w:fldCharType="separate"/>
      </w:r>
      <w:r>
        <w:rPr>
          <w:rFonts w:hint="eastAsia" w:ascii="仿宋" w:hAnsi="仿宋" w:eastAsia="仿宋" w:cs="仿宋"/>
          <w:kern w:val="0"/>
          <w:szCs w:val="28"/>
          <w:highlight w:val="none"/>
          <w:lang w:val="en-US" w:eastAsia="zh-CN" w:bidi="ar-SA"/>
        </w:rPr>
        <w:t>综合评分表</w:t>
      </w:r>
      <w:r>
        <w:rPr>
          <w:highlight w:val="none"/>
        </w:rPr>
        <w:tab/>
      </w:r>
      <w:r>
        <w:rPr>
          <w:highlight w:val="none"/>
        </w:rPr>
        <w:fldChar w:fldCharType="begin"/>
      </w:r>
      <w:r>
        <w:rPr>
          <w:highlight w:val="none"/>
        </w:rPr>
        <w:instrText xml:space="preserve"> PAGEREF _Toc11297 \h </w:instrText>
      </w:r>
      <w:r>
        <w:rPr>
          <w:highlight w:val="none"/>
        </w:rPr>
        <w:fldChar w:fldCharType="separate"/>
      </w:r>
      <w:r>
        <w:rPr>
          <w:highlight w:val="none"/>
        </w:rPr>
        <w:t>104</w:t>
      </w:r>
      <w:r>
        <w:rPr>
          <w:highlight w:val="none"/>
        </w:rPr>
        <w:fldChar w:fldCharType="end"/>
      </w:r>
      <w:r>
        <w:rPr>
          <w:rFonts w:hint="eastAsia" w:ascii="仿宋" w:hAnsi="仿宋" w:eastAsia="仿宋" w:cs="仿宋"/>
          <w:highlight w:val="none"/>
        </w:rPr>
        <w:fldChar w:fldCharType="end"/>
      </w:r>
    </w:p>
    <w:p w14:paraId="4C42C7EE">
      <w:pPr>
        <w:pStyle w:val="17"/>
        <w:tabs>
          <w:tab w:val="right" w:leader="dot" w:pos="9746"/>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_Toc1614 </w:instrText>
      </w:r>
      <w:r>
        <w:rPr>
          <w:rFonts w:hint="eastAsia" w:ascii="仿宋" w:hAnsi="仿宋" w:eastAsia="仿宋" w:cs="仿宋"/>
          <w:highlight w:val="none"/>
        </w:rPr>
        <w:fldChar w:fldCharType="separate"/>
      </w:r>
      <w:r>
        <w:rPr>
          <w:rFonts w:hint="eastAsia" w:ascii="仿宋" w:hAnsi="仿宋" w:eastAsia="仿宋" w:cs="仿宋"/>
          <w:bCs/>
          <w:i w:val="0"/>
          <w:iCs w:val="0"/>
          <w:kern w:val="0"/>
          <w:szCs w:val="24"/>
          <w:highlight w:val="none"/>
          <w:lang w:val="en-US" w:eastAsia="zh-CN" w:bidi="ar"/>
        </w:rPr>
        <w:t>评分因素及权重</w:t>
      </w:r>
      <w:r>
        <w:rPr>
          <w:highlight w:val="none"/>
        </w:rPr>
        <w:tab/>
      </w:r>
      <w:r>
        <w:rPr>
          <w:highlight w:val="none"/>
        </w:rPr>
        <w:fldChar w:fldCharType="begin"/>
      </w:r>
      <w:r>
        <w:rPr>
          <w:highlight w:val="none"/>
        </w:rPr>
        <w:instrText xml:space="preserve"> PAGEREF _Toc1614 \h </w:instrText>
      </w:r>
      <w:r>
        <w:rPr>
          <w:highlight w:val="none"/>
        </w:rPr>
        <w:fldChar w:fldCharType="separate"/>
      </w:r>
      <w:r>
        <w:rPr>
          <w:b/>
          <w:highlight w:val="none"/>
        </w:rPr>
        <w:t>错误！未定义书签。</w:t>
      </w:r>
      <w:r>
        <w:rPr>
          <w:highlight w:val="none"/>
        </w:rPr>
        <w:fldChar w:fldCharType="end"/>
      </w:r>
      <w:r>
        <w:rPr>
          <w:rFonts w:hint="eastAsia" w:ascii="仿宋" w:hAnsi="仿宋" w:eastAsia="仿宋" w:cs="仿宋"/>
          <w:highlight w:val="none"/>
        </w:rPr>
        <w:fldChar w:fldCharType="end"/>
      </w:r>
    </w:p>
    <w:p w14:paraId="228C7FC6">
      <w:pPr>
        <w:pStyle w:val="16"/>
        <w:tabs>
          <w:tab w:val="right" w:leader="dot" w:pos="9746"/>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_Toc8549 </w:instrText>
      </w:r>
      <w:r>
        <w:rPr>
          <w:rFonts w:hint="eastAsia" w:ascii="仿宋" w:hAnsi="仿宋" w:eastAsia="仿宋" w:cs="仿宋"/>
          <w:highlight w:val="none"/>
        </w:rPr>
        <w:fldChar w:fldCharType="separate"/>
      </w:r>
      <w:r>
        <w:rPr>
          <w:rFonts w:ascii="宋体" w:hAnsi="宋体" w:eastAsia="宋体" w:cs="宋体"/>
          <w:bCs/>
          <w:spacing w:val="-6"/>
          <w:szCs w:val="24"/>
          <w:highlight w:val="none"/>
        </w:rPr>
        <w:t>1.1</w:t>
      </w:r>
      <w:r>
        <w:rPr>
          <w:rFonts w:ascii="宋体" w:hAnsi="宋体" w:eastAsia="宋体" w:cs="宋体"/>
          <w:spacing w:val="-50"/>
          <w:szCs w:val="24"/>
          <w:highlight w:val="none"/>
        </w:rPr>
        <w:t xml:space="preserve"> </w:t>
      </w:r>
      <w:r>
        <w:rPr>
          <w:rFonts w:ascii="宋体" w:hAnsi="宋体" w:eastAsia="宋体" w:cs="宋体"/>
          <w:bCs/>
          <w:spacing w:val="-6"/>
          <w:szCs w:val="24"/>
          <w:highlight w:val="none"/>
        </w:rPr>
        <w:t>合同组成部分</w:t>
      </w:r>
      <w:r>
        <w:rPr>
          <w:highlight w:val="none"/>
        </w:rPr>
        <w:tab/>
      </w:r>
      <w:r>
        <w:rPr>
          <w:highlight w:val="none"/>
        </w:rPr>
        <w:fldChar w:fldCharType="begin"/>
      </w:r>
      <w:r>
        <w:rPr>
          <w:highlight w:val="none"/>
        </w:rPr>
        <w:instrText xml:space="preserve"> PAGEREF _Toc8549 \h </w:instrText>
      </w:r>
      <w:r>
        <w:rPr>
          <w:highlight w:val="none"/>
        </w:rPr>
        <w:fldChar w:fldCharType="separate"/>
      </w:r>
      <w:r>
        <w:rPr>
          <w:highlight w:val="none"/>
        </w:rPr>
        <w:t>112</w:t>
      </w:r>
      <w:r>
        <w:rPr>
          <w:highlight w:val="none"/>
        </w:rPr>
        <w:fldChar w:fldCharType="end"/>
      </w:r>
      <w:r>
        <w:rPr>
          <w:rFonts w:hint="eastAsia" w:ascii="仿宋" w:hAnsi="仿宋" w:eastAsia="仿宋" w:cs="仿宋"/>
          <w:highlight w:val="none"/>
        </w:rPr>
        <w:fldChar w:fldCharType="end"/>
      </w:r>
    </w:p>
    <w:p w14:paraId="1695E49A">
      <w:pPr>
        <w:pStyle w:val="16"/>
        <w:tabs>
          <w:tab w:val="right" w:leader="dot" w:pos="9746"/>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_Toc26618 </w:instrText>
      </w:r>
      <w:r>
        <w:rPr>
          <w:rFonts w:hint="eastAsia" w:ascii="仿宋" w:hAnsi="仿宋" w:eastAsia="仿宋" w:cs="仿宋"/>
          <w:highlight w:val="none"/>
        </w:rPr>
        <w:fldChar w:fldCharType="separate"/>
      </w:r>
      <w:r>
        <w:rPr>
          <w:rFonts w:ascii="宋体" w:hAnsi="宋体" w:eastAsia="宋体" w:cs="宋体"/>
          <w:bCs/>
          <w:spacing w:val="-11"/>
          <w:szCs w:val="24"/>
          <w:highlight w:val="none"/>
        </w:rPr>
        <w:t>1.2</w:t>
      </w:r>
      <w:r>
        <w:rPr>
          <w:rFonts w:ascii="宋体" w:hAnsi="宋体" w:eastAsia="宋体" w:cs="宋体"/>
          <w:spacing w:val="-44"/>
          <w:szCs w:val="24"/>
          <w:highlight w:val="none"/>
        </w:rPr>
        <w:t xml:space="preserve"> </w:t>
      </w:r>
      <w:r>
        <w:rPr>
          <w:rFonts w:ascii="宋体" w:hAnsi="宋体" w:eastAsia="宋体" w:cs="宋体"/>
          <w:bCs/>
          <w:spacing w:val="-11"/>
          <w:szCs w:val="24"/>
          <w:highlight w:val="none"/>
        </w:rPr>
        <w:t>货物</w:t>
      </w:r>
      <w:r>
        <w:rPr>
          <w:highlight w:val="none"/>
        </w:rPr>
        <w:tab/>
      </w:r>
      <w:r>
        <w:rPr>
          <w:highlight w:val="none"/>
        </w:rPr>
        <w:fldChar w:fldCharType="begin"/>
      </w:r>
      <w:r>
        <w:rPr>
          <w:highlight w:val="none"/>
        </w:rPr>
        <w:instrText xml:space="preserve"> PAGEREF _Toc26618 \h </w:instrText>
      </w:r>
      <w:r>
        <w:rPr>
          <w:highlight w:val="none"/>
        </w:rPr>
        <w:fldChar w:fldCharType="separate"/>
      </w:r>
      <w:r>
        <w:rPr>
          <w:highlight w:val="none"/>
        </w:rPr>
        <w:t>112</w:t>
      </w:r>
      <w:r>
        <w:rPr>
          <w:highlight w:val="none"/>
        </w:rPr>
        <w:fldChar w:fldCharType="end"/>
      </w:r>
      <w:r>
        <w:rPr>
          <w:rFonts w:hint="eastAsia" w:ascii="仿宋" w:hAnsi="仿宋" w:eastAsia="仿宋" w:cs="仿宋"/>
          <w:highlight w:val="none"/>
        </w:rPr>
        <w:fldChar w:fldCharType="end"/>
      </w:r>
    </w:p>
    <w:p w14:paraId="6C017418">
      <w:pPr>
        <w:pStyle w:val="16"/>
        <w:tabs>
          <w:tab w:val="right" w:leader="dot" w:pos="9746"/>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_Toc20131 </w:instrText>
      </w:r>
      <w:r>
        <w:rPr>
          <w:rFonts w:hint="eastAsia" w:ascii="仿宋" w:hAnsi="仿宋" w:eastAsia="仿宋" w:cs="仿宋"/>
          <w:highlight w:val="none"/>
        </w:rPr>
        <w:fldChar w:fldCharType="separate"/>
      </w:r>
      <w:r>
        <w:rPr>
          <w:rFonts w:ascii="宋体" w:hAnsi="宋体" w:eastAsia="宋体" w:cs="宋体"/>
          <w:bCs/>
          <w:spacing w:val="-10"/>
          <w:szCs w:val="24"/>
          <w:highlight w:val="none"/>
        </w:rPr>
        <w:t>1.3</w:t>
      </w:r>
      <w:r>
        <w:rPr>
          <w:rFonts w:ascii="宋体" w:hAnsi="宋体" w:eastAsia="宋体" w:cs="宋体"/>
          <w:spacing w:val="-49"/>
          <w:szCs w:val="24"/>
          <w:highlight w:val="none"/>
        </w:rPr>
        <w:t xml:space="preserve"> </w:t>
      </w:r>
      <w:r>
        <w:rPr>
          <w:rFonts w:ascii="宋体" w:hAnsi="宋体" w:eastAsia="宋体" w:cs="宋体"/>
          <w:bCs/>
          <w:spacing w:val="-10"/>
          <w:szCs w:val="24"/>
          <w:highlight w:val="none"/>
        </w:rPr>
        <w:t>价款</w:t>
      </w:r>
      <w:r>
        <w:rPr>
          <w:highlight w:val="none"/>
        </w:rPr>
        <w:tab/>
      </w:r>
      <w:r>
        <w:rPr>
          <w:highlight w:val="none"/>
        </w:rPr>
        <w:fldChar w:fldCharType="begin"/>
      </w:r>
      <w:r>
        <w:rPr>
          <w:highlight w:val="none"/>
        </w:rPr>
        <w:instrText xml:space="preserve"> PAGEREF _Toc20131 \h </w:instrText>
      </w:r>
      <w:r>
        <w:rPr>
          <w:highlight w:val="none"/>
        </w:rPr>
        <w:fldChar w:fldCharType="separate"/>
      </w:r>
      <w:r>
        <w:rPr>
          <w:highlight w:val="none"/>
        </w:rPr>
        <w:t>112</w:t>
      </w:r>
      <w:r>
        <w:rPr>
          <w:highlight w:val="none"/>
        </w:rPr>
        <w:fldChar w:fldCharType="end"/>
      </w:r>
      <w:r>
        <w:rPr>
          <w:rFonts w:hint="eastAsia" w:ascii="仿宋" w:hAnsi="仿宋" w:eastAsia="仿宋" w:cs="仿宋"/>
          <w:highlight w:val="none"/>
        </w:rPr>
        <w:fldChar w:fldCharType="end"/>
      </w:r>
    </w:p>
    <w:p w14:paraId="7DC83B28">
      <w:pPr>
        <w:pStyle w:val="16"/>
        <w:tabs>
          <w:tab w:val="right" w:leader="dot" w:pos="9746"/>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_Toc9628 </w:instrText>
      </w:r>
      <w:r>
        <w:rPr>
          <w:rFonts w:hint="eastAsia" w:ascii="仿宋" w:hAnsi="仿宋" w:eastAsia="仿宋" w:cs="仿宋"/>
          <w:highlight w:val="none"/>
        </w:rPr>
        <w:fldChar w:fldCharType="separate"/>
      </w:r>
      <w:r>
        <w:rPr>
          <w:rFonts w:ascii="宋体" w:hAnsi="宋体" w:eastAsia="宋体" w:cs="宋体"/>
          <w:bCs/>
          <w:spacing w:val="-5"/>
          <w:szCs w:val="24"/>
          <w:highlight w:val="none"/>
        </w:rPr>
        <w:t>1.4</w:t>
      </w:r>
      <w:r>
        <w:rPr>
          <w:rFonts w:ascii="宋体" w:hAnsi="宋体" w:eastAsia="宋体" w:cs="宋体"/>
          <w:spacing w:val="-42"/>
          <w:szCs w:val="24"/>
          <w:highlight w:val="none"/>
        </w:rPr>
        <w:t xml:space="preserve"> </w:t>
      </w:r>
      <w:r>
        <w:rPr>
          <w:rFonts w:ascii="宋体" w:hAnsi="宋体" w:eastAsia="宋体" w:cs="宋体"/>
          <w:bCs/>
          <w:spacing w:val="-5"/>
          <w:szCs w:val="24"/>
          <w:highlight w:val="none"/>
        </w:rPr>
        <w:t>付款方式和发票开具方式</w:t>
      </w:r>
      <w:r>
        <w:rPr>
          <w:highlight w:val="none"/>
        </w:rPr>
        <w:tab/>
      </w:r>
      <w:r>
        <w:rPr>
          <w:highlight w:val="none"/>
        </w:rPr>
        <w:fldChar w:fldCharType="begin"/>
      </w:r>
      <w:r>
        <w:rPr>
          <w:highlight w:val="none"/>
        </w:rPr>
        <w:instrText xml:space="preserve"> PAGEREF _Toc9628 \h </w:instrText>
      </w:r>
      <w:r>
        <w:rPr>
          <w:highlight w:val="none"/>
        </w:rPr>
        <w:fldChar w:fldCharType="separate"/>
      </w:r>
      <w:r>
        <w:rPr>
          <w:highlight w:val="none"/>
        </w:rPr>
        <w:t>113</w:t>
      </w:r>
      <w:r>
        <w:rPr>
          <w:highlight w:val="none"/>
        </w:rPr>
        <w:fldChar w:fldCharType="end"/>
      </w:r>
      <w:r>
        <w:rPr>
          <w:rFonts w:hint="eastAsia" w:ascii="仿宋" w:hAnsi="仿宋" w:eastAsia="仿宋" w:cs="仿宋"/>
          <w:highlight w:val="none"/>
        </w:rPr>
        <w:fldChar w:fldCharType="end"/>
      </w:r>
    </w:p>
    <w:p w14:paraId="457DE0F2">
      <w:pPr>
        <w:pStyle w:val="16"/>
        <w:tabs>
          <w:tab w:val="right" w:leader="dot" w:pos="9746"/>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_Toc4417 </w:instrText>
      </w:r>
      <w:r>
        <w:rPr>
          <w:rFonts w:hint="eastAsia" w:ascii="仿宋" w:hAnsi="仿宋" w:eastAsia="仿宋" w:cs="仿宋"/>
          <w:highlight w:val="none"/>
        </w:rPr>
        <w:fldChar w:fldCharType="separate"/>
      </w:r>
      <w:r>
        <w:rPr>
          <w:rFonts w:ascii="宋体" w:hAnsi="宋体" w:eastAsia="宋体" w:cs="宋体"/>
          <w:bCs/>
          <w:spacing w:val="-5"/>
          <w:szCs w:val="24"/>
          <w:highlight w:val="none"/>
        </w:rPr>
        <w:t>1.5</w:t>
      </w:r>
      <w:r>
        <w:rPr>
          <w:rFonts w:ascii="宋体" w:hAnsi="宋体" w:eastAsia="宋体" w:cs="宋体"/>
          <w:spacing w:val="-39"/>
          <w:szCs w:val="24"/>
          <w:highlight w:val="none"/>
        </w:rPr>
        <w:t xml:space="preserve"> </w:t>
      </w:r>
      <w:r>
        <w:rPr>
          <w:rFonts w:ascii="宋体" w:hAnsi="宋体" w:eastAsia="宋体" w:cs="宋体"/>
          <w:bCs/>
          <w:spacing w:val="-5"/>
          <w:szCs w:val="24"/>
          <w:highlight w:val="none"/>
        </w:rPr>
        <w:t>货物交付期限、地点和方式</w:t>
      </w:r>
      <w:r>
        <w:rPr>
          <w:highlight w:val="none"/>
        </w:rPr>
        <w:tab/>
      </w:r>
      <w:r>
        <w:rPr>
          <w:highlight w:val="none"/>
        </w:rPr>
        <w:fldChar w:fldCharType="begin"/>
      </w:r>
      <w:r>
        <w:rPr>
          <w:highlight w:val="none"/>
        </w:rPr>
        <w:instrText xml:space="preserve"> PAGEREF _Toc4417 \h </w:instrText>
      </w:r>
      <w:r>
        <w:rPr>
          <w:highlight w:val="none"/>
        </w:rPr>
        <w:fldChar w:fldCharType="separate"/>
      </w:r>
      <w:r>
        <w:rPr>
          <w:highlight w:val="none"/>
        </w:rPr>
        <w:t>113</w:t>
      </w:r>
      <w:r>
        <w:rPr>
          <w:highlight w:val="none"/>
        </w:rPr>
        <w:fldChar w:fldCharType="end"/>
      </w:r>
      <w:r>
        <w:rPr>
          <w:rFonts w:hint="eastAsia" w:ascii="仿宋" w:hAnsi="仿宋" w:eastAsia="仿宋" w:cs="仿宋"/>
          <w:highlight w:val="none"/>
        </w:rPr>
        <w:fldChar w:fldCharType="end"/>
      </w:r>
    </w:p>
    <w:p w14:paraId="5FCC075B">
      <w:pPr>
        <w:pStyle w:val="16"/>
        <w:tabs>
          <w:tab w:val="right" w:leader="dot" w:pos="9746"/>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_Toc2132 </w:instrText>
      </w:r>
      <w:r>
        <w:rPr>
          <w:rFonts w:hint="eastAsia" w:ascii="仿宋" w:hAnsi="仿宋" w:eastAsia="仿宋" w:cs="仿宋"/>
          <w:highlight w:val="none"/>
        </w:rPr>
        <w:fldChar w:fldCharType="separate"/>
      </w:r>
      <w:r>
        <w:rPr>
          <w:rFonts w:ascii="宋体" w:hAnsi="宋体" w:eastAsia="宋体" w:cs="宋体"/>
          <w:bCs/>
          <w:spacing w:val="-8"/>
          <w:szCs w:val="24"/>
          <w:highlight w:val="none"/>
        </w:rPr>
        <w:t>1.6</w:t>
      </w:r>
      <w:r>
        <w:rPr>
          <w:rFonts w:ascii="宋体" w:hAnsi="宋体" w:eastAsia="宋体" w:cs="宋体"/>
          <w:spacing w:val="-45"/>
          <w:szCs w:val="24"/>
          <w:highlight w:val="none"/>
        </w:rPr>
        <w:t xml:space="preserve"> </w:t>
      </w:r>
      <w:r>
        <w:rPr>
          <w:rFonts w:ascii="宋体" w:hAnsi="宋体" w:eastAsia="宋体" w:cs="宋体"/>
          <w:bCs/>
          <w:spacing w:val="-8"/>
          <w:szCs w:val="24"/>
          <w:highlight w:val="none"/>
        </w:rPr>
        <w:t>违约责任</w:t>
      </w:r>
      <w:r>
        <w:rPr>
          <w:highlight w:val="none"/>
        </w:rPr>
        <w:tab/>
      </w:r>
      <w:r>
        <w:rPr>
          <w:highlight w:val="none"/>
        </w:rPr>
        <w:fldChar w:fldCharType="begin"/>
      </w:r>
      <w:r>
        <w:rPr>
          <w:highlight w:val="none"/>
        </w:rPr>
        <w:instrText xml:space="preserve"> PAGEREF _Toc2132 \h </w:instrText>
      </w:r>
      <w:r>
        <w:rPr>
          <w:highlight w:val="none"/>
        </w:rPr>
        <w:fldChar w:fldCharType="separate"/>
      </w:r>
      <w:r>
        <w:rPr>
          <w:highlight w:val="none"/>
        </w:rPr>
        <w:t>113</w:t>
      </w:r>
      <w:r>
        <w:rPr>
          <w:highlight w:val="none"/>
        </w:rPr>
        <w:fldChar w:fldCharType="end"/>
      </w:r>
      <w:r>
        <w:rPr>
          <w:rFonts w:hint="eastAsia" w:ascii="仿宋" w:hAnsi="仿宋" w:eastAsia="仿宋" w:cs="仿宋"/>
          <w:highlight w:val="none"/>
        </w:rPr>
        <w:fldChar w:fldCharType="end"/>
      </w:r>
    </w:p>
    <w:p w14:paraId="65500EEC">
      <w:pPr>
        <w:pStyle w:val="16"/>
        <w:tabs>
          <w:tab w:val="right" w:leader="dot" w:pos="9746"/>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_Toc4612 </w:instrText>
      </w:r>
      <w:r>
        <w:rPr>
          <w:rFonts w:hint="eastAsia" w:ascii="仿宋" w:hAnsi="仿宋" w:eastAsia="仿宋" w:cs="仿宋"/>
          <w:highlight w:val="none"/>
        </w:rPr>
        <w:fldChar w:fldCharType="separate"/>
      </w:r>
      <w:r>
        <w:rPr>
          <w:rFonts w:ascii="宋体" w:hAnsi="宋体" w:eastAsia="宋体" w:cs="宋体"/>
          <w:bCs/>
          <w:spacing w:val="-6"/>
          <w:szCs w:val="24"/>
          <w:highlight w:val="none"/>
        </w:rPr>
        <w:t>1.7</w:t>
      </w:r>
      <w:r>
        <w:rPr>
          <w:rFonts w:ascii="宋体" w:hAnsi="宋体" w:eastAsia="宋体" w:cs="宋体"/>
          <w:spacing w:val="-47"/>
          <w:szCs w:val="24"/>
          <w:highlight w:val="none"/>
        </w:rPr>
        <w:t xml:space="preserve"> </w:t>
      </w:r>
      <w:r>
        <w:rPr>
          <w:rFonts w:ascii="宋体" w:hAnsi="宋体" w:eastAsia="宋体" w:cs="宋体"/>
          <w:bCs/>
          <w:spacing w:val="-6"/>
          <w:szCs w:val="24"/>
          <w:highlight w:val="none"/>
        </w:rPr>
        <w:t>合同争议的解决</w:t>
      </w:r>
      <w:r>
        <w:rPr>
          <w:highlight w:val="none"/>
        </w:rPr>
        <w:tab/>
      </w:r>
      <w:r>
        <w:rPr>
          <w:highlight w:val="none"/>
        </w:rPr>
        <w:fldChar w:fldCharType="begin"/>
      </w:r>
      <w:r>
        <w:rPr>
          <w:highlight w:val="none"/>
        </w:rPr>
        <w:instrText xml:space="preserve"> PAGEREF _Toc4612 \h </w:instrText>
      </w:r>
      <w:r>
        <w:rPr>
          <w:highlight w:val="none"/>
        </w:rPr>
        <w:fldChar w:fldCharType="separate"/>
      </w:r>
      <w:r>
        <w:rPr>
          <w:highlight w:val="none"/>
        </w:rPr>
        <w:t>114</w:t>
      </w:r>
      <w:r>
        <w:rPr>
          <w:highlight w:val="none"/>
        </w:rPr>
        <w:fldChar w:fldCharType="end"/>
      </w:r>
      <w:r>
        <w:rPr>
          <w:rFonts w:hint="eastAsia" w:ascii="仿宋" w:hAnsi="仿宋" w:eastAsia="仿宋" w:cs="仿宋"/>
          <w:highlight w:val="none"/>
        </w:rPr>
        <w:fldChar w:fldCharType="end"/>
      </w:r>
    </w:p>
    <w:p w14:paraId="4261449A">
      <w:pPr>
        <w:pStyle w:val="16"/>
        <w:tabs>
          <w:tab w:val="right" w:leader="dot" w:pos="9746"/>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_Toc4457 </w:instrText>
      </w:r>
      <w:r>
        <w:rPr>
          <w:rFonts w:hint="eastAsia" w:ascii="仿宋" w:hAnsi="仿宋" w:eastAsia="仿宋" w:cs="仿宋"/>
          <w:highlight w:val="none"/>
        </w:rPr>
        <w:fldChar w:fldCharType="separate"/>
      </w:r>
      <w:r>
        <w:rPr>
          <w:rFonts w:ascii="宋体" w:hAnsi="宋体" w:eastAsia="宋体" w:cs="宋体"/>
          <w:bCs/>
          <w:spacing w:val="-8"/>
          <w:szCs w:val="24"/>
          <w:highlight w:val="none"/>
        </w:rPr>
        <w:t>1.8</w:t>
      </w:r>
      <w:r>
        <w:rPr>
          <w:rFonts w:ascii="宋体" w:hAnsi="宋体" w:eastAsia="宋体" w:cs="宋体"/>
          <w:spacing w:val="-45"/>
          <w:szCs w:val="24"/>
          <w:highlight w:val="none"/>
        </w:rPr>
        <w:t xml:space="preserve"> </w:t>
      </w:r>
      <w:r>
        <w:rPr>
          <w:rFonts w:ascii="宋体" w:hAnsi="宋体" w:eastAsia="宋体" w:cs="宋体"/>
          <w:bCs/>
          <w:spacing w:val="-8"/>
          <w:szCs w:val="24"/>
          <w:highlight w:val="none"/>
        </w:rPr>
        <w:t>合同生效</w:t>
      </w:r>
      <w:r>
        <w:rPr>
          <w:highlight w:val="none"/>
        </w:rPr>
        <w:tab/>
      </w:r>
      <w:r>
        <w:rPr>
          <w:highlight w:val="none"/>
        </w:rPr>
        <w:fldChar w:fldCharType="begin"/>
      </w:r>
      <w:r>
        <w:rPr>
          <w:highlight w:val="none"/>
        </w:rPr>
        <w:instrText xml:space="preserve"> PAGEREF _Toc4457 \h </w:instrText>
      </w:r>
      <w:r>
        <w:rPr>
          <w:highlight w:val="none"/>
        </w:rPr>
        <w:fldChar w:fldCharType="separate"/>
      </w:r>
      <w:r>
        <w:rPr>
          <w:highlight w:val="none"/>
        </w:rPr>
        <w:t>114</w:t>
      </w:r>
      <w:r>
        <w:rPr>
          <w:highlight w:val="none"/>
        </w:rPr>
        <w:fldChar w:fldCharType="end"/>
      </w:r>
      <w:r>
        <w:rPr>
          <w:rFonts w:hint="eastAsia" w:ascii="仿宋" w:hAnsi="仿宋" w:eastAsia="仿宋" w:cs="仿宋"/>
          <w:highlight w:val="none"/>
        </w:rPr>
        <w:fldChar w:fldCharType="end"/>
      </w:r>
    </w:p>
    <w:p w14:paraId="1426AB5D">
      <w:pPr>
        <w:pStyle w:val="16"/>
        <w:tabs>
          <w:tab w:val="right" w:leader="dot" w:pos="9746"/>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_Toc16968 </w:instrText>
      </w:r>
      <w:r>
        <w:rPr>
          <w:rFonts w:hint="eastAsia" w:ascii="仿宋" w:hAnsi="仿宋" w:eastAsia="仿宋" w:cs="仿宋"/>
          <w:highlight w:val="none"/>
        </w:rPr>
        <w:fldChar w:fldCharType="separate"/>
      </w:r>
      <w:r>
        <w:rPr>
          <w:rFonts w:ascii="宋体" w:hAnsi="宋体" w:eastAsia="宋体" w:cs="宋体"/>
          <w:bCs/>
          <w:spacing w:val="-8"/>
          <w:szCs w:val="24"/>
          <w:highlight w:val="none"/>
        </w:rPr>
        <w:t>2.1</w:t>
      </w:r>
      <w:r>
        <w:rPr>
          <w:rFonts w:ascii="宋体" w:hAnsi="宋体" w:eastAsia="宋体" w:cs="宋体"/>
          <w:spacing w:val="-44"/>
          <w:szCs w:val="24"/>
          <w:highlight w:val="none"/>
        </w:rPr>
        <w:t xml:space="preserve"> </w:t>
      </w:r>
      <w:r>
        <w:rPr>
          <w:rFonts w:ascii="宋体" w:hAnsi="宋体" w:eastAsia="宋体" w:cs="宋体"/>
          <w:bCs/>
          <w:spacing w:val="-8"/>
          <w:szCs w:val="24"/>
          <w:highlight w:val="none"/>
        </w:rPr>
        <w:t>定义</w:t>
      </w:r>
      <w:r>
        <w:rPr>
          <w:highlight w:val="none"/>
        </w:rPr>
        <w:tab/>
      </w:r>
      <w:r>
        <w:rPr>
          <w:highlight w:val="none"/>
        </w:rPr>
        <w:fldChar w:fldCharType="begin"/>
      </w:r>
      <w:r>
        <w:rPr>
          <w:highlight w:val="none"/>
        </w:rPr>
        <w:instrText xml:space="preserve"> PAGEREF _Toc16968 \h </w:instrText>
      </w:r>
      <w:r>
        <w:rPr>
          <w:highlight w:val="none"/>
        </w:rPr>
        <w:fldChar w:fldCharType="separate"/>
      </w:r>
      <w:r>
        <w:rPr>
          <w:highlight w:val="none"/>
        </w:rPr>
        <w:t>116</w:t>
      </w:r>
      <w:r>
        <w:rPr>
          <w:highlight w:val="none"/>
        </w:rPr>
        <w:fldChar w:fldCharType="end"/>
      </w:r>
      <w:r>
        <w:rPr>
          <w:rFonts w:hint="eastAsia" w:ascii="仿宋" w:hAnsi="仿宋" w:eastAsia="仿宋" w:cs="仿宋"/>
          <w:highlight w:val="none"/>
        </w:rPr>
        <w:fldChar w:fldCharType="end"/>
      </w:r>
    </w:p>
    <w:p w14:paraId="46E64C53">
      <w:pPr>
        <w:pStyle w:val="16"/>
        <w:tabs>
          <w:tab w:val="right" w:leader="dot" w:pos="9746"/>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_Toc21812 </w:instrText>
      </w:r>
      <w:r>
        <w:rPr>
          <w:rFonts w:hint="eastAsia" w:ascii="仿宋" w:hAnsi="仿宋" w:eastAsia="仿宋" w:cs="仿宋"/>
          <w:highlight w:val="none"/>
        </w:rPr>
        <w:fldChar w:fldCharType="separate"/>
      </w:r>
      <w:r>
        <w:rPr>
          <w:rFonts w:ascii="宋体" w:hAnsi="宋体" w:eastAsia="宋体" w:cs="宋体"/>
          <w:bCs/>
          <w:spacing w:val="-6"/>
          <w:szCs w:val="24"/>
          <w:highlight w:val="none"/>
        </w:rPr>
        <w:t>2.2</w:t>
      </w:r>
      <w:r>
        <w:rPr>
          <w:rFonts w:ascii="宋体" w:hAnsi="宋体" w:eastAsia="宋体" w:cs="宋体"/>
          <w:spacing w:val="-45"/>
          <w:szCs w:val="24"/>
          <w:highlight w:val="none"/>
        </w:rPr>
        <w:t xml:space="preserve"> </w:t>
      </w:r>
      <w:r>
        <w:rPr>
          <w:rFonts w:ascii="宋体" w:hAnsi="宋体" w:eastAsia="宋体" w:cs="宋体"/>
          <w:bCs/>
          <w:spacing w:val="-6"/>
          <w:szCs w:val="24"/>
          <w:highlight w:val="none"/>
        </w:rPr>
        <w:t>技术规范</w:t>
      </w:r>
      <w:r>
        <w:rPr>
          <w:highlight w:val="none"/>
        </w:rPr>
        <w:tab/>
      </w:r>
      <w:r>
        <w:rPr>
          <w:highlight w:val="none"/>
        </w:rPr>
        <w:fldChar w:fldCharType="begin"/>
      </w:r>
      <w:r>
        <w:rPr>
          <w:highlight w:val="none"/>
        </w:rPr>
        <w:instrText xml:space="preserve"> PAGEREF _Toc21812 \h </w:instrText>
      </w:r>
      <w:r>
        <w:rPr>
          <w:highlight w:val="none"/>
        </w:rPr>
        <w:fldChar w:fldCharType="separate"/>
      </w:r>
      <w:r>
        <w:rPr>
          <w:highlight w:val="none"/>
        </w:rPr>
        <w:t>116</w:t>
      </w:r>
      <w:r>
        <w:rPr>
          <w:highlight w:val="none"/>
        </w:rPr>
        <w:fldChar w:fldCharType="end"/>
      </w:r>
      <w:r>
        <w:rPr>
          <w:rFonts w:hint="eastAsia" w:ascii="仿宋" w:hAnsi="仿宋" w:eastAsia="仿宋" w:cs="仿宋"/>
          <w:highlight w:val="none"/>
        </w:rPr>
        <w:fldChar w:fldCharType="end"/>
      </w:r>
    </w:p>
    <w:p w14:paraId="055B0ED1">
      <w:pPr>
        <w:pStyle w:val="16"/>
        <w:tabs>
          <w:tab w:val="right" w:leader="dot" w:pos="9746"/>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_Toc21444 </w:instrText>
      </w:r>
      <w:r>
        <w:rPr>
          <w:rFonts w:hint="eastAsia" w:ascii="仿宋" w:hAnsi="仿宋" w:eastAsia="仿宋" w:cs="仿宋"/>
          <w:highlight w:val="none"/>
        </w:rPr>
        <w:fldChar w:fldCharType="separate"/>
      </w:r>
      <w:r>
        <w:rPr>
          <w:rFonts w:ascii="宋体" w:hAnsi="宋体" w:eastAsia="宋体" w:cs="宋体"/>
          <w:bCs/>
          <w:spacing w:val="-6"/>
          <w:szCs w:val="24"/>
          <w:highlight w:val="none"/>
        </w:rPr>
        <w:t>2.3</w:t>
      </w:r>
      <w:r>
        <w:rPr>
          <w:rFonts w:ascii="宋体" w:hAnsi="宋体" w:eastAsia="宋体" w:cs="宋体"/>
          <w:spacing w:val="-45"/>
          <w:szCs w:val="24"/>
          <w:highlight w:val="none"/>
        </w:rPr>
        <w:t xml:space="preserve"> </w:t>
      </w:r>
      <w:r>
        <w:rPr>
          <w:rFonts w:ascii="宋体" w:hAnsi="宋体" w:eastAsia="宋体" w:cs="宋体"/>
          <w:bCs/>
          <w:spacing w:val="-6"/>
          <w:szCs w:val="24"/>
          <w:highlight w:val="none"/>
        </w:rPr>
        <w:t>知识产权</w:t>
      </w:r>
      <w:r>
        <w:rPr>
          <w:highlight w:val="none"/>
        </w:rPr>
        <w:tab/>
      </w:r>
      <w:r>
        <w:rPr>
          <w:highlight w:val="none"/>
        </w:rPr>
        <w:fldChar w:fldCharType="begin"/>
      </w:r>
      <w:r>
        <w:rPr>
          <w:highlight w:val="none"/>
        </w:rPr>
        <w:instrText xml:space="preserve"> PAGEREF _Toc21444 \h </w:instrText>
      </w:r>
      <w:r>
        <w:rPr>
          <w:highlight w:val="none"/>
        </w:rPr>
        <w:fldChar w:fldCharType="separate"/>
      </w:r>
      <w:r>
        <w:rPr>
          <w:highlight w:val="none"/>
        </w:rPr>
        <w:t>116</w:t>
      </w:r>
      <w:r>
        <w:rPr>
          <w:highlight w:val="none"/>
        </w:rPr>
        <w:fldChar w:fldCharType="end"/>
      </w:r>
      <w:r>
        <w:rPr>
          <w:rFonts w:hint="eastAsia" w:ascii="仿宋" w:hAnsi="仿宋" w:eastAsia="仿宋" w:cs="仿宋"/>
          <w:highlight w:val="none"/>
        </w:rPr>
        <w:fldChar w:fldCharType="end"/>
      </w:r>
    </w:p>
    <w:p w14:paraId="3774DF98">
      <w:pPr>
        <w:pStyle w:val="16"/>
        <w:tabs>
          <w:tab w:val="right" w:leader="dot" w:pos="9746"/>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_Toc31305 </w:instrText>
      </w:r>
      <w:r>
        <w:rPr>
          <w:rFonts w:hint="eastAsia" w:ascii="仿宋" w:hAnsi="仿宋" w:eastAsia="仿宋" w:cs="仿宋"/>
          <w:highlight w:val="none"/>
        </w:rPr>
        <w:fldChar w:fldCharType="separate"/>
      </w:r>
      <w:r>
        <w:rPr>
          <w:rFonts w:ascii="宋体" w:hAnsi="宋体" w:eastAsia="宋体" w:cs="宋体"/>
          <w:bCs/>
          <w:spacing w:val="-5"/>
          <w:szCs w:val="24"/>
          <w:highlight w:val="none"/>
        </w:rPr>
        <w:t>2.4</w:t>
      </w:r>
      <w:r>
        <w:rPr>
          <w:rFonts w:ascii="宋体" w:hAnsi="宋体" w:eastAsia="宋体" w:cs="宋体"/>
          <w:spacing w:val="-47"/>
          <w:szCs w:val="24"/>
          <w:highlight w:val="none"/>
        </w:rPr>
        <w:t xml:space="preserve"> </w:t>
      </w:r>
      <w:r>
        <w:rPr>
          <w:rFonts w:ascii="宋体" w:hAnsi="宋体" w:eastAsia="宋体" w:cs="宋体"/>
          <w:bCs/>
          <w:spacing w:val="-5"/>
          <w:szCs w:val="24"/>
          <w:highlight w:val="none"/>
        </w:rPr>
        <w:t>包装和装运</w:t>
      </w:r>
      <w:r>
        <w:rPr>
          <w:highlight w:val="none"/>
        </w:rPr>
        <w:tab/>
      </w:r>
      <w:r>
        <w:rPr>
          <w:highlight w:val="none"/>
        </w:rPr>
        <w:fldChar w:fldCharType="begin"/>
      </w:r>
      <w:r>
        <w:rPr>
          <w:highlight w:val="none"/>
        </w:rPr>
        <w:instrText xml:space="preserve"> PAGEREF _Toc31305 \h </w:instrText>
      </w:r>
      <w:r>
        <w:rPr>
          <w:highlight w:val="none"/>
        </w:rPr>
        <w:fldChar w:fldCharType="separate"/>
      </w:r>
      <w:r>
        <w:rPr>
          <w:highlight w:val="none"/>
        </w:rPr>
        <w:t>117</w:t>
      </w:r>
      <w:r>
        <w:rPr>
          <w:highlight w:val="none"/>
        </w:rPr>
        <w:fldChar w:fldCharType="end"/>
      </w:r>
      <w:r>
        <w:rPr>
          <w:rFonts w:hint="eastAsia" w:ascii="仿宋" w:hAnsi="仿宋" w:eastAsia="仿宋" w:cs="仿宋"/>
          <w:highlight w:val="none"/>
        </w:rPr>
        <w:fldChar w:fldCharType="end"/>
      </w:r>
    </w:p>
    <w:p w14:paraId="4D39DF3A">
      <w:pPr>
        <w:pStyle w:val="16"/>
        <w:tabs>
          <w:tab w:val="right" w:leader="dot" w:pos="9746"/>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_Toc1936 </w:instrText>
      </w:r>
      <w:r>
        <w:rPr>
          <w:rFonts w:hint="eastAsia" w:ascii="仿宋" w:hAnsi="仿宋" w:eastAsia="仿宋" w:cs="仿宋"/>
          <w:highlight w:val="none"/>
        </w:rPr>
        <w:fldChar w:fldCharType="separate"/>
      </w:r>
      <w:r>
        <w:rPr>
          <w:rFonts w:ascii="宋体" w:hAnsi="宋体" w:eastAsia="宋体" w:cs="宋体"/>
          <w:bCs/>
          <w:spacing w:val="-4"/>
          <w:szCs w:val="24"/>
          <w:highlight w:val="none"/>
        </w:rPr>
        <w:t>2.5</w:t>
      </w:r>
      <w:r>
        <w:rPr>
          <w:rFonts w:ascii="宋体" w:hAnsi="宋体" w:eastAsia="宋体" w:cs="宋体"/>
          <w:spacing w:val="-46"/>
          <w:szCs w:val="24"/>
          <w:highlight w:val="none"/>
        </w:rPr>
        <w:t xml:space="preserve"> </w:t>
      </w:r>
      <w:r>
        <w:rPr>
          <w:rFonts w:ascii="宋体" w:hAnsi="宋体" w:eastAsia="宋体" w:cs="宋体"/>
          <w:bCs/>
          <w:spacing w:val="-4"/>
          <w:szCs w:val="24"/>
          <w:highlight w:val="none"/>
        </w:rPr>
        <w:t>履约检查和问题反馈</w:t>
      </w:r>
      <w:r>
        <w:rPr>
          <w:highlight w:val="none"/>
        </w:rPr>
        <w:tab/>
      </w:r>
      <w:r>
        <w:rPr>
          <w:highlight w:val="none"/>
        </w:rPr>
        <w:fldChar w:fldCharType="begin"/>
      </w:r>
      <w:r>
        <w:rPr>
          <w:highlight w:val="none"/>
        </w:rPr>
        <w:instrText xml:space="preserve"> PAGEREF _Toc1936 \h </w:instrText>
      </w:r>
      <w:r>
        <w:rPr>
          <w:highlight w:val="none"/>
        </w:rPr>
        <w:fldChar w:fldCharType="separate"/>
      </w:r>
      <w:r>
        <w:rPr>
          <w:highlight w:val="none"/>
        </w:rPr>
        <w:t>117</w:t>
      </w:r>
      <w:r>
        <w:rPr>
          <w:highlight w:val="none"/>
        </w:rPr>
        <w:fldChar w:fldCharType="end"/>
      </w:r>
      <w:r>
        <w:rPr>
          <w:rFonts w:hint="eastAsia" w:ascii="仿宋" w:hAnsi="仿宋" w:eastAsia="仿宋" w:cs="仿宋"/>
          <w:highlight w:val="none"/>
        </w:rPr>
        <w:fldChar w:fldCharType="end"/>
      </w:r>
    </w:p>
    <w:p w14:paraId="0BEE3B06">
      <w:pPr>
        <w:pStyle w:val="16"/>
        <w:tabs>
          <w:tab w:val="right" w:leader="dot" w:pos="9746"/>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_Toc26342 </w:instrText>
      </w:r>
      <w:r>
        <w:rPr>
          <w:rFonts w:hint="eastAsia" w:ascii="仿宋" w:hAnsi="仿宋" w:eastAsia="仿宋" w:cs="仿宋"/>
          <w:highlight w:val="none"/>
        </w:rPr>
        <w:fldChar w:fldCharType="separate"/>
      </w:r>
      <w:r>
        <w:rPr>
          <w:rFonts w:ascii="宋体" w:hAnsi="宋体" w:eastAsia="宋体" w:cs="宋体"/>
          <w:bCs/>
          <w:spacing w:val="-5"/>
          <w:szCs w:val="24"/>
          <w:highlight w:val="none"/>
        </w:rPr>
        <w:t>2.6</w:t>
      </w:r>
      <w:r>
        <w:rPr>
          <w:rFonts w:ascii="宋体" w:hAnsi="宋体" w:eastAsia="宋体" w:cs="宋体"/>
          <w:spacing w:val="-34"/>
          <w:szCs w:val="24"/>
          <w:highlight w:val="none"/>
        </w:rPr>
        <w:t xml:space="preserve"> </w:t>
      </w:r>
      <w:r>
        <w:rPr>
          <w:rFonts w:ascii="宋体" w:hAnsi="宋体" w:eastAsia="宋体" w:cs="宋体"/>
          <w:bCs/>
          <w:spacing w:val="-5"/>
          <w:szCs w:val="24"/>
          <w:highlight w:val="none"/>
        </w:rPr>
        <w:t>结算方式和付款条件</w:t>
      </w:r>
      <w:r>
        <w:rPr>
          <w:highlight w:val="none"/>
        </w:rPr>
        <w:tab/>
      </w:r>
      <w:r>
        <w:rPr>
          <w:highlight w:val="none"/>
        </w:rPr>
        <w:fldChar w:fldCharType="begin"/>
      </w:r>
      <w:r>
        <w:rPr>
          <w:highlight w:val="none"/>
        </w:rPr>
        <w:instrText xml:space="preserve"> PAGEREF _Toc26342 \h </w:instrText>
      </w:r>
      <w:r>
        <w:rPr>
          <w:highlight w:val="none"/>
        </w:rPr>
        <w:fldChar w:fldCharType="separate"/>
      </w:r>
      <w:r>
        <w:rPr>
          <w:highlight w:val="none"/>
        </w:rPr>
        <w:t>117</w:t>
      </w:r>
      <w:r>
        <w:rPr>
          <w:highlight w:val="none"/>
        </w:rPr>
        <w:fldChar w:fldCharType="end"/>
      </w:r>
      <w:r>
        <w:rPr>
          <w:rFonts w:hint="eastAsia" w:ascii="仿宋" w:hAnsi="仿宋" w:eastAsia="仿宋" w:cs="仿宋"/>
          <w:highlight w:val="none"/>
        </w:rPr>
        <w:fldChar w:fldCharType="end"/>
      </w:r>
    </w:p>
    <w:p w14:paraId="475369C2">
      <w:pPr>
        <w:pStyle w:val="16"/>
        <w:tabs>
          <w:tab w:val="right" w:leader="dot" w:pos="9746"/>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_Toc22097 </w:instrText>
      </w:r>
      <w:r>
        <w:rPr>
          <w:rFonts w:hint="eastAsia" w:ascii="仿宋" w:hAnsi="仿宋" w:eastAsia="仿宋" w:cs="仿宋"/>
          <w:highlight w:val="none"/>
        </w:rPr>
        <w:fldChar w:fldCharType="separate"/>
      </w:r>
      <w:r>
        <w:rPr>
          <w:rFonts w:ascii="宋体" w:hAnsi="宋体" w:eastAsia="宋体" w:cs="宋体"/>
          <w:bCs/>
          <w:spacing w:val="-4"/>
          <w:szCs w:val="24"/>
          <w:highlight w:val="none"/>
        </w:rPr>
        <w:t>2.7</w:t>
      </w:r>
      <w:r>
        <w:rPr>
          <w:rFonts w:ascii="宋体" w:hAnsi="宋体" w:eastAsia="宋体" w:cs="宋体"/>
          <w:spacing w:val="-46"/>
          <w:szCs w:val="24"/>
          <w:highlight w:val="none"/>
        </w:rPr>
        <w:t xml:space="preserve"> </w:t>
      </w:r>
      <w:r>
        <w:rPr>
          <w:rFonts w:ascii="宋体" w:hAnsi="宋体" w:eastAsia="宋体" w:cs="宋体"/>
          <w:bCs/>
          <w:spacing w:val="-4"/>
          <w:szCs w:val="24"/>
          <w:highlight w:val="none"/>
        </w:rPr>
        <w:t>技术资料和保密义务</w:t>
      </w:r>
      <w:r>
        <w:rPr>
          <w:highlight w:val="none"/>
        </w:rPr>
        <w:tab/>
      </w:r>
      <w:r>
        <w:rPr>
          <w:highlight w:val="none"/>
        </w:rPr>
        <w:fldChar w:fldCharType="begin"/>
      </w:r>
      <w:r>
        <w:rPr>
          <w:highlight w:val="none"/>
        </w:rPr>
        <w:instrText xml:space="preserve"> PAGEREF _Toc22097 \h </w:instrText>
      </w:r>
      <w:r>
        <w:rPr>
          <w:highlight w:val="none"/>
        </w:rPr>
        <w:fldChar w:fldCharType="separate"/>
      </w:r>
      <w:r>
        <w:rPr>
          <w:highlight w:val="none"/>
        </w:rPr>
        <w:t>117</w:t>
      </w:r>
      <w:r>
        <w:rPr>
          <w:highlight w:val="none"/>
        </w:rPr>
        <w:fldChar w:fldCharType="end"/>
      </w:r>
      <w:r>
        <w:rPr>
          <w:rFonts w:hint="eastAsia" w:ascii="仿宋" w:hAnsi="仿宋" w:eastAsia="仿宋" w:cs="仿宋"/>
          <w:highlight w:val="none"/>
        </w:rPr>
        <w:fldChar w:fldCharType="end"/>
      </w:r>
    </w:p>
    <w:p w14:paraId="1AF9296F">
      <w:pPr>
        <w:pStyle w:val="16"/>
        <w:tabs>
          <w:tab w:val="right" w:leader="dot" w:pos="9746"/>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_Toc14074 </w:instrText>
      </w:r>
      <w:r>
        <w:rPr>
          <w:rFonts w:hint="eastAsia" w:ascii="仿宋" w:hAnsi="仿宋" w:eastAsia="仿宋" w:cs="仿宋"/>
          <w:highlight w:val="none"/>
        </w:rPr>
        <w:fldChar w:fldCharType="separate"/>
      </w:r>
      <w:r>
        <w:rPr>
          <w:rFonts w:ascii="宋体" w:hAnsi="宋体" w:eastAsia="宋体" w:cs="宋体"/>
          <w:bCs/>
          <w:spacing w:val="-6"/>
          <w:szCs w:val="24"/>
          <w:highlight w:val="none"/>
        </w:rPr>
        <w:t>2.8</w:t>
      </w:r>
      <w:r>
        <w:rPr>
          <w:rFonts w:ascii="宋体" w:hAnsi="宋体" w:eastAsia="宋体" w:cs="宋体"/>
          <w:spacing w:val="-45"/>
          <w:szCs w:val="24"/>
          <w:highlight w:val="none"/>
        </w:rPr>
        <w:t xml:space="preserve"> </w:t>
      </w:r>
      <w:r>
        <w:rPr>
          <w:rFonts w:ascii="宋体" w:hAnsi="宋体" w:eastAsia="宋体" w:cs="宋体"/>
          <w:bCs/>
          <w:spacing w:val="-6"/>
          <w:szCs w:val="24"/>
          <w:highlight w:val="none"/>
        </w:rPr>
        <w:t>质量保证</w:t>
      </w:r>
      <w:r>
        <w:rPr>
          <w:highlight w:val="none"/>
        </w:rPr>
        <w:tab/>
      </w:r>
      <w:r>
        <w:rPr>
          <w:highlight w:val="none"/>
        </w:rPr>
        <w:fldChar w:fldCharType="begin"/>
      </w:r>
      <w:r>
        <w:rPr>
          <w:highlight w:val="none"/>
        </w:rPr>
        <w:instrText xml:space="preserve"> PAGEREF _Toc14074 \h </w:instrText>
      </w:r>
      <w:r>
        <w:rPr>
          <w:highlight w:val="none"/>
        </w:rPr>
        <w:fldChar w:fldCharType="separate"/>
      </w:r>
      <w:r>
        <w:rPr>
          <w:highlight w:val="none"/>
        </w:rPr>
        <w:t>118</w:t>
      </w:r>
      <w:r>
        <w:rPr>
          <w:highlight w:val="none"/>
        </w:rPr>
        <w:fldChar w:fldCharType="end"/>
      </w:r>
      <w:r>
        <w:rPr>
          <w:rFonts w:hint="eastAsia" w:ascii="仿宋" w:hAnsi="仿宋" w:eastAsia="仿宋" w:cs="仿宋"/>
          <w:highlight w:val="none"/>
        </w:rPr>
        <w:fldChar w:fldCharType="end"/>
      </w:r>
    </w:p>
    <w:p w14:paraId="35B21290">
      <w:pPr>
        <w:pStyle w:val="16"/>
        <w:tabs>
          <w:tab w:val="right" w:leader="dot" w:pos="9746"/>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_Toc17068 </w:instrText>
      </w:r>
      <w:r>
        <w:rPr>
          <w:rFonts w:hint="eastAsia" w:ascii="仿宋" w:hAnsi="仿宋" w:eastAsia="仿宋" w:cs="仿宋"/>
          <w:highlight w:val="none"/>
        </w:rPr>
        <w:fldChar w:fldCharType="separate"/>
      </w:r>
      <w:r>
        <w:rPr>
          <w:rFonts w:ascii="宋体" w:hAnsi="宋体" w:eastAsia="宋体" w:cs="宋体"/>
          <w:bCs/>
          <w:spacing w:val="-5"/>
          <w:szCs w:val="24"/>
          <w:highlight w:val="none"/>
        </w:rPr>
        <w:t>2.9</w:t>
      </w:r>
      <w:r>
        <w:rPr>
          <w:rFonts w:ascii="宋体" w:hAnsi="宋体" w:eastAsia="宋体" w:cs="宋体"/>
          <w:spacing w:val="-42"/>
          <w:szCs w:val="24"/>
          <w:highlight w:val="none"/>
        </w:rPr>
        <w:t xml:space="preserve"> </w:t>
      </w:r>
      <w:r>
        <w:rPr>
          <w:rFonts w:ascii="宋体" w:hAnsi="宋体" w:eastAsia="宋体" w:cs="宋体"/>
          <w:bCs/>
          <w:spacing w:val="-5"/>
          <w:szCs w:val="24"/>
          <w:highlight w:val="none"/>
        </w:rPr>
        <w:t>货物的风险负担</w:t>
      </w:r>
      <w:r>
        <w:rPr>
          <w:highlight w:val="none"/>
        </w:rPr>
        <w:tab/>
      </w:r>
      <w:r>
        <w:rPr>
          <w:highlight w:val="none"/>
        </w:rPr>
        <w:fldChar w:fldCharType="begin"/>
      </w:r>
      <w:r>
        <w:rPr>
          <w:highlight w:val="none"/>
        </w:rPr>
        <w:instrText xml:space="preserve"> PAGEREF _Toc17068 \h </w:instrText>
      </w:r>
      <w:r>
        <w:rPr>
          <w:highlight w:val="none"/>
        </w:rPr>
        <w:fldChar w:fldCharType="separate"/>
      </w:r>
      <w:r>
        <w:rPr>
          <w:highlight w:val="none"/>
        </w:rPr>
        <w:t>118</w:t>
      </w:r>
      <w:r>
        <w:rPr>
          <w:highlight w:val="none"/>
        </w:rPr>
        <w:fldChar w:fldCharType="end"/>
      </w:r>
      <w:r>
        <w:rPr>
          <w:rFonts w:hint="eastAsia" w:ascii="仿宋" w:hAnsi="仿宋" w:eastAsia="仿宋" w:cs="仿宋"/>
          <w:highlight w:val="none"/>
        </w:rPr>
        <w:fldChar w:fldCharType="end"/>
      </w:r>
    </w:p>
    <w:p w14:paraId="71B2C78D">
      <w:pPr>
        <w:pStyle w:val="16"/>
        <w:tabs>
          <w:tab w:val="right" w:leader="dot" w:pos="9746"/>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_Toc10049 </w:instrText>
      </w:r>
      <w:r>
        <w:rPr>
          <w:rFonts w:hint="eastAsia" w:ascii="仿宋" w:hAnsi="仿宋" w:eastAsia="仿宋" w:cs="仿宋"/>
          <w:highlight w:val="none"/>
        </w:rPr>
        <w:fldChar w:fldCharType="separate"/>
      </w:r>
      <w:r>
        <w:rPr>
          <w:rFonts w:ascii="宋体" w:hAnsi="宋体" w:eastAsia="宋体" w:cs="宋体"/>
          <w:bCs/>
          <w:spacing w:val="-5"/>
          <w:szCs w:val="24"/>
          <w:highlight w:val="none"/>
        </w:rPr>
        <w:t>2.10</w:t>
      </w:r>
      <w:r>
        <w:rPr>
          <w:rFonts w:ascii="宋体" w:hAnsi="宋体" w:eastAsia="宋体" w:cs="宋体"/>
          <w:spacing w:val="-47"/>
          <w:szCs w:val="24"/>
          <w:highlight w:val="none"/>
        </w:rPr>
        <w:t xml:space="preserve"> </w:t>
      </w:r>
      <w:r>
        <w:rPr>
          <w:rFonts w:ascii="宋体" w:hAnsi="宋体" w:eastAsia="宋体" w:cs="宋体"/>
          <w:bCs/>
          <w:spacing w:val="-5"/>
          <w:szCs w:val="24"/>
          <w:highlight w:val="none"/>
        </w:rPr>
        <w:t>延迟交货</w:t>
      </w:r>
      <w:r>
        <w:rPr>
          <w:highlight w:val="none"/>
        </w:rPr>
        <w:tab/>
      </w:r>
      <w:r>
        <w:rPr>
          <w:highlight w:val="none"/>
        </w:rPr>
        <w:fldChar w:fldCharType="begin"/>
      </w:r>
      <w:r>
        <w:rPr>
          <w:highlight w:val="none"/>
        </w:rPr>
        <w:instrText xml:space="preserve"> PAGEREF _Toc10049 \h </w:instrText>
      </w:r>
      <w:r>
        <w:rPr>
          <w:highlight w:val="none"/>
        </w:rPr>
        <w:fldChar w:fldCharType="separate"/>
      </w:r>
      <w:r>
        <w:rPr>
          <w:highlight w:val="none"/>
        </w:rPr>
        <w:t>118</w:t>
      </w:r>
      <w:r>
        <w:rPr>
          <w:highlight w:val="none"/>
        </w:rPr>
        <w:fldChar w:fldCharType="end"/>
      </w:r>
      <w:r>
        <w:rPr>
          <w:rFonts w:hint="eastAsia" w:ascii="仿宋" w:hAnsi="仿宋" w:eastAsia="仿宋" w:cs="仿宋"/>
          <w:highlight w:val="none"/>
        </w:rPr>
        <w:fldChar w:fldCharType="end"/>
      </w:r>
    </w:p>
    <w:p w14:paraId="421B64B0">
      <w:pPr>
        <w:pStyle w:val="16"/>
        <w:tabs>
          <w:tab w:val="right" w:leader="dot" w:pos="9746"/>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_Toc28787 </w:instrText>
      </w:r>
      <w:r>
        <w:rPr>
          <w:rFonts w:hint="eastAsia" w:ascii="仿宋" w:hAnsi="仿宋" w:eastAsia="仿宋" w:cs="仿宋"/>
          <w:highlight w:val="none"/>
        </w:rPr>
        <w:fldChar w:fldCharType="separate"/>
      </w:r>
      <w:r>
        <w:rPr>
          <w:rFonts w:ascii="宋体" w:hAnsi="宋体" w:eastAsia="宋体" w:cs="宋体"/>
          <w:bCs/>
          <w:spacing w:val="-5"/>
          <w:szCs w:val="24"/>
          <w:highlight w:val="none"/>
        </w:rPr>
        <w:t>2.11</w:t>
      </w:r>
      <w:r>
        <w:rPr>
          <w:rFonts w:ascii="宋体" w:hAnsi="宋体" w:eastAsia="宋体" w:cs="宋体"/>
          <w:spacing w:val="-47"/>
          <w:szCs w:val="24"/>
          <w:highlight w:val="none"/>
        </w:rPr>
        <w:t xml:space="preserve"> </w:t>
      </w:r>
      <w:r>
        <w:rPr>
          <w:rFonts w:ascii="宋体" w:hAnsi="宋体" w:eastAsia="宋体" w:cs="宋体"/>
          <w:bCs/>
          <w:spacing w:val="-5"/>
          <w:szCs w:val="24"/>
          <w:highlight w:val="none"/>
        </w:rPr>
        <w:t>合同变更</w:t>
      </w:r>
      <w:r>
        <w:rPr>
          <w:highlight w:val="none"/>
        </w:rPr>
        <w:tab/>
      </w:r>
      <w:r>
        <w:rPr>
          <w:highlight w:val="none"/>
        </w:rPr>
        <w:fldChar w:fldCharType="begin"/>
      </w:r>
      <w:r>
        <w:rPr>
          <w:highlight w:val="none"/>
        </w:rPr>
        <w:instrText xml:space="preserve"> PAGEREF _Toc28787 \h </w:instrText>
      </w:r>
      <w:r>
        <w:rPr>
          <w:highlight w:val="none"/>
        </w:rPr>
        <w:fldChar w:fldCharType="separate"/>
      </w:r>
      <w:r>
        <w:rPr>
          <w:highlight w:val="none"/>
        </w:rPr>
        <w:t>118</w:t>
      </w:r>
      <w:r>
        <w:rPr>
          <w:highlight w:val="none"/>
        </w:rPr>
        <w:fldChar w:fldCharType="end"/>
      </w:r>
      <w:r>
        <w:rPr>
          <w:rFonts w:hint="eastAsia" w:ascii="仿宋" w:hAnsi="仿宋" w:eastAsia="仿宋" w:cs="仿宋"/>
          <w:highlight w:val="none"/>
        </w:rPr>
        <w:fldChar w:fldCharType="end"/>
      </w:r>
    </w:p>
    <w:p w14:paraId="6A1CC7CD">
      <w:pPr>
        <w:pStyle w:val="16"/>
        <w:tabs>
          <w:tab w:val="right" w:leader="dot" w:pos="9746"/>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_Toc17981 </w:instrText>
      </w:r>
      <w:r>
        <w:rPr>
          <w:rFonts w:hint="eastAsia" w:ascii="仿宋" w:hAnsi="仿宋" w:eastAsia="仿宋" w:cs="仿宋"/>
          <w:highlight w:val="none"/>
        </w:rPr>
        <w:fldChar w:fldCharType="separate"/>
      </w:r>
      <w:r>
        <w:rPr>
          <w:rFonts w:ascii="宋体" w:hAnsi="宋体" w:eastAsia="宋体" w:cs="宋体"/>
          <w:bCs/>
          <w:spacing w:val="-4"/>
          <w:szCs w:val="24"/>
          <w:highlight w:val="none"/>
        </w:rPr>
        <w:t>2.12</w:t>
      </w:r>
      <w:r>
        <w:rPr>
          <w:rFonts w:ascii="宋体" w:hAnsi="宋体" w:eastAsia="宋体" w:cs="宋体"/>
          <w:spacing w:val="-48"/>
          <w:szCs w:val="24"/>
          <w:highlight w:val="none"/>
        </w:rPr>
        <w:t xml:space="preserve"> </w:t>
      </w:r>
      <w:r>
        <w:rPr>
          <w:rFonts w:ascii="宋体" w:hAnsi="宋体" w:eastAsia="宋体" w:cs="宋体"/>
          <w:bCs/>
          <w:spacing w:val="-4"/>
          <w:szCs w:val="24"/>
          <w:highlight w:val="none"/>
        </w:rPr>
        <w:t>合同转让和分包</w:t>
      </w:r>
      <w:r>
        <w:rPr>
          <w:highlight w:val="none"/>
        </w:rPr>
        <w:tab/>
      </w:r>
      <w:r>
        <w:rPr>
          <w:highlight w:val="none"/>
        </w:rPr>
        <w:fldChar w:fldCharType="begin"/>
      </w:r>
      <w:r>
        <w:rPr>
          <w:highlight w:val="none"/>
        </w:rPr>
        <w:instrText xml:space="preserve"> PAGEREF _Toc17981 \h </w:instrText>
      </w:r>
      <w:r>
        <w:rPr>
          <w:highlight w:val="none"/>
        </w:rPr>
        <w:fldChar w:fldCharType="separate"/>
      </w:r>
      <w:r>
        <w:rPr>
          <w:highlight w:val="none"/>
        </w:rPr>
        <w:t>118</w:t>
      </w:r>
      <w:r>
        <w:rPr>
          <w:highlight w:val="none"/>
        </w:rPr>
        <w:fldChar w:fldCharType="end"/>
      </w:r>
      <w:r>
        <w:rPr>
          <w:rFonts w:hint="eastAsia" w:ascii="仿宋" w:hAnsi="仿宋" w:eastAsia="仿宋" w:cs="仿宋"/>
          <w:highlight w:val="none"/>
        </w:rPr>
        <w:fldChar w:fldCharType="end"/>
      </w:r>
    </w:p>
    <w:p w14:paraId="5471B00E">
      <w:pPr>
        <w:pStyle w:val="16"/>
        <w:tabs>
          <w:tab w:val="right" w:leader="dot" w:pos="9746"/>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_Toc11822 </w:instrText>
      </w:r>
      <w:r>
        <w:rPr>
          <w:rFonts w:hint="eastAsia" w:ascii="仿宋" w:hAnsi="仿宋" w:eastAsia="仿宋" w:cs="仿宋"/>
          <w:highlight w:val="none"/>
        </w:rPr>
        <w:fldChar w:fldCharType="separate"/>
      </w:r>
      <w:r>
        <w:rPr>
          <w:rFonts w:ascii="宋体" w:hAnsi="宋体" w:eastAsia="宋体" w:cs="宋体"/>
          <w:bCs/>
          <w:spacing w:val="-5"/>
          <w:szCs w:val="24"/>
          <w:highlight w:val="none"/>
        </w:rPr>
        <w:t>2.13</w:t>
      </w:r>
      <w:r>
        <w:rPr>
          <w:rFonts w:ascii="宋体" w:hAnsi="宋体" w:eastAsia="宋体" w:cs="宋体"/>
          <w:spacing w:val="-47"/>
          <w:szCs w:val="24"/>
          <w:highlight w:val="none"/>
        </w:rPr>
        <w:t xml:space="preserve"> </w:t>
      </w:r>
      <w:r>
        <w:rPr>
          <w:rFonts w:ascii="宋体" w:hAnsi="宋体" w:eastAsia="宋体" w:cs="宋体"/>
          <w:bCs/>
          <w:spacing w:val="-5"/>
          <w:szCs w:val="24"/>
          <w:highlight w:val="none"/>
        </w:rPr>
        <w:t>不可抗力</w:t>
      </w:r>
      <w:r>
        <w:rPr>
          <w:highlight w:val="none"/>
        </w:rPr>
        <w:tab/>
      </w:r>
      <w:r>
        <w:rPr>
          <w:highlight w:val="none"/>
        </w:rPr>
        <w:fldChar w:fldCharType="begin"/>
      </w:r>
      <w:r>
        <w:rPr>
          <w:highlight w:val="none"/>
        </w:rPr>
        <w:instrText xml:space="preserve"> PAGEREF _Toc11822 \h </w:instrText>
      </w:r>
      <w:r>
        <w:rPr>
          <w:highlight w:val="none"/>
        </w:rPr>
        <w:fldChar w:fldCharType="separate"/>
      </w:r>
      <w:r>
        <w:rPr>
          <w:highlight w:val="none"/>
        </w:rPr>
        <w:t>119</w:t>
      </w:r>
      <w:r>
        <w:rPr>
          <w:highlight w:val="none"/>
        </w:rPr>
        <w:fldChar w:fldCharType="end"/>
      </w:r>
      <w:r>
        <w:rPr>
          <w:rFonts w:hint="eastAsia" w:ascii="仿宋" w:hAnsi="仿宋" w:eastAsia="仿宋" w:cs="仿宋"/>
          <w:highlight w:val="none"/>
        </w:rPr>
        <w:fldChar w:fldCharType="end"/>
      </w:r>
    </w:p>
    <w:p w14:paraId="0058013E">
      <w:pPr>
        <w:pStyle w:val="16"/>
        <w:tabs>
          <w:tab w:val="right" w:leader="dot" w:pos="9746"/>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_Toc545 </w:instrText>
      </w:r>
      <w:r>
        <w:rPr>
          <w:rFonts w:hint="eastAsia" w:ascii="仿宋" w:hAnsi="仿宋" w:eastAsia="仿宋" w:cs="仿宋"/>
          <w:highlight w:val="none"/>
        </w:rPr>
        <w:fldChar w:fldCharType="separate"/>
      </w:r>
      <w:r>
        <w:rPr>
          <w:rFonts w:ascii="宋体" w:hAnsi="宋体" w:eastAsia="宋体" w:cs="宋体"/>
          <w:bCs/>
          <w:spacing w:val="-6"/>
          <w:szCs w:val="24"/>
          <w:highlight w:val="none"/>
        </w:rPr>
        <w:t>2.14</w:t>
      </w:r>
      <w:r>
        <w:rPr>
          <w:rFonts w:ascii="宋体" w:hAnsi="宋体" w:eastAsia="宋体" w:cs="宋体"/>
          <w:spacing w:val="-48"/>
          <w:szCs w:val="24"/>
          <w:highlight w:val="none"/>
        </w:rPr>
        <w:t xml:space="preserve"> </w:t>
      </w:r>
      <w:r>
        <w:rPr>
          <w:rFonts w:ascii="宋体" w:hAnsi="宋体" w:eastAsia="宋体" w:cs="宋体"/>
          <w:bCs/>
          <w:spacing w:val="-6"/>
          <w:szCs w:val="24"/>
          <w:highlight w:val="none"/>
        </w:rPr>
        <w:t>税费</w:t>
      </w:r>
      <w:r>
        <w:rPr>
          <w:highlight w:val="none"/>
        </w:rPr>
        <w:tab/>
      </w:r>
      <w:r>
        <w:rPr>
          <w:highlight w:val="none"/>
        </w:rPr>
        <w:fldChar w:fldCharType="begin"/>
      </w:r>
      <w:r>
        <w:rPr>
          <w:highlight w:val="none"/>
        </w:rPr>
        <w:instrText xml:space="preserve"> PAGEREF _Toc545 \h </w:instrText>
      </w:r>
      <w:r>
        <w:rPr>
          <w:highlight w:val="none"/>
        </w:rPr>
        <w:fldChar w:fldCharType="separate"/>
      </w:r>
      <w:r>
        <w:rPr>
          <w:highlight w:val="none"/>
        </w:rPr>
        <w:t>119</w:t>
      </w:r>
      <w:r>
        <w:rPr>
          <w:highlight w:val="none"/>
        </w:rPr>
        <w:fldChar w:fldCharType="end"/>
      </w:r>
      <w:r>
        <w:rPr>
          <w:rFonts w:hint="eastAsia" w:ascii="仿宋" w:hAnsi="仿宋" w:eastAsia="仿宋" w:cs="仿宋"/>
          <w:highlight w:val="none"/>
        </w:rPr>
        <w:fldChar w:fldCharType="end"/>
      </w:r>
    </w:p>
    <w:p w14:paraId="10C0A5B2">
      <w:pPr>
        <w:pStyle w:val="16"/>
        <w:tabs>
          <w:tab w:val="right" w:leader="dot" w:pos="9746"/>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_Toc19431 </w:instrText>
      </w:r>
      <w:r>
        <w:rPr>
          <w:rFonts w:hint="eastAsia" w:ascii="仿宋" w:hAnsi="仿宋" w:eastAsia="仿宋" w:cs="仿宋"/>
          <w:highlight w:val="none"/>
        </w:rPr>
        <w:fldChar w:fldCharType="separate"/>
      </w:r>
      <w:r>
        <w:rPr>
          <w:rFonts w:ascii="宋体" w:hAnsi="宋体" w:eastAsia="宋体" w:cs="宋体"/>
          <w:bCs/>
          <w:spacing w:val="-8"/>
          <w:szCs w:val="24"/>
          <w:highlight w:val="none"/>
        </w:rPr>
        <w:t>2.15</w:t>
      </w:r>
      <w:r>
        <w:rPr>
          <w:rFonts w:ascii="宋体" w:hAnsi="宋体" w:eastAsia="宋体" w:cs="宋体"/>
          <w:spacing w:val="-23"/>
          <w:szCs w:val="24"/>
          <w:highlight w:val="none"/>
        </w:rPr>
        <w:t xml:space="preserve"> </w:t>
      </w:r>
      <w:r>
        <w:rPr>
          <w:rFonts w:ascii="宋体" w:hAnsi="宋体" w:eastAsia="宋体" w:cs="宋体"/>
          <w:bCs/>
          <w:spacing w:val="-8"/>
          <w:szCs w:val="24"/>
          <w:highlight w:val="none"/>
        </w:rPr>
        <w:t>乙方破产</w:t>
      </w:r>
      <w:r>
        <w:rPr>
          <w:highlight w:val="none"/>
        </w:rPr>
        <w:tab/>
      </w:r>
      <w:r>
        <w:rPr>
          <w:highlight w:val="none"/>
        </w:rPr>
        <w:fldChar w:fldCharType="begin"/>
      </w:r>
      <w:r>
        <w:rPr>
          <w:highlight w:val="none"/>
        </w:rPr>
        <w:instrText xml:space="preserve"> PAGEREF _Toc19431 \h </w:instrText>
      </w:r>
      <w:r>
        <w:rPr>
          <w:highlight w:val="none"/>
        </w:rPr>
        <w:fldChar w:fldCharType="separate"/>
      </w:r>
      <w:r>
        <w:rPr>
          <w:highlight w:val="none"/>
        </w:rPr>
        <w:t>119</w:t>
      </w:r>
      <w:r>
        <w:rPr>
          <w:highlight w:val="none"/>
        </w:rPr>
        <w:fldChar w:fldCharType="end"/>
      </w:r>
      <w:r>
        <w:rPr>
          <w:rFonts w:hint="eastAsia" w:ascii="仿宋" w:hAnsi="仿宋" w:eastAsia="仿宋" w:cs="仿宋"/>
          <w:highlight w:val="none"/>
        </w:rPr>
        <w:fldChar w:fldCharType="end"/>
      </w:r>
    </w:p>
    <w:p w14:paraId="7451A509">
      <w:pPr>
        <w:pStyle w:val="16"/>
        <w:tabs>
          <w:tab w:val="right" w:leader="dot" w:pos="9746"/>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_Toc8932 </w:instrText>
      </w:r>
      <w:r>
        <w:rPr>
          <w:rFonts w:hint="eastAsia" w:ascii="仿宋" w:hAnsi="仿宋" w:eastAsia="仿宋" w:cs="仿宋"/>
          <w:highlight w:val="none"/>
        </w:rPr>
        <w:fldChar w:fldCharType="separate"/>
      </w:r>
      <w:r>
        <w:rPr>
          <w:rFonts w:ascii="宋体" w:hAnsi="宋体" w:eastAsia="宋体" w:cs="宋体"/>
          <w:bCs/>
          <w:spacing w:val="-4"/>
          <w:szCs w:val="24"/>
          <w:highlight w:val="none"/>
        </w:rPr>
        <w:t>2.16</w:t>
      </w:r>
      <w:r>
        <w:rPr>
          <w:rFonts w:ascii="宋体" w:hAnsi="宋体" w:eastAsia="宋体" w:cs="宋体"/>
          <w:spacing w:val="-48"/>
          <w:szCs w:val="24"/>
          <w:highlight w:val="none"/>
        </w:rPr>
        <w:t xml:space="preserve"> </w:t>
      </w:r>
      <w:r>
        <w:rPr>
          <w:rFonts w:ascii="宋体" w:hAnsi="宋体" w:eastAsia="宋体" w:cs="宋体"/>
          <w:bCs/>
          <w:spacing w:val="-4"/>
          <w:szCs w:val="24"/>
          <w:highlight w:val="none"/>
        </w:rPr>
        <w:t>合同中止、终止</w:t>
      </w:r>
      <w:r>
        <w:rPr>
          <w:highlight w:val="none"/>
        </w:rPr>
        <w:tab/>
      </w:r>
      <w:r>
        <w:rPr>
          <w:highlight w:val="none"/>
        </w:rPr>
        <w:fldChar w:fldCharType="begin"/>
      </w:r>
      <w:r>
        <w:rPr>
          <w:highlight w:val="none"/>
        </w:rPr>
        <w:instrText xml:space="preserve"> PAGEREF _Toc8932 \h </w:instrText>
      </w:r>
      <w:r>
        <w:rPr>
          <w:highlight w:val="none"/>
        </w:rPr>
        <w:fldChar w:fldCharType="separate"/>
      </w:r>
      <w:r>
        <w:rPr>
          <w:highlight w:val="none"/>
        </w:rPr>
        <w:t>119</w:t>
      </w:r>
      <w:r>
        <w:rPr>
          <w:highlight w:val="none"/>
        </w:rPr>
        <w:fldChar w:fldCharType="end"/>
      </w:r>
      <w:r>
        <w:rPr>
          <w:rFonts w:hint="eastAsia" w:ascii="仿宋" w:hAnsi="仿宋" w:eastAsia="仿宋" w:cs="仿宋"/>
          <w:highlight w:val="none"/>
        </w:rPr>
        <w:fldChar w:fldCharType="end"/>
      </w:r>
    </w:p>
    <w:p w14:paraId="758D65C8">
      <w:pPr>
        <w:pStyle w:val="16"/>
        <w:tabs>
          <w:tab w:val="right" w:leader="dot" w:pos="9746"/>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_Toc31255 </w:instrText>
      </w:r>
      <w:r>
        <w:rPr>
          <w:rFonts w:hint="eastAsia" w:ascii="仿宋" w:hAnsi="仿宋" w:eastAsia="仿宋" w:cs="仿宋"/>
          <w:highlight w:val="none"/>
        </w:rPr>
        <w:fldChar w:fldCharType="separate"/>
      </w:r>
      <w:r>
        <w:rPr>
          <w:rFonts w:ascii="宋体" w:hAnsi="宋体" w:eastAsia="宋体" w:cs="宋体"/>
          <w:bCs/>
          <w:spacing w:val="-4"/>
          <w:szCs w:val="24"/>
          <w:highlight w:val="none"/>
        </w:rPr>
        <w:t>2.17</w:t>
      </w:r>
      <w:r>
        <w:rPr>
          <w:rFonts w:ascii="宋体" w:hAnsi="宋体" w:eastAsia="宋体" w:cs="宋体"/>
          <w:spacing w:val="-51"/>
          <w:szCs w:val="24"/>
          <w:highlight w:val="none"/>
        </w:rPr>
        <w:t xml:space="preserve"> </w:t>
      </w:r>
      <w:r>
        <w:rPr>
          <w:rFonts w:ascii="宋体" w:hAnsi="宋体" w:eastAsia="宋体" w:cs="宋体"/>
          <w:bCs/>
          <w:spacing w:val="-4"/>
          <w:szCs w:val="24"/>
          <w:highlight w:val="none"/>
        </w:rPr>
        <w:t>检验和验收</w:t>
      </w:r>
      <w:r>
        <w:rPr>
          <w:highlight w:val="none"/>
        </w:rPr>
        <w:tab/>
      </w:r>
      <w:r>
        <w:rPr>
          <w:highlight w:val="none"/>
        </w:rPr>
        <w:fldChar w:fldCharType="begin"/>
      </w:r>
      <w:r>
        <w:rPr>
          <w:highlight w:val="none"/>
        </w:rPr>
        <w:instrText xml:space="preserve"> PAGEREF _Toc31255 \h </w:instrText>
      </w:r>
      <w:r>
        <w:rPr>
          <w:highlight w:val="none"/>
        </w:rPr>
        <w:fldChar w:fldCharType="separate"/>
      </w:r>
      <w:r>
        <w:rPr>
          <w:highlight w:val="none"/>
        </w:rPr>
        <w:t>119</w:t>
      </w:r>
      <w:r>
        <w:rPr>
          <w:highlight w:val="none"/>
        </w:rPr>
        <w:fldChar w:fldCharType="end"/>
      </w:r>
      <w:r>
        <w:rPr>
          <w:rFonts w:hint="eastAsia" w:ascii="仿宋" w:hAnsi="仿宋" w:eastAsia="仿宋" w:cs="仿宋"/>
          <w:highlight w:val="none"/>
        </w:rPr>
        <w:fldChar w:fldCharType="end"/>
      </w:r>
    </w:p>
    <w:p w14:paraId="7C74A836">
      <w:pPr>
        <w:pStyle w:val="16"/>
        <w:tabs>
          <w:tab w:val="right" w:leader="dot" w:pos="9746"/>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_Toc7725 </w:instrText>
      </w:r>
      <w:r>
        <w:rPr>
          <w:rFonts w:hint="eastAsia" w:ascii="仿宋" w:hAnsi="仿宋" w:eastAsia="仿宋" w:cs="仿宋"/>
          <w:highlight w:val="none"/>
        </w:rPr>
        <w:fldChar w:fldCharType="separate"/>
      </w:r>
      <w:r>
        <w:rPr>
          <w:rFonts w:ascii="宋体" w:hAnsi="宋体" w:eastAsia="宋体" w:cs="宋体"/>
          <w:bCs/>
          <w:spacing w:val="-4"/>
          <w:szCs w:val="24"/>
          <w:highlight w:val="none"/>
        </w:rPr>
        <w:t>2.18</w:t>
      </w:r>
      <w:r>
        <w:rPr>
          <w:rFonts w:ascii="宋体" w:hAnsi="宋体" w:eastAsia="宋体" w:cs="宋体"/>
          <w:spacing w:val="-51"/>
          <w:szCs w:val="24"/>
          <w:highlight w:val="none"/>
        </w:rPr>
        <w:t xml:space="preserve"> </w:t>
      </w:r>
      <w:r>
        <w:rPr>
          <w:rFonts w:ascii="宋体" w:hAnsi="宋体" w:eastAsia="宋体" w:cs="宋体"/>
          <w:bCs/>
          <w:spacing w:val="-4"/>
          <w:szCs w:val="24"/>
          <w:highlight w:val="none"/>
        </w:rPr>
        <w:t>通知和送达</w:t>
      </w:r>
      <w:r>
        <w:rPr>
          <w:highlight w:val="none"/>
        </w:rPr>
        <w:tab/>
      </w:r>
      <w:r>
        <w:rPr>
          <w:highlight w:val="none"/>
        </w:rPr>
        <w:fldChar w:fldCharType="begin"/>
      </w:r>
      <w:r>
        <w:rPr>
          <w:highlight w:val="none"/>
        </w:rPr>
        <w:instrText xml:space="preserve"> PAGEREF _Toc7725 \h </w:instrText>
      </w:r>
      <w:r>
        <w:rPr>
          <w:highlight w:val="none"/>
        </w:rPr>
        <w:fldChar w:fldCharType="separate"/>
      </w:r>
      <w:r>
        <w:rPr>
          <w:highlight w:val="none"/>
        </w:rPr>
        <w:t>120</w:t>
      </w:r>
      <w:r>
        <w:rPr>
          <w:highlight w:val="none"/>
        </w:rPr>
        <w:fldChar w:fldCharType="end"/>
      </w:r>
      <w:r>
        <w:rPr>
          <w:rFonts w:hint="eastAsia" w:ascii="仿宋" w:hAnsi="仿宋" w:eastAsia="仿宋" w:cs="仿宋"/>
          <w:highlight w:val="none"/>
        </w:rPr>
        <w:fldChar w:fldCharType="end"/>
      </w:r>
    </w:p>
    <w:p w14:paraId="242C5712">
      <w:pPr>
        <w:pStyle w:val="16"/>
        <w:tabs>
          <w:tab w:val="right" w:leader="dot" w:pos="9746"/>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_Toc8572 </w:instrText>
      </w:r>
      <w:r>
        <w:rPr>
          <w:rFonts w:hint="eastAsia" w:ascii="仿宋" w:hAnsi="仿宋" w:eastAsia="仿宋" w:cs="仿宋"/>
          <w:highlight w:val="none"/>
        </w:rPr>
        <w:fldChar w:fldCharType="separate"/>
      </w:r>
      <w:r>
        <w:rPr>
          <w:rFonts w:ascii="宋体" w:hAnsi="宋体" w:eastAsia="宋体" w:cs="宋体"/>
          <w:bCs/>
          <w:spacing w:val="-5"/>
          <w:szCs w:val="24"/>
          <w:highlight w:val="none"/>
        </w:rPr>
        <w:t>2.19</w:t>
      </w:r>
      <w:r>
        <w:rPr>
          <w:rFonts w:ascii="宋体" w:hAnsi="宋体" w:eastAsia="宋体" w:cs="宋体"/>
          <w:spacing w:val="-47"/>
          <w:szCs w:val="24"/>
          <w:highlight w:val="none"/>
        </w:rPr>
        <w:t xml:space="preserve"> </w:t>
      </w:r>
      <w:r>
        <w:rPr>
          <w:rFonts w:ascii="宋体" w:hAnsi="宋体" w:eastAsia="宋体" w:cs="宋体"/>
          <w:bCs/>
          <w:spacing w:val="-5"/>
          <w:szCs w:val="24"/>
          <w:highlight w:val="none"/>
        </w:rPr>
        <w:t>计量单位</w:t>
      </w:r>
      <w:r>
        <w:rPr>
          <w:highlight w:val="none"/>
        </w:rPr>
        <w:tab/>
      </w:r>
      <w:r>
        <w:rPr>
          <w:highlight w:val="none"/>
        </w:rPr>
        <w:fldChar w:fldCharType="begin"/>
      </w:r>
      <w:r>
        <w:rPr>
          <w:highlight w:val="none"/>
        </w:rPr>
        <w:instrText xml:space="preserve"> PAGEREF _Toc8572 \h </w:instrText>
      </w:r>
      <w:r>
        <w:rPr>
          <w:highlight w:val="none"/>
        </w:rPr>
        <w:fldChar w:fldCharType="separate"/>
      </w:r>
      <w:r>
        <w:rPr>
          <w:highlight w:val="none"/>
        </w:rPr>
        <w:t>120</w:t>
      </w:r>
      <w:r>
        <w:rPr>
          <w:highlight w:val="none"/>
        </w:rPr>
        <w:fldChar w:fldCharType="end"/>
      </w:r>
      <w:r>
        <w:rPr>
          <w:rFonts w:hint="eastAsia" w:ascii="仿宋" w:hAnsi="仿宋" w:eastAsia="仿宋" w:cs="仿宋"/>
          <w:highlight w:val="none"/>
        </w:rPr>
        <w:fldChar w:fldCharType="end"/>
      </w:r>
    </w:p>
    <w:p w14:paraId="37B3D573">
      <w:pPr>
        <w:pStyle w:val="16"/>
        <w:tabs>
          <w:tab w:val="right" w:leader="dot" w:pos="9746"/>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_Toc30046 </w:instrText>
      </w:r>
      <w:r>
        <w:rPr>
          <w:rFonts w:hint="eastAsia" w:ascii="仿宋" w:hAnsi="仿宋" w:eastAsia="仿宋" w:cs="仿宋"/>
          <w:highlight w:val="none"/>
        </w:rPr>
        <w:fldChar w:fldCharType="separate"/>
      </w:r>
      <w:r>
        <w:rPr>
          <w:rFonts w:ascii="宋体" w:hAnsi="宋体" w:eastAsia="宋体" w:cs="宋体"/>
          <w:bCs/>
          <w:spacing w:val="-3"/>
          <w:szCs w:val="24"/>
          <w:highlight w:val="none"/>
        </w:rPr>
        <w:t>2.20</w:t>
      </w:r>
      <w:r>
        <w:rPr>
          <w:rFonts w:ascii="宋体" w:hAnsi="宋体" w:eastAsia="宋体" w:cs="宋体"/>
          <w:spacing w:val="-49"/>
          <w:szCs w:val="24"/>
          <w:highlight w:val="none"/>
        </w:rPr>
        <w:t xml:space="preserve"> </w:t>
      </w:r>
      <w:r>
        <w:rPr>
          <w:rFonts w:ascii="宋体" w:hAnsi="宋体" w:eastAsia="宋体" w:cs="宋体"/>
          <w:bCs/>
          <w:spacing w:val="-3"/>
          <w:szCs w:val="24"/>
          <w:highlight w:val="none"/>
        </w:rPr>
        <w:t>合同使用的文字和适用的法律</w:t>
      </w:r>
      <w:r>
        <w:rPr>
          <w:highlight w:val="none"/>
        </w:rPr>
        <w:tab/>
      </w:r>
      <w:r>
        <w:rPr>
          <w:highlight w:val="none"/>
        </w:rPr>
        <w:fldChar w:fldCharType="begin"/>
      </w:r>
      <w:r>
        <w:rPr>
          <w:highlight w:val="none"/>
        </w:rPr>
        <w:instrText xml:space="preserve"> PAGEREF _Toc30046 \h </w:instrText>
      </w:r>
      <w:r>
        <w:rPr>
          <w:highlight w:val="none"/>
        </w:rPr>
        <w:fldChar w:fldCharType="separate"/>
      </w:r>
      <w:r>
        <w:rPr>
          <w:highlight w:val="none"/>
        </w:rPr>
        <w:t>120</w:t>
      </w:r>
      <w:r>
        <w:rPr>
          <w:highlight w:val="none"/>
        </w:rPr>
        <w:fldChar w:fldCharType="end"/>
      </w:r>
      <w:r>
        <w:rPr>
          <w:rFonts w:hint="eastAsia" w:ascii="仿宋" w:hAnsi="仿宋" w:eastAsia="仿宋" w:cs="仿宋"/>
          <w:highlight w:val="none"/>
        </w:rPr>
        <w:fldChar w:fldCharType="end"/>
      </w:r>
    </w:p>
    <w:p w14:paraId="3C8F10F7">
      <w:pPr>
        <w:pStyle w:val="16"/>
        <w:tabs>
          <w:tab w:val="right" w:leader="dot" w:pos="9746"/>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_Toc20282 </w:instrText>
      </w:r>
      <w:r>
        <w:rPr>
          <w:rFonts w:hint="eastAsia" w:ascii="仿宋" w:hAnsi="仿宋" w:eastAsia="仿宋" w:cs="仿宋"/>
          <w:highlight w:val="none"/>
        </w:rPr>
        <w:fldChar w:fldCharType="separate"/>
      </w:r>
      <w:r>
        <w:rPr>
          <w:rFonts w:ascii="宋体" w:hAnsi="宋体" w:eastAsia="宋体" w:cs="宋体"/>
          <w:bCs/>
          <w:spacing w:val="-5"/>
          <w:szCs w:val="24"/>
          <w:highlight w:val="none"/>
        </w:rPr>
        <w:t>2.21</w:t>
      </w:r>
      <w:r>
        <w:rPr>
          <w:rFonts w:ascii="宋体" w:hAnsi="宋体" w:eastAsia="宋体" w:cs="宋体"/>
          <w:spacing w:val="-42"/>
          <w:szCs w:val="24"/>
          <w:highlight w:val="none"/>
        </w:rPr>
        <w:t xml:space="preserve"> </w:t>
      </w:r>
      <w:r>
        <w:rPr>
          <w:rFonts w:ascii="宋体" w:hAnsi="宋体" w:eastAsia="宋体" w:cs="宋体"/>
          <w:bCs/>
          <w:spacing w:val="-5"/>
          <w:szCs w:val="24"/>
          <w:highlight w:val="none"/>
        </w:rPr>
        <w:t>履约保证金</w:t>
      </w:r>
      <w:r>
        <w:rPr>
          <w:highlight w:val="none"/>
        </w:rPr>
        <w:tab/>
      </w:r>
      <w:r>
        <w:rPr>
          <w:highlight w:val="none"/>
        </w:rPr>
        <w:fldChar w:fldCharType="begin"/>
      </w:r>
      <w:r>
        <w:rPr>
          <w:highlight w:val="none"/>
        </w:rPr>
        <w:instrText xml:space="preserve"> PAGEREF _Toc20282 \h </w:instrText>
      </w:r>
      <w:r>
        <w:rPr>
          <w:highlight w:val="none"/>
        </w:rPr>
        <w:fldChar w:fldCharType="separate"/>
      </w:r>
      <w:r>
        <w:rPr>
          <w:highlight w:val="none"/>
        </w:rPr>
        <w:t>120</w:t>
      </w:r>
      <w:r>
        <w:rPr>
          <w:highlight w:val="none"/>
        </w:rPr>
        <w:fldChar w:fldCharType="end"/>
      </w:r>
      <w:r>
        <w:rPr>
          <w:rFonts w:hint="eastAsia" w:ascii="仿宋" w:hAnsi="仿宋" w:eastAsia="仿宋" w:cs="仿宋"/>
          <w:highlight w:val="none"/>
        </w:rPr>
        <w:fldChar w:fldCharType="end"/>
      </w:r>
    </w:p>
    <w:p w14:paraId="0DDD3C71">
      <w:pPr>
        <w:pStyle w:val="16"/>
        <w:tabs>
          <w:tab w:val="right" w:leader="dot" w:pos="9746"/>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_Toc13390 </w:instrText>
      </w:r>
      <w:r>
        <w:rPr>
          <w:rFonts w:hint="eastAsia" w:ascii="仿宋" w:hAnsi="仿宋" w:eastAsia="仿宋" w:cs="仿宋"/>
          <w:highlight w:val="none"/>
        </w:rPr>
        <w:fldChar w:fldCharType="separate"/>
      </w:r>
      <w:r>
        <w:rPr>
          <w:rFonts w:ascii="宋体" w:hAnsi="宋体" w:eastAsia="宋体" w:cs="宋体"/>
          <w:bCs/>
          <w:spacing w:val="-5"/>
          <w:szCs w:val="24"/>
          <w:highlight w:val="none"/>
        </w:rPr>
        <w:t>2.22</w:t>
      </w:r>
      <w:r>
        <w:rPr>
          <w:rFonts w:ascii="宋体" w:hAnsi="宋体" w:eastAsia="宋体" w:cs="宋体"/>
          <w:spacing w:val="-47"/>
          <w:szCs w:val="24"/>
          <w:highlight w:val="none"/>
        </w:rPr>
        <w:t xml:space="preserve"> </w:t>
      </w:r>
      <w:r>
        <w:rPr>
          <w:rFonts w:ascii="宋体" w:hAnsi="宋体" w:eastAsia="宋体" w:cs="宋体"/>
          <w:bCs/>
          <w:spacing w:val="-5"/>
          <w:szCs w:val="24"/>
          <w:highlight w:val="none"/>
        </w:rPr>
        <w:t>合同份数</w:t>
      </w:r>
      <w:r>
        <w:rPr>
          <w:highlight w:val="none"/>
        </w:rPr>
        <w:tab/>
      </w:r>
      <w:r>
        <w:rPr>
          <w:highlight w:val="none"/>
        </w:rPr>
        <w:fldChar w:fldCharType="begin"/>
      </w:r>
      <w:r>
        <w:rPr>
          <w:highlight w:val="none"/>
        </w:rPr>
        <w:instrText xml:space="preserve"> PAGEREF _Toc13390 \h </w:instrText>
      </w:r>
      <w:r>
        <w:rPr>
          <w:highlight w:val="none"/>
        </w:rPr>
        <w:fldChar w:fldCharType="separate"/>
      </w:r>
      <w:r>
        <w:rPr>
          <w:highlight w:val="none"/>
        </w:rPr>
        <w:t>121</w:t>
      </w:r>
      <w:r>
        <w:rPr>
          <w:highlight w:val="none"/>
        </w:rPr>
        <w:fldChar w:fldCharType="end"/>
      </w:r>
      <w:r>
        <w:rPr>
          <w:rFonts w:hint="eastAsia" w:ascii="仿宋" w:hAnsi="仿宋" w:eastAsia="仿宋" w:cs="仿宋"/>
          <w:highlight w:val="none"/>
        </w:rPr>
        <w:fldChar w:fldCharType="end"/>
      </w:r>
    </w:p>
    <w:p w14:paraId="5AA90A12">
      <w:pPr>
        <w:rPr>
          <w:rFonts w:hint="eastAsia" w:ascii="仿宋" w:hAnsi="仿宋" w:eastAsia="仿宋" w:cs="仿宋"/>
          <w:b/>
          <w:color w:val="auto"/>
          <w:sz w:val="32"/>
          <w:highlight w:val="none"/>
        </w:rPr>
        <w:sectPr>
          <w:footerReference r:id="rId5" w:type="default"/>
          <w:pgSz w:w="11906" w:h="16838"/>
          <w:pgMar w:top="1440" w:right="1080" w:bottom="1440" w:left="1080" w:header="851" w:footer="992" w:gutter="0"/>
          <w:pgNumType w:fmt="decimal" w:start="1"/>
          <w:cols w:space="720" w:num="1"/>
          <w:docGrid w:type="linesAndChars" w:linePitch="312" w:charSpace="0"/>
        </w:sectPr>
      </w:pPr>
      <w:r>
        <w:rPr>
          <w:rFonts w:hint="eastAsia" w:ascii="仿宋" w:hAnsi="仿宋" w:eastAsia="仿宋" w:cs="仿宋"/>
          <w:highlight w:val="none"/>
        </w:rPr>
        <w:fldChar w:fldCharType="end"/>
      </w:r>
    </w:p>
    <w:p w14:paraId="466AAE4B">
      <w:pPr>
        <w:widowControl w:val="0"/>
        <w:autoSpaceDE w:val="0"/>
        <w:autoSpaceDN w:val="0"/>
        <w:adjustRightInd w:val="0"/>
        <w:ind w:firstLine="420"/>
        <w:jc w:val="center"/>
        <w:outlineLvl w:val="9"/>
        <w:rPr>
          <w:rFonts w:hint="eastAsia" w:ascii="仿宋" w:hAnsi="仿宋" w:eastAsia="仿宋" w:cs="仿宋"/>
          <w:kern w:val="0"/>
          <w:sz w:val="24"/>
          <w:szCs w:val="20"/>
          <w:highlight w:val="none"/>
          <w:lang w:val="en-US" w:eastAsia="zh-CN" w:bidi="ar-SA"/>
        </w:rPr>
      </w:pPr>
      <w:bookmarkStart w:id="13" w:name="_Toc8409"/>
      <w:bookmarkStart w:id="14" w:name="_Toc9228"/>
      <w:bookmarkStart w:id="15" w:name="_Toc25861"/>
      <w:bookmarkStart w:id="16" w:name="_Toc29085"/>
      <w:bookmarkStart w:id="17" w:name="_Toc216582804"/>
      <w:r>
        <w:rPr>
          <w:rFonts w:hint="eastAsia" w:ascii="仿宋" w:hAnsi="仿宋" w:eastAsia="仿宋" w:cs="仿宋"/>
          <w:b/>
          <w:bCs w:val="0"/>
          <w:color w:val="auto"/>
          <w:kern w:val="2"/>
          <w:sz w:val="52"/>
          <w:szCs w:val="52"/>
          <w:highlight w:val="none"/>
          <w:lang w:val="en-US" w:eastAsia="zh-CN" w:bidi="ar-SA"/>
        </w:rPr>
        <w:t>叶城县2025年宗朗乡产业园区鲜食玉米加工设备采购项目</w:t>
      </w:r>
    </w:p>
    <w:p w14:paraId="47277C72">
      <w:pPr>
        <w:spacing w:line="240" w:lineRule="atLeast"/>
        <w:jc w:val="center"/>
        <w:outlineLvl w:val="9"/>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第</w:t>
      </w:r>
      <w:r>
        <w:rPr>
          <w:rFonts w:hint="eastAsia" w:ascii="仿宋" w:hAnsi="仿宋" w:eastAsia="仿宋" w:cs="仿宋"/>
          <w:b/>
          <w:color w:val="auto"/>
          <w:sz w:val="48"/>
          <w:szCs w:val="48"/>
          <w:highlight w:val="none"/>
          <w:lang w:val="en-US" w:eastAsia="zh-CN"/>
        </w:rPr>
        <w:t>一</w:t>
      </w:r>
      <w:r>
        <w:rPr>
          <w:rFonts w:hint="eastAsia" w:ascii="仿宋" w:hAnsi="仿宋" w:eastAsia="仿宋" w:cs="仿宋"/>
          <w:b/>
          <w:color w:val="auto"/>
          <w:sz w:val="48"/>
          <w:szCs w:val="48"/>
          <w:highlight w:val="none"/>
        </w:rPr>
        <w:t>册</w:t>
      </w:r>
    </w:p>
    <w:p w14:paraId="69CC5FDD">
      <w:pPr>
        <w:spacing w:line="240" w:lineRule="atLeast"/>
        <w:jc w:val="center"/>
        <w:outlineLvl w:val="9"/>
        <w:rPr>
          <w:rFonts w:hint="eastAsia" w:ascii="仿宋" w:hAnsi="仿宋" w:eastAsia="仿宋" w:cs="仿宋"/>
          <w:b/>
          <w:bCs w:val="0"/>
          <w:color w:val="auto"/>
          <w:sz w:val="72"/>
          <w:szCs w:val="72"/>
          <w:highlight w:val="none"/>
        </w:rPr>
      </w:pPr>
    </w:p>
    <w:p w14:paraId="616F789F">
      <w:pPr>
        <w:pStyle w:val="7"/>
        <w:rPr>
          <w:rFonts w:hint="eastAsia" w:ascii="仿宋" w:hAnsi="仿宋" w:eastAsia="仿宋" w:cs="仿宋"/>
          <w:b/>
          <w:bCs w:val="0"/>
          <w:color w:val="auto"/>
          <w:sz w:val="72"/>
          <w:szCs w:val="72"/>
          <w:highlight w:val="none"/>
        </w:rPr>
      </w:pPr>
    </w:p>
    <w:p w14:paraId="5847ED39">
      <w:pPr>
        <w:pStyle w:val="26"/>
        <w:rPr>
          <w:rFonts w:hint="eastAsia"/>
          <w:highlight w:val="none"/>
        </w:rPr>
      </w:pPr>
    </w:p>
    <w:p w14:paraId="6AC7F627">
      <w:pPr>
        <w:spacing w:line="240" w:lineRule="atLeast"/>
        <w:jc w:val="center"/>
        <w:outlineLvl w:val="9"/>
        <w:rPr>
          <w:rFonts w:hint="eastAsia" w:ascii="仿宋" w:hAnsi="仿宋" w:eastAsia="仿宋" w:cs="仿宋"/>
          <w:bCs/>
          <w:color w:val="auto"/>
          <w:sz w:val="72"/>
          <w:szCs w:val="72"/>
          <w:highlight w:val="none"/>
        </w:rPr>
      </w:pPr>
      <w:r>
        <w:rPr>
          <w:rFonts w:hint="eastAsia" w:ascii="仿宋" w:hAnsi="仿宋" w:eastAsia="仿宋" w:cs="仿宋"/>
          <w:b/>
          <w:bCs w:val="0"/>
          <w:color w:val="auto"/>
          <w:sz w:val="72"/>
          <w:szCs w:val="72"/>
          <w:highlight w:val="none"/>
        </w:rPr>
        <w:t>招标文件</w:t>
      </w:r>
    </w:p>
    <w:p w14:paraId="181A8D42">
      <w:pPr>
        <w:spacing w:line="240" w:lineRule="atLeast"/>
        <w:ind w:left="1079" w:leftChars="257" w:hanging="540"/>
        <w:jc w:val="both"/>
        <w:outlineLvl w:val="9"/>
        <w:rPr>
          <w:rFonts w:hint="eastAsia" w:ascii="仿宋" w:hAnsi="仿宋" w:eastAsia="仿宋" w:cs="仿宋"/>
          <w:b/>
          <w:color w:val="auto"/>
          <w:sz w:val="28"/>
          <w:highlight w:val="none"/>
          <w:lang w:val="en-US" w:eastAsia="zh-CN"/>
        </w:rPr>
      </w:pPr>
      <w:r>
        <w:rPr>
          <w:rFonts w:hint="eastAsia" w:ascii="仿宋" w:hAnsi="仿宋" w:eastAsia="仿宋" w:cs="仿宋"/>
          <w:b/>
          <w:color w:val="auto"/>
          <w:sz w:val="28"/>
          <w:highlight w:val="none"/>
          <w:lang w:val="en-US" w:eastAsia="zh-CN"/>
        </w:rPr>
        <w:t xml:space="preserve"> </w:t>
      </w:r>
    </w:p>
    <w:p w14:paraId="19B8CE79">
      <w:pPr>
        <w:spacing w:line="240" w:lineRule="atLeast"/>
        <w:ind w:left="-1"/>
        <w:jc w:val="left"/>
        <w:rPr>
          <w:rFonts w:hint="eastAsia" w:ascii="仿宋" w:hAnsi="仿宋" w:eastAsia="仿宋" w:cs="仿宋"/>
          <w:b/>
          <w:color w:val="auto"/>
          <w:sz w:val="40"/>
          <w:szCs w:val="40"/>
          <w:highlight w:val="none"/>
        </w:rPr>
      </w:pPr>
    </w:p>
    <w:p w14:paraId="0C0516A1">
      <w:pPr>
        <w:pStyle w:val="2"/>
        <w:tabs>
          <w:tab w:val="left" w:pos="0"/>
        </w:tabs>
        <w:spacing w:before="0" w:after="0" w:line="240" w:lineRule="atLeast"/>
        <w:outlineLvl w:val="0"/>
        <w:rPr>
          <w:rFonts w:hint="eastAsia" w:ascii="仿宋" w:hAnsi="仿宋" w:eastAsia="仿宋" w:cs="仿宋"/>
          <w:color w:val="auto"/>
          <w:sz w:val="36"/>
          <w:szCs w:val="21"/>
          <w:highlight w:val="none"/>
        </w:rPr>
      </w:pPr>
      <w:r>
        <w:rPr>
          <w:rFonts w:hint="eastAsia" w:ascii="仿宋" w:hAnsi="仿宋" w:eastAsia="仿宋" w:cs="仿宋"/>
          <w:color w:val="auto"/>
          <w:kern w:val="0"/>
          <w:szCs w:val="21"/>
          <w:highlight w:val="none"/>
        </w:rPr>
        <w:br w:type="page"/>
      </w:r>
      <w:bookmarkStart w:id="18" w:name="_Toc24899"/>
      <w:bookmarkStart w:id="19" w:name="_Toc18845"/>
      <w:r>
        <w:rPr>
          <w:rFonts w:hint="eastAsia" w:ascii="仿宋" w:hAnsi="仿宋" w:eastAsia="仿宋" w:cs="仿宋"/>
          <w:color w:val="auto"/>
          <w:kern w:val="0"/>
          <w:sz w:val="36"/>
          <w:szCs w:val="22"/>
          <w:highlight w:val="none"/>
        </w:rPr>
        <w:t>第一章</w:t>
      </w:r>
      <w:r>
        <w:rPr>
          <w:rFonts w:hint="eastAsia" w:ascii="仿宋" w:hAnsi="仿宋" w:eastAsia="仿宋" w:cs="仿宋"/>
          <w:color w:val="auto"/>
          <w:sz w:val="36"/>
          <w:szCs w:val="21"/>
          <w:highlight w:val="none"/>
        </w:rPr>
        <w:t xml:space="preserve">  </w:t>
      </w:r>
      <w:bookmarkStart w:id="20" w:name="_Toc518923059"/>
      <w:r>
        <w:rPr>
          <w:rFonts w:hint="eastAsia" w:ascii="仿宋" w:hAnsi="仿宋" w:eastAsia="仿宋" w:cs="仿宋"/>
          <w:color w:val="auto"/>
          <w:sz w:val="36"/>
          <w:szCs w:val="21"/>
          <w:highlight w:val="none"/>
        </w:rPr>
        <w:t>投标人须知</w:t>
      </w:r>
      <w:bookmarkEnd w:id="13"/>
      <w:bookmarkEnd w:id="14"/>
      <w:bookmarkEnd w:id="15"/>
      <w:bookmarkEnd w:id="16"/>
      <w:bookmarkEnd w:id="17"/>
      <w:bookmarkEnd w:id="18"/>
      <w:bookmarkEnd w:id="19"/>
      <w:bookmarkEnd w:id="20"/>
    </w:p>
    <w:p w14:paraId="134A382A">
      <w:pPr>
        <w:pStyle w:val="3"/>
        <w:spacing w:before="0" w:line="240" w:lineRule="atLeast"/>
        <w:ind w:left="1079" w:leftChars="257" w:hanging="540"/>
        <w:outlineLvl w:val="1"/>
        <w:rPr>
          <w:rFonts w:hint="eastAsia" w:ascii="仿宋" w:hAnsi="仿宋" w:eastAsia="仿宋" w:cs="仿宋"/>
          <w:color w:val="auto"/>
          <w:sz w:val="32"/>
          <w:szCs w:val="32"/>
          <w:highlight w:val="none"/>
        </w:rPr>
      </w:pPr>
      <w:bookmarkStart w:id="21" w:name="_Toc216582805"/>
      <w:bookmarkStart w:id="22" w:name="_Toc520356143"/>
      <w:bookmarkStart w:id="23" w:name="_Toc29904"/>
      <w:bookmarkStart w:id="24" w:name="_Toc24888"/>
      <w:bookmarkStart w:id="25" w:name="_Toc518923060"/>
      <w:bookmarkStart w:id="26" w:name="_Toc27102"/>
      <w:bookmarkStart w:id="27" w:name="_Toc23800"/>
      <w:bookmarkStart w:id="28" w:name="_Toc9485"/>
      <w:bookmarkStart w:id="29" w:name="_Toc21942"/>
      <w:r>
        <w:rPr>
          <w:rFonts w:hint="eastAsia" w:ascii="仿宋" w:hAnsi="仿宋" w:eastAsia="仿宋" w:cs="仿宋"/>
          <w:color w:val="auto"/>
          <w:sz w:val="32"/>
          <w:szCs w:val="32"/>
          <w:highlight w:val="none"/>
        </w:rPr>
        <w:t xml:space="preserve">一   </w:t>
      </w:r>
      <w:bookmarkEnd w:id="21"/>
      <w:bookmarkEnd w:id="22"/>
      <w:r>
        <w:rPr>
          <w:rFonts w:hint="eastAsia" w:ascii="仿宋" w:hAnsi="仿宋" w:eastAsia="仿宋" w:cs="仿宋"/>
          <w:color w:val="auto"/>
          <w:sz w:val="32"/>
          <w:szCs w:val="32"/>
          <w:highlight w:val="none"/>
        </w:rPr>
        <w:t>总  则</w:t>
      </w:r>
      <w:bookmarkEnd w:id="23"/>
      <w:bookmarkEnd w:id="24"/>
      <w:bookmarkEnd w:id="25"/>
      <w:bookmarkEnd w:id="26"/>
      <w:bookmarkEnd w:id="27"/>
      <w:bookmarkEnd w:id="28"/>
      <w:bookmarkEnd w:id="29"/>
    </w:p>
    <w:p w14:paraId="519D5993">
      <w:pPr>
        <w:pStyle w:val="6"/>
        <w:spacing w:before="0" w:after="0" w:line="240" w:lineRule="atLeast"/>
        <w:outlineLvl w:val="2"/>
        <w:rPr>
          <w:rFonts w:hint="eastAsia" w:ascii="仿宋" w:hAnsi="仿宋" w:eastAsia="仿宋" w:cs="仿宋"/>
          <w:color w:val="auto"/>
          <w:sz w:val="28"/>
          <w:szCs w:val="28"/>
          <w:highlight w:val="none"/>
          <w:u w:val="none"/>
        </w:rPr>
      </w:pPr>
      <w:bookmarkStart w:id="30" w:name="_Toc520356144"/>
      <w:bookmarkStart w:id="31" w:name="_Toc17738"/>
      <w:bookmarkStart w:id="32" w:name="_Toc11364"/>
      <w:bookmarkStart w:id="33" w:name="_Toc15789"/>
      <w:bookmarkStart w:id="34" w:name="_Toc10470"/>
      <w:bookmarkStart w:id="35" w:name="_Toc515647758"/>
      <w:bookmarkStart w:id="36" w:name="_Toc5999"/>
      <w:bookmarkStart w:id="37" w:name="_Toc16963"/>
      <w:bookmarkStart w:id="38" w:name="_Toc32189"/>
      <w:bookmarkStart w:id="39" w:name="_Toc520356152"/>
      <w:bookmarkStart w:id="40" w:name="_Toc518923071"/>
      <w:bookmarkStart w:id="41" w:name="_Ref467306195"/>
      <w:bookmarkStart w:id="42" w:name="_Toc15487"/>
      <w:bookmarkStart w:id="43" w:name="_Toc516367022"/>
      <w:bookmarkStart w:id="44" w:name="_Ref467306676"/>
      <w:r>
        <w:rPr>
          <w:rFonts w:hint="eastAsia" w:ascii="仿宋" w:hAnsi="仿宋" w:eastAsia="仿宋" w:cs="仿宋"/>
          <w:color w:val="auto"/>
          <w:sz w:val="28"/>
          <w:szCs w:val="28"/>
          <w:highlight w:val="none"/>
          <w:u w:val="none"/>
        </w:rPr>
        <w:t>1.采购人、采购代理机构及</w:t>
      </w:r>
      <w:bookmarkEnd w:id="30"/>
      <w:r>
        <w:rPr>
          <w:rFonts w:hint="eastAsia" w:ascii="仿宋" w:hAnsi="仿宋" w:eastAsia="仿宋" w:cs="仿宋"/>
          <w:color w:val="auto"/>
          <w:sz w:val="28"/>
          <w:szCs w:val="28"/>
          <w:highlight w:val="none"/>
          <w:u w:val="none"/>
        </w:rPr>
        <w:t>投标人</w:t>
      </w:r>
      <w:bookmarkEnd w:id="31"/>
      <w:bookmarkEnd w:id="32"/>
      <w:bookmarkEnd w:id="33"/>
      <w:bookmarkEnd w:id="34"/>
      <w:bookmarkEnd w:id="35"/>
      <w:bookmarkEnd w:id="36"/>
      <w:bookmarkEnd w:id="37"/>
      <w:bookmarkEnd w:id="38"/>
    </w:p>
    <w:p w14:paraId="2AC4A56C">
      <w:pPr>
        <w:numPr>
          <w:ilvl w:val="1"/>
          <w:numId w:val="1"/>
        </w:numPr>
        <w:tabs>
          <w:tab w:val="left" w:pos="0"/>
          <w:tab w:val="clear" w:pos="900"/>
        </w:tabs>
        <w:spacing w:line="240" w:lineRule="atLeast"/>
        <w:ind w:hanging="898"/>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采购人：是指依法开展政府采购活动的国家机关、事业单位、团体组织。</w:t>
      </w:r>
    </w:p>
    <w:p w14:paraId="5F2718ED">
      <w:pPr>
        <w:tabs>
          <w:tab w:val="left" w:pos="0"/>
        </w:tabs>
        <w:spacing w:line="240" w:lineRule="atLeast"/>
        <w:ind w:left="9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本项目的采购人见</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w:t>
      </w:r>
    </w:p>
    <w:p w14:paraId="0136A0A9">
      <w:pPr>
        <w:numPr>
          <w:ilvl w:val="1"/>
          <w:numId w:val="1"/>
        </w:numPr>
        <w:tabs>
          <w:tab w:val="left" w:pos="0"/>
          <w:tab w:val="clear" w:pos="900"/>
        </w:tabs>
        <w:spacing w:line="240" w:lineRule="atLeast"/>
        <w:ind w:hanging="898"/>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采购代理机构：是指在集中采购机构或从事采购代理业务的社会中介机构。本项目的采购代理机构见</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w:t>
      </w:r>
    </w:p>
    <w:p w14:paraId="1532DC5F">
      <w:pPr>
        <w:numPr>
          <w:ilvl w:val="1"/>
          <w:numId w:val="1"/>
        </w:numPr>
        <w:spacing w:line="240" w:lineRule="atLeast"/>
        <w:ind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投标人：是指向采购人提供货物、工程或者服务的法人、非法人组织或者自然人。本项目的投标人及其投标货物须满足以下条件：</w:t>
      </w:r>
    </w:p>
    <w:p w14:paraId="19269CAE">
      <w:pPr>
        <w:spacing w:line="240" w:lineRule="atLeast"/>
        <w:ind w:left="850" w:hanging="991" w:hangingChars="354"/>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在中华人民共和国境内注册，能够独立承担民事责任，有生产或供应能力的本国供应商。</w:t>
      </w:r>
    </w:p>
    <w:p w14:paraId="1230DFFC">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1.3.2  具备《中华人民共和国政府采购法》第二十二条关于供应商条件的规定，遵守本项目采购人本级和上级财政部门政府采购的有关规定。</w:t>
      </w:r>
    </w:p>
    <w:p w14:paraId="0D81A7F0">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1.3.3   以采购代理机构认可的方式获得了本项目的招标文件。</w:t>
      </w:r>
    </w:p>
    <w:p w14:paraId="162E0677">
      <w:pPr>
        <w:spacing w:line="240" w:lineRule="atLeast"/>
        <w:ind w:left="900" w:hanging="1050" w:hangingChars="375"/>
        <w:outlineLvl w:val="9"/>
        <w:rPr>
          <w:rFonts w:hint="eastAsia" w:ascii="仿宋" w:hAnsi="仿宋" w:eastAsia="仿宋" w:cs="仿宋"/>
          <w:color w:val="auto"/>
          <w:sz w:val="28"/>
          <w:szCs w:val="28"/>
          <w:highlight w:val="none"/>
        </w:rPr>
      </w:pPr>
      <w:bookmarkStart w:id="45" w:name="_Toc25862"/>
      <w:r>
        <w:rPr>
          <w:rFonts w:hint="eastAsia" w:ascii="仿宋" w:hAnsi="仿宋" w:eastAsia="仿宋" w:cs="仿宋"/>
          <w:color w:val="auto"/>
          <w:sz w:val="28"/>
          <w:szCs w:val="28"/>
          <w:highlight w:val="none"/>
        </w:rPr>
        <w:t>1.3.4   符合</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中规定的其他要求。</w:t>
      </w:r>
      <w:bookmarkEnd w:id="45"/>
    </w:p>
    <w:p w14:paraId="469C78C6">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1.3.5   若</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中写明允许采购产品，投标人应保证所投产品可履行合法报通关手续进入中国关境内。</w:t>
      </w:r>
    </w:p>
    <w:p w14:paraId="6EC464E7">
      <w:pPr>
        <w:spacing w:line="240" w:lineRule="atLeast"/>
        <w:ind w:left="898" w:leftChars="428"/>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若</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中未写明允许采购产品，如投标人所投产品为产品，其投标将被认定为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61DBFD01">
      <w:pPr>
        <w:spacing w:line="240" w:lineRule="atLeast"/>
        <w:ind w:left="840" w:hanging="980" w:hangingChars="3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1.3.6  若</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中写明专门面向中小企业采购的，如投标人为非中小企业且所投产品为非中小企业产品，其投标将被认定为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2E914AC1">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     如</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中允许联合体投标，对联合体规定如下：</w:t>
      </w:r>
    </w:p>
    <w:p w14:paraId="39AE0E6C">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1.4.1   两个以上供应商可以组成一个投标联合体，以一个投标人的身份投标。</w:t>
      </w:r>
    </w:p>
    <w:p w14:paraId="41D8F29B">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1.4.2   联合体各方均应符合《中华人民共和国政府采购法》第二十二条规定的条件。</w:t>
      </w:r>
    </w:p>
    <w:p w14:paraId="6E74B291">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1.4.3   采购人根据采购项目对投标人的特殊要求，联合体中至少应当有一方符合相关规定。</w:t>
      </w:r>
    </w:p>
    <w:p w14:paraId="13A78E4A">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1.4.4   联合体各方应签订共同投标协议，明确约定联合体各方承担的工作和相应的责任，并将共同投标协议连同作为投标文件第一部分的内容提交。</w:t>
      </w:r>
    </w:p>
    <w:p w14:paraId="67308157">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1.4.5   大中型企业、其他自然人、法人或者非法人组织与小型、微型企业组成联合体共同参加投标，共同投标协议中应写明小型、微型企业的协议合同金额占到共同投标协议投标总金额的比例。</w:t>
      </w:r>
    </w:p>
    <w:p w14:paraId="47B81031">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1.4.6  联合体中有同类资质的供应商按照联合体分工承担相同工作的，按照较低的资质等级确定联合体的资质等级。</w:t>
      </w:r>
    </w:p>
    <w:p w14:paraId="58D12215">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1.4.7  以联合体形式参加政府采购活动的，联合体各方不得再单独参加或者与其他供应商另外组成联合体参加本项目投标，否则相关投标将被认定为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0D8FDFCF">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1.4.8   对联合体投标的其他资格要求见</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w:t>
      </w:r>
    </w:p>
    <w:p w14:paraId="4A35D9A0">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    单位负责人为同一人或者存在直接控股、管理关系的不同供应商，其相关投标将被认定为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03416CEA">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1.6    为本项目提供过整体设计、规范编制或者项目管理、监理、检测等服务的供应商，不得再参加本项目上述服务以外的其他采购活动。否则其投标将被认定为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0DD337AD">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1.7</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投标人在投标过程中不得向采购人提供、给予任何有价值的物品，影响其正常决策行为。一经发现，其将被认定为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742CA2FA">
      <w:pPr>
        <w:pStyle w:val="6"/>
        <w:spacing w:before="0" w:after="0" w:line="240" w:lineRule="atLeast"/>
        <w:outlineLvl w:val="2"/>
        <w:rPr>
          <w:rFonts w:hint="eastAsia" w:ascii="仿宋" w:hAnsi="仿宋" w:eastAsia="仿宋" w:cs="仿宋"/>
          <w:color w:val="auto"/>
          <w:sz w:val="28"/>
          <w:szCs w:val="28"/>
          <w:highlight w:val="none"/>
          <w:u w:val="none"/>
        </w:rPr>
      </w:pPr>
      <w:bookmarkStart w:id="46" w:name="_Toc19770"/>
      <w:bookmarkStart w:id="47" w:name="_Toc10941"/>
      <w:bookmarkStart w:id="48" w:name="_Toc5286"/>
      <w:bookmarkStart w:id="49" w:name="_Toc12139"/>
      <w:bookmarkStart w:id="50" w:name="_Toc4322"/>
      <w:bookmarkStart w:id="51" w:name="_Toc515647759"/>
      <w:bookmarkStart w:id="52" w:name="_Toc2171"/>
      <w:bookmarkStart w:id="53" w:name="_Toc8265"/>
      <w:bookmarkStart w:id="54" w:name="_Toc32642"/>
      <w:r>
        <w:rPr>
          <w:rFonts w:hint="eastAsia" w:ascii="仿宋" w:hAnsi="仿宋" w:eastAsia="仿宋" w:cs="仿宋"/>
          <w:color w:val="auto"/>
          <w:sz w:val="28"/>
          <w:szCs w:val="28"/>
          <w:highlight w:val="none"/>
          <w:u w:val="none"/>
        </w:rPr>
        <w:t>2.资金来源</w:t>
      </w:r>
      <w:bookmarkEnd w:id="46"/>
      <w:bookmarkEnd w:id="47"/>
      <w:bookmarkEnd w:id="48"/>
      <w:bookmarkEnd w:id="49"/>
      <w:bookmarkEnd w:id="50"/>
      <w:bookmarkEnd w:id="51"/>
      <w:bookmarkEnd w:id="52"/>
      <w:bookmarkEnd w:id="53"/>
      <w:bookmarkEnd w:id="54"/>
    </w:p>
    <w:p w14:paraId="1F7B263E">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本项目的采购人已获得足以支付本次招标后所签订的合同项下的资金（包括财政性资金和本项目采购中无法与财政性资金分割的非财政性资金）。</w:t>
      </w:r>
    </w:p>
    <w:p w14:paraId="59058882">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    项目预算金额和分项或分包最高限价</w:t>
      </w:r>
      <w:r>
        <w:rPr>
          <w:rFonts w:hint="eastAsia" w:ascii="仿宋" w:hAnsi="仿宋" w:eastAsia="仿宋" w:cs="仿宋"/>
          <w:b/>
          <w:bCs/>
          <w:color w:val="auto"/>
          <w:sz w:val="28"/>
          <w:szCs w:val="28"/>
          <w:highlight w:val="none"/>
          <w:u w:val="single"/>
        </w:rPr>
        <w:t>见投标人须知资料表</w:t>
      </w:r>
      <w:r>
        <w:rPr>
          <w:rFonts w:hint="eastAsia" w:ascii="仿宋" w:hAnsi="仿宋" w:eastAsia="仿宋" w:cs="仿宋"/>
          <w:color w:val="auto"/>
          <w:sz w:val="28"/>
          <w:szCs w:val="28"/>
          <w:highlight w:val="none"/>
        </w:rPr>
        <w:t>。</w:t>
      </w:r>
    </w:p>
    <w:p w14:paraId="1053B6E1">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2.3    投标人报价超过招标文件规定的预算金额或者分项、分包最高限价的，其投标将被认定为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604BD993">
      <w:pPr>
        <w:pStyle w:val="6"/>
        <w:spacing w:before="0" w:after="0" w:line="240" w:lineRule="atLeast"/>
        <w:outlineLvl w:val="2"/>
        <w:rPr>
          <w:rFonts w:hint="eastAsia" w:ascii="仿宋" w:hAnsi="仿宋" w:eastAsia="仿宋" w:cs="仿宋"/>
          <w:color w:val="auto"/>
          <w:sz w:val="28"/>
          <w:szCs w:val="28"/>
          <w:highlight w:val="none"/>
          <w:u w:val="none"/>
        </w:rPr>
      </w:pPr>
      <w:bookmarkStart w:id="55" w:name="_Toc7212"/>
      <w:bookmarkStart w:id="56" w:name="_Toc17305"/>
      <w:bookmarkStart w:id="57" w:name="_Toc13828"/>
      <w:bookmarkStart w:id="58" w:name="_Toc520356145"/>
      <w:bookmarkStart w:id="59" w:name="_Toc515647760"/>
      <w:bookmarkStart w:id="60" w:name="_Toc20526"/>
      <w:bookmarkStart w:id="61" w:name="_Toc11639"/>
      <w:bookmarkStart w:id="62" w:name="_Toc15936"/>
      <w:bookmarkStart w:id="63" w:name="_Toc13665"/>
      <w:bookmarkStart w:id="64" w:name="_Toc28823"/>
      <w:r>
        <w:rPr>
          <w:rFonts w:hint="eastAsia" w:ascii="仿宋" w:hAnsi="仿宋" w:eastAsia="仿宋" w:cs="仿宋"/>
          <w:color w:val="auto"/>
          <w:sz w:val="28"/>
          <w:szCs w:val="28"/>
          <w:highlight w:val="none"/>
          <w:u w:val="none"/>
        </w:rPr>
        <w:t>3.投标费用</w:t>
      </w:r>
      <w:bookmarkEnd w:id="55"/>
      <w:bookmarkEnd w:id="56"/>
      <w:bookmarkEnd w:id="57"/>
      <w:bookmarkEnd w:id="58"/>
      <w:bookmarkEnd w:id="59"/>
      <w:bookmarkEnd w:id="60"/>
      <w:bookmarkEnd w:id="61"/>
      <w:bookmarkEnd w:id="62"/>
      <w:bookmarkEnd w:id="63"/>
      <w:bookmarkEnd w:id="64"/>
    </w:p>
    <w:p w14:paraId="57EC2397">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不论投标的结果如何，投标人应承担所有与准备和参加投标有关的费用。</w:t>
      </w:r>
    </w:p>
    <w:p w14:paraId="48307493">
      <w:pPr>
        <w:pStyle w:val="6"/>
        <w:spacing w:before="0" w:after="0" w:line="240" w:lineRule="atLeast"/>
        <w:outlineLvl w:val="2"/>
        <w:rPr>
          <w:rFonts w:hint="eastAsia" w:ascii="仿宋" w:hAnsi="仿宋" w:eastAsia="仿宋" w:cs="仿宋"/>
          <w:color w:val="auto"/>
          <w:sz w:val="28"/>
          <w:szCs w:val="28"/>
          <w:highlight w:val="none"/>
          <w:u w:val="none"/>
        </w:rPr>
      </w:pPr>
      <w:bookmarkStart w:id="65" w:name="_Toc24475"/>
      <w:bookmarkStart w:id="66" w:name="_Toc13181"/>
      <w:bookmarkStart w:id="67" w:name="_Toc515647761"/>
      <w:bookmarkStart w:id="68" w:name="_Toc1771"/>
      <w:bookmarkStart w:id="69" w:name="_Toc15805"/>
      <w:bookmarkStart w:id="70" w:name="_Toc4463"/>
      <w:bookmarkStart w:id="71" w:name="_Toc28559"/>
      <w:bookmarkStart w:id="72" w:name="_Toc6116"/>
      <w:bookmarkStart w:id="73" w:name="_Toc32665"/>
      <w:r>
        <w:rPr>
          <w:rFonts w:hint="eastAsia" w:ascii="仿宋" w:hAnsi="仿宋" w:eastAsia="仿宋" w:cs="仿宋"/>
          <w:color w:val="auto"/>
          <w:sz w:val="28"/>
          <w:szCs w:val="28"/>
          <w:highlight w:val="none"/>
          <w:u w:val="none"/>
        </w:rPr>
        <w:t>4.适用法律</w:t>
      </w:r>
      <w:bookmarkEnd w:id="65"/>
      <w:bookmarkEnd w:id="66"/>
      <w:bookmarkEnd w:id="67"/>
      <w:bookmarkEnd w:id="68"/>
      <w:bookmarkEnd w:id="69"/>
      <w:bookmarkEnd w:id="70"/>
      <w:bookmarkEnd w:id="71"/>
      <w:bookmarkEnd w:id="72"/>
      <w:bookmarkEnd w:id="73"/>
    </w:p>
    <w:p w14:paraId="719D5036">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本项目采购人、采购代理机构、投标人、评标委员会的相关行为均受《中华人民共和国政府采购法》、《中华人民共和国政府采购法实施条例》及本项目本级和上级财政部门政府采购有关规定的约束，其权利受到上述法律法规的保护。</w:t>
      </w:r>
    </w:p>
    <w:p w14:paraId="7A5DFC8C">
      <w:pPr>
        <w:spacing w:line="240" w:lineRule="atLeast"/>
        <w:rPr>
          <w:rFonts w:hint="eastAsia" w:ascii="仿宋" w:hAnsi="仿宋" w:eastAsia="仿宋" w:cs="仿宋"/>
          <w:color w:val="auto"/>
          <w:sz w:val="28"/>
          <w:szCs w:val="28"/>
          <w:highlight w:val="none"/>
        </w:rPr>
      </w:pPr>
    </w:p>
    <w:p w14:paraId="261B5B87">
      <w:pPr>
        <w:pStyle w:val="3"/>
        <w:spacing w:before="0" w:line="240" w:lineRule="atLeast"/>
        <w:ind w:left="1079" w:leftChars="257" w:hanging="540"/>
        <w:outlineLvl w:val="1"/>
        <w:rPr>
          <w:rFonts w:hint="eastAsia" w:ascii="仿宋" w:hAnsi="仿宋" w:eastAsia="仿宋" w:cs="仿宋"/>
          <w:color w:val="auto"/>
          <w:sz w:val="32"/>
          <w:szCs w:val="32"/>
          <w:highlight w:val="none"/>
        </w:rPr>
      </w:pPr>
      <w:bookmarkStart w:id="74" w:name="_Toc935"/>
      <w:bookmarkStart w:id="75" w:name="_Toc809"/>
      <w:bookmarkStart w:id="76" w:name="_Toc21310"/>
      <w:bookmarkStart w:id="77" w:name="_Toc18283"/>
      <w:bookmarkStart w:id="78" w:name="_Toc10082"/>
      <w:bookmarkStart w:id="79" w:name="_Toc518923065"/>
      <w:bookmarkStart w:id="80" w:name="_Toc216582806"/>
      <w:bookmarkStart w:id="81" w:name="_Toc520356146"/>
      <w:bookmarkStart w:id="82" w:name="_Toc19602"/>
      <w:r>
        <w:rPr>
          <w:rFonts w:hint="eastAsia" w:ascii="仿宋" w:hAnsi="仿宋" w:eastAsia="仿宋" w:cs="仿宋"/>
          <w:color w:val="auto"/>
          <w:sz w:val="32"/>
          <w:szCs w:val="32"/>
          <w:highlight w:val="none"/>
        </w:rPr>
        <w:t>二   招标文件</w:t>
      </w:r>
      <w:bookmarkEnd w:id="74"/>
      <w:bookmarkEnd w:id="75"/>
      <w:bookmarkEnd w:id="76"/>
      <w:bookmarkEnd w:id="77"/>
      <w:bookmarkEnd w:id="78"/>
      <w:bookmarkEnd w:id="79"/>
      <w:bookmarkEnd w:id="80"/>
      <w:bookmarkEnd w:id="81"/>
      <w:bookmarkEnd w:id="82"/>
    </w:p>
    <w:p w14:paraId="2BDF1EF4">
      <w:pPr>
        <w:pStyle w:val="4"/>
        <w:rPr>
          <w:rFonts w:hint="eastAsia" w:ascii="仿宋" w:hAnsi="仿宋" w:eastAsia="仿宋" w:cs="仿宋"/>
          <w:color w:val="auto"/>
          <w:sz w:val="28"/>
          <w:szCs w:val="28"/>
          <w:highlight w:val="none"/>
        </w:rPr>
      </w:pPr>
    </w:p>
    <w:bookmarkEnd w:id="39"/>
    <w:bookmarkEnd w:id="40"/>
    <w:bookmarkEnd w:id="41"/>
    <w:bookmarkEnd w:id="42"/>
    <w:bookmarkEnd w:id="43"/>
    <w:bookmarkEnd w:id="44"/>
    <w:p w14:paraId="17CEA70C">
      <w:pPr>
        <w:pStyle w:val="6"/>
        <w:spacing w:before="0" w:after="0" w:line="240" w:lineRule="atLeast"/>
        <w:outlineLvl w:val="2"/>
        <w:rPr>
          <w:rFonts w:hint="eastAsia" w:ascii="仿宋" w:hAnsi="仿宋" w:eastAsia="仿宋" w:cs="仿宋"/>
          <w:color w:val="auto"/>
          <w:sz w:val="28"/>
          <w:szCs w:val="28"/>
          <w:highlight w:val="none"/>
          <w:u w:val="none"/>
        </w:rPr>
      </w:pPr>
      <w:bookmarkStart w:id="83" w:name="_Toc4671"/>
      <w:bookmarkStart w:id="84" w:name="_Toc23949"/>
      <w:bookmarkStart w:id="85" w:name="_Toc515647763"/>
      <w:bookmarkStart w:id="86" w:name="_Toc15296"/>
      <w:bookmarkStart w:id="87" w:name="_Toc25743"/>
      <w:bookmarkStart w:id="88" w:name="_Toc27797"/>
      <w:bookmarkStart w:id="89" w:name="_Toc14084"/>
      <w:bookmarkStart w:id="90" w:name="_Toc7813"/>
      <w:bookmarkStart w:id="91" w:name="_Toc520356147"/>
      <w:bookmarkStart w:id="92" w:name="_Toc3831"/>
      <w:r>
        <w:rPr>
          <w:rFonts w:hint="eastAsia" w:ascii="仿宋" w:hAnsi="仿宋" w:eastAsia="仿宋" w:cs="仿宋"/>
          <w:color w:val="auto"/>
          <w:sz w:val="28"/>
          <w:szCs w:val="28"/>
          <w:highlight w:val="none"/>
          <w:u w:val="none"/>
        </w:rPr>
        <w:t>5.招标文件构成</w:t>
      </w:r>
      <w:bookmarkEnd w:id="83"/>
      <w:bookmarkEnd w:id="84"/>
      <w:bookmarkEnd w:id="85"/>
      <w:bookmarkEnd w:id="86"/>
      <w:bookmarkEnd w:id="87"/>
      <w:bookmarkEnd w:id="88"/>
      <w:bookmarkEnd w:id="89"/>
      <w:bookmarkEnd w:id="90"/>
      <w:bookmarkEnd w:id="91"/>
      <w:bookmarkEnd w:id="92"/>
    </w:p>
    <w:p w14:paraId="2C2F87BE">
      <w:pPr>
        <w:spacing w:line="240" w:lineRule="atLeast"/>
        <w:ind w:left="900" w:hanging="1050" w:hangingChars="375"/>
        <w:outlineLvl w:val="9"/>
        <w:rPr>
          <w:rFonts w:hint="eastAsia" w:ascii="仿宋" w:hAnsi="仿宋" w:eastAsia="仿宋" w:cs="仿宋"/>
          <w:color w:val="auto"/>
          <w:sz w:val="28"/>
          <w:szCs w:val="28"/>
          <w:highlight w:val="none"/>
        </w:rPr>
      </w:pPr>
      <w:bookmarkStart w:id="93" w:name="_Toc23436"/>
      <w:r>
        <w:rPr>
          <w:rFonts w:hint="eastAsia" w:ascii="仿宋" w:hAnsi="仿宋" w:eastAsia="仿宋" w:cs="仿宋"/>
          <w:color w:val="auto"/>
          <w:sz w:val="28"/>
          <w:szCs w:val="28"/>
          <w:highlight w:val="none"/>
        </w:rPr>
        <w:t>5.1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招标文件分为三册共7章，内容如下：</w:t>
      </w:r>
      <w:bookmarkEnd w:id="93"/>
    </w:p>
    <w:p w14:paraId="2A2C6EF0">
      <w:pPr>
        <w:spacing w:line="240" w:lineRule="atLeast"/>
        <w:ind w:left="1108" w:leftChars="428" w:hanging="210" w:hangingChars="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第一册</w:t>
      </w:r>
    </w:p>
    <w:p w14:paraId="4A6653F4">
      <w:pPr>
        <w:numPr>
          <w:ilvl w:val="0"/>
          <w:numId w:val="2"/>
        </w:numPr>
        <w:tabs>
          <w:tab w:val="left" w:pos="0"/>
        </w:tabs>
        <w:spacing w:line="240" w:lineRule="atLeast"/>
        <w:ind w:hanging="829"/>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投标人须知</w:t>
      </w:r>
    </w:p>
    <w:p w14:paraId="23A5B16B">
      <w:pPr>
        <w:numPr>
          <w:ilvl w:val="0"/>
          <w:numId w:val="2"/>
        </w:numPr>
        <w:spacing w:line="240" w:lineRule="atLeast"/>
        <w:ind w:left="1080" w:leftChars="429" w:hanging="18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投标文件格式</w:t>
      </w:r>
    </w:p>
    <w:p w14:paraId="0E196731">
      <w:pPr>
        <w:spacing w:line="240" w:lineRule="atLeast"/>
        <w:ind w:left="1080" w:leftChars="429" w:hanging="18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第二册</w:t>
      </w:r>
    </w:p>
    <w:p w14:paraId="3E9FC1AA">
      <w:pPr>
        <w:numPr>
          <w:ilvl w:val="0"/>
          <w:numId w:val="2"/>
        </w:numPr>
        <w:spacing w:line="240" w:lineRule="atLeast"/>
        <w:ind w:left="1080" w:leftChars="429" w:hanging="18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投标邀请</w:t>
      </w:r>
    </w:p>
    <w:p w14:paraId="69107A23">
      <w:pPr>
        <w:numPr>
          <w:ilvl w:val="0"/>
          <w:numId w:val="2"/>
        </w:numPr>
        <w:spacing w:line="240" w:lineRule="atLeast"/>
        <w:ind w:left="1080" w:leftChars="429" w:hanging="18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投标人须知资料表</w:t>
      </w:r>
    </w:p>
    <w:p w14:paraId="608C70A6">
      <w:pPr>
        <w:numPr>
          <w:ilvl w:val="0"/>
          <w:numId w:val="2"/>
        </w:numPr>
        <w:spacing w:line="240" w:lineRule="atLeast"/>
        <w:ind w:left="1080" w:leftChars="429" w:hanging="18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货物需求一览表及技术规格</w:t>
      </w:r>
    </w:p>
    <w:p w14:paraId="361C4457">
      <w:pPr>
        <w:numPr>
          <w:ilvl w:val="0"/>
          <w:numId w:val="2"/>
        </w:numPr>
        <w:spacing w:line="240" w:lineRule="atLeast"/>
        <w:ind w:left="1080" w:leftChars="429" w:hanging="18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评标方法和标准</w:t>
      </w:r>
    </w:p>
    <w:p w14:paraId="18FED7E7">
      <w:pPr>
        <w:spacing w:line="240" w:lineRule="atLeast"/>
        <w:ind w:left="901"/>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第三册</w:t>
      </w:r>
    </w:p>
    <w:p w14:paraId="4123B601">
      <w:pPr>
        <w:numPr>
          <w:ilvl w:val="0"/>
          <w:numId w:val="2"/>
        </w:numPr>
        <w:spacing w:line="240" w:lineRule="atLeast"/>
        <w:ind w:left="718" w:leftChars="342" w:firstLine="280" w:firstLineChars="1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政府采购合同格式</w:t>
      </w:r>
    </w:p>
    <w:p w14:paraId="2B1ECF5E">
      <w:pPr>
        <w:spacing w:line="240" w:lineRule="atLeast"/>
        <w:ind w:left="900" w:hanging="1050" w:hangingChars="375"/>
        <w:outlineLvl w:val="9"/>
        <w:rPr>
          <w:rFonts w:hint="eastAsia" w:ascii="仿宋" w:hAnsi="仿宋" w:eastAsia="仿宋" w:cs="仿宋"/>
          <w:color w:val="auto"/>
          <w:sz w:val="28"/>
          <w:szCs w:val="28"/>
          <w:highlight w:val="none"/>
        </w:rPr>
      </w:pPr>
      <w:bookmarkStart w:id="94" w:name="_Toc22542"/>
      <w:r>
        <w:rPr>
          <w:rFonts w:hint="eastAsia" w:ascii="仿宋" w:hAnsi="仿宋" w:eastAsia="仿宋" w:cs="仿宋"/>
          <w:color w:val="auto"/>
          <w:sz w:val="28"/>
          <w:szCs w:val="28"/>
          <w:highlight w:val="none"/>
        </w:rPr>
        <w:t>5.2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如本文件的前后内容不一致，以最后描述为准。</w:t>
      </w:r>
      <w:bookmarkEnd w:id="94"/>
    </w:p>
    <w:p w14:paraId="5A7C820B">
      <w:pPr>
        <w:spacing w:line="240" w:lineRule="atLeast"/>
        <w:ind w:left="900" w:hanging="1050" w:hangingChars="3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5.3    投标人应认真阅读招标文件所有的事项、格式、条款和技术规范等。如投标人没有按照招标文件要求提交全部资料，或者投标文件没有对招标文件在各方面都做出实质性响应，可能导致其投标将被认定为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2622C0C8">
      <w:pPr>
        <w:pStyle w:val="6"/>
        <w:spacing w:before="0" w:after="0" w:line="240" w:lineRule="atLeast"/>
        <w:outlineLvl w:val="2"/>
        <w:rPr>
          <w:rFonts w:hint="eastAsia" w:ascii="仿宋" w:hAnsi="仿宋" w:eastAsia="仿宋" w:cs="仿宋"/>
          <w:color w:val="auto"/>
          <w:sz w:val="28"/>
          <w:szCs w:val="28"/>
          <w:highlight w:val="none"/>
          <w:u w:val="none"/>
        </w:rPr>
      </w:pPr>
      <w:bookmarkStart w:id="95" w:name="_Toc515904805"/>
      <w:bookmarkStart w:id="96" w:name="_Toc520356148"/>
      <w:bookmarkStart w:id="97" w:name="_Toc18488"/>
      <w:bookmarkStart w:id="98" w:name="_Toc26044"/>
      <w:bookmarkStart w:id="99" w:name="_Toc9232"/>
      <w:bookmarkStart w:id="100" w:name="_Toc4962"/>
      <w:bookmarkStart w:id="101" w:name="_Toc5510"/>
      <w:bookmarkStart w:id="102" w:name="_Toc21294"/>
      <w:bookmarkStart w:id="103" w:name="_Toc10141"/>
      <w:bookmarkStart w:id="104" w:name="_Toc1922"/>
      <w:r>
        <w:rPr>
          <w:rFonts w:hint="eastAsia" w:ascii="仿宋" w:hAnsi="仿宋" w:eastAsia="仿宋" w:cs="仿宋"/>
          <w:color w:val="auto"/>
          <w:sz w:val="28"/>
          <w:szCs w:val="28"/>
          <w:highlight w:val="none"/>
          <w:u w:val="none"/>
        </w:rPr>
        <w:t>6.招标文件的澄清</w:t>
      </w:r>
      <w:bookmarkEnd w:id="95"/>
      <w:bookmarkEnd w:id="96"/>
      <w:r>
        <w:rPr>
          <w:rFonts w:hint="eastAsia" w:ascii="仿宋" w:hAnsi="仿宋" w:eastAsia="仿宋" w:cs="仿宋"/>
          <w:color w:val="auto"/>
          <w:sz w:val="28"/>
          <w:szCs w:val="28"/>
          <w:highlight w:val="none"/>
          <w:u w:val="none"/>
        </w:rPr>
        <w:t>与修改</w:t>
      </w:r>
      <w:bookmarkEnd w:id="97"/>
      <w:bookmarkEnd w:id="98"/>
      <w:bookmarkEnd w:id="99"/>
      <w:bookmarkEnd w:id="100"/>
      <w:bookmarkEnd w:id="101"/>
      <w:bookmarkEnd w:id="102"/>
      <w:bookmarkEnd w:id="103"/>
      <w:bookmarkEnd w:id="104"/>
    </w:p>
    <w:p w14:paraId="3D3DDFB4">
      <w:pPr>
        <w:pStyle w:val="4"/>
        <w:ind w:left="840" w:hanging="980" w:hangingChars="3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6.1    为了保证对招标文件的澄清和修改满足法律的时限要求，任何要求对招标文件进行澄清的投标人，均应在投标截止期十五日前，以书面形式将澄清要求通知采购人或采购代理机构。</w:t>
      </w:r>
    </w:p>
    <w:p w14:paraId="6DEBC992">
      <w:pPr>
        <w:pStyle w:val="4"/>
        <w:ind w:left="840" w:hanging="980" w:hangingChars="350"/>
        <w:rPr>
          <w:rFonts w:hint="eastAsia" w:ascii="仿宋" w:hAnsi="仿宋" w:eastAsia="仿宋" w:cs="仿宋"/>
          <w:color w:val="auto"/>
          <w:sz w:val="28"/>
          <w:szCs w:val="28"/>
          <w:highlight w:val="none"/>
        </w:rPr>
      </w:pPr>
      <w:bookmarkStart w:id="105" w:name="_Toc515904806"/>
      <w:bookmarkStart w:id="106" w:name="_Toc520356149"/>
      <w:bookmarkStart w:id="107" w:name="_Ref467378678"/>
      <w:r>
        <w:rPr>
          <w:rFonts w:hint="eastAsia" w:ascii="仿宋" w:hAnsi="仿宋" w:eastAsia="仿宋" w:cs="仿宋"/>
          <w:color w:val="auto"/>
          <w:sz w:val="28"/>
          <w:szCs w:val="28"/>
          <w:highlight w:val="none"/>
        </w:rPr>
        <w:t>6.2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采购人可主动地或在解答投标人提出的澄清问题时对招标文件进行澄清或修改。采购代理机构将以发布澄清（更正）公告的方式，澄清或修改招标文件，澄清或修改内容作为招标文件的组成部分。</w:t>
      </w:r>
    </w:p>
    <w:p w14:paraId="35EE9BF3">
      <w:pPr>
        <w:pStyle w:val="4"/>
        <w:ind w:left="840" w:hanging="980" w:hangingChars="3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6.3</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澄清或者修改的内容可能影响投标文件编制的，采购代理机构将以书面形式通知所有购买招标文件的潜在投标人，并对其具有约束力。投标人在收到上述通知后，应及时向采购代理机构回函确认。</w:t>
      </w:r>
    </w:p>
    <w:p w14:paraId="3C6BD9E9">
      <w:pPr>
        <w:pStyle w:val="6"/>
        <w:spacing w:before="0" w:after="0" w:line="240" w:lineRule="atLeast"/>
        <w:outlineLvl w:val="2"/>
        <w:rPr>
          <w:rFonts w:hint="eastAsia" w:ascii="仿宋" w:hAnsi="仿宋" w:eastAsia="仿宋" w:cs="仿宋"/>
          <w:color w:val="auto"/>
          <w:sz w:val="28"/>
          <w:szCs w:val="28"/>
          <w:highlight w:val="none"/>
          <w:u w:val="none"/>
        </w:rPr>
      </w:pPr>
      <w:bookmarkStart w:id="108" w:name="_Toc25635"/>
      <w:bookmarkStart w:id="109" w:name="_Toc12448"/>
      <w:bookmarkStart w:id="110" w:name="_Toc11039"/>
      <w:bookmarkStart w:id="111" w:name="_Toc14569"/>
      <w:bookmarkStart w:id="112" w:name="_Toc12813"/>
      <w:bookmarkStart w:id="113" w:name="_Toc2841"/>
      <w:bookmarkStart w:id="114" w:name="_Toc10566"/>
      <w:bookmarkStart w:id="115" w:name="_Toc24903"/>
      <w:r>
        <w:rPr>
          <w:rFonts w:hint="eastAsia" w:ascii="仿宋" w:hAnsi="仿宋" w:eastAsia="仿宋" w:cs="仿宋"/>
          <w:color w:val="auto"/>
          <w:sz w:val="28"/>
          <w:szCs w:val="28"/>
          <w:highlight w:val="none"/>
          <w:u w:val="none"/>
        </w:rPr>
        <w:t>7</w:t>
      </w:r>
      <w:bookmarkEnd w:id="105"/>
      <w:bookmarkEnd w:id="106"/>
      <w:bookmarkEnd w:id="107"/>
      <w:r>
        <w:rPr>
          <w:rFonts w:hint="eastAsia" w:ascii="仿宋" w:hAnsi="仿宋" w:eastAsia="仿宋" w:cs="仿宋"/>
          <w:color w:val="auto"/>
          <w:sz w:val="28"/>
          <w:szCs w:val="28"/>
          <w:highlight w:val="none"/>
          <w:u w:val="none"/>
        </w:rPr>
        <w:t>.投标截止时间的顺延</w:t>
      </w:r>
      <w:bookmarkEnd w:id="108"/>
      <w:bookmarkEnd w:id="109"/>
      <w:bookmarkEnd w:id="110"/>
      <w:bookmarkEnd w:id="111"/>
      <w:bookmarkEnd w:id="112"/>
      <w:bookmarkEnd w:id="113"/>
      <w:bookmarkEnd w:id="114"/>
      <w:bookmarkEnd w:id="115"/>
    </w:p>
    <w:p w14:paraId="07F3D3A5">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为使投标人准备投标时有足够的时间对招标文件的澄清或者修改部分进行研究，采购人将依法决定是否顺延投标截止时间。</w:t>
      </w:r>
    </w:p>
    <w:p w14:paraId="22BC9AB4">
      <w:pPr>
        <w:spacing w:line="240" w:lineRule="atLeast"/>
        <w:ind w:left="900" w:hanging="1050" w:hangingChars="375"/>
        <w:rPr>
          <w:rFonts w:hint="eastAsia" w:ascii="仿宋" w:hAnsi="仿宋" w:eastAsia="仿宋" w:cs="仿宋"/>
          <w:color w:val="auto"/>
          <w:sz w:val="28"/>
          <w:szCs w:val="28"/>
          <w:highlight w:val="none"/>
        </w:rPr>
      </w:pPr>
    </w:p>
    <w:p w14:paraId="46A3880A">
      <w:pPr>
        <w:pStyle w:val="3"/>
        <w:spacing w:before="0" w:line="240" w:lineRule="atLeast"/>
        <w:ind w:left="1079" w:leftChars="257" w:hanging="540"/>
        <w:outlineLvl w:val="1"/>
        <w:rPr>
          <w:rFonts w:hint="eastAsia" w:ascii="仿宋" w:hAnsi="仿宋" w:eastAsia="仿宋" w:cs="仿宋"/>
          <w:color w:val="auto"/>
          <w:sz w:val="32"/>
          <w:szCs w:val="32"/>
          <w:highlight w:val="none"/>
        </w:rPr>
      </w:pPr>
      <w:bookmarkStart w:id="116" w:name="_Toc516367020"/>
      <w:bookmarkStart w:id="117" w:name="_Toc515647766"/>
      <w:bookmarkStart w:id="118" w:name="_Toc12272"/>
      <w:bookmarkStart w:id="119" w:name="_Toc7636"/>
      <w:bookmarkStart w:id="120" w:name="_Toc30808"/>
      <w:bookmarkStart w:id="121" w:name="_Toc216582807"/>
      <w:bookmarkStart w:id="122" w:name="_Toc520356150"/>
      <w:bookmarkStart w:id="123" w:name="_Toc199"/>
      <w:bookmarkStart w:id="124" w:name="_Toc31466"/>
      <w:r>
        <w:rPr>
          <w:rFonts w:hint="eastAsia" w:ascii="仿宋" w:hAnsi="仿宋" w:eastAsia="仿宋" w:cs="仿宋"/>
          <w:color w:val="auto"/>
          <w:sz w:val="32"/>
          <w:szCs w:val="32"/>
          <w:highlight w:val="none"/>
        </w:rPr>
        <w:t>三   投标文件</w:t>
      </w:r>
      <w:bookmarkEnd w:id="116"/>
      <w:r>
        <w:rPr>
          <w:rFonts w:hint="eastAsia" w:ascii="仿宋" w:hAnsi="仿宋" w:eastAsia="仿宋" w:cs="仿宋"/>
          <w:color w:val="auto"/>
          <w:sz w:val="32"/>
          <w:szCs w:val="32"/>
          <w:highlight w:val="none"/>
        </w:rPr>
        <w:t>的编制</w:t>
      </w:r>
      <w:bookmarkEnd w:id="117"/>
      <w:bookmarkEnd w:id="118"/>
      <w:bookmarkEnd w:id="119"/>
      <w:bookmarkEnd w:id="120"/>
      <w:bookmarkEnd w:id="121"/>
      <w:bookmarkEnd w:id="122"/>
      <w:bookmarkEnd w:id="123"/>
      <w:bookmarkEnd w:id="124"/>
    </w:p>
    <w:p w14:paraId="3B7ACBD1">
      <w:pPr>
        <w:pStyle w:val="6"/>
        <w:spacing w:before="0" w:after="0" w:line="240" w:lineRule="atLeast"/>
        <w:outlineLvl w:val="2"/>
        <w:rPr>
          <w:rFonts w:hint="eastAsia" w:ascii="仿宋" w:hAnsi="仿宋" w:eastAsia="仿宋" w:cs="仿宋"/>
          <w:color w:val="auto"/>
          <w:sz w:val="28"/>
          <w:szCs w:val="28"/>
          <w:highlight w:val="none"/>
          <w:u w:val="none"/>
        </w:rPr>
      </w:pPr>
      <w:bookmarkStart w:id="125" w:name="_Toc2194"/>
      <w:bookmarkStart w:id="126" w:name="_Toc3553"/>
      <w:bookmarkStart w:id="127" w:name="_Toc25529"/>
      <w:bookmarkStart w:id="128" w:name="_Toc516367021"/>
      <w:bookmarkStart w:id="129" w:name="_Toc1543"/>
      <w:bookmarkStart w:id="130" w:name="_Toc30758"/>
      <w:bookmarkStart w:id="131" w:name="_Toc10741"/>
      <w:bookmarkStart w:id="132" w:name="_Toc515647767"/>
      <w:bookmarkStart w:id="133" w:name="_Toc7786"/>
      <w:bookmarkStart w:id="134" w:name="_Toc520356151"/>
      <w:bookmarkStart w:id="135" w:name="_Toc30570"/>
      <w:r>
        <w:rPr>
          <w:rFonts w:hint="eastAsia" w:ascii="仿宋" w:hAnsi="仿宋" w:eastAsia="仿宋" w:cs="仿宋"/>
          <w:color w:val="auto"/>
          <w:sz w:val="28"/>
          <w:szCs w:val="28"/>
          <w:highlight w:val="none"/>
          <w:u w:val="none"/>
        </w:rPr>
        <w:t>8.投标范围及投标文件中标准和计量单位的使用</w:t>
      </w:r>
      <w:bookmarkEnd w:id="125"/>
      <w:bookmarkEnd w:id="126"/>
      <w:bookmarkEnd w:id="127"/>
      <w:bookmarkEnd w:id="128"/>
      <w:bookmarkEnd w:id="129"/>
      <w:bookmarkEnd w:id="130"/>
      <w:bookmarkEnd w:id="131"/>
      <w:bookmarkEnd w:id="132"/>
      <w:bookmarkEnd w:id="133"/>
      <w:bookmarkEnd w:id="134"/>
      <w:bookmarkEnd w:id="135"/>
    </w:p>
    <w:p w14:paraId="126FA21C">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项目有分包的，投标人可对招标文件其中某一个或几个分包货物进行投标，除非在</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中另有规定。</w:t>
      </w:r>
    </w:p>
    <w:p w14:paraId="6C7C0FDC">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8.2     投标人应当对所投分包招标文件中“</w:t>
      </w:r>
      <w:r>
        <w:rPr>
          <w:rFonts w:hint="eastAsia" w:ascii="仿宋" w:hAnsi="仿宋" w:eastAsia="仿宋" w:cs="仿宋"/>
          <w:color w:val="auto"/>
          <w:sz w:val="28"/>
          <w:szCs w:val="28"/>
          <w:highlight w:val="none"/>
          <w:lang w:eastAsia="zh-CN"/>
        </w:rPr>
        <w:t>货物需求一览表及技术规格</w:t>
      </w:r>
      <w:r>
        <w:rPr>
          <w:rFonts w:hint="eastAsia" w:ascii="仿宋" w:hAnsi="仿宋" w:eastAsia="仿宋" w:cs="仿宋"/>
          <w:color w:val="auto"/>
          <w:sz w:val="28"/>
          <w:szCs w:val="28"/>
          <w:highlight w:val="none"/>
        </w:rPr>
        <w:t>”所列的所有内容进行投标，如仅响应某一包中的部分内容，其该包投标将被认定为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5F0331D2">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8.3     无论招标文件第5章货物需求一览表及技术规格中是否要求，投标人所投货物均应符合国家强制性标准。</w:t>
      </w:r>
    </w:p>
    <w:p w14:paraId="01397275">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8.4     除招标文件中有特殊要求外，投标文件中所使用的计量单位，应采用中华人民共和国法定计量单位。</w:t>
      </w:r>
    </w:p>
    <w:p w14:paraId="188B8F09">
      <w:pPr>
        <w:pStyle w:val="6"/>
        <w:spacing w:before="0" w:after="0" w:line="240" w:lineRule="atLeast"/>
        <w:outlineLvl w:val="2"/>
        <w:rPr>
          <w:rFonts w:hint="eastAsia" w:ascii="仿宋" w:hAnsi="仿宋" w:eastAsia="仿宋" w:cs="仿宋"/>
          <w:color w:val="auto"/>
          <w:sz w:val="28"/>
          <w:szCs w:val="28"/>
          <w:highlight w:val="none"/>
          <w:u w:val="none"/>
        </w:rPr>
      </w:pPr>
      <w:bookmarkStart w:id="136" w:name="_Toc8513"/>
      <w:bookmarkStart w:id="137" w:name="_Toc10364"/>
      <w:bookmarkStart w:id="138" w:name="_Toc12122"/>
      <w:bookmarkStart w:id="139" w:name="_Toc18692"/>
      <w:bookmarkStart w:id="140" w:name="_Toc27072"/>
      <w:bookmarkStart w:id="141" w:name="_Toc515647768"/>
      <w:bookmarkStart w:id="142" w:name="_Toc30947"/>
      <w:bookmarkStart w:id="143" w:name="_Toc28307"/>
      <w:bookmarkStart w:id="144" w:name="_Toc28852"/>
      <w:r>
        <w:rPr>
          <w:rFonts w:hint="eastAsia" w:ascii="仿宋" w:hAnsi="仿宋" w:eastAsia="仿宋" w:cs="仿宋"/>
          <w:color w:val="auto"/>
          <w:sz w:val="28"/>
          <w:szCs w:val="28"/>
          <w:highlight w:val="none"/>
          <w:u w:val="none"/>
        </w:rPr>
        <w:t>9.投标文件构成</w:t>
      </w:r>
      <w:bookmarkEnd w:id="136"/>
      <w:bookmarkEnd w:id="137"/>
      <w:bookmarkEnd w:id="138"/>
      <w:bookmarkEnd w:id="139"/>
      <w:bookmarkEnd w:id="140"/>
      <w:bookmarkEnd w:id="141"/>
      <w:bookmarkEnd w:id="142"/>
      <w:bookmarkEnd w:id="143"/>
      <w:bookmarkEnd w:id="144"/>
    </w:p>
    <w:p w14:paraId="6B48DCD0">
      <w:pPr>
        <w:spacing w:line="240" w:lineRule="atLeast"/>
        <w:ind w:left="900" w:hanging="1050" w:hangingChars="375"/>
        <w:rPr>
          <w:rFonts w:hint="eastAsia" w:ascii="仿宋" w:hAnsi="仿宋" w:eastAsia="仿宋" w:cs="仿宋"/>
          <w:b/>
          <w:bCs/>
          <w:color w:val="auto"/>
          <w:sz w:val="28"/>
          <w:szCs w:val="28"/>
          <w:highlight w:val="none"/>
        </w:rPr>
      </w:pPr>
      <w:bookmarkStart w:id="145" w:name="_Ref467052588"/>
      <w:bookmarkStart w:id="146" w:name="_Toc10379"/>
      <w:bookmarkStart w:id="147" w:name="_Toc4601"/>
      <w:bookmarkStart w:id="148" w:name="_Toc516367023"/>
      <w:bookmarkStart w:id="149" w:name="_Toc520356153"/>
      <w:bookmarkStart w:id="150" w:name="_Toc515647769"/>
      <w:bookmarkStart w:id="151" w:name="_Toc13143"/>
      <w:r>
        <w:rPr>
          <w:rFonts w:hint="eastAsia" w:ascii="仿宋" w:hAnsi="仿宋" w:eastAsia="仿宋" w:cs="仿宋"/>
          <w:color w:val="auto"/>
          <w:sz w:val="28"/>
          <w:szCs w:val="28"/>
          <w:highlight w:val="none"/>
        </w:rPr>
        <w:t>9.1</w:t>
      </w:r>
      <w:bookmarkEnd w:id="145"/>
      <w:r>
        <w:rPr>
          <w:rFonts w:hint="eastAsia" w:ascii="仿宋" w:hAnsi="仿宋" w:eastAsia="仿宋" w:cs="仿宋"/>
          <w:color w:val="auto"/>
          <w:sz w:val="28"/>
          <w:szCs w:val="28"/>
          <w:highlight w:val="none"/>
        </w:rPr>
        <w:t xml:space="preserve">    </w:t>
      </w:r>
      <w:r>
        <w:rPr>
          <w:rFonts w:hint="eastAsia" w:ascii="仿宋" w:hAnsi="仿宋" w:eastAsia="仿宋" w:cs="仿宋"/>
          <w:b/>
          <w:bCs/>
          <w:color w:val="auto"/>
          <w:sz w:val="28"/>
          <w:szCs w:val="28"/>
          <w:highlight w:val="none"/>
        </w:rPr>
        <w:t>供应商应完整地按招标文件提供的投标文件格式及要求编写投标文件， 供应商须在投标截止时间前完成在新疆政采云平台https://www.zcygov.cn 系统</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政采云投标客户端上传</w:t>
      </w:r>
      <w:r>
        <w:rPr>
          <w:rFonts w:hint="eastAsia" w:ascii="仿宋" w:hAnsi="仿宋" w:eastAsia="仿宋" w:cs="仿宋"/>
          <w:b/>
          <w:bCs/>
          <w:color w:val="auto"/>
          <w:sz w:val="28"/>
          <w:szCs w:val="28"/>
          <w:highlight w:val="none"/>
        </w:rPr>
        <w:t>电子投标文件。供应商的电子投标文件是经过CA证书加密后上传提交的，任何单位或个人均无法在投标截止时间之前查看或篡改，不存在泄密风险。（严格按照政采云电子投标流程制作并上传电子响应文件）</w:t>
      </w:r>
    </w:p>
    <w:p w14:paraId="070D2C6E">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9.2</w:t>
      </w:r>
      <w:r>
        <w:rPr>
          <w:rFonts w:hint="eastAsia" w:ascii="仿宋" w:hAnsi="仿宋" w:eastAsia="仿宋" w:cs="仿宋"/>
          <w:b/>
          <w:bCs/>
          <w:color w:val="auto"/>
          <w:sz w:val="28"/>
          <w:szCs w:val="28"/>
          <w:highlight w:val="none"/>
        </w:rPr>
        <w:t xml:space="preserve">    逾期上传投标文件的、未按规定方式上传的电子响应文件，采购单位不予受理。</w:t>
      </w:r>
    </w:p>
    <w:p w14:paraId="45AAB789">
      <w:pPr>
        <w:pStyle w:val="6"/>
        <w:spacing w:before="0" w:after="0" w:line="240" w:lineRule="atLeast"/>
        <w:outlineLvl w:val="2"/>
        <w:rPr>
          <w:rFonts w:hint="eastAsia" w:ascii="仿宋" w:hAnsi="仿宋" w:eastAsia="仿宋" w:cs="仿宋"/>
          <w:color w:val="auto"/>
          <w:sz w:val="28"/>
          <w:szCs w:val="28"/>
          <w:highlight w:val="none"/>
          <w:u w:val="none"/>
        </w:rPr>
      </w:pPr>
      <w:bookmarkStart w:id="152" w:name="_Toc1118"/>
      <w:bookmarkStart w:id="153" w:name="_Toc26498"/>
      <w:bookmarkStart w:id="154" w:name="_Toc3415"/>
      <w:bookmarkStart w:id="155" w:name="_Toc18602"/>
      <w:bookmarkStart w:id="156" w:name="_Toc2829"/>
      <w:r>
        <w:rPr>
          <w:rFonts w:hint="eastAsia" w:ascii="仿宋" w:hAnsi="仿宋" w:eastAsia="仿宋" w:cs="仿宋"/>
          <w:color w:val="auto"/>
          <w:sz w:val="28"/>
          <w:szCs w:val="28"/>
          <w:highlight w:val="none"/>
          <w:u w:val="none"/>
        </w:rPr>
        <w:t>10.</w:t>
      </w:r>
      <w:r>
        <w:rPr>
          <w:rFonts w:hint="eastAsia" w:ascii="仿宋" w:hAnsi="仿宋" w:eastAsia="仿宋" w:cs="仿宋"/>
          <w:color w:val="auto"/>
          <w:sz w:val="28"/>
          <w:szCs w:val="28"/>
          <w:highlight w:val="none"/>
          <w:u w:val="none"/>
        </w:rPr>
        <w:tab/>
      </w:r>
      <w:r>
        <w:rPr>
          <w:rFonts w:hint="eastAsia" w:ascii="仿宋" w:hAnsi="仿宋" w:eastAsia="仿宋" w:cs="仿宋"/>
          <w:color w:val="auto"/>
          <w:sz w:val="28"/>
          <w:szCs w:val="28"/>
          <w:highlight w:val="none"/>
          <w:u w:val="none"/>
        </w:rPr>
        <w:t>证明投标标的的合格性和符合招标文件规定的技术文件</w:t>
      </w:r>
      <w:bookmarkEnd w:id="146"/>
      <w:bookmarkEnd w:id="147"/>
      <w:bookmarkEnd w:id="148"/>
      <w:bookmarkEnd w:id="149"/>
      <w:bookmarkEnd w:id="150"/>
      <w:bookmarkEnd w:id="151"/>
      <w:bookmarkEnd w:id="152"/>
      <w:bookmarkEnd w:id="153"/>
      <w:bookmarkEnd w:id="154"/>
      <w:bookmarkEnd w:id="155"/>
      <w:bookmarkEnd w:id="156"/>
    </w:p>
    <w:p w14:paraId="6197F793">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投标人应提交证明文件，证明其投标响应内容符合</w:t>
      </w:r>
      <w:r>
        <w:rPr>
          <w:rFonts w:hint="eastAsia" w:ascii="仿宋" w:hAnsi="仿宋" w:eastAsia="仿宋" w:cs="仿宋"/>
          <w:color w:val="auto"/>
          <w:sz w:val="28"/>
          <w:szCs w:val="28"/>
          <w:highlight w:val="none"/>
          <w:lang w:val="en-US" w:eastAsia="zh-CN"/>
        </w:rPr>
        <w:t>招标</w:t>
      </w:r>
      <w:r>
        <w:rPr>
          <w:rFonts w:hint="eastAsia" w:ascii="仿宋" w:hAnsi="仿宋" w:eastAsia="仿宋" w:cs="仿宋"/>
          <w:color w:val="auto"/>
          <w:sz w:val="28"/>
          <w:szCs w:val="28"/>
          <w:highlight w:val="none"/>
        </w:rPr>
        <w:t>文件规定，并在</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文件内提供一份不围标串标的承诺。该证明文件同不围标串标承诺均是响应文件的一部分。</w:t>
      </w:r>
    </w:p>
    <w:p w14:paraId="09493E5E">
      <w:pPr>
        <w:spacing w:line="240" w:lineRule="atLeast"/>
        <w:ind w:left="900" w:hanging="1050" w:hangingChars="375"/>
        <w:outlineLvl w:val="9"/>
        <w:rPr>
          <w:rFonts w:hint="eastAsia" w:ascii="仿宋" w:hAnsi="仿宋" w:eastAsia="仿宋" w:cs="仿宋"/>
          <w:color w:val="auto"/>
          <w:sz w:val="28"/>
          <w:szCs w:val="28"/>
          <w:highlight w:val="none"/>
        </w:rPr>
      </w:pPr>
      <w:bookmarkStart w:id="157" w:name="_Ref467306244"/>
      <w:bookmarkStart w:id="158" w:name="_Toc17241"/>
      <w:bookmarkStart w:id="159" w:name="_Toc22804"/>
      <w:bookmarkStart w:id="160" w:name="_Toc28361"/>
      <w:r>
        <w:rPr>
          <w:rFonts w:hint="eastAsia" w:ascii="仿宋" w:hAnsi="仿宋" w:eastAsia="仿宋" w:cs="仿宋"/>
          <w:color w:val="auto"/>
          <w:sz w:val="28"/>
          <w:szCs w:val="28"/>
          <w:highlight w:val="none"/>
        </w:rPr>
        <w:t>10.2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上款所述的证明文件，可以是文字资料、图纸和数据</w:t>
      </w:r>
      <w:bookmarkEnd w:id="157"/>
      <w:r>
        <w:rPr>
          <w:rFonts w:hint="eastAsia" w:ascii="仿宋" w:hAnsi="仿宋" w:eastAsia="仿宋" w:cs="仿宋"/>
          <w:color w:val="auto"/>
          <w:sz w:val="28"/>
          <w:szCs w:val="28"/>
          <w:highlight w:val="none"/>
        </w:rPr>
        <w:t>。</w:t>
      </w:r>
      <w:bookmarkEnd w:id="158"/>
      <w:bookmarkEnd w:id="159"/>
      <w:bookmarkEnd w:id="160"/>
    </w:p>
    <w:p w14:paraId="4B786032">
      <w:pPr>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10.3    </w:t>
      </w:r>
      <w:r>
        <w:rPr>
          <w:rFonts w:hint="eastAsia" w:ascii="仿宋" w:hAnsi="仿宋" w:eastAsia="仿宋" w:cs="仿宋"/>
          <w:b/>
          <w:bCs/>
          <w:color w:val="auto"/>
          <w:sz w:val="28"/>
          <w:szCs w:val="28"/>
          <w:highlight w:val="none"/>
        </w:rPr>
        <w:t>为了保证电子标书的合法性、安全性和完整性，电子响应文件转换完成后，应在规定区域加盖单位和法定代表人CA印章。电子响应文件若无CA电子签章，则视为投标无效</w:t>
      </w:r>
      <w:r>
        <w:rPr>
          <w:rFonts w:hint="eastAsia" w:ascii="仿宋" w:hAnsi="仿宋" w:eastAsia="仿宋" w:cs="仿宋"/>
          <w:color w:val="auto"/>
          <w:sz w:val="28"/>
          <w:szCs w:val="28"/>
          <w:highlight w:val="none"/>
        </w:rPr>
        <w:t>。</w:t>
      </w:r>
    </w:p>
    <w:p w14:paraId="47A7AB19">
      <w:pPr>
        <w:pStyle w:val="6"/>
        <w:spacing w:before="0" w:after="0" w:line="240" w:lineRule="atLeast"/>
        <w:outlineLvl w:val="2"/>
        <w:rPr>
          <w:rFonts w:hint="eastAsia" w:ascii="仿宋" w:hAnsi="仿宋" w:eastAsia="仿宋" w:cs="仿宋"/>
          <w:color w:val="auto"/>
          <w:sz w:val="28"/>
          <w:szCs w:val="28"/>
          <w:highlight w:val="none"/>
          <w:u w:val="none"/>
        </w:rPr>
      </w:pPr>
      <w:bookmarkStart w:id="161" w:name="_Toc515647770"/>
      <w:bookmarkStart w:id="162" w:name="_Toc23231"/>
      <w:bookmarkStart w:id="163" w:name="_Toc28569"/>
      <w:bookmarkStart w:id="164" w:name="_Toc520356155"/>
      <w:bookmarkStart w:id="165" w:name="_Toc19624"/>
      <w:bookmarkStart w:id="166" w:name="_Toc10232"/>
      <w:bookmarkStart w:id="167" w:name="_Toc24012"/>
      <w:bookmarkStart w:id="168" w:name="_Toc11342"/>
      <w:bookmarkStart w:id="169" w:name="_Toc2248"/>
      <w:bookmarkStart w:id="170" w:name="_Toc14443"/>
      <w:r>
        <w:rPr>
          <w:rFonts w:hint="eastAsia" w:ascii="仿宋" w:hAnsi="仿宋" w:eastAsia="仿宋" w:cs="仿宋"/>
          <w:color w:val="auto"/>
          <w:sz w:val="28"/>
          <w:szCs w:val="28"/>
          <w:highlight w:val="none"/>
          <w:u w:val="none"/>
        </w:rPr>
        <w:t>11.投标报价</w:t>
      </w:r>
      <w:bookmarkEnd w:id="161"/>
      <w:bookmarkEnd w:id="162"/>
      <w:bookmarkEnd w:id="163"/>
      <w:bookmarkEnd w:id="164"/>
      <w:bookmarkEnd w:id="165"/>
      <w:bookmarkEnd w:id="166"/>
      <w:bookmarkEnd w:id="167"/>
      <w:bookmarkEnd w:id="168"/>
      <w:bookmarkEnd w:id="169"/>
      <w:bookmarkEnd w:id="170"/>
    </w:p>
    <w:p w14:paraId="7E3DC123">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所有投标均以人民币报价。投标人的投标报价应遵守《中华人民共和国价格法》。同时，根据《中华人民共和国政府采购法》第二条的规定，为保证公平竞争，如有货物主体部分的赠与行为，其投标将被认定为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3020EAB9">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投标人应在投标分项报价表上标明投标货物及相关服务的单价（如适用）和总价，并由法定代表人或其授权代表签署。</w:t>
      </w:r>
    </w:p>
    <w:p w14:paraId="1767B1A4">
      <w:pPr>
        <w:spacing w:line="240" w:lineRule="atLeast"/>
        <w:ind w:left="900" w:hanging="1050" w:hangingChars="375"/>
        <w:outlineLvl w:val="9"/>
        <w:rPr>
          <w:rFonts w:hint="eastAsia" w:ascii="仿宋" w:hAnsi="仿宋" w:eastAsia="仿宋" w:cs="仿宋"/>
          <w:color w:val="auto"/>
          <w:sz w:val="28"/>
          <w:szCs w:val="28"/>
          <w:highlight w:val="none"/>
        </w:rPr>
      </w:pPr>
      <w:bookmarkStart w:id="171" w:name="_Toc8270"/>
      <w:r>
        <w:rPr>
          <w:rFonts w:hint="eastAsia" w:ascii="仿宋" w:hAnsi="仿宋" w:eastAsia="仿宋" w:cs="仿宋"/>
          <w:color w:val="auto"/>
          <w:sz w:val="28"/>
          <w:szCs w:val="28"/>
          <w:highlight w:val="none"/>
        </w:rPr>
        <w:t>11.3</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投标分项报价表上的价格应按下列方式填写：</w:t>
      </w:r>
      <w:bookmarkEnd w:id="171"/>
    </w:p>
    <w:p w14:paraId="09067D90">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11.3.1  投标货物（包括备品备件、专用工具等）的出厂价（包括已在中国国内的货物完税后的仓库交货价、展室交货价或货架交货价），投标货物安装、调试、检验、技术服务和培训等费用；</w:t>
      </w:r>
    </w:p>
    <w:p w14:paraId="3F7B95E4">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11.3.2  货物运至最终目的地的运输费和保险费用。</w:t>
      </w:r>
    </w:p>
    <w:p w14:paraId="3FE5637A">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11.4</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投标人所报的各分项投标单价在合同履行过程中是固定不变的，不得以任何理由予以变更。任何包含价格调整要求的投标，其投标将被认定为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310203F3">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11.5</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每种货物只能有一个投标报价。采购人不接受具有附加条件的报价。</w:t>
      </w:r>
    </w:p>
    <w:p w14:paraId="4A65CBD2">
      <w:pPr>
        <w:pStyle w:val="6"/>
        <w:spacing w:before="0" w:after="0" w:line="240" w:lineRule="atLeast"/>
        <w:outlineLvl w:val="2"/>
        <w:rPr>
          <w:rFonts w:hint="eastAsia" w:ascii="仿宋" w:hAnsi="仿宋" w:eastAsia="仿宋" w:cs="仿宋"/>
          <w:color w:val="auto"/>
          <w:sz w:val="28"/>
          <w:szCs w:val="28"/>
          <w:highlight w:val="none"/>
          <w:u w:val="none"/>
        </w:rPr>
      </w:pPr>
      <w:bookmarkStart w:id="172" w:name="_Toc22212"/>
      <w:bookmarkStart w:id="173" w:name="_Toc5271"/>
      <w:bookmarkStart w:id="174" w:name="_Toc9664"/>
      <w:bookmarkStart w:id="175" w:name="_Ref467306513"/>
      <w:bookmarkStart w:id="176" w:name="_Toc7396"/>
      <w:bookmarkStart w:id="177" w:name="_Toc28074"/>
      <w:bookmarkStart w:id="178" w:name="_Toc515647771"/>
      <w:bookmarkStart w:id="179" w:name="_Toc3890"/>
      <w:bookmarkStart w:id="180" w:name="_Toc520356156"/>
      <w:bookmarkStart w:id="181" w:name="_Toc11514"/>
      <w:bookmarkStart w:id="182" w:name="_Toc17788"/>
      <w:r>
        <w:rPr>
          <w:rFonts w:hint="eastAsia" w:ascii="仿宋" w:hAnsi="仿宋" w:eastAsia="仿宋" w:cs="仿宋"/>
          <w:color w:val="auto"/>
          <w:sz w:val="28"/>
          <w:szCs w:val="28"/>
          <w:highlight w:val="none"/>
          <w:u w:val="none"/>
        </w:rPr>
        <w:t>12.投标保证金</w:t>
      </w:r>
      <w:bookmarkEnd w:id="172"/>
      <w:bookmarkEnd w:id="173"/>
      <w:bookmarkEnd w:id="174"/>
      <w:bookmarkEnd w:id="175"/>
      <w:bookmarkEnd w:id="176"/>
      <w:bookmarkEnd w:id="177"/>
      <w:bookmarkEnd w:id="178"/>
      <w:bookmarkEnd w:id="179"/>
      <w:bookmarkEnd w:id="180"/>
      <w:bookmarkEnd w:id="181"/>
      <w:bookmarkEnd w:id="182"/>
    </w:p>
    <w:p w14:paraId="61BABACE">
      <w:pPr>
        <w:spacing w:line="240" w:lineRule="atLeast"/>
        <w:ind w:left="900" w:hanging="1050" w:hangingChars="375"/>
        <w:rPr>
          <w:rFonts w:hint="eastAsia" w:ascii="仿宋" w:hAnsi="仿宋" w:eastAsia="仿宋" w:cs="仿宋"/>
          <w:color w:val="auto"/>
          <w:sz w:val="28"/>
          <w:szCs w:val="28"/>
          <w:highlight w:val="none"/>
        </w:rPr>
      </w:pPr>
      <w:bookmarkStart w:id="183" w:name="_Ref467306302"/>
      <w:r>
        <w:rPr>
          <w:rFonts w:hint="eastAsia" w:ascii="仿宋" w:hAnsi="仿宋" w:eastAsia="仿宋" w:cs="仿宋"/>
          <w:color w:val="auto"/>
          <w:sz w:val="28"/>
          <w:szCs w:val="28"/>
          <w:highlight w:val="none"/>
        </w:rPr>
        <w:t>12.1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投标人应提交</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中规定的投标保证金</w:t>
      </w:r>
      <w:bookmarkEnd w:id="183"/>
      <w:r>
        <w:rPr>
          <w:rFonts w:hint="eastAsia" w:ascii="仿宋" w:hAnsi="仿宋" w:eastAsia="仿宋" w:cs="仿宋"/>
          <w:color w:val="auto"/>
          <w:sz w:val="28"/>
          <w:szCs w:val="28"/>
          <w:highlight w:val="none"/>
        </w:rPr>
        <w:t>，并作为其投标的一部分。</w:t>
      </w:r>
    </w:p>
    <w:p w14:paraId="415231D0">
      <w:pPr>
        <w:spacing w:line="240" w:lineRule="atLeast"/>
        <w:ind w:left="900" w:hanging="1050" w:hangingChars="375"/>
        <w:outlineLvl w:val="9"/>
        <w:rPr>
          <w:rFonts w:hint="eastAsia" w:ascii="仿宋" w:hAnsi="仿宋" w:eastAsia="仿宋" w:cs="仿宋"/>
          <w:color w:val="auto"/>
          <w:sz w:val="28"/>
          <w:szCs w:val="28"/>
          <w:highlight w:val="none"/>
        </w:rPr>
      </w:pPr>
      <w:bookmarkStart w:id="184" w:name="_Toc12331"/>
      <w:r>
        <w:rPr>
          <w:rFonts w:hint="eastAsia" w:ascii="仿宋" w:hAnsi="仿宋" w:eastAsia="仿宋" w:cs="仿宋"/>
          <w:color w:val="auto"/>
          <w:sz w:val="28"/>
          <w:szCs w:val="28"/>
          <w:highlight w:val="none"/>
        </w:rPr>
        <w:t>12.2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投标人存在下列情形的，投标保证金不予退还：</w:t>
      </w:r>
      <w:bookmarkEnd w:id="184"/>
    </w:p>
    <w:p w14:paraId="0212AC52">
      <w:pPr>
        <w:pStyle w:val="11"/>
        <w:tabs>
          <w:tab w:val="left" w:pos="2240"/>
        </w:tabs>
        <w:spacing w:line="240" w:lineRule="atLeast"/>
        <w:ind w:left="1129" w:leftChars="371" w:hanging="350" w:hangingChars="1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（1）在投标有效期内，撤销投标的；</w:t>
      </w:r>
    </w:p>
    <w:p w14:paraId="6E742E1C">
      <w:pPr>
        <w:pStyle w:val="11"/>
        <w:tabs>
          <w:tab w:val="left" w:pos="2240"/>
        </w:tabs>
        <w:spacing w:line="240" w:lineRule="atLeast"/>
        <w:ind w:left="1129" w:leftChars="371" w:hanging="350" w:hangingChars="1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（2）中标后不按本须知第30条的规定与采购人签订合同的；</w:t>
      </w:r>
    </w:p>
    <w:p w14:paraId="7AA7065D">
      <w:pPr>
        <w:pStyle w:val="11"/>
        <w:tabs>
          <w:tab w:val="left" w:pos="2240"/>
        </w:tabs>
        <w:spacing w:line="240" w:lineRule="atLeast"/>
        <w:ind w:left="1129" w:leftChars="371" w:hanging="350" w:hangingChars="1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（3）中标后不按本须知第31条的规定提交履约保证金的；</w:t>
      </w:r>
    </w:p>
    <w:p w14:paraId="5610C2FD">
      <w:pPr>
        <w:pStyle w:val="11"/>
        <w:tabs>
          <w:tab w:val="left" w:pos="2240"/>
        </w:tabs>
        <w:spacing w:line="240" w:lineRule="atLeast"/>
        <w:ind w:left="1129" w:leftChars="371" w:hanging="350" w:hangingChars="1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（4）存在其他违法违规行为的。</w:t>
      </w:r>
    </w:p>
    <w:p w14:paraId="3F0D70F1">
      <w:pPr>
        <w:spacing w:line="240" w:lineRule="atLeast"/>
        <w:ind w:left="900" w:hanging="1050" w:hangingChars="375"/>
        <w:outlineLvl w:val="9"/>
        <w:rPr>
          <w:rFonts w:hint="eastAsia" w:ascii="仿宋" w:hAnsi="仿宋" w:eastAsia="仿宋" w:cs="仿宋"/>
          <w:color w:val="auto"/>
          <w:sz w:val="28"/>
          <w:szCs w:val="28"/>
          <w:highlight w:val="none"/>
        </w:rPr>
      </w:pPr>
      <w:bookmarkStart w:id="185" w:name="_Ref467306336"/>
      <w:r>
        <w:rPr>
          <w:rFonts w:hint="eastAsia" w:ascii="仿宋" w:hAnsi="仿宋" w:eastAsia="仿宋" w:cs="仿宋"/>
          <w:color w:val="auto"/>
          <w:sz w:val="28"/>
          <w:szCs w:val="28"/>
          <w:highlight w:val="none"/>
        </w:rPr>
        <w:t>12.3</w:t>
      </w:r>
      <w:r>
        <w:rPr>
          <w:rFonts w:hint="eastAsia" w:ascii="仿宋" w:hAnsi="仿宋" w:eastAsia="仿宋" w:cs="仿宋"/>
          <w:color w:val="auto"/>
          <w:sz w:val="28"/>
          <w:szCs w:val="28"/>
          <w:highlight w:val="none"/>
        </w:rPr>
        <w:tab/>
      </w:r>
      <w:bookmarkEnd w:id="185"/>
      <w:r>
        <w:rPr>
          <w:rFonts w:hint="eastAsia" w:ascii="仿宋" w:hAnsi="仿宋" w:eastAsia="仿宋" w:cs="仿宋"/>
          <w:color w:val="auto"/>
          <w:sz w:val="28"/>
          <w:szCs w:val="28"/>
          <w:highlight w:val="none"/>
        </w:rPr>
        <w:t>政府采购信用担保试点范围内的项目，接受符合财政部门规定的政府采购投标担保函原件。</w:t>
      </w:r>
    </w:p>
    <w:p w14:paraId="4387A19C">
      <w:pPr>
        <w:spacing w:line="240" w:lineRule="atLeast"/>
        <w:ind w:left="900" w:hanging="1050" w:hangingChars="3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12.4</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投标人未按本须知第12.1和12.3条规定提交投标保证金的，其投标将被认定为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3DD41932">
      <w:pPr>
        <w:spacing w:line="240" w:lineRule="atLeast"/>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12.4.1  采用电汇形式的，一般可以实时入账。</w:t>
      </w:r>
    </w:p>
    <w:p w14:paraId="2811CF15">
      <w:pPr>
        <w:spacing w:line="240" w:lineRule="atLeast"/>
        <w:ind w:left="960" w:hanging="1120" w:hangingChars="400"/>
        <w:jc w:val="left"/>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12.4.2  采用支票形式的，投标人则应充分考虑支票入账时间，以确保投标保证金能按时进入指定账户。根据银行信息交换和付款时间，支票从递交至实际入账一般需要4-5个工作日。如投标人未及时提交支票或支票不符合银行委托收款要求（如污损、折叠、胶装等），导致投标保证金不能按时进入指定账户的，将按照招标文件的第22.2条相关规定处理。</w:t>
      </w:r>
    </w:p>
    <w:p w14:paraId="7DB330E7">
      <w:pPr>
        <w:spacing w:line="240" w:lineRule="atLeast"/>
        <w:ind w:left="900" w:hanging="1050" w:hangingChars="3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12.5   联合体投标的，可以由联合体中的一方或者共同提交投标保证金。以一方名义提交投标保证金的，对联合体各方均具有约束力。</w:t>
      </w:r>
    </w:p>
    <w:p w14:paraId="12BAD1EF">
      <w:pPr>
        <w:spacing w:line="240" w:lineRule="atLeast"/>
        <w:ind w:left="900" w:hanging="1050" w:hangingChars="375"/>
        <w:outlineLvl w:val="9"/>
        <w:rPr>
          <w:rFonts w:hint="eastAsia" w:ascii="仿宋" w:hAnsi="仿宋" w:eastAsia="仿宋" w:cs="仿宋"/>
          <w:color w:val="auto"/>
          <w:sz w:val="28"/>
          <w:szCs w:val="28"/>
          <w:highlight w:val="none"/>
        </w:rPr>
      </w:pPr>
      <w:bookmarkStart w:id="186" w:name="_Toc29255"/>
      <w:r>
        <w:rPr>
          <w:rFonts w:hint="eastAsia" w:ascii="仿宋" w:hAnsi="仿宋" w:eastAsia="仿宋" w:cs="仿宋"/>
          <w:color w:val="auto"/>
          <w:sz w:val="28"/>
          <w:szCs w:val="28"/>
          <w:highlight w:val="none"/>
        </w:rPr>
        <w:t>12.6</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投标保证金的退还</w:t>
      </w:r>
      <w:bookmarkEnd w:id="186"/>
    </w:p>
    <w:p w14:paraId="07751784">
      <w:pPr>
        <w:spacing w:line="240" w:lineRule="atLeast"/>
        <w:ind w:left="900" w:hanging="1050" w:hangingChars="3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12.6.1  中标人应在与采购人签订合同之日起5个工作日内，及时联系保证金收受机构办理投标保证金无息退还手续。</w:t>
      </w:r>
    </w:p>
    <w:p w14:paraId="638AC17A">
      <w:pPr>
        <w:spacing w:line="240" w:lineRule="atLeast"/>
        <w:ind w:left="960" w:hanging="1120" w:hangingChars="4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12.6.2  未中标投标人的投标保证金将在中标通知书发出之日暨中标结果公告公布之日起5个工作日内无息退还。投标人应及时联系保证金收受机构办理退还投标保证金手续。</w:t>
      </w:r>
    </w:p>
    <w:p w14:paraId="17695E8E">
      <w:pPr>
        <w:spacing w:line="240" w:lineRule="atLeas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12.6.3  政府采购投标担保函不予退回。</w:t>
      </w:r>
    </w:p>
    <w:p w14:paraId="3CF9CD56">
      <w:pPr>
        <w:spacing w:line="240" w:lineRule="atLeast"/>
        <w:ind w:left="960" w:hanging="1120" w:hangingChars="4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12.7    因投标人自身原因导致无法及时退还的，采购人或采购代理机构将不承担相应责任。</w:t>
      </w:r>
    </w:p>
    <w:p w14:paraId="65233DD5">
      <w:pPr>
        <w:pStyle w:val="6"/>
        <w:spacing w:before="0" w:after="0" w:line="240" w:lineRule="atLeast"/>
        <w:outlineLvl w:val="2"/>
        <w:rPr>
          <w:rFonts w:hint="eastAsia" w:ascii="仿宋" w:hAnsi="仿宋" w:eastAsia="仿宋" w:cs="仿宋"/>
          <w:color w:val="auto"/>
          <w:sz w:val="28"/>
          <w:szCs w:val="28"/>
          <w:highlight w:val="none"/>
          <w:u w:val="none"/>
        </w:rPr>
      </w:pPr>
      <w:bookmarkStart w:id="187" w:name="_Toc30748"/>
      <w:bookmarkStart w:id="188" w:name="_Toc32569"/>
      <w:bookmarkStart w:id="189" w:name="_Toc515647772"/>
      <w:bookmarkStart w:id="190" w:name="_Toc29994"/>
      <w:bookmarkStart w:id="191" w:name="_Toc13067"/>
      <w:bookmarkStart w:id="192" w:name="_Toc520356157"/>
      <w:bookmarkStart w:id="193" w:name="_Toc22901"/>
      <w:bookmarkStart w:id="194" w:name="_Toc17487"/>
      <w:bookmarkStart w:id="195" w:name="_Toc19875"/>
      <w:r>
        <w:rPr>
          <w:rFonts w:hint="eastAsia" w:ascii="仿宋" w:hAnsi="仿宋" w:eastAsia="仿宋" w:cs="仿宋"/>
          <w:color w:val="auto"/>
          <w:sz w:val="28"/>
          <w:szCs w:val="28"/>
          <w:highlight w:val="none"/>
          <w:u w:val="none"/>
        </w:rPr>
        <w:t>13.投标有效期</w:t>
      </w:r>
      <w:bookmarkEnd w:id="187"/>
      <w:bookmarkEnd w:id="188"/>
      <w:bookmarkEnd w:id="189"/>
      <w:bookmarkEnd w:id="190"/>
      <w:bookmarkEnd w:id="191"/>
      <w:bookmarkEnd w:id="192"/>
      <w:bookmarkEnd w:id="193"/>
      <w:bookmarkEnd w:id="194"/>
      <w:bookmarkEnd w:id="195"/>
    </w:p>
    <w:p w14:paraId="0D799F4D">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投标应在</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中规定时间内保持有效。投标有效期不满足要求的投标，其投标将被认定为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16D42431">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为保证有充分时间签订合同，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14:paraId="3183E0BA">
      <w:pPr>
        <w:pStyle w:val="6"/>
        <w:spacing w:before="0" w:after="0" w:line="240" w:lineRule="atLeast"/>
        <w:outlineLvl w:val="2"/>
        <w:rPr>
          <w:rFonts w:hint="eastAsia" w:ascii="仿宋" w:hAnsi="仿宋" w:eastAsia="仿宋" w:cs="仿宋"/>
          <w:color w:val="auto"/>
          <w:sz w:val="28"/>
          <w:szCs w:val="28"/>
          <w:highlight w:val="none"/>
          <w:u w:val="none"/>
        </w:rPr>
      </w:pPr>
      <w:bookmarkStart w:id="196" w:name="_Toc520356158"/>
      <w:bookmarkStart w:id="197" w:name="_Toc18548"/>
      <w:bookmarkStart w:id="198" w:name="_Toc493"/>
      <w:bookmarkStart w:id="199" w:name="_Toc19852"/>
      <w:bookmarkStart w:id="200" w:name="_Toc17609"/>
      <w:bookmarkStart w:id="201" w:name="_Toc17074"/>
      <w:bookmarkStart w:id="202" w:name="_Toc2719"/>
      <w:bookmarkStart w:id="203" w:name="_Toc14566"/>
      <w:bookmarkStart w:id="204" w:name="_Toc64"/>
      <w:bookmarkStart w:id="205" w:name="_Toc515647773"/>
      <w:r>
        <w:rPr>
          <w:rFonts w:hint="eastAsia" w:ascii="仿宋" w:hAnsi="仿宋" w:eastAsia="仿宋" w:cs="仿宋"/>
          <w:color w:val="auto"/>
          <w:sz w:val="28"/>
          <w:szCs w:val="28"/>
          <w:highlight w:val="none"/>
          <w:u w:val="none"/>
        </w:rPr>
        <w:t>14.投标文件的签署</w:t>
      </w:r>
      <w:bookmarkEnd w:id="196"/>
      <w:r>
        <w:rPr>
          <w:rFonts w:hint="eastAsia" w:ascii="仿宋" w:hAnsi="仿宋" w:eastAsia="仿宋" w:cs="仿宋"/>
          <w:color w:val="auto"/>
          <w:sz w:val="28"/>
          <w:szCs w:val="28"/>
          <w:highlight w:val="none"/>
          <w:u w:val="none"/>
        </w:rPr>
        <w:t>及规定</w:t>
      </w:r>
      <w:bookmarkEnd w:id="197"/>
      <w:bookmarkEnd w:id="198"/>
      <w:bookmarkEnd w:id="199"/>
      <w:bookmarkEnd w:id="200"/>
      <w:bookmarkEnd w:id="201"/>
      <w:bookmarkEnd w:id="202"/>
      <w:bookmarkEnd w:id="203"/>
      <w:bookmarkEnd w:id="204"/>
      <w:bookmarkEnd w:id="205"/>
    </w:p>
    <w:p w14:paraId="55882C90">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14.1</w:t>
      </w:r>
      <w:r>
        <w:rPr>
          <w:rFonts w:hint="eastAsia" w:ascii="仿宋" w:hAnsi="仿宋" w:eastAsia="仿宋" w:cs="仿宋"/>
          <w:color w:val="auto"/>
          <w:sz w:val="28"/>
          <w:szCs w:val="28"/>
          <w:highlight w:val="none"/>
        </w:rPr>
        <w:tab/>
      </w:r>
      <w:r>
        <w:rPr>
          <w:rFonts w:hint="eastAsia" w:ascii="仿宋" w:hAnsi="仿宋" w:eastAsia="仿宋" w:cs="仿宋"/>
          <w:b/>
          <w:bCs/>
          <w:color w:val="auto"/>
          <w:sz w:val="28"/>
          <w:szCs w:val="28"/>
          <w:highlight w:val="none"/>
        </w:rPr>
        <w:t>为了保证电子标书的合法性、安全性和完整性，电子响应文件转换完成后，应在规定区域加盖单位和法定代表人CA印章。电子响应文件若无CA电子签章，则视为投标无效</w:t>
      </w:r>
      <w:r>
        <w:rPr>
          <w:rFonts w:hint="eastAsia" w:ascii="仿宋" w:hAnsi="仿宋" w:eastAsia="仿宋" w:cs="仿宋"/>
          <w:color w:val="auto"/>
          <w:sz w:val="28"/>
          <w:szCs w:val="28"/>
          <w:highlight w:val="none"/>
        </w:rPr>
        <w:t>。</w:t>
      </w:r>
    </w:p>
    <w:p w14:paraId="4D341A2C">
      <w:pPr>
        <w:spacing w:line="240" w:lineRule="atLeast"/>
        <w:ind w:left="900" w:hanging="1050" w:hangingChars="375"/>
        <w:rPr>
          <w:rFonts w:hint="eastAsia" w:ascii="仿宋" w:hAnsi="仿宋" w:eastAsia="仿宋" w:cs="仿宋"/>
          <w:color w:val="auto"/>
          <w:sz w:val="28"/>
          <w:szCs w:val="28"/>
          <w:highlight w:val="none"/>
        </w:rPr>
      </w:pPr>
    </w:p>
    <w:p w14:paraId="2784EBAF">
      <w:pPr>
        <w:pStyle w:val="3"/>
        <w:spacing w:before="0" w:line="240" w:lineRule="atLeast"/>
        <w:ind w:left="1079" w:leftChars="257" w:hanging="540"/>
        <w:outlineLvl w:val="1"/>
        <w:rPr>
          <w:rFonts w:hint="eastAsia" w:ascii="仿宋" w:hAnsi="仿宋" w:eastAsia="仿宋" w:cs="仿宋"/>
          <w:color w:val="auto"/>
          <w:sz w:val="32"/>
          <w:szCs w:val="32"/>
          <w:highlight w:val="none"/>
        </w:rPr>
      </w:pPr>
      <w:bookmarkStart w:id="206" w:name="_Toc15783"/>
      <w:bookmarkStart w:id="207" w:name="_Toc515647774"/>
      <w:bookmarkStart w:id="208" w:name="_Toc11179"/>
      <w:bookmarkStart w:id="209" w:name="_Toc25925"/>
      <w:bookmarkStart w:id="210" w:name="_Toc17950"/>
      <w:bookmarkStart w:id="211" w:name="_Toc16865"/>
      <w:bookmarkStart w:id="212" w:name="_Toc30354"/>
      <w:bookmarkStart w:id="213" w:name="_Toc216582808"/>
      <w:bookmarkStart w:id="214" w:name="_Toc520356159"/>
      <w:r>
        <w:rPr>
          <w:rFonts w:hint="eastAsia" w:ascii="仿宋" w:hAnsi="仿宋" w:eastAsia="仿宋" w:cs="仿宋"/>
          <w:color w:val="auto"/>
          <w:sz w:val="32"/>
          <w:szCs w:val="32"/>
          <w:highlight w:val="none"/>
        </w:rPr>
        <w:t>四</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 xml:space="preserve"> 投标文件的递交</w:t>
      </w:r>
      <w:bookmarkEnd w:id="206"/>
      <w:bookmarkEnd w:id="207"/>
      <w:bookmarkEnd w:id="208"/>
      <w:bookmarkEnd w:id="209"/>
      <w:bookmarkEnd w:id="210"/>
      <w:bookmarkEnd w:id="211"/>
      <w:bookmarkEnd w:id="212"/>
      <w:bookmarkEnd w:id="213"/>
      <w:bookmarkEnd w:id="214"/>
    </w:p>
    <w:p w14:paraId="1BB6CC5B">
      <w:pPr>
        <w:pStyle w:val="6"/>
        <w:spacing w:before="0" w:after="0" w:line="240" w:lineRule="atLeast"/>
        <w:outlineLvl w:val="2"/>
        <w:rPr>
          <w:rFonts w:hint="eastAsia" w:ascii="仿宋" w:hAnsi="仿宋" w:eastAsia="仿宋" w:cs="仿宋"/>
          <w:color w:val="auto"/>
          <w:sz w:val="28"/>
          <w:szCs w:val="28"/>
          <w:highlight w:val="none"/>
          <w:u w:val="none"/>
        </w:rPr>
      </w:pPr>
      <w:bookmarkStart w:id="215" w:name="_Toc10594"/>
      <w:bookmarkStart w:id="216" w:name="_Toc32337"/>
      <w:bookmarkStart w:id="217" w:name="_Toc515647775"/>
      <w:bookmarkStart w:id="218" w:name="_Toc520356160"/>
      <w:bookmarkStart w:id="219" w:name="_Toc6343"/>
      <w:bookmarkStart w:id="220" w:name="_Toc21645"/>
      <w:bookmarkStart w:id="221" w:name="_Toc16176"/>
      <w:bookmarkStart w:id="222" w:name="_Toc5750"/>
      <w:bookmarkStart w:id="223" w:name="_Toc26195"/>
      <w:bookmarkStart w:id="224" w:name="_Toc25399"/>
      <w:r>
        <w:rPr>
          <w:rFonts w:hint="eastAsia" w:ascii="仿宋" w:hAnsi="仿宋" w:eastAsia="仿宋" w:cs="仿宋"/>
          <w:color w:val="auto"/>
          <w:sz w:val="28"/>
          <w:szCs w:val="28"/>
          <w:highlight w:val="none"/>
          <w:u w:val="none"/>
        </w:rPr>
        <w:t>15.投标文件的密封和标记</w:t>
      </w:r>
      <w:bookmarkEnd w:id="215"/>
      <w:bookmarkEnd w:id="216"/>
      <w:bookmarkEnd w:id="217"/>
      <w:bookmarkEnd w:id="218"/>
      <w:bookmarkEnd w:id="219"/>
      <w:bookmarkEnd w:id="220"/>
      <w:bookmarkEnd w:id="221"/>
      <w:bookmarkEnd w:id="222"/>
      <w:bookmarkEnd w:id="223"/>
      <w:bookmarkEnd w:id="224"/>
    </w:p>
    <w:p w14:paraId="090060C9">
      <w:pPr>
        <w:tabs>
          <w:tab w:val="left" w:pos="-200"/>
          <w:tab w:val="left" w:pos="5580"/>
        </w:tabs>
        <w:spacing w:line="240" w:lineRule="atLeast"/>
        <w:ind w:left="960" w:hanging="1120" w:hangingChars="400"/>
        <w:jc w:val="left"/>
        <w:rPr>
          <w:rFonts w:hint="eastAsia" w:ascii="仿宋" w:hAnsi="仿宋" w:eastAsia="仿宋" w:cs="仿宋"/>
          <w:b/>
          <w:bCs/>
          <w:color w:val="auto"/>
          <w:sz w:val="28"/>
          <w:szCs w:val="28"/>
          <w:highlight w:val="none"/>
          <w:u w:val="single"/>
        </w:rPr>
      </w:pPr>
      <w:r>
        <w:rPr>
          <w:rFonts w:hint="eastAsia" w:ascii="仿宋" w:hAnsi="仿宋" w:eastAsia="仿宋" w:cs="仿宋"/>
          <w:color w:val="auto"/>
          <w:sz w:val="28"/>
          <w:szCs w:val="28"/>
          <w:highlight w:val="none"/>
        </w:rPr>
        <w:t xml:space="preserve">15.1    </w:t>
      </w:r>
      <w:r>
        <w:rPr>
          <w:rFonts w:hint="eastAsia" w:ascii="仿宋" w:hAnsi="仿宋" w:eastAsia="仿宋" w:cs="仿宋"/>
          <w:b/>
          <w:bCs/>
          <w:color w:val="auto"/>
          <w:sz w:val="28"/>
          <w:szCs w:val="28"/>
          <w:highlight w:val="none"/>
        </w:rPr>
        <w:t>供应商应完整地按招标文件提供的投标文件格式及要求编写投标文件， 供应商须在投标截止时间前完成在新疆政采云平台https://www.zcygov.cn 系统</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政采云投标客户端上传</w:t>
      </w:r>
      <w:r>
        <w:rPr>
          <w:rFonts w:hint="eastAsia" w:ascii="仿宋" w:hAnsi="仿宋" w:eastAsia="仿宋" w:cs="仿宋"/>
          <w:b/>
          <w:bCs/>
          <w:color w:val="auto"/>
          <w:sz w:val="28"/>
          <w:szCs w:val="28"/>
          <w:highlight w:val="none"/>
        </w:rPr>
        <w:t>电子投标文件。供应商的电子投标文件是经过CA证书加密后上传提交的，任何单位或个人均无法在投标截止时间之前查看或篡改，不存在泄密风险。（严格按照政采云电子投标流程制作并上传电子响应文件）</w:t>
      </w:r>
    </w:p>
    <w:p w14:paraId="1D312149">
      <w:pPr>
        <w:spacing w:line="240" w:lineRule="atLeast"/>
        <w:ind w:left="960" w:hanging="1120" w:hangingChars="400"/>
        <w:rPr>
          <w:rFonts w:hint="eastAsia" w:ascii="仿宋" w:hAnsi="仿宋" w:eastAsia="仿宋" w:cs="仿宋"/>
          <w:color w:val="auto"/>
          <w:sz w:val="28"/>
          <w:szCs w:val="28"/>
          <w:highlight w:val="none"/>
        </w:rPr>
      </w:pPr>
      <w:bookmarkStart w:id="225" w:name="_Toc28106"/>
      <w:r>
        <w:rPr>
          <w:rFonts w:hint="eastAsia" w:ascii="仿宋" w:hAnsi="仿宋" w:eastAsia="仿宋" w:cs="仿宋"/>
          <w:color w:val="auto"/>
          <w:sz w:val="28"/>
          <w:szCs w:val="28"/>
          <w:highlight w:val="none"/>
        </w:rPr>
        <w:t xml:space="preserve">15.2   </w:t>
      </w:r>
      <w:bookmarkEnd w:id="225"/>
      <w:r>
        <w:rPr>
          <w:rFonts w:hint="eastAsia" w:ascii="仿宋" w:hAnsi="仿宋" w:eastAsia="仿宋" w:cs="仿宋"/>
          <w:color w:val="auto"/>
          <w:sz w:val="28"/>
          <w:szCs w:val="28"/>
          <w:highlight w:val="none"/>
        </w:rPr>
        <w:t>供应商因自身原因导致电子投标文件无法导入电子评标系统的，该响应文件视为</w:t>
      </w:r>
      <w:r>
        <w:rPr>
          <w:rFonts w:hint="eastAsia" w:ascii="仿宋" w:hAnsi="仿宋" w:eastAsia="仿宋" w:cs="仿宋"/>
          <w:b/>
          <w:bCs/>
          <w:color w:val="auto"/>
          <w:sz w:val="28"/>
          <w:szCs w:val="28"/>
          <w:highlight w:val="none"/>
        </w:rPr>
        <w:t>无效文件</w:t>
      </w:r>
      <w:r>
        <w:rPr>
          <w:rFonts w:hint="eastAsia" w:ascii="仿宋" w:hAnsi="仿宋" w:eastAsia="仿宋" w:cs="仿宋"/>
          <w:color w:val="auto"/>
          <w:sz w:val="28"/>
          <w:szCs w:val="28"/>
          <w:highlight w:val="none"/>
        </w:rPr>
        <w:t>。</w:t>
      </w:r>
    </w:p>
    <w:p w14:paraId="4D27BD6F">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15.3    电子投标文件具有法律效力,与其他形式的响应文件在内容和格式上等同，若投标文件与招标文件要求不一致，其内容影响成交结果时，责任由供应商自行承担。</w:t>
      </w:r>
    </w:p>
    <w:p w14:paraId="26F25539">
      <w:pPr>
        <w:pStyle w:val="6"/>
        <w:spacing w:before="0" w:after="0" w:line="240" w:lineRule="atLeast"/>
        <w:outlineLvl w:val="2"/>
        <w:rPr>
          <w:rFonts w:hint="eastAsia" w:ascii="仿宋" w:hAnsi="仿宋" w:eastAsia="仿宋" w:cs="仿宋"/>
          <w:color w:val="auto"/>
          <w:sz w:val="28"/>
          <w:szCs w:val="28"/>
          <w:highlight w:val="none"/>
          <w:u w:val="none"/>
        </w:rPr>
      </w:pPr>
      <w:bookmarkStart w:id="226" w:name="_Toc9596"/>
      <w:bookmarkStart w:id="227" w:name="_Toc18746"/>
      <w:bookmarkStart w:id="228" w:name="_Toc24017"/>
      <w:bookmarkStart w:id="229" w:name="_Toc1456"/>
      <w:bookmarkStart w:id="230" w:name="_Toc520356161"/>
      <w:bookmarkStart w:id="231" w:name="_Toc515647776"/>
      <w:bookmarkStart w:id="232" w:name="_Toc18469"/>
      <w:bookmarkStart w:id="233" w:name="_Toc12751"/>
      <w:bookmarkStart w:id="234" w:name="_Toc9840"/>
      <w:bookmarkStart w:id="235" w:name="_Toc31034"/>
      <w:r>
        <w:rPr>
          <w:rFonts w:hint="eastAsia" w:ascii="仿宋" w:hAnsi="仿宋" w:eastAsia="仿宋" w:cs="仿宋"/>
          <w:color w:val="auto"/>
          <w:sz w:val="28"/>
          <w:szCs w:val="28"/>
          <w:highlight w:val="none"/>
          <w:u w:val="none"/>
        </w:rPr>
        <w:t>16.投标截止</w:t>
      </w:r>
      <w:bookmarkEnd w:id="226"/>
      <w:bookmarkEnd w:id="227"/>
      <w:bookmarkEnd w:id="228"/>
      <w:bookmarkEnd w:id="229"/>
      <w:bookmarkEnd w:id="230"/>
      <w:bookmarkEnd w:id="231"/>
      <w:bookmarkEnd w:id="232"/>
      <w:bookmarkEnd w:id="233"/>
      <w:bookmarkEnd w:id="234"/>
      <w:bookmarkEnd w:id="235"/>
    </w:p>
    <w:p w14:paraId="0793E4F5">
      <w:pPr>
        <w:spacing w:line="240" w:lineRule="atLeast"/>
        <w:ind w:left="900" w:hanging="1050" w:hangingChars="375"/>
        <w:rPr>
          <w:rFonts w:hint="eastAsia" w:ascii="仿宋" w:hAnsi="仿宋" w:eastAsia="仿宋" w:cs="仿宋"/>
          <w:b/>
          <w:bCs/>
          <w:color w:val="auto"/>
          <w:sz w:val="28"/>
          <w:szCs w:val="28"/>
          <w:highlight w:val="none"/>
        </w:rPr>
      </w:pPr>
      <w:r>
        <w:rPr>
          <w:rFonts w:hint="eastAsia" w:ascii="仿宋" w:hAnsi="仿宋" w:eastAsia="仿宋" w:cs="仿宋"/>
          <w:color w:val="auto"/>
          <w:sz w:val="28"/>
          <w:szCs w:val="28"/>
          <w:highlight w:val="none"/>
        </w:rPr>
        <w:t>16.1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投标人应在</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中规定的截止时间前，将投标文件递交到招标公告中规定的地点。</w:t>
      </w:r>
      <w:r>
        <w:rPr>
          <w:rFonts w:hint="eastAsia" w:ascii="仿宋" w:hAnsi="仿宋" w:eastAsia="仿宋" w:cs="仿宋"/>
          <w:b/>
          <w:bCs/>
          <w:color w:val="auto"/>
          <w:sz w:val="28"/>
          <w:szCs w:val="28"/>
          <w:highlight w:val="none"/>
        </w:rPr>
        <w:t>解密时间30分钟，逾期未解密的视为投标无效。</w:t>
      </w:r>
    </w:p>
    <w:p w14:paraId="30B9614C">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16.2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采购人和采购代理机构有权按本须知的规定，延迟投标截止时间。在此情况下，采购人、采购代理机构和投标人受投标截止时间制约的所有权利和义务均应延长至新的截止时间。</w:t>
      </w:r>
    </w:p>
    <w:p w14:paraId="5104ABFB">
      <w:pPr>
        <w:spacing w:line="240" w:lineRule="atLeast"/>
        <w:ind w:left="900" w:hanging="1050" w:hangingChars="3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16.3</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采购人和采购代理机构将拒绝接收在投标截止时间后上传的投标文件</w:t>
      </w:r>
    </w:p>
    <w:p w14:paraId="0D012004">
      <w:pPr>
        <w:pStyle w:val="6"/>
        <w:spacing w:before="0" w:after="0" w:line="240" w:lineRule="atLeast"/>
        <w:outlineLvl w:val="2"/>
        <w:rPr>
          <w:rFonts w:hint="eastAsia" w:ascii="仿宋" w:hAnsi="仿宋" w:eastAsia="仿宋" w:cs="仿宋"/>
          <w:color w:val="auto"/>
          <w:sz w:val="28"/>
          <w:szCs w:val="28"/>
          <w:highlight w:val="none"/>
          <w:u w:val="none"/>
        </w:rPr>
      </w:pPr>
      <w:bookmarkStart w:id="236" w:name="_Toc11339"/>
      <w:bookmarkStart w:id="237" w:name="_Toc18537"/>
      <w:bookmarkStart w:id="238" w:name="_Toc21703"/>
      <w:bookmarkStart w:id="239" w:name="_Toc24785"/>
      <w:bookmarkStart w:id="240" w:name="_Toc4022"/>
      <w:bookmarkStart w:id="241" w:name="_Toc515647777"/>
      <w:bookmarkStart w:id="242" w:name="_Toc12794"/>
      <w:bookmarkStart w:id="243" w:name="_Toc24275"/>
      <w:bookmarkStart w:id="244" w:name="_Toc520356162"/>
      <w:bookmarkStart w:id="245" w:name="_Toc8331"/>
      <w:r>
        <w:rPr>
          <w:rFonts w:hint="eastAsia" w:ascii="仿宋" w:hAnsi="仿宋" w:eastAsia="仿宋" w:cs="仿宋"/>
          <w:color w:val="auto"/>
          <w:sz w:val="28"/>
          <w:szCs w:val="28"/>
          <w:highlight w:val="none"/>
          <w:u w:val="none"/>
        </w:rPr>
        <w:t>17.投标文件的接收、修改与撤回</w:t>
      </w:r>
      <w:bookmarkEnd w:id="236"/>
      <w:bookmarkEnd w:id="237"/>
      <w:bookmarkEnd w:id="238"/>
      <w:bookmarkEnd w:id="239"/>
      <w:bookmarkEnd w:id="240"/>
      <w:bookmarkEnd w:id="241"/>
      <w:bookmarkEnd w:id="242"/>
      <w:bookmarkEnd w:id="243"/>
      <w:bookmarkEnd w:id="244"/>
      <w:bookmarkEnd w:id="245"/>
    </w:p>
    <w:p w14:paraId="16A5DD89">
      <w:pPr>
        <w:spacing w:line="240" w:lineRule="atLeast"/>
        <w:ind w:left="900" w:hanging="1050" w:hangingChars="375"/>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17.1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在投标截止时间后上传投标文件的，采购人和采购代理机构将</w:t>
      </w:r>
      <w:r>
        <w:rPr>
          <w:rFonts w:hint="eastAsia" w:ascii="仿宋" w:hAnsi="仿宋" w:eastAsia="仿宋" w:cs="仿宋"/>
          <w:b/>
          <w:bCs/>
          <w:color w:val="auto"/>
          <w:sz w:val="28"/>
          <w:szCs w:val="28"/>
          <w:highlight w:val="none"/>
        </w:rPr>
        <w:t>拒绝接收</w:t>
      </w:r>
      <w:r>
        <w:rPr>
          <w:rFonts w:hint="eastAsia" w:ascii="仿宋" w:hAnsi="仿宋" w:eastAsia="仿宋" w:cs="仿宋"/>
          <w:color w:val="auto"/>
          <w:sz w:val="28"/>
          <w:szCs w:val="28"/>
          <w:highlight w:val="none"/>
        </w:rPr>
        <w:t>。</w:t>
      </w:r>
    </w:p>
    <w:p w14:paraId="47DD69F4">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17.2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采购人或者采购代理机构收到投标文件后，应当如实记载投标文件的送达时间和密封情况，并向投标人出具以下签收回执。</w:t>
      </w:r>
    </w:p>
    <w:p w14:paraId="06320084">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17.3</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递交投标文件以后，如果投标人要进行修改或撤回投标，须提出书面申请并在投标截止时间前上传至</w:t>
      </w:r>
      <w:r>
        <w:rPr>
          <w:rFonts w:hint="eastAsia" w:ascii="仿宋" w:hAnsi="仿宋" w:eastAsia="仿宋" w:cs="仿宋"/>
          <w:b/>
          <w:bCs/>
          <w:color w:val="auto"/>
          <w:sz w:val="28"/>
          <w:szCs w:val="28"/>
          <w:highlight w:val="none"/>
        </w:rPr>
        <w:t>新疆政采云平台https://www.zcygov.cn</w:t>
      </w:r>
      <w:r>
        <w:rPr>
          <w:rFonts w:hint="eastAsia" w:ascii="仿宋" w:hAnsi="仿宋" w:eastAsia="仿宋" w:cs="仿宋"/>
          <w:color w:val="auto"/>
          <w:sz w:val="28"/>
          <w:szCs w:val="28"/>
          <w:highlight w:val="none"/>
        </w:rPr>
        <w:t>，投标人对投标文件的修改或撤回通知应按本须知规定编制、密封、标记。采购人和采购代理机构将予以接收，并视为投标文件的组成部分。</w:t>
      </w:r>
    </w:p>
    <w:p w14:paraId="2DA58A45">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17.4</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在投标截止期之后，采购人和采购代理机构不接受投标人主动对其投标文件做任何修改。</w:t>
      </w:r>
    </w:p>
    <w:p w14:paraId="1A8093B2">
      <w:pPr>
        <w:spacing w:line="240" w:lineRule="atLeast"/>
        <w:ind w:left="900" w:hanging="1050" w:hangingChars="375"/>
        <w:outlineLvl w:val="9"/>
        <w:rPr>
          <w:rFonts w:hint="eastAsia" w:ascii="仿宋" w:hAnsi="仿宋" w:eastAsia="仿宋" w:cs="仿宋"/>
          <w:color w:val="auto"/>
          <w:sz w:val="28"/>
          <w:szCs w:val="28"/>
          <w:highlight w:val="none"/>
        </w:rPr>
      </w:pPr>
      <w:bookmarkStart w:id="246" w:name="_Toc13495"/>
      <w:bookmarkStart w:id="247" w:name="_Toc26872"/>
      <w:bookmarkStart w:id="248" w:name="_Toc19583"/>
      <w:r>
        <w:rPr>
          <w:rFonts w:hint="eastAsia" w:ascii="仿宋" w:hAnsi="仿宋" w:eastAsia="仿宋" w:cs="仿宋"/>
          <w:color w:val="auto"/>
          <w:sz w:val="28"/>
          <w:szCs w:val="28"/>
          <w:highlight w:val="none"/>
        </w:rPr>
        <w:t>17.5</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采购人和采购代理机构对所接收投标文件概不退回。</w:t>
      </w:r>
      <w:bookmarkEnd w:id="246"/>
      <w:bookmarkEnd w:id="247"/>
      <w:bookmarkEnd w:id="248"/>
    </w:p>
    <w:p w14:paraId="05CF55DD">
      <w:pPr>
        <w:spacing w:line="240" w:lineRule="atLeast"/>
        <w:ind w:left="900" w:hanging="1050" w:hangingChars="375"/>
        <w:rPr>
          <w:rFonts w:hint="eastAsia" w:ascii="仿宋" w:hAnsi="仿宋" w:eastAsia="仿宋" w:cs="仿宋"/>
          <w:color w:val="auto"/>
          <w:sz w:val="28"/>
          <w:szCs w:val="28"/>
          <w:highlight w:val="none"/>
        </w:rPr>
      </w:pPr>
    </w:p>
    <w:p w14:paraId="4C31BAF4">
      <w:pPr>
        <w:pStyle w:val="3"/>
        <w:spacing w:before="0" w:line="240" w:lineRule="atLeast"/>
        <w:ind w:left="1079" w:leftChars="257" w:hanging="540"/>
        <w:outlineLvl w:val="1"/>
        <w:rPr>
          <w:rFonts w:hint="eastAsia" w:ascii="仿宋" w:hAnsi="仿宋" w:eastAsia="仿宋" w:cs="仿宋"/>
          <w:color w:val="auto"/>
          <w:sz w:val="32"/>
          <w:szCs w:val="32"/>
          <w:highlight w:val="none"/>
        </w:rPr>
      </w:pPr>
      <w:bookmarkStart w:id="249" w:name="_Toc28398"/>
      <w:bookmarkStart w:id="250" w:name="_Toc216582809"/>
      <w:bookmarkStart w:id="251" w:name="_Toc515647778"/>
      <w:bookmarkStart w:id="252" w:name="_Toc342"/>
      <w:bookmarkStart w:id="253" w:name="_Toc20246"/>
      <w:bookmarkStart w:id="254" w:name="_Toc17866"/>
      <w:bookmarkStart w:id="255" w:name="_Toc16700"/>
      <w:bookmarkStart w:id="256" w:name="_Toc520356163"/>
      <w:bookmarkStart w:id="257" w:name="_Toc12436"/>
      <w:r>
        <w:rPr>
          <w:rFonts w:hint="eastAsia" w:ascii="仿宋" w:hAnsi="仿宋" w:eastAsia="仿宋" w:cs="仿宋"/>
          <w:color w:val="auto"/>
          <w:sz w:val="32"/>
          <w:szCs w:val="32"/>
          <w:highlight w:val="none"/>
        </w:rPr>
        <w:t>五   开标及评标</w:t>
      </w:r>
      <w:bookmarkEnd w:id="249"/>
      <w:bookmarkEnd w:id="250"/>
      <w:bookmarkEnd w:id="251"/>
      <w:bookmarkEnd w:id="252"/>
      <w:bookmarkEnd w:id="253"/>
      <w:bookmarkEnd w:id="254"/>
      <w:bookmarkEnd w:id="255"/>
      <w:bookmarkEnd w:id="256"/>
      <w:bookmarkEnd w:id="257"/>
    </w:p>
    <w:p w14:paraId="7E21317C">
      <w:pPr>
        <w:pStyle w:val="6"/>
        <w:spacing w:before="0" w:after="0" w:line="240" w:lineRule="atLeast"/>
        <w:outlineLvl w:val="2"/>
        <w:rPr>
          <w:rFonts w:hint="eastAsia" w:ascii="仿宋" w:hAnsi="仿宋" w:eastAsia="仿宋" w:cs="仿宋"/>
          <w:color w:val="auto"/>
          <w:sz w:val="28"/>
          <w:szCs w:val="28"/>
          <w:highlight w:val="none"/>
          <w:u w:val="none"/>
        </w:rPr>
      </w:pPr>
      <w:bookmarkStart w:id="258" w:name="_Toc24861"/>
      <w:bookmarkStart w:id="259" w:name="_Toc16150"/>
      <w:bookmarkStart w:id="260" w:name="_Toc30958"/>
      <w:bookmarkStart w:id="261" w:name="_Toc377"/>
      <w:bookmarkStart w:id="262" w:name="_Toc7186"/>
      <w:bookmarkStart w:id="263" w:name="_Toc515647779"/>
      <w:bookmarkStart w:id="264" w:name="_Toc17257"/>
      <w:bookmarkStart w:id="265" w:name="_Toc520356164"/>
      <w:bookmarkStart w:id="266" w:name="_Toc25345"/>
      <w:bookmarkStart w:id="267" w:name="_Toc6884"/>
      <w:r>
        <w:rPr>
          <w:rFonts w:hint="eastAsia" w:ascii="仿宋" w:hAnsi="仿宋" w:eastAsia="仿宋" w:cs="仿宋"/>
          <w:color w:val="auto"/>
          <w:sz w:val="28"/>
          <w:szCs w:val="28"/>
          <w:highlight w:val="none"/>
          <w:u w:val="none"/>
          <w:lang w:val="en-US" w:eastAsia="zh-CN"/>
        </w:rPr>
        <w:t>18.</w:t>
      </w:r>
      <w:r>
        <w:rPr>
          <w:rFonts w:hint="eastAsia" w:ascii="仿宋" w:hAnsi="仿宋" w:eastAsia="仿宋" w:cs="仿宋"/>
          <w:color w:val="auto"/>
          <w:sz w:val="28"/>
          <w:szCs w:val="28"/>
          <w:highlight w:val="none"/>
          <w:u w:val="none"/>
        </w:rPr>
        <w:t>开标</w:t>
      </w:r>
      <w:bookmarkEnd w:id="258"/>
      <w:bookmarkEnd w:id="259"/>
      <w:bookmarkEnd w:id="260"/>
      <w:bookmarkEnd w:id="261"/>
      <w:bookmarkEnd w:id="262"/>
      <w:bookmarkEnd w:id="263"/>
      <w:bookmarkEnd w:id="264"/>
      <w:bookmarkEnd w:id="265"/>
      <w:bookmarkEnd w:id="266"/>
      <w:bookmarkEnd w:id="267"/>
    </w:p>
    <w:p w14:paraId="3D594290">
      <w:pPr>
        <w:spacing w:line="240" w:lineRule="atLeast"/>
        <w:ind w:left="900" w:hanging="1050" w:hangingChars="375"/>
        <w:rPr>
          <w:rFonts w:hint="eastAsia" w:ascii="仿宋" w:hAnsi="仿宋" w:eastAsia="仿宋" w:cs="仿宋"/>
          <w:color w:val="auto"/>
          <w:sz w:val="28"/>
          <w:szCs w:val="28"/>
          <w:highlight w:val="none"/>
        </w:rPr>
      </w:pPr>
      <w:bookmarkStart w:id="268" w:name="_Toc520356165"/>
      <w:bookmarkStart w:id="269" w:name="_Toc19296"/>
      <w:bookmarkStart w:id="270" w:name="_Toc21372"/>
      <w:bookmarkStart w:id="271" w:name="_Toc515647780"/>
      <w:bookmarkStart w:id="272" w:name="_Toc31290"/>
      <w:r>
        <w:rPr>
          <w:rFonts w:hint="eastAsia" w:ascii="仿宋" w:hAnsi="仿宋" w:eastAsia="仿宋" w:cs="仿宋"/>
          <w:color w:val="auto"/>
          <w:sz w:val="28"/>
          <w:szCs w:val="28"/>
          <w:highlight w:val="none"/>
        </w:rPr>
        <w:t>18.1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采购人和采购代理机构将按</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中规定的开标时间和地点组织公开开标并邀请所有投标人代表参加。投标人不足3家的，不得开标。</w:t>
      </w:r>
    </w:p>
    <w:p w14:paraId="717806F8">
      <w:pPr>
        <w:spacing w:line="240" w:lineRule="atLeast"/>
        <w:ind w:left="960" w:hanging="1120" w:hangingChars="4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18.2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开标时，由代理机构工作人员点击响应文件解密流程，解密时间为30分钟。解密时间截止后经记录，由采购人或采购代理机构开启开标一览表，宣读投标人名称、投标价格及招标文件规定的内容。对于投标人在投标截止期前递交的投标声明，在开标时当众宣读，评标时有效。未宣读投标价格、价格折扣等实质内容，评标时不予承认。</w:t>
      </w:r>
      <w:r>
        <w:rPr>
          <w:rFonts w:hint="eastAsia" w:ascii="仿宋" w:hAnsi="仿宋" w:eastAsia="仿宋" w:cs="仿宋"/>
          <w:b/>
          <w:bCs/>
          <w:color w:val="auto"/>
          <w:sz w:val="28"/>
          <w:szCs w:val="28"/>
          <w:highlight w:val="none"/>
        </w:rPr>
        <w:t>逾期未解密的视为投标无效。</w:t>
      </w:r>
    </w:p>
    <w:p w14:paraId="14E9F89F">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18.3</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采购人或采购代理机构将对开标过程进行记录，</w:t>
      </w:r>
      <w:r>
        <w:rPr>
          <w:rFonts w:hint="eastAsia" w:ascii="仿宋" w:hAnsi="仿宋" w:eastAsia="仿宋" w:cs="仿宋"/>
          <w:color w:val="auto"/>
          <w:sz w:val="28"/>
          <w:szCs w:val="28"/>
          <w:highlight w:val="none"/>
          <w:lang w:bidi="ar"/>
        </w:rPr>
        <w:t>由各供应商代表和相关工作人员在政采云不见面开标大厅平台进行网上签字确认</w:t>
      </w:r>
      <w:r>
        <w:rPr>
          <w:rFonts w:hint="eastAsia" w:ascii="仿宋" w:hAnsi="仿宋" w:eastAsia="仿宋" w:cs="仿宋"/>
          <w:color w:val="auto"/>
          <w:sz w:val="28"/>
          <w:szCs w:val="28"/>
          <w:highlight w:val="none"/>
        </w:rPr>
        <w:t>，并存档备查。</w:t>
      </w:r>
    </w:p>
    <w:p w14:paraId="0835B38E">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18.4</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投标人代表对开标过程和开标记录有疑义，以及认为采购人、采购代理机构相关工作人员有需要回避的情形的，应当场提出询问或者回避申请。</w:t>
      </w:r>
    </w:p>
    <w:p w14:paraId="351A80E7">
      <w:pPr>
        <w:pStyle w:val="6"/>
        <w:spacing w:before="0" w:after="0" w:line="240" w:lineRule="atLeast"/>
        <w:outlineLvl w:val="2"/>
        <w:rPr>
          <w:rFonts w:hint="eastAsia" w:ascii="仿宋" w:hAnsi="仿宋" w:eastAsia="仿宋" w:cs="仿宋"/>
          <w:color w:val="auto"/>
          <w:sz w:val="28"/>
          <w:szCs w:val="28"/>
          <w:highlight w:val="none"/>
          <w:u w:val="none"/>
        </w:rPr>
      </w:pPr>
      <w:bookmarkStart w:id="273" w:name="_Toc6577"/>
      <w:bookmarkStart w:id="274" w:name="_Toc17338"/>
      <w:bookmarkStart w:id="275" w:name="_Toc25930"/>
      <w:bookmarkStart w:id="276" w:name="_Toc20938"/>
      <w:bookmarkStart w:id="277" w:name="_Toc9349"/>
      <w:r>
        <w:rPr>
          <w:rFonts w:hint="eastAsia" w:ascii="仿宋" w:hAnsi="仿宋" w:eastAsia="仿宋" w:cs="仿宋"/>
          <w:color w:val="auto"/>
          <w:sz w:val="28"/>
          <w:szCs w:val="28"/>
          <w:highlight w:val="none"/>
          <w:u w:val="none"/>
        </w:rPr>
        <w:t>19.</w:t>
      </w:r>
      <w:bookmarkEnd w:id="268"/>
      <w:r>
        <w:rPr>
          <w:rFonts w:hint="eastAsia" w:ascii="仿宋" w:hAnsi="仿宋" w:eastAsia="仿宋" w:cs="仿宋"/>
          <w:color w:val="auto"/>
          <w:sz w:val="28"/>
          <w:szCs w:val="28"/>
          <w:highlight w:val="none"/>
          <w:u w:val="none"/>
        </w:rPr>
        <w:t>资格审查及组建评标委员会</w:t>
      </w:r>
      <w:bookmarkEnd w:id="269"/>
      <w:bookmarkEnd w:id="270"/>
      <w:bookmarkEnd w:id="271"/>
      <w:bookmarkEnd w:id="272"/>
      <w:bookmarkEnd w:id="273"/>
      <w:bookmarkEnd w:id="274"/>
      <w:bookmarkEnd w:id="275"/>
      <w:bookmarkEnd w:id="276"/>
      <w:bookmarkEnd w:id="277"/>
    </w:p>
    <w:p w14:paraId="2FF18395">
      <w:pPr>
        <w:spacing w:line="240" w:lineRule="atLeast"/>
        <w:ind w:left="960" w:hanging="1120" w:hangingChars="4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19.1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本次开标为线上全流程电子标，资格审查人员为</w:t>
      </w:r>
      <w:r>
        <w:rPr>
          <w:rFonts w:hint="eastAsia" w:ascii="仿宋" w:hAnsi="仿宋" w:eastAsia="仿宋" w:cs="仿宋"/>
          <w:color w:val="auto"/>
          <w:sz w:val="28"/>
          <w:szCs w:val="28"/>
          <w:highlight w:val="none"/>
          <w:lang w:val="en-US" w:eastAsia="zh-CN"/>
        </w:rPr>
        <w:t>采购单位</w:t>
      </w:r>
      <w:r>
        <w:rPr>
          <w:rFonts w:hint="eastAsia" w:ascii="仿宋" w:hAnsi="仿宋" w:eastAsia="仿宋" w:cs="仿宋"/>
          <w:color w:val="auto"/>
          <w:sz w:val="28"/>
          <w:szCs w:val="28"/>
          <w:highlight w:val="none"/>
        </w:rPr>
        <w:t>，评审小组依据法律法规和招标文件中规定的内容，对投标人的资格进行审查。未通过资格审查的投标人不进入评标；进入评标的投标人不足3家的，不得评标。</w:t>
      </w:r>
    </w:p>
    <w:p w14:paraId="56FCB9F3">
      <w:pPr>
        <w:spacing w:line="240" w:lineRule="atLeast"/>
        <w:ind w:left="857" w:leftChars="2" w:hanging="853"/>
        <w:rPr>
          <w:rFonts w:hint="eastAsia" w:ascii="仿宋" w:hAnsi="仿宋" w:eastAsia="仿宋" w:cs="仿宋"/>
          <w:b/>
          <w:iCs/>
          <w:color w:val="auto"/>
          <w:sz w:val="28"/>
          <w:szCs w:val="28"/>
          <w:highlight w:val="none"/>
        </w:rPr>
      </w:pPr>
      <w:r>
        <w:rPr>
          <w:rFonts w:hint="eastAsia" w:ascii="仿宋" w:hAnsi="仿宋" w:eastAsia="仿宋" w:cs="仿宋"/>
          <w:b/>
          <w:iCs/>
          <w:color w:val="auto"/>
          <w:sz w:val="28"/>
          <w:szCs w:val="28"/>
          <w:highlight w:val="none"/>
        </w:rPr>
        <w:t>通过资格审查的投标人少于不足三家的，不得评标。</w:t>
      </w:r>
    </w:p>
    <w:p w14:paraId="1C05E1CA">
      <w:pPr>
        <w:spacing w:line="240" w:lineRule="atLeast"/>
        <w:ind w:left="857" w:leftChars="2" w:hanging="853"/>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19.2   采购人或采购代理机构将在开标前1个工作日至投标截止后1小时的期间内查询投标人的信用记录。投标人存在不良信用记录的，其投标将被认定为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725D3014">
      <w:pPr>
        <w:spacing w:line="240" w:lineRule="atLeast"/>
        <w:ind w:left="857" w:leftChars="2" w:hanging="853"/>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19.2.1 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14:paraId="5EC37211">
      <w:pPr>
        <w:spacing w:line="240" w:lineRule="atLeast"/>
        <w:ind w:left="850" w:leftChars="401" w:hanging="8" w:hangingChars="3"/>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以联合体形式参加投标的，联合体任何成员存在以上不良信用记录的，联合体投标将被认定为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6D221639">
      <w:pPr>
        <w:pStyle w:val="4"/>
        <w:ind w:left="850" w:hanging="991" w:hangingChars="354"/>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19.2.2 查询及记录方式：采购人或采购代理机构经办人将查询网页打印、签字并存档备查。投标人不良信用记录以采购人或采购代理机构查询结果为准。</w:t>
      </w:r>
    </w:p>
    <w:p w14:paraId="2A5BCB04">
      <w:pPr>
        <w:pStyle w:val="4"/>
        <w:ind w:left="850" w:leftChars="405" w:firstLine="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在本招标文件规定的查询时间之后，网站信息发生的任何变更均不再作为评标依据。</w:t>
      </w:r>
    </w:p>
    <w:p w14:paraId="40C45584">
      <w:pPr>
        <w:pStyle w:val="4"/>
        <w:ind w:left="850" w:leftChars="405" w:firstLine="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投标人自行提供的与网站信息不一致的其他证明材料亦不作为资格审查依据。</w:t>
      </w:r>
    </w:p>
    <w:p w14:paraId="45FB41B2">
      <w:pPr>
        <w:spacing w:line="240" w:lineRule="atLeast"/>
        <w:ind w:left="850" w:hanging="991" w:hangingChars="354"/>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19.3   按照《中华人民共和国政府采购法》、《中华人民共和国政府采购法实施条例》及本项目本级和上级财政部门的有关规定依法组建的评标委员会，负责评标工作。</w:t>
      </w:r>
      <w:bookmarkStart w:id="278" w:name="_Toc520356166"/>
      <w:r>
        <w:rPr>
          <w:rFonts w:hint="eastAsia" w:ascii="仿宋" w:hAnsi="仿宋" w:eastAsia="仿宋" w:cs="仿宋"/>
          <w:b/>
          <w:bCs/>
          <w:iCs/>
          <w:color w:val="auto"/>
          <w:sz w:val="28"/>
          <w:szCs w:val="28"/>
          <w:highlight w:val="none"/>
          <w:u w:val="single"/>
        </w:rPr>
        <w:t>本项目评标委员会由</w:t>
      </w:r>
      <w:r>
        <w:rPr>
          <w:rFonts w:hint="eastAsia" w:ascii="仿宋" w:hAnsi="仿宋" w:eastAsia="仿宋" w:cs="仿宋"/>
          <w:b/>
          <w:bCs/>
          <w:iCs/>
          <w:color w:val="auto"/>
          <w:sz w:val="28"/>
          <w:szCs w:val="28"/>
          <w:highlight w:val="none"/>
          <w:u w:val="single"/>
          <w:lang w:val="en-US" w:eastAsia="zh-CN"/>
        </w:rPr>
        <w:t>5</w:t>
      </w:r>
      <w:r>
        <w:rPr>
          <w:rFonts w:hint="eastAsia" w:ascii="仿宋" w:hAnsi="仿宋" w:eastAsia="仿宋" w:cs="仿宋"/>
          <w:b/>
          <w:bCs/>
          <w:iCs/>
          <w:color w:val="auto"/>
          <w:sz w:val="28"/>
          <w:szCs w:val="28"/>
          <w:highlight w:val="none"/>
          <w:u w:val="single"/>
        </w:rPr>
        <w:t>人单数组成（政采云专家库随机抽取）。</w:t>
      </w:r>
    </w:p>
    <w:p w14:paraId="1C31CD73">
      <w:pPr>
        <w:pStyle w:val="6"/>
        <w:spacing w:before="0" w:after="0" w:line="240" w:lineRule="atLeast"/>
        <w:outlineLvl w:val="2"/>
        <w:rPr>
          <w:rFonts w:hint="eastAsia" w:ascii="仿宋" w:hAnsi="仿宋" w:eastAsia="仿宋" w:cs="仿宋"/>
          <w:color w:val="auto"/>
          <w:sz w:val="28"/>
          <w:szCs w:val="28"/>
          <w:highlight w:val="none"/>
          <w:u w:val="none"/>
        </w:rPr>
      </w:pPr>
      <w:bookmarkStart w:id="279" w:name="_Toc12377"/>
      <w:bookmarkStart w:id="280" w:name="_Toc26332"/>
      <w:bookmarkStart w:id="281" w:name="_Toc515647781"/>
      <w:bookmarkStart w:id="282" w:name="_Toc6642"/>
      <w:bookmarkStart w:id="283" w:name="_Toc22575"/>
      <w:bookmarkStart w:id="284" w:name="_Toc19838"/>
      <w:bookmarkStart w:id="285" w:name="_Toc19949"/>
      <w:bookmarkStart w:id="286" w:name="_Toc28479"/>
      <w:bookmarkStart w:id="287" w:name="_Toc23707"/>
      <w:r>
        <w:rPr>
          <w:rFonts w:hint="eastAsia" w:ascii="仿宋" w:hAnsi="仿宋" w:eastAsia="仿宋" w:cs="仿宋"/>
          <w:color w:val="auto"/>
          <w:sz w:val="28"/>
          <w:szCs w:val="28"/>
          <w:highlight w:val="none"/>
          <w:u w:val="none"/>
        </w:rPr>
        <w:t>20.投标文件</w:t>
      </w:r>
      <w:bookmarkEnd w:id="278"/>
      <w:r>
        <w:rPr>
          <w:rFonts w:hint="eastAsia" w:ascii="仿宋" w:hAnsi="仿宋" w:eastAsia="仿宋" w:cs="仿宋"/>
          <w:color w:val="auto"/>
          <w:sz w:val="28"/>
          <w:szCs w:val="28"/>
          <w:highlight w:val="none"/>
          <w:u w:val="none"/>
        </w:rPr>
        <w:t>符合性审查与澄清</w:t>
      </w:r>
      <w:bookmarkEnd w:id="279"/>
      <w:bookmarkEnd w:id="280"/>
      <w:bookmarkEnd w:id="281"/>
      <w:bookmarkEnd w:id="282"/>
      <w:bookmarkEnd w:id="283"/>
      <w:bookmarkEnd w:id="284"/>
      <w:bookmarkEnd w:id="285"/>
      <w:bookmarkEnd w:id="286"/>
      <w:bookmarkEnd w:id="287"/>
    </w:p>
    <w:p w14:paraId="75760B98">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20.1   符合性审查是指依据招标文件的规定，从投标文件的有效性和完整性对招标文件的响应程度进行审查，以确定是否对招标文件的实质性要求做出响应。</w:t>
      </w:r>
      <w:bookmarkStart w:id="288" w:name="_Hlt522424701"/>
      <w:bookmarkEnd w:id="288"/>
      <w:bookmarkStart w:id="289" w:name="_Toc520356167"/>
    </w:p>
    <w:p w14:paraId="25629500">
      <w:pPr>
        <w:spacing w:line="240" w:lineRule="atLeast"/>
        <w:ind w:left="900" w:hanging="1050" w:hangingChars="375"/>
        <w:outlineLvl w:val="9"/>
        <w:rPr>
          <w:rFonts w:hint="eastAsia" w:ascii="仿宋" w:hAnsi="仿宋" w:eastAsia="仿宋" w:cs="仿宋"/>
          <w:color w:val="auto"/>
          <w:sz w:val="28"/>
          <w:szCs w:val="28"/>
          <w:highlight w:val="none"/>
        </w:rPr>
      </w:pPr>
      <w:bookmarkStart w:id="290" w:name="_Toc29259"/>
      <w:r>
        <w:rPr>
          <w:rFonts w:hint="eastAsia" w:ascii="仿宋" w:hAnsi="仿宋" w:eastAsia="仿宋" w:cs="仿宋"/>
          <w:color w:val="auto"/>
          <w:sz w:val="28"/>
          <w:szCs w:val="28"/>
          <w:highlight w:val="none"/>
        </w:rPr>
        <w:t>20.2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投标文件的澄清</w:t>
      </w:r>
      <w:bookmarkEnd w:id="290"/>
    </w:p>
    <w:p w14:paraId="5F562B42">
      <w:pPr>
        <w:spacing w:line="240" w:lineRule="atLeast"/>
        <w:ind w:left="900" w:hanging="1050" w:hangingChars="3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20.2.1  在评标期间，评标委员会将以书面方式要求投标人对其投标文件中含义不明确、对同类问题表述不一致或者有明显文字和计算错误的内容，以及评标委员会认为投标人的报价明显低于其他通过符合性检查投标人的报价，有可能影响履约的情况</w:t>
      </w:r>
      <w:r>
        <w:rPr>
          <w:rFonts w:hint="eastAsia" w:ascii="仿宋" w:hAnsi="仿宋" w:eastAsia="仿宋" w:cs="仿宋"/>
          <w:color w:val="auto"/>
          <w:sz w:val="28"/>
          <w:szCs w:val="28"/>
          <w:highlight w:val="none"/>
          <w:lang w:val="en-US" w:eastAsia="zh-CN"/>
        </w:rPr>
        <w:t>做</w:t>
      </w:r>
      <w:r>
        <w:rPr>
          <w:rFonts w:hint="eastAsia" w:ascii="仿宋" w:hAnsi="仿宋" w:eastAsia="仿宋" w:cs="仿宋"/>
          <w:color w:val="auto"/>
          <w:sz w:val="28"/>
          <w:szCs w:val="28"/>
          <w:highlight w:val="none"/>
        </w:rPr>
        <w:t>必要的澄清、说明或补正。投标人的澄清、说明或补正应在评标委员会规定的时间内以书面方式进行，并不得超出投标文件范围或者改变投标文件的实质性内容。</w:t>
      </w:r>
    </w:p>
    <w:p w14:paraId="0CDFD72A">
      <w:pPr>
        <w:spacing w:line="240" w:lineRule="atLeast"/>
        <w:ind w:left="900" w:hanging="1050" w:hangingChars="3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20.2.2  投标人的的澄清、说明或补正将作为投标文件的一部分。</w:t>
      </w:r>
    </w:p>
    <w:p w14:paraId="0AA0838A">
      <w:pPr>
        <w:spacing w:line="240" w:lineRule="atLeast"/>
        <w:ind w:left="900" w:hanging="1050" w:hangingChars="375"/>
        <w:outlineLvl w:val="9"/>
        <w:rPr>
          <w:rFonts w:hint="eastAsia" w:ascii="仿宋" w:hAnsi="仿宋" w:eastAsia="仿宋" w:cs="仿宋"/>
          <w:color w:val="auto"/>
          <w:sz w:val="28"/>
          <w:szCs w:val="28"/>
          <w:highlight w:val="none"/>
        </w:rPr>
      </w:pPr>
      <w:bookmarkStart w:id="291" w:name="_Toc4292"/>
      <w:r>
        <w:rPr>
          <w:rFonts w:hint="eastAsia" w:ascii="仿宋" w:hAnsi="仿宋" w:eastAsia="仿宋" w:cs="仿宋"/>
          <w:color w:val="auto"/>
          <w:sz w:val="28"/>
          <w:szCs w:val="28"/>
          <w:highlight w:val="none"/>
        </w:rPr>
        <w:t>20.3  投标文件报价出现前后不一致的，按照下列规定修正：</w:t>
      </w:r>
      <w:bookmarkEnd w:id="291"/>
    </w:p>
    <w:p w14:paraId="7301B75A">
      <w:pPr>
        <w:spacing w:line="240" w:lineRule="atLeast"/>
        <w:ind w:left="1020" w:hanging="1190" w:hangingChars="4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（一）投标文件中开标一览表（报价表）内容与投标文件中相应内容不一致的，以开标一览表（报价表）为准；</w:t>
      </w:r>
    </w:p>
    <w:p w14:paraId="5819D59A">
      <w:pPr>
        <w:spacing w:line="240" w:lineRule="atLeast"/>
        <w:ind w:left="900" w:hanging="1050" w:hangingChars="3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（二）大写金额和小写金额不一致的，以大写金额为准；</w:t>
      </w:r>
    </w:p>
    <w:p w14:paraId="45CC71F1">
      <w:pPr>
        <w:spacing w:line="240" w:lineRule="atLeast"/>
        <w:ind w:left="1020" w:hanging="1190" w:hangingChars="4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（三）单价金额小数点或者百分比有明显错位的，以开标一览表的总价为准，并修改单价；</w:t>
      </w:r>
    </w:p>
    <w:p w14:paraId="1FCADA77">
      <w:pPr>
        <w:spacing w:line="240" w:lineRule="atLeast"/>
        <w:ind w:left="900" w:hanging="1050" w:hangingChars="3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（四）总价金额与按单价汇总金额不一致的，以单价金额计算结果为准。</w:t>
      </w:r>
    </w:p>
    <w:p w14:paraId="5E6504A1">
      <w:pPr>
        <w:spacing w:line="240" w:lineRule="atLeast"/>
        <w:ind w:left="992" w:leftChars="-28" w:hanging="1050" w:hangingChars="3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同时出现两种以上不一致的，按照前款规定的顺序修正。修正后的报价按照第20.2条的规定经投标人确认后产生约束力，投标人不确认的，其投标将被认定为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160601DC">
      <w:pPr>
        <w:spacing w:line="240" w:lineRule="atLeast"/>
        <w:ind w:left="735" w:leftChars="350" w:firstLine="140" w:firstLineChars="5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对不同文字文本投标文件的解释发生异议的，以中文文本为准。</w:t>
      </w:r>
    </w:p>
    <w:p w14:paraId="04AC3E88">
      <w:pPr>
        <w:spacing w:line="240" w:lineRule="atLeast"/>
        <w:ind w:left="900" w:hanging="1050" w:hangingChars="3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20.4   如一个分包内只有一种产品，不同投标人所投产品为同一品牌的，按如下方式处理：</w:t>
      </w:r>
    </w:p>
    <w:p w14:paraId="4EE8875D">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20.4.1  如本项目使用最低评标价法，提供相同品牌产品的不同投标人以其中通过资格审查、符合性审查且报价最低的参加评标；报价相同的，由采购人或者采购人委托评标委员会按照招标文件中评标办法规定的方式确定一个参加评标的投标人；未规定的采取随机抽取方式确定，其他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1FA8C1A2">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20.4.2  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办法规定的方式确定一个投标人获得中标人推荐资格；未规定的采取随机抽取方式确定，其他同品牌投标人不作为中标候选人。</w:t>
      </w:r>
    </w:p>
    <w:p w14:paraId="51E5ECD2">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20.5   如一个分包内包含多种产品的，采购人或采购代理机构将在</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中载明核心产品，多家投标人提供的核心产品品牌相同的，按第20.4条规定处理。</w:t>
      </w:r>
    </w:p>
    <w:p w14:paraId="13551686">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20.6   投标人所投产品如被列入财政部与国家主管部门颁发的节能产品目录或环境标志产品目录或无线局域网产品目录，应提供相关证明，在评标时予以优先采购，具体优先采购办法见第六章评标方法和标准。</w:t>
      </w:r>
    </w:p>
    <w:p w14:paraId="452A23C7">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如采购人所采购产品为政府强制采购的节能产品，投标人所投产品的品牌及型号必须为清单中有效期内产品并提供证明文件，否则其投标将被认定为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3BF80C5E">
      <w:pPr>
        <w:pStyle w:val="6"/>
        <w:spacing w:before="0" w:after="0" w:line="240" w:lineRule="atLeast"/>
        <w:outlineLvl w:val="2"/>
        <w:rPr>
          <w:rFonts w:hint="eastAsia" w:ascii="仿宋" w:hAnsi="仿宋" w:eastAsia="仿宋" w:cs="仿宋"/>
          <w:color w:val="auto"/>
          <w:sz w:val="28"/>
          <w:szCs w:val="28"/>
          <w:highlight w:val="none"/>
          <w:u w:val="none"/>
        </w:rPr>
      </w:pPr>
      <w:bookmarkStart w:id="292" w:name="_Toc2880"/>
      <w:bookmarkStart w:id="293" w:name="_Toc515647782"/>
      <w:bookmarkStart w:id="294" w:name="_Toc7373"/>
      <w:bookmarkStart w:id="295" w:name="_Toc18529"/>
      <w:bookmarkStart w:id="296" w:name="_Toc1623"/>
      <w:bookmarkStart w:id="297" w:name="_Toc17919"/>
      <w:bookmarkStart w:id="298" w:name="_Toc6364"/>
      <w:bookmarkStart w:id="299" w:name="_Toc21804"/>
      <w:r>
        <w:rPr>
          <w:rFonts w:hint="eastAsia" w:ascii="仿宋" w:hAnsi="仿宋" w:eastAsia="仿宋" w:cs="仿宋"/>
          <w:color w:val="auto"/>
          <w:sz w:val="28"/>
          <w:szCs w:val="28"/>
          <w:highlight w:val="none"/>
          <w:u w:val="none"/>
        </w:rPr>
        <w:t>21.投标偏离</w:t>
      </w:r>
      <w:bookmarkEnd w:id="292"/>
      <w:bookmarkEnd w:id="293"/>
      <w:bookmarkEnd w:id="294"/>
      <w:bookmarkEnd w:id="295"/>
      <w:bookmarkEnd w:id="296"/>
      <w:bookmarkEnd w:id="297"/>
      <w:bookmarkEnd w:id="298"/>
      <w:bookmarkEnd w:id="299"/>
    </w:p>
    <w:p w14:paraId="6BDEC188">
      <w:pPr>
        <w:spacing w:line="240" w:lineRule="atLeast"/>
        <w:ind w:left="954" w:leftChars="99" w:hanging="747" w:hangingChars="267"/>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评标委员会可以接受投标文件中不构成实质性偏离的不正规或不一致。</w:t>
      </w:r>
    </w:p>
    <w:p w14:paraId="356CC751">
      <w:pPr>
        <w:pStyle w:val="6"/>
        <w:spacing w:before="0" w:after="0" w:line="240" w:lineRule="atLeast"/>
        <w:outlineLvl w:val="2"/>
        <w:rPr>
          <w:rFonts w:hint="eastAsia" w:ascii="仿宋" w:hAnsi="仿宋" w:eastAsia="仿宋" w:cs="仿宋"/>
          <w:color w:val="auto"/>
          <w:sz w:val="28"/>
          <w:szCs w:val="28"/>
          <w:highlight w:val="none"/>
          <w:u w:val="none"/>
        </w:rPr>
      </w:pPr>
      <w:bookmarkStart w:id="300" w:name="_Toc515647783"/>
      <w:bookmarkStart w:id="301" w:name="_Toc32277"/>
      <w:bookmarkStart w:id="302" w:name="_Toc6092"/>
      <w:bookmarkStart w:id="303" w:name="_Toc32380"/>
      <w:bookmarkStart w:id="304" w:name="_Toc25867"/>
      <w:bookmarkStart w:id="305" w:name="_Toc23936"/>
      <w:bookmarkStart w:id="306" w:name="_Toc23055"/>
      <w:bookmarkStart w:id="307" w:name="_Toc4950"/>
      <w:bookmarkStart w:id="308" w:name="_Toc5418"/>
      <w:r>
        <w:rPr>
          <w:rFonts w:hint="eastAsia" w:ascii="仿宋" w:hAnsi="仿宋" w:eastAsia="仿宋" w:cs="仿宋"/>
          <w:color w:val="auto"/>
          <w:sz w:val="28"/>
          <w:szCs w:val="28"/>
          <w:highlight w:val="none"/>
          <w:u w:val="none"/>
        </w:rPr>
        <w:t>22.投标</w:t>
      </w:r>
      <w:bookmarkEnd w:id="300"/>
      <w:r>
        <w:rPr>
          <w:rFonts w:hint="eastAsia" w:ascii="仿宋" w:hAnsi="仿宋" w:eastAsia="仿宋" w:cs="仿宋"/>
          <w:color w:val="auto"/>
          <w:sz w:val="28"/>
          <w:szCs w:val="28"/>
          <w:highlight w:val="none"/>
          <w:u w:val="none"/>
        </w:rPr>
        <w:t>无效</w:t>
      </w:r>
      <w:bookmarkEnd w:id="301"/>
      <w:bookmarkEnd w:id="302"/>
      <w:bookmarkEnd w:id="303"/>
      <w:bookmarkEnd w:id="304"/>
      <w:bookmarkEnd w:id="305"/>
      <w:bookmarkEnd w:id="306"/>
      <w:bookmarkEnd w:id="307"/>
      <w:bookmarkEnd w:id="308"/>
    </w:p>
    <w:p w14:paraId="3AD000C8">
      <w:pPr>
        <w:spacing w:line="240" w:lineRule="atLeast"/>
        <w:ind w:left="1002" w:leftChars="-23"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。投标人不得通过修正或撤销不符合要求的偏离，从而使其投标成为实质上响应的投标。</w:t>
      </w:r>
    </w:p>
    <w:p w14:paraId="264C2940">
      <w:pPr>
        <w:spacing w:line="240" w:lineRule="atLeast"/>
        <w:ind w:left="791" w:leftChars="377"/>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评标委员会决定投标的响应性只根据招标文件要求、投标文件内容及财政主管部门指定相关信息发布媒体。</w:t>
      </w:r>
    </w:p>
    <w:p w14:paraId="2514DAB0">
      <w:pPr>
        <w:spacing w:line="240" w:lineRule="atLeast"/>
        <w:ind w:left="900" w:hanging="1050" w:hangingChars="375"/>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22.2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u w:val="single"/>
        </w:rPr>
        <w:t>如发现下列情况之一的，其投标将被认定为</w:t>
      </w:r>
      <w:r>
        <w:rPr>
          <w:rFonts w:hint="eastAsia" w:ascii="仿宋" w:hAnsi="仿宋" w:eastAsia="仿宋" w:cs="仿宋"/>
          <w:b/>
          <w:bCs/>
          <w:color w:val="auto"/>
          <w:sz w:val="28"/>
          <w:szCs w:val="28"/>
          <w:highlight w:val="none"/>
          <w:u w:val="single"/>
        </w:rPr>
        <w:t>投标无效</w:t>
      </w:r>
      <w:r>
        <w:rPr>
          <w:rFonts w:hint="eastAsia" w:ascii="仿宋" w:hAnsi="仿宋" w:eastAsia="仿宋" w:cs="仿宋"/>
          <w:color w:val="auto"/>
          <w:sz w:val="28"/>
          <w:szCs w:val="28"/>
          <w:highlight w:val="none"/>
          <w:u w:val="single"/>
        </w:rPr>
        <w:t>：（</w:t>
      </w:r>
      <w:r>
        <w:rPr>
          <w:rFonts w:hint="eastAsia" w:ascii="仿宋" w:hAnsi="仿宋" w:eastAsia="仿宋" w:cs="仿宋"/>
          <w:b/>
          <w:color w:val="auto"/>
          <w:sz w:val="28"/>
          <w:szCs w:val="28"/>
          <w:highlight w:val="none"/>
          <w:u w:val="single"/>
        </w:rPr>
        <w:t>以下情形应当在招标文件中规定，并以醒目的方式标明</w:t>
      </w:r>
      <w:r>
        <w:rPr>
          <w:rFonts w:hint="eastAsia" w:ascii="仿宋" w:hAnsi="仿宋" w:eastAsia="仿宋" w:cs="仿宋"/>
          <w:color w:val="auto"/>
          <w:sz w:val="28"/>
          <w:szCs w:val="28"/>
          <w:highlight w:val="none"/>
          <w:u w:val="single"/>
        </w:rPr>
        <w:t>）</w:t>
      </w:r>
    </w:p>
    <w:p w14:paraId="0CC55328">
      <w:pPr>
        <w:numPr>
          <w:ilvl w:val="0"/>
          <w:numId w:val="3"/>
        </w:numPr>
        <w:spacing w:line="240" w:lineRule="atLeast"/>
        <w:ind w:left="1080" w:leftChars="429" w:hanging="18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未按招标文件规定的形式和金额提交投标保证金的；</w:t>
      </w:r>
    </w:p>
    <w:p w14:paraId="0C4CA0E5">
      <w:pPr>
        <w:numPr>
          <w:ilvl w:val="0"/>
          <w:numId w:val="3"/>
        </w:numPr>
        <w:spacing w:line="240" w:lineRule="atLeast"/>
        <w:ind w:left="1080" w:leftChars="429" w:hanging="18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未按照招标文件规定要求签署、盖章的；</w:t>
      </w:r>
    </w:p>
    <w:p w14:paraId="6CE7E1A8">
      <w:pPr>
        <w:numPr>
          <w:ilvl w:val="0"/>
          <w:numId w:val="3"/>
        </w:numPr>
        <w:spacing w:line="240" w:lineRule="atLeast"/>
        <w:ind w:left="1080" w:leftChars="429" w:hanging="18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未满足招标文件中技术条款的实质性要求；</w:t>
      </w:r>
    </w:p>
    <w:p w14:paraId="2B13D715">
      <w:pPr>
        <w:numPr>
          <w:ilvl w:val="0"/>
          <w:numId w:val="3"/>
        </w:numPr>
        <w:spacing w:line="240" w:lineRule="atLeast"/>
        <w:ind w:left="1080" w:leftChars="429" w:hanging="18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与其他投标人串通投标，或者与招标人串通投标；</w:t>
      </w:r>
    </w:p>
    <w:p w14:paraId="4FED61D7">
      <w:pPr>
        <w:numPr>
          <w:ilvl w:val="0"/>
          <w:numId w:val="3"/>
        </w:numPr>
        <w:spacing w:line="240" w:lineRule="atLeast"/>
        <w:ind w:left="1080" w:leftChars="429" w:hanging="18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属于招标文件规定的其他</w:t>
      </w:r>
      <w:r>
        <w:rPr>
          <w:rFonts w:hint="eastAsia" w:ascii="仿宋" w:hAnsi="仿宋" w:eastAsia="仿宋" w:cs="仿宋"/>
          <w:b/>
          <w:bCs/>
          <w:color w:val="auto"/>
          <w:sz w:val="28"/>
          <w:szCs w:val="28"/>
          <w:highlight w:val="none"/>
          <w:u w:val="single"/>
        </w:rPr>
        <w:t>投标无效</w:t>
      </w:r>
      <w:r>
        <w:rPr>
          <w:rFonts w:hint="eastAsia" w:ascii="仿宋" w:hAnsi="仿宋" w:eastAsia="仿宋" w:cs="仿宋"/>
          <w:color w:val="auto"/>
          <w:sz w:val="28"/>
          <w:szCs w:val="28"/>
          <w:highlight w:val="none"/>
          <w:u w:val="single"/>
        </w:rPr>
        <w:t>情形；</w:t>
      </w:r>
    </w:p>
    <w:p w14:paraId="50EBEBDC">
      <w:pPr>
        <w:numPr>
          <w:ilvl w:val="0"/>
          <w:numId w:val="3"/>
        </w:numPr>
        <w:spacing w:line="240" w:lineRule="atLeast"/>
        <w:ind w:left="1080" w:leftChars="429" w:hanging="18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评标委员会认为投标人的报价明显低于其他通过符合性检查投标人的报价，有可能影响履约的，且投标人未按照规定证明其报价合理性的；</w:t>
      </w:r>
    </w:p>
    <w:p w14:paraId="7FD24E4E">
      <w:pPr>
        <w:numPr>
          <w:ilvl w:val="0"/>
          <w:numId w:val="3"/>
        </w:numPr>
        <w:spacing w:line="240" w:lineRule="atLeast"/>
        <w:ind w:left="1080" w:leftChars="429" w:hanging="18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投标文件含有采购人不能接受的附加条件的；</w:t>
      </w:r>
    </w:p>
    <w:p w14:paraId="009947CF">
      <w:pPr>
        <w:numPr>
          <w:ilvl w:val="0"/>
          <w:numId w:val="3"/>
        </w:numPr>
        <w:tabs>
          <w:tab w:val="left" w:pos="0"/>
        </w:tabs>
        <w:spacing w:line="240" w:lineRule="atLeast"/>
        <w:ind w:left="1080" w:leftChars="429" w:hanging="18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不符合法规和招标文件中规定的其他实质性要求的。</w:t>
      </w:r>
    </w:p>
    <w:p w14:paraId="5D379711">
      <w:pPr>
        <w:pStyle w:val="6"/>
        <w:spacing w:before="0" w:after="0" w:line="240" w:lineRule="atLeast"/>
        <w:outlineLvl w:val="2"/>
        <w:rPr>
          <w:rFonts w:hint="eastAsia" w:ascii="仿宋" w:hAnsi="仿宋" w:eastAsia="仿宋" w:cs="仿宋"/>
          <w:color w:val="auto"/>
          <w:sz w:val="28"/>
          <w:szCs w:val="28"/>
          <w:highlight w:val="none"/>
          <w:u w:val="none"/>
        </w:rPr>
      </w:pPr>
      <w:bookmarkStart w:id="309" w:name="_Toc515647784"/>
      <w:bookmarkStart w:id="310" w:name="_Toc32520"/>
      <w:bookmarkStart w:id="311" w:name="_Toc13652"/>
      <w:bookmarkStart w:id="312" w:name="_Toc21594"/>
      <w:bookmarkStart w:id="313" w:name="_Toc22941"/>
      <w:bookmarkStart w:id="314" w:name="_Toc26124"/>
      <w:bookmarkStart w:id="315" w:name="_Toc6412"/>
      <w:bookmarkStart w:id="316" w:name="_Toc8521"/>
      <w:bookmarkStart w:id="317" w:name="_Toc10111"/>
      <w:r>
        <w:rPr>
          <w:rFonts w:hint="eastAsia" w:ascii="仿宋" w:hAnsi="仿宋" w:eastAsia="仿宋" w:cs="仿宋"/>
          <w:color w:val="auto"/>
          <w:sz w:val="28"/>
          <w:szCs w:val="28"/>
          <w:highlight w:val="none"/>
          <w:u w:val="none"/>
        </w:rPr>
        <w:t>23.</w:t>
      </w:r>
      <w:bookmarkEnd w:id="289"/>
      <w:r>
        <w:rPr>
          <w:rFonts w:hint="eastAsia" w:ascii="仿宋" w:hAnsi="仿宋" w:eastAsia="仿宋" w:cs="仿宋"/>
          <w:color w:val="auto"/>
          <w:sz w:val="28"/>
          <w:szCs w:val="28"/>
          <w:highlight w:val="none"/>
          <w:u w:val="none"/>
        </w:rPr>
        <w:t>比较与评价</w:t>
      </w:r>
      <w:bookmarkEnd w:id="309"/>
      <w:bookmarkEnd w:id="310"/>
      <w:bookmarkEnd w:id="311"/>
      <w:bookmarkEnd w:id="312"/>
      <w:bookmarkEnd w:id="313"/>
      <w:bookmarkEnd w:id="314"/>
      <w:bookmarkEnd w:id="315"/>
      <w:bookmarkEnd w:id="316"/>
      <w:bookmarkEnd w:id="317"/>
    </w:p>
    <w:p w14:paraId="2E4CFF5B">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23.1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经符合性审查合格的投标文件，评标委员会将根据招标文件确定的评标方法和标准，对其技术部分和商务部分</w:t>
      </w:r>
      <w:r>
        <w:rPr>
          <w:rFonts w:hint="eastAsia" w:ascii="仿宋" w:hAnsi="仿宋" w:eastAsia="仿宋" w:cs="仿宋"/>
          <w:color w:val="auto"/>
          <w:sz w:val="28"/>
          <w:szCs w:val="28"/>
          <w:highlight w:val="none"/>
          <w:lang w:val="en-US" w:eastAsia="zh-CN"/>
        </w:rPr>
        <w:t>做</w:t>
      </w:r>
      <w:r>
        <w:rPr>
          <w:rFonts w:hint="eastAsia" w:ascii="仿宋" w:hAnsi="仿宋" w:eastAsia="仿宋" w:cs="仿宋"/>
          <w:color w:val="auto"/>
          <w:sz w:val="28"/>
          <w:szCs w:val="28"/>
          <w:highlight w:val="none"/>
        </w:rPr>
        <w:t>进一步的比较和评价。</w:t>
      </w:r>
    </w:p>
    <w:p w14:paraId="73EAEB9F">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23.2  </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评标严格按照招标文件的要求和条件进行。根据实际情况，在</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中规定采用下列一种评标方法，详细评标标准见招标文件第六章：</w:t>
      </w:r>
    </w:p>
    <w:p w14:paraId="3CE9E01D">
      <w:pPr>
        <w:pStyle w:val="11"/>
        <w:spacing w:line="240" w:lineRule="atLeast"/>
        <w:ind w:left="899" w:leftChars="342" w:hanging="18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 最低评标价法，是指投标文件满足招标文件全部实质性要求，且投标报价最低的投标人为中标候选人的评标方法。</w:t>
      </w:r>
    </w:p>
    <w:p w14:paraId="49B57335">
      <w:pPr>
        <w:pStyle w:val="11"/>
        <w:spacing w:line="240" w:lineRule="atLeast"/>
        <w:ind w:left="898" w:leftChars="342" w:hanging="1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 综合评分法，是指投标文件满足招标文件全部实质性要求，且按照评审因素的量化指标评审得分最高的投标人为中标候选人的评标方法。</w:t>
      </w:r>
    </w:p>
    <w:p w14:paraId="1BE707F2">
      <w:pPr>
        <w:pStyle w:val="11"/>
        <w:spacing w:line="240" w:lineRule="atLeast"/>
        <w:ind w:left="900" w:hanging="1050" w:hangingChars="375"/>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 xml:space="preserve">23.3   </w:t>
      </w:r>
      <w:r>
        <w:rPr>
          <w:rFonts w:hint="eastAsia" w:ascii="仿宋" w:hAnsi="仿宋" w:eastAsia="仿宋" w:cs="仿宋"/>
          <w:color w:val="auto"/>
          <w:sz w:val="28"/>
          <w:szCs w:val="28"/>
          <w:highlight w:val="none"/>
          <w:u w:val="single"/>
        </w:rPr>
        <w:t>根据《政府采购促进中小企业发展管理办法》(财库「2020]46号)、《关于进一步加大政府采购支持中小企业力度的通知》(财库[2022]19号)《关于落实好政府采购支持中小企业发展的通知》（新财购〔2022〕22号）的规定。对满足价格扣除条件其投标报价扣除</w:t>
      </w:r>
      <w:r>
        <w:rPr>
          <w:rFonts w:hint="eastAsia" w:ascii="仿宋" w:hAnsi="仿宋" w:eastAsia="仿宋" w:cs="仿宋"/>
          <w:color w:val="auto"/>
          <w:sz w:val="28"/>
          <w:szCs w:val="28"/>
          <w:highlight w:val="none"/>
          <w:u w:val="single"/>
          <w:lang w:eastAsia="zh-CN"/>
        </w:rPr>
        <w:t>10%-20%</w:t>
      </w:r>
      <w:r>
        <w:rPr>
          <w:rFonts w:hint="eastAsia" w:ascii="仿宋" w:hAnsi="仿宋" w:eastAsia="仿宋" w:cs="仿宋"/>
          <w:color w:val="auto"/>
          <w:sz w:val="28"/>
          <w:szCs w:val="28"/>
          <w:highlight w:val="none"/>
          <w:u w:val="single"/>
        </w:rPr>
        <w:t>后参与评审。具体办法详见招标文件第6章。</w:t>
      </w:r>
    </w:p>
    <w:p w14:paraId="547341C3">
      <w:pPr>
        <w:pStyle w:val="6"/>
        <w:spacing w:before="0" w:after="0" w:line="240" w:lineRule="atLeast"/>
        <w:outlineLvl w:val="2"/>
        <w:rPr>
          <w:rFonts w:hint="eastAsia" w:ascii="仿宋" w:hAnsi="仿宋" w:eastAsia="仿宋" w:cs="仿宋"/>
          <w:color w:val="auto"/>
          <w:sz w:val="28"/>
          <w:szCs w:val="28"/>
          <w:highlight w:val="none"/>
          <w:u w:val="none"/>
        </w:rPr>
      </w:pPr>
      <w:bookmarkStart w:id="318" w:name="_Toc520356168"/>
      <w:bookmarkStart w:id="319" w:name="_Toc9378"/>
      <w:bookmarkStart w:id="320" w:name="_Toc16287"/>
      <w:bookmarkStart w:id="321" w:name="_Toc28468"/>
      <w:bookmarkStart w:id="322" w:name="_Toc515647785"/>
      <w:bookmarkStart w:id="323" w:name="_Toc7133"/>
      <w:bookmarkStart w:id="324" w:name="_Toc20227"/>
      <w:bookmarkStart w:id="325" w:name="_Toc22192"/>
      <w:bookmarkStart w:id="326" w:name="_Toc31728"/>
      <w:bookmarkStart w:id="327" w:name="_Toc19395"/>
      <w:r>
        <w:rPr>
          <w:rFonts w:hint="eastAsia" w:ascii="仿宋" w:hAnsi="仿宋" w:eastAsia="仿宋" w:cs="仿宋"/>
          <w:color w:val="auto"/>
          <w:sz w:val="28"/>
          <w:szCs w:val="28"/>
          <w:highlight w:val="none"/>
          <w:u w:val="none"/>
        </w:rPr>
        <w:t>24</w:t>
      </w:r>
      <w:bookmarkEnd w:id="318"/>
      <w:r>
        <w:rPr>
          <w:rFonts w:hint="eastAsia" w:ascii="仿宋" w:hAnsi="仿宋" w:eastAsia="仿宋" w:cs="仿宋"/>
          <w:color w:val="auto"/>
          <w:sz w:val="28"/>
          <w:szCs w:val="28"/>
          <w:highlight w:val="none"/>
          <w:u w:val="none"/>
        </w:rPr>
        <w:t>.废标</w:t>
      </w:r>
      <w:bookmarkEnd w:id="319"/>
      <w:bookmarkEnd w:id="320"/>
      <w:bookmarkEnd w:id="321"/>
      <w:bookmarkEnd w:id="322"/>
      <w:bookmarkEnd w:id="323"/>
      <w:bookmarkEnd w:id="324"/>
      <w:bookmarkEnd w:id="325"/>
      <w:bookmarkEnd w:id="326"/>
      <w:bookmarkEnd w:id="327"/>
    </w:p>
    <w:p w14:paraId="794C13C7">
      <w:pPr>
        <w:spacing w:line="240" w:lineRule="atLeast"/>
        <w:ind w:left="907" w:leftChars="399" w:hanging="70" w:hangingChars="25"/>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 xml:space="preserve">出现下列情形之一，将导致项目废标： </w:t>
      </w:r>
    </w:p>
    <w:p w14:paraId="1FF9BC89">
      <w:pPr>
        <w:spacing w:line="240" w:lineRule="atLeast"/>
        <w:ind w:left="900" w:hanging="1050" w:hangingChars="375"/>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rPr>
        <w:tab/>
      </w:r>
      <w:r>
        <w:rPr>
          <w:rFonts w:hint="eastAsia" w:ascii="仿宋" w:hAnsi="仿宋" w:eastAsia="仿宋" w:cs="仿宋"/>
          <w:color w:val="auto"/>
          <w:sz w:val="28"/>
          <w:szCs w:val="28"/>
          <w:highlight w:val="none"/>
          <w:u w:val="none"/>
        </w:rPr>
        <w:t>（1）符合专业条件的供应商或者对招标文件做实质性响应的供应商不足三家；</w:t>
      </w:r>
    </w:p>
    <w:p w14:paraId="4A45F986">
      <w:pPr>
        <w:spacing w:line="240" w:lineRule="atLeast"/>
        <w:ind w:left="900" w:hanging="1050" w:hangingChars="375"/>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rPr>
        <w:tab/>
      </w:r>
      <w:r>
        <w:rPr>
          <w:rFonts w:hint="eastAsia" w:ascii="仿宋" w:hAnsi="仿宋" w:eastAsia="仿宋" w:cs="仿宋"/>
          <w:color w:val="auto"/>
          <w:sz w:val="28"/>
          <w:szCs w:val="28"/>
          <w:highlight w:val="none"/>
          <w:u w:val="none"/>
        </w:rPr>
        <w:t>（2）出现影响采购公正的违法、违规行为的；</w:t>
      </w:r>
    </w:p>
    <w:p w14:paraId="7735AEFD">
      <w:pPr>
        <w:spacing w:line="240" w:lineRule="atLeast"/>
        <w:ind w:firstLine="980" w:firstLineChars="350"/>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rPr>
        <w:t>（3）投标人的报价均超过了采购预算，采购人不能支付的；</w:t>
      </w:r>
    </w:p>
    <w:p w14:paraId="43E5F71A">
      <w:pPr>
        <w:spacing w:line="240" w:lineRule="atLeast"/>
        <w:ind w:firstLine="980" w:firstLineChars="3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none"/>
        </w:rPr>
        <w:t xml:space="preserve">（4）因重大变故，采购任务取消的。 </w:t>
      </w:r>
      <w:r>
        <w:rPr>
          <w:rFonts w:hint="eastAsia" w:ascii="仿宋" w:hAnsi="仿宋" w:eastAsia="仿宋" w:cs="仿宋"/>
          <w:color w:val="auto"/>
          <w:sz w:val="28"/>
          <w:szCs w:val="28"/>
          <w:highlight w:val="none"/>
        </w:rPr>
        <w:t xml:space="preserve">  </w:t>
      </w:r>
    </w:p>
    <w:p w14:paraId="33125C41">
      <w:pPr>
        <w:pStyle w:val="6"/>
        <w:spacing w:before="0" w:after="0" w:line="240" w:lineRule="atLeast"/>
        <w:outlineLvl w:val="2"/>
        <w:rPr>
          <w:rFonts w:hint="eastAsia" w:ascii="仿宋" w:hAnsi="仿宋" w:eastAsia="仿宋" w:cs="仿宋"/>
          <w:color w:val="auto"/>
          <w:sz w:val="28"/>
          <w:szCs w:val="28"/>
          <w:highlight w:val="none"/>
          <w:u w:val="none"/>
        </w:rPr>
      </w:pPr>
      <w:bookmarkStart w:id="328" w:name="_Toc7662"/>
      <w:bookmarkStart w:id="329" w:name="_Toc1097"/>
      <w:bookmarkStart w:id="330" w:name="_Toc11175"/>
      <w:bookmarkStart w:id="331" w:name="_Toc515647786"/>
      <w:bookmarkStart w:id="332" w:name="_Toc8999"/>
      <w:bookmarkStart w:id="333" w:name="_Toc5790"/>
      <w:bookmarkStart w:id="334" w:name="_Toc31289"/>
      <w:bookmarkStart w:id="335" w:name="_Toc24972"/>
      <w:bookmarkStart w:id="336" w:name="_Toc10654"/>
      <w:bookmarkStart w:id="337" w:name="_Toc520356169"/>
      <w:r>
        <w:rPr>
          <w:rFonts w:hint="eastAsia" w:ascii="仿宋" w:hAnsi="仿宋" w:eastAsia="仿宋" w:cs="仿宋"/>
          <w:color w:val="auto"/>
          <w:sz w:val="28"/>
          <w:szCs w:val="28"/>
          <w:highlight w:val="none"/>
          <w:u w:val="none"/>
        </w:rPr>
        <w:t>25.保密原则</w:t>
      </w:r>
      <w:bookmarkEnd w:id="328"/>
      <w:bookmarkEnd w:id="329"/>
      <w:bookmarkEnd w:id="330"/>
      <w:bookmarkEnd w:id="331"/>
      <w:bookmarkEnd w:id="332"/>
      <w:bookmarkEnd w:id="333"/>
      <w:bookmarkEnd w:id="334"/>
      <w:bookmarkEnd w:id="335"/>
      <w:bookmarkEnd w:id="336"/>
    </w:p>
    <w:p w14:paraId="69839938">
      <w:pPr>
        <w:spacing w:line="240" w:lineRule="atLeast"/>
        <w:ind w:left="900" w:hanging="1050" w:hangingChars="375"/>
        <w:outlineLvl w:val="9"/>
        <w:rPr>
          <w:rFonts w:hint="eastAsia" w:ascii="仿宋" w:hAnsi="仿宋" w:eastAsia="仿宋" w:cs="仿宋"/>
          <w:color w:val="auto"/>
          <w:sz w:val="28"/>
          <w:szCs w:val="28"/>
          <w:highlight w:val="none"/>
        </w:rPr>
      </w:pPr>
      <w:bookmarkStart w:id="338" w:name="_Toc29389"/>
      <w:r>
        <w:rPr>
          <w:rFonts w:hint="eastAsia" w:ascii="仿宋" w:hAnsi="仿宋" w:eastAsia="仿宋" w:cs="仿宋"/>
          <w:color w:val="auto"/>
          <w:sz w:val="28"/>
          <w:szCs w:val="28"/>
          <w:highlight w:val="none"/>
        </w:rPr>
        <w:t>25.1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评标将在严格保密的情况下进行。</w:t>
      </w:r>
      <w:bookmarkEnd w:id="338"/>
    </w:p>
    <w:p w14:paraId="11A15BE3">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25.2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政府采购评审专家应当遵守评审工作纪律，不得泄露评审文件、评审情况和评审中获悉的商业秘密。</w:t>
      </w:r>
    </w:p>
    <w:p w14:paraId="4372B32D">
      <w:pPr>
        <w:spacing w:line="240" w:lineRule="atLeast"/>
        <w:ind w:left="1079" w:leftChars="257" w:hanging="540"/>
        <w:rPr>
          <w:rFonts w:hint="eastAsia" w:ascii="仿宋" w:hAnsi="仿宋" w:eastAsia="仿宋" w:cs="仿宋"/>
          <w:color w:val="auto"/>
          <w:sz w:val="28"/>
          <w:szCs w:val="28"/>
          <w:highlight w:val="none"/>
        </w:rPr>
      </w:pPr>
    </w:p>
    <w:p w14:paraId="630B6736">
      <w:pPr>
        <w:pStyle w:val="3"/>
        <w:spacing w:before="0" w:line="240" w:lineRule="atLeast"/>
        <w:ind w:left="1079" w:leftChars="257" w:hanging="540"/>
        <w:outlineLvl w:val="1"/>
        <w:rPr>
          <w:rFonts w:hint="eastAsia" w:ascii="仿宋" w:hAnsi="仿宋" w:eastAsia="仿宋" w:cs="仿宋"/>
          <w:color w:val="auto"/>
          <w:sz w:val="32"/>
          <w:szCs w:val="32"/>
          <w:highlight w:val="none"/>
        </w:rPr>
      </w:pPr>
      <w:bookmarkStart w:id="339" w:name="_Toc12143"/>
      <w:bookmarkStart w:id="340" w:name="_Toc2153"/>
      <w:bookmarkStart w:id="341" w:name="_Toc515647787"/>
      <w:bookmarkStart w:id="342" w:name="_Toc23904"/>
      <w:bookmarkStart w:id="343" w:name="_Toc216582810"/>
      <w:bookmarkStart w:id="344" w:name="_Toc15596"/>
      <w:bookmarkStart w:id="345" w:name="_Toc25404"/>
      <w:bookmarkStart w:id="346" w:name="_Toc9970"/>
      <w:r>
        <w:rPr>
          <w:rFonts w:hint="eastAsia" w:ascii="仿宋" w:hAnsi="仿宋" w:eastAsia="仿宋" w:cs="仿宋"/>
          <w:color w:val="auto"/>
          <w:sz w:val="32"/>
          <w:szCs w:val="32"/>
          <w:highlight w:val="none"/>
        </w:rPr>
        <w:t xml:space="preserve">六   </w:t>
      </w:r>
      <w:bookmarkEnd w:id="337"/>
      <w:r>
        <w:rPr>
          <w:rFonts w:hint="eastAsia" w:ascii="仿宋" w:hAnsi="仿宋" w:eastAsia="仿宋" w:cs="仿宋"/>
          <w:color w:val="auto"/>
          <w:sz w:val="32"/>
          <w:szCs w:val="32"/>
          <w:highlight w:val="none"/>
        </w:rPr>
        <w:t>确定中标</w:t>
      </w:r>
      <w:bookmarkEnd w:id="339"/>
      <w:bookmarkEnd w:id="340"/>
      <w:bookmarkEnd w:id="341"/>
      <w:bookmarkEnd w:id="342"/>
      <w:bookmarkEnd w:id="343"/>
      <w:bookmarkEnd w:id="344"/>
      <w:bookmarkEnd w:id="345"/>
      <w:bookmarkEnd w:id="346"/>
    </w:p>
    <w:p w14:paraId="3D163809">
      <w:pPr>
        <w:pStyle w:val="6"/>
        <w:spacing w:before="0" w:after="0" w:line="240" w:lineRule="atLeast"/>
        <w:outlineLvl w:val="2"/>
        <w:rPr>
          <w:rFonts w:hint="eastAsia" w:ascii="仿宋" w:hAnsi="仿宋" w:eastAsia="仿宋" w:cs="仿宋"/>
          <w:color w:val="auto"/>
          <w:sz w:val="28"/>
          <w:szCs w:val="28"/>
          <w:highlight w:val="none"/>
          <w:u w:val="none"/>
        </w:rPr>
      </w:pPr>
      <w:bookmarkStart w:id="347" w:name="_Toc28066"/>
      <w:bookmarkStart w:id="348" w:name="_Toc14143"/>
      <w:bookmarkStart w:id="349" w:name="_Toc17332"/>
      <w:bookmarkStart w:id="350" w:name="_Toc515647788"/>
      <w:bookmarkStart w:id="351" w:name="_Ref467307010"/>
      <w:bookmarkStart w:id="352" w:name="_Toc16263"/>
      <w:bookmarkStart w:id="353" w:name="_Toc10401"/>
      <w:bookmarkStart w:id="354" w:name="_Toc23617"/>
      <w:bookmarkStart w:id="355" w:name="_Toc520356170"/>
      <w:bookmarkStart w:id="356" w:name="_Toc29170"/>
      <w:bookmarkStart w:id="357" w:name="_Toc23762"/>
      <w:r>
        <w:rPr>
          <w:rFonts w:hint="eastAsia" w:ascii="仿宋" w:hAnsi="仿宋" w:eastAsia="仿宋" w:cs="仿宋"/>
          <w:color w:val="auto"/>
          <w:sz w:val="28"/>
          <w:szCs w:val="28"/>
          <w:highlight w:val="none"/>
          <w:u w:val="none"/>
        </w:rPr>
        <w:t>26.中标候选人的确定原则及标准</w:t>
      </w:r>
      <w:bookmarkEnd w:id="347"/>
      <w:bookmarkEnd w:id="348"/>
      <w:bookmarkEnd w:id="349"/>
      <w:bookmarkEnd w:id="350"/>
      <w:bookmarkEnd w:id="351"/>
      <w:bookmarkEnd w:id="352"/>
      <w:bookmarkEnd w:id="353"/>
      <w:bookmarkEnd w:id="354"/>
      <w:bookmarkEnd w:id="355"/>
      <w:bookmarkEnd w:id="356"/>
      <w:bookmarkEnd w:id="357"/>
    </w:p>
    <w:p w14:paraId="485DDB3D">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除第28条规定外，对实质上响应招标文件的投标人按下列方法进行排序，确定投标候选人：</w:t>
      </w:r>
    </w:p>
    <w:p w14:paraId="04F9F1ED">
      <w:pPr>
        <w:spacing w:line="240" w:lineRule="atLeast"/>
        <w:ind w:left="901"/>
        <w:rPr>
          <w:rFonts w:hint="eastAsia" w:ascii="仿宋" w:hAnsi="仿宋" w:eastAsia="仿宋" w:cs="仿宋"/>
          <w:color w:val="auto"/>
          <w:sz w:val="28"/>
          <w:szCs w:val="28"/>
          <w:highlight w:val="none"/>
        </w:rPr>
      </w:pPr>
      <w:bookmarkStart w:id="358" w:name="_Toc520356171"/>
      <w:bookmarkStart w:id="359" w:name="_Toc515647789"/>
      <w:r>
        <w:rPr>
          <w:rFonts w:hint="eastAsia" w:ascii="仿宋" w:hAnsi="仿宋" w:eastAsia="仿宋" w:cs="仿宋"/>
          <w:color w:val="auto"/>
          <w:sz w:val="28"/>
          <w:szCs w:val="28"/>
          <w:highlight w:val="none"/>
        </w:rPr>
        <w:t>（1）采用最低评标价法的，除了算术修正和落实政府采购政策需进行的价格扣除外，不对投标人的投标价格进行任何调整。评标结果按修正和扣除后的投标报价由低到高顺序排列。报价相同的处理方式详见招标文件第6章。</w:t>
      </w:r>
    </w:p>
    <w:p w14:paraId="3D2310B2">
      <w:pPr>
        <w:spacing w:line="240" w:lineRule="atLeast"/>
        <w:ind w:left="90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（2）采用综合评分法的，评标结果按评审后得分由高到低顺序排列。得分相同的，按修正和扣除后的投标报价由低到高顺序排列。得分与投标报价均相同的处理方式详见招标文件第6章。</w:t>
      </w:r>
    </w:p>
    <w:p w14:paraId="3696B140">
      <w:pPr>
        <w:pStyle w:val="6"/>
        <w:spacing w:before="0" w:after="0" w:line="240" w:lineRule="atLeast"/>
        <w:outlineLvl w:val="2"/>
        <w:rPr>
          <w:rFonts w:hint="eastAsia" w:ascii="仿宋" w:hAnsi="仿宋" w:eastAsia="仿宋" w:cs="仿宋"/>
          <w:color w:val="auto"/>
          <w:sz w:val="28"/>
          <w:szCs w:val="28"/>
          <w:highlight w:val="none"/>
          <w:u w:val="none"/>
        </w:rPr>
      </w:pPr>
      <w:bookmarkStart w:id="360" w:name="_Toc11082"/>
      <w:bookmarkStart w:id="361" w:name="_Toc12405"/>
      <w:bookmarkStart w:id="362" w:name="_Toc26893"/>
      <w:bookmarkStart w:id="363" w:name="_Toc23951"/>
      <w:bookmarkStart w:id="364" w:name="_Toc9653"/>
      <w:bookmarkStart w:id="365" w:name="_Toc15456"/>
      <w:bookmarkStart w:id="366" w:name="_Toc19950"/>
      <w:bookmarkStart w:id="367" w:name="_Toc6456"/>
      <w:r>
        <w:rPr>
          <w:rFonts w:hint="eastAsia" w:ascii="仿宋" w:hAnsi="仿宋" w:eastAsia="仿宋" w:cs="仿宋"/>
          <w:color w:val="auto"/>
          <w:sz w:val="28"/>
          <w:szCs w:val="28"/>
          <w:highlight w:val="none"/>
          <w:u w:val="none"/>
        </w:rPr>
        <w:t>27</w:t>
      </w:r>
      <w:bookmarkEnd w:id="358"/>
      <w:r>
        <w:rPr>
          <w:rFonts w:hint="eastAsia" w:ascii="仿宋" w:hAnsi="仿宋" w:eastAsia="仿宋" w:cs="仿宋"/>
          <w:color w:val="auto"/>
          <w:sz w:val="28"/>
          <w:szCs w:val="28"/>
          <w:highlight w:val="none"/>
          <w:u w:val="none"/>
        </w:rPr>
        <w:t>.确定中标候选人和中标人</w:t>
      </w:r>
      <w:bookmarkEnd w:id="359"/>
      <w:bookmarkEnd w:id="360"/>
      <w:bookmarkEnd w:id="361"/>
      <w:bookmarkEnd w:id="362"/>
      <w:bookmarkEnd w:id="363"/>
      <w:bookmarkEnd w:id="364"/>
      <w:bookmarkEnd w:id="365"/>
      <w:bookmarkEnd w:id="366"/>
      <w:bookmarkEnd w:id="367"/>
    </w:p>
    <w:p w14:paraId="63133634">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评标委员会将根据评标标准，按</w:t>
      </w:r>
      <w:r>
        <w:rPr>
          <w:rFonts w:hint="eastAsia" w:ascii="仿宋" w:hAnsi="仿宋" w:eastAsia="仿宋" w:cs="仿宋"/>
          <w:b/>
          <w:bCs/>
          <w:color w:val="auto"/>
          <w:sz w:val="28"/>
          <w:szCs w:val="28"/>
          <w:highlight w:val="none"/>
          <w:u w:val="single"/>
        </w:rPr>
        <w:t>投标人须知资料表中</w:t>
      </w:r>
      <w:r>
        <w:rPr>
          <w:rFonts w:hint="eastAsia" w:ascii="仿宋" w:hAnsi="仿宋" w:eastAsia="仿宋" w:cs="仿宋"/>
          <w:color w:val="auto"/>
          <w:sz w:val="28"/>
          <w:szCs w:val="28"/>
          <w:highlight w:val="none"/>
        </w:rPr>
        <w:t>规定数量推荐中标候选人；或根据采购人的委托，直接确定中标人。</w:t>
      </w:r>
    </w:p>
    <w:p w14:paraId="7690E0DB">
      <w:pPr>
        <w:pStyle w:val="6"/>
        <w:spacing w:before="0" w:after="0" w:line="240" w:lineRule="atLeast"/>
        <w:outlineLvl w:val="2"/>
        <w:rPr>
          <w:rFonts w:hint="eastAsia" w:ascii="仿宋" w:hAnsi="仿宋" w:eastAsia="仿宋" w:cs="仿宋"/>
          <w:color w:val="auto"/>
          <w:sz w:val="28"/>
          <w:szCs w:val="28"/>
          <w:highlight w:val="none"/>
          <w:u w:val="none"/>
        </w:rPr>
      </w:pPr>
      <w:bookmarkStart w:id="368" w:name="_Toc520356173"/>
      <w:bookmarkStart w:id="369" w:name="_Ref467306874"/>
      <w:bookmarkStart w:id="370" w:name="_Toc28562"/>
      <w:bookmarkStart w:id="371" w:name="_Toc515647790"/>
      <w:bookmarkStart w:id="372" w:name="_Toc9177"/>
      <w:bookmarkStart w:id="373" w:name="_Toc13782"/>
      <w:bookmarkStart w:id="374" w:name="_Toc13827"/>
      <w:bookmarkStart w:id="375" w:name="_Toc20977"/>
      <w:bookmarkStart w:id="376" w:name="_Toc8389"/>
      <w:bookmarkStart w:id="377" w:name="_Toc7349"/>
      <w:bookmarkStart w:id="378" w:name="_Toc19855"/>
      <w:r>
        <w:rPr>
          <w:rFonts w:hint="eastAsia" w:ascii="仿宋" w:hAnsi="仿宋" w:eastAsia="仿宋" w:cs="仿宋"/>
          <w:color w:val="auto"/>
          <w:sz w:val="28"/>
          <w:szCs w:val="28"/>
          <w:highlight w:val="none"/>
          <w:u w:val="none"/>
        </w:rPr>
        <w:t>28.</w:t>
      </w:r>
      <w:bookmarkEnd w:id="368"/>
      <w:bookmarkEnd w:id="369"/>
      <w:r>
        <w:rPr>
          <w:rFonts w:hint="eastAsia" w:ascii="仿宋" w:hAnsi="仿宋" w:eastAsia="仿宋" w:cs="仿宋"/>
          <w:color w:val="auto"/>
          <w:sz w:val="28"/>
          <w:szCs w:val="28"/>
          <w:highlight w:val="none"/>
          <w:u w:val="none"/>
        </w:rPr>
        <w:t>采购任务取消</w:t>
      </w:r>
      <w:bookmarkEnd w:id="370"/>
      <w:bookmarkEnd w:id="371"/>
      <w:bookmarkEnd w:id="372"/>
      <w:bookmarkEnd w:id="373"/>
      <w:bookmarkEnd w:id="374"/>
      <w:bookmarkEnd w:id="375"/>
      <w:bookmarkEnd w:id="376"/>
      <w:bookmarkEnd w:id="377"/>
      <w:bookmarkEnd w:id="378"/>
    </w:p>
    <w:p w14:paraId="221C46DC">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因重大变故采购任务取消时，采购人有权拒绝任何投标人中标，且对受影响的投标人不承担任何责任。</w:t>
      </w:r>
      <w:bookmarkStart w:id="379" w:name="_Toc520356174"/>
    </w:p>
    <w:p w14:paraId="09172CF0">
      <w:pPr>
        <w:pStyle w:val="6"/>
        <w:spacing w:before="0" w:after="0" w:line="240" w:lineRule="atLeast"/>
        <w:outlineLvl w:val="2"/>
        <w:rPr>
          <w:rFonts w:hint="eastAsia" w:ascii="仿宋" w:hAnsi="仿宋" w:eastAsia="仿宋" w:cs="仿宋"/>
          <w:color w:val="auto"/>
          <w:sz w:val="28"/>
          <w:szCs w:val="28"/>
          <w:highlight w:val="none"/>
          <w:u w:val="none"/>
        </w:rPr>
      </w:pPr>
      <w:bookmarkStart w:id="380" w:name="_Toc16602"/>
      <w:bookmarkStart w:id="381" w:name="_Toc15426"/>
      <w:bookmarkStart w:id="382" w:name="_Toc30170"/>
      <w:bookmarkStart w:id="383" w:name="_Toc31142"/>
      <w:bookmarkStart w:id="384" w:name="_Toc31099"/>
      <w:bookmarkStart w:id="385" w:name="_Toc18680"/>
      <w:bookmarkStart w:id="386" w:name="_Toc515647791"/>
      <w:bookmarkStart w:id="387" w:name="_Toc19206"/>
      <w:bookmarkStart w:id="388" w:name="_Toc15891"/>
      <w:r>
        <w:rPr>
          <w:rFonts w:hint="eastAsia" w:ascii="仿宋" w:hAnsi="仿宋" w:eastAsia="仿宋" w:cs="仿宋"/>
          <w:color w:val="auto"/>
          <w:sz w:val="28"/>
          <w:szCs w:val="28"/>
          <w:highlight w:val="none"/>
          <w:u w:val="none"/>
        </w:rPr>
        <w:t>29.中标通知书</w:t>
      </w:r>
      <w:bookmarkEnd w:id="379"/>
      <w:r>
        <w:rPr>
          <w:rFonts w:hint="eastAsia" w:ascii="仿宋" w:hAnsi="仿宋" w:eastAsia="仿宋" w:cs="仿宋"/>
          <w:color w:val="auto"/>
          <w:sz w:val="28"/>
          <w:szCs w:val="28"/>
          <w:highlight w:val="none"/>
          <w:u w:val="none"/>
        </w:rPr>
        <w:t>和招标结果通知书</w:t>
      </w:r>
      <w:bookmarkEnd w:id="380"/>
      <w:bookmarkEnd w:id="381"/>
      <w:bookmarkEnd w:id="382"/>
      <w:bookmarkEnd w:id="383"/>
      <w:bookmarkEnd w:id="384"/>
      <w:bookmarkEnd w:id="385"/>
      <w:bookmarkEnd w:id="386"/>
      <w:bookmarkEnd w:id="387"/>
      <w:bookmarkEnd w:id="388"/>
    </w:p>
    <w:p w14:paraId="3F0A085C">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29.1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在投标有效期内，中标人确定后，采购人或者采购代理机构发布中标公告，同时以书面形式向中标人发出中标通知书。</w:t>
      </w:r>
    </w:p>
    <w:p w14:paraId="3E1FB985">
      <w:pPr>
        <w:spacing w:line="240" w:lineRule="atLeast"/>
        <w:ind w:left="900" w:hanging="1050" w:hangingChars="375"/>
        <w:outlineLvl w:val="9"/>
        <w:rPr>
          <w:rFonts w:hint="eastAsia" w:ascii="仿宋" w:hAnsi="仿宋" w:eastAsia="仿宋" w:cs="仿宋"/>
          <w:color w:val="auto"/>
          <w:sz w:val="28"/>
          <w:szCs w:val="28"/>
          <w:highlight w:val="none"/>
        </w:rPr>
      </w:pPr>
      <w:bookmarkStart w:id="389" w:name="_Toc10021"/>
      <w:r>
        <w:rPr>
          <w:rFonts w:hint="eastAsia" w:ascii="仿宋" w:hAnsi="仿宋" w:eastAsia="仿宋" w:cs="仿宋"/>
          <w:color w:val="auto"/>
          <w:sz w:val="28"/>
          <w:szCs w:val="28"/>
          <w:highlight w:val="none"/>
        </w:rPr>
        <w:t>29.2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中标通知书是合同的组成部分。</w:t>
      </w:r>
      <w:bookmarkEnd w:id="389"/>
    </w:p>
    <w:p w14:paraId="3D8B35AC">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29.3    招标结果通知书和中标通知书同时发出。招标结果通知书中将告知未通过资格审查的投标人未通过的原因；采用综合评分法评审的，还将告知未中标人本人的评审得分和排序。</w:t>
      </w:r>
    </w:p>
    <w:p w14:paraId="2E7A7F3F">
      <w:pPr>
        <w:pStyle w:val="6"/>
        <w:spacing w:before="0" w:after="0" w:line="240" w:lineRule="atLeast"/>
        <w:outlineLvl w:val="2"/>
        <w:rPr>
          <w:rFonts w:hint="eastAsia" w:ascii="仿宋" w:hAnsi="仿宋" w:eastAsia="仿宋" w:cs="仿宋"/>
          <w:color w:val="auto"/>
          <w:sz w:val="28"/>
          <w:szCs w:val="28"/>
          <w:highlight w:val="none"/>
          <w:u w:val="none"/>
        </w:rPr>
      </w:pPr>
      <w:bookmarkStart w:id="390" w:name="_Ref467306978"/>
      <w:bookmarkStart w:id="391" w:name="_Ref467307204"/>
      <w:bookmarkStart w:id="392" w:name="_Toc26532"/>
      <w:bookmarkStart w:id="393" w:name="_Toc7779"/>
      <w:bookmarkStart w:id="394" w:name="_Toc15765"/>
      <w:bookmarkStart w:id="395" w:name="_Toc10611"/>
      <w:bookmarkStart w:id="396" w:name="_Ref467306377"/>
      <w:bookmarkStart w:id="397" w:name="_Toc14795"/>
      <w:bookmarkStart w:id="398" w:name="_Ref467307062"/>
      <w:bookmarkStart w:id="399" w:name="_Toc520356175"/>
      <w:bookmarkStart w:id="400" w:name="_Toc1948"/>
      <w:bookmarkStart w:id="401" w:name="_Toc7147"/>
      <w:bookmarkStart w:id="402" w:name="_Toc790"/>
      <w:bookmarkStart w:id="403" w:name="_Toc515647792"/>
      <w:r>
        <w:rPr>
          <w:rFonts w:hint="eastAsia" w:ascii="仿宋" w:hAnsi="仿宋" w:eastAsia="仿宋" w:cs="仿宋"/>
          <w:color w:val="auto"/>
          <w:sz w:val="28"/>
          <w:szCs w:val="28"/>
          <w:highlight w:val="none"/>
          <w:u w:val="none"/>
        </w:rPr>
        <w:t>30.签订合同</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14:paraId="5BBB7925">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30.1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中标人应当自发出中标通知书之日起30日内，与采购人签订合同。</w:t>
      </w:r>
    </w:p>
    <w:p w14:paraId="5338D47D">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30.2</w:t>
      </w:r>
      <w:r>
        <w:rPr>
          <w:rFonts w:hint="eastAsia" w:ascii="仿宋" w:hAnsi="仿宋" w:eastAsia="仿宋" w:cs="仿宋"/>
          <w:color w:val="auto"/>
          <w:sz w:val="28"/>
          <w:szCs w:val="28"/>
          <w:highlight w:val="none"/>
        </w:rPr>
        <w:tab/>
      </w:r>
      <w:bookmarkStart w:id="404" w:name="_Ref467306425"/>
      <w:bookmarkStart w:id="405" w:name="_Ref467307090"/>
      <w:bookmarkStart w:id="406" w:name="_Toc520356176"/>
      <w:r>
        <w:rPr>
          <w:rFonts w:hint="eastAsia" w:ascii="仿宋" w:hAnsi="仿宋" w:eastAsia="仿宋" w:cs="仿宋"/>
          <w:color w:val="auto"/>
          <w:sz w:val="28"/>
          <w:szCs w:val="28"/>
          <w:highlight w:val="none"/>
        </w:rPr>
        <w:t>招标文件、中标人的投标文件及其澄清文件等，均为签订合同的依据。</w:t>
      </w:r>
    </w:p>
    <w:p w14:paraId="4AFFF753">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30.3   中标人拒绝与采购人签订合同的，采购人可以按照评审报告推荐的中标候选人名单排序，确定下一中标候选人为中标人，也可以重新开展政府采购活动。</w:t>
      </w:r>
    </w:p>
    <w:p w14:paraId="052AA410">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30.4   当出现法规规定的</w:t>
      </w:r>
      <w:r>
        <w:rPr>
          <w:rFonts w:hint="eastAsia" w:ascii="仿宋" w:hAnsi="仿宋" w:eastAsia="仿宋" w:cs="仿宋"/>
          <w:b/>
          <w:color w:val="auto"/>
          <w:sz w:val="28"/>
          <w:szCs w:val="28"/>
          <w:highlight w:val="none"/>
        </w:rPr>
        <w:t>中标无效或中标结果无效</w:t>
      </w:r>
      <w:r>
        <w:rPr>
          <w:rFonts w:hint="eastAsia" w:ascii="仿宋" w:hAnsi="仿宋" w:eastAsia="仿宋" w:cs="仿宋"/>
          <w:color w:val="auto"/>
          <w:sz w:val="28"/>
          <w:szCs w:val="28"/>
          <w:highlight w:val="none"/>
        </w:rPr>
        <w:t>情形时，采购人可与排名下一位的中标候选人另行签订合同，或依法重新开展采购活动。</w:t>
      </w:r>
    </w:p>
    <w:p w14:paraId="2364350D">
      <w:pPr>
        <w:pStyle w:val="6"/>
        <w:spacing w:before="0" w:after="0" w:line="240" w:lineRule="atLeast"/>
        <w:outlineLvl w:val="2"/>
        <w:rPr>
          <w:rFonts w:hint="eastAsia" w:ascii="仿宋" w:hAnsi="仿宋" w:eastAsia="仿宋" w:cs="仿宋"/>
          <w:color w:val="auto"/>
          <w:sz w:val="28"/>
          <w:szCs w:val="28"/>
          <w:highlight w:val="none"/>
          <w:u w:val="none"/>
        </w:rPr>
      </w:pPr>
      <w:bookmarkStart w:id="407" w:name="_Toc14080"/>
      <w:bookmarkStart w:id="408" w:name="_Toc515647793"/>
      <w:bookmarkStart w:id="409" w:name="_Toc30172"/>
      <w:bookmarkStart w:id="410" w:name="_Toc13062"/>
      <w:bookmarkStart w:id="411" w:name="_Toc22555"/>
      <w:bookmarkStart w:id="412" w:name="_Toc7188"/>
      <w:bookmarkStart w:id="413" w:name="_Toc20679"/>
      <w:bookmarkStart w:id="414" w:name="_Toc12559"/>
      <w:bookmarkStart w:id="415" w:name="_Toc29920"/>
      <w:r>
        <w:rPr>
          <w:rFonts w:hint="eastAsia" w:ascii="仿宋" w:hAnsi="仿宋" w:eastAsia="仿宋" w:cs="仿宋"/>
          <w:color w:val="auto"/>
          <w:sz w:val="28"/>
          <w:szCs w:val="28"/>
          <w:highlight w:val="none"/>
          <w:u w:val="none"/>
        </w:rPr>
        <w:t>31.履约保证金</w:t>
      </w:r>
      <w:bookmarkEnd w:id="404"/>
      <w:bookmarkEnd w:id="405"/>
      <w:bookmarkEnd w:id="406"/>
      <w:bookmarkEnd w:id="407"/>
      <w:bookmarkEnd w:id="408"/>
      <w:bookmarkEnd w:id="409"/>
      <w:bookmarkEnd w:id="410"/>
      <w:bookmarkEnd w:id="411"/>
      <w:bookmarkEnd w:id="412"/>
      <w:bookmarkEnd w:id="413"/>
      <w:bookmarkEnd w:id="414"/>
      <w:bookmarkEnd w:id="415"/>
    </w:p>
    <w:p w14:paraId="00D17C0C">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31.1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中标人应按照</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规定向采购人缴纳履约保证金（如采用保函形式，格式见本章附件1）。</w:t>
      </w:r>
    </w:p>
    <w:p w14:paraId="59CCD03D">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31.2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政府采购利用担保试点范围内的项目，除31.1规定的情形外，中标人也可以按照财政部门的规定，向采购人提供合格的履约担保函（格式见本章附件2）。</w:t>
      </w:r>
    </w:p>
    <w:p w14:paraId="0D696FEC">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31.3   如果中标人没有按照上述履约保证金的规定执行，将视为放弃中标资格，中标人的投标保证金将不予退还。在此情况下，采购人可确定下一候选人为中标人，也可以重新开展采购活动。</w:t>
      </w:r>
    </w:p>
    <w:p w14:paraId="7A430BBA">
      <w:pPr>
        <w:pStyle w:val="6"/>
        <w:spacing w:before="0" w:after="0" w:line="240" w:lineRule="atLeast"/>
        <w:outlineLvl w:val="2"/>
        <w:rPr>
          <w:rFonts w:hint="eastAsia" w:ascii="仿宋" w:hAnsi="仿宋" w:eastAsia="仿宋" w:cs="仿宋"/>
          <w:color w:val="auto"/>
          <w:sz w:val="28"/>
          <w:szCs w:val="28"/>
          <w:highlight w:val="none"/>
          <w:u w:val="none"/>
        </w:rPr>
      </w:pPr>
      <w:bookmarkStart w:id="416" w:name="_Toc19317"/>
      <w:bookmarkStart w:id="417" w:name="_Toc31936"/>
      <w:bookmarkStart w:id="418" w:name="_Toc3090"/>
      <w:bookmarkStart w:id="419" w:name="_Toc515647794"/>
      <w:bookmarkStart w:id="420" w:name="_Toc30556"/>
      <w:bookmarkStart w:id="421" w:name="_Toc2263"/>
      <w:bookmarkStart w:id="422" w:name="_Toc357"/>
      <w:bookmarkStart w:id="423" w:name="_Toc7174"/>
      <w:bookmarkStart w:id="424" w:name="_Toc29408"/>
      <w:r>
        <w:rPr>
          <w:rFonts w:hint="eastAsia" w:ascii="仿宋" w:hAnsi="仿宋" w:eastAsia="仿宋" w:cs="仿宋"/>
          <w:color w:val="auto"/>
          <w:sz w:val="28"/>
          <w:szCs w:val="28"/>
          <w:highlight w:val="none"/>
          <w:u w:val="none"/>
        </w:rPr>
        <w:t>32.中标服务费</w:t>
      </w:r>
      <w:bookmarkEnd w:id="416"/>
      <w:bookmarkEnd w:id="417"/>
      <w:bookmarkEnd w:id="418"/>
      <w:bookmarkEnd w:id="419"/>
      <w:bookmarkEnd w:id="420"/>
      <w:bookmarkEnd w:id="421"/>
      <w:bookmarkEnd w:id="422"/>
      <w:bookmarkEnd w:id="423"/>
      <w:bookmarkEnd w:id="424"/>
    </w:p>
    <w:p w14:paraId="25F8D7D7">
      <w:pPr>
        <w:spacing w:line="240" w:lineRule="atLeast"/>
        <w:ind w:left="910" w:leftChars="200" w:hanging="490" w:hangingChars="175"/>
        <w:rPr>
          <w:rFonts w:hint="eastAsia" w:ascii="仿宋" w:hAnsi="仿宋" w:eastAsia="仿宋" w:cs="仿宋"/>
          <w:b/>
          <w:bCs/>
          <w:color w:val="auto"/>
          <w:sz w:val="28"/>
          <w:szCs w:val="28"/>
          <w:highlight w:val="none"/>
        </w:rPr>
      </w:pPr>
      <w:r>
        <w:rPr>
          <w:rFonts w:hint="eastAsia" w:ascii="仿宋" w:hAnsi="仿宋" w:eastAsia="仿宋" w:cs="仿宋"/>
          <w:color w:val="auto"/>
          <w:sz w:val="28"/>
          <w:szCs w:val="28"/>
          <w:highlight w:val="none"/>
        </w:rPr>
        <w:t xml:space="preserve">   中标人须按照</w:t>
      </w:r>
      <w:r>
        <w:rPr>
          <w:rFonts w:hint="eastAsia" w:ascii="仿宋" w:hAnsi="仿宋" w:eastAsia="仿宋" w:cs="仿宋"/>
          <w:b/>
          <w:bCs/>
          <w:color w:val="auto"/>
          <w:sz w:val="28"/>
          <w:szCs w:val="28"/>
          <w:highlight w:val="none"/>
          <w:u w:val="single"/>
        </w:rPr>
        <w:t>投标须知资料表</w:t>
      </w:r>
      <w:r>
        <w:rPr>
          <w:rFonts w:hint="eastAsia" w:ascii="仿宋" w:hAnsi="仿宋" w:eastAsia="仿宋" w:cs="仿宋"/>
          <w:color w:val="auto"/>
          <w:sz w:val="28"/>
          <w:szCs w:val="28"/>
          <w:highlight w:val="none"/>
        </w:rPr>
        <w:t>规定，向采购代理机构支付中标服务费。</w:t>
      </w:r>
    </w:p>
    <w:p w14:paraId="3F4BCA0E">
      <w:pPr>
        <w:pStyle w:val="6"/>
        <w:spacing w:before="0" w:after="0" w:line="240" w:lineRule="atLeast"/>
        <w:outlineLvl w:val="2"/>
        <w:rPr>
          <w:rFonts w:hint="eastAsia" w:ascii="仿宋" w:hAnsi="仿宋" w:eastAsia="仿宋" w:cs="仿宋"/>
          <w:color w:val="auto"/>
          <w:sz w:val="28"/>
          <w:szCs w:val="28"/>
          <w:highlight w:val="none"/>
          <w:u w:val="none"/>
        </w:rPr>
      </w:pPr>
      <w:bookmarkStart w:id="425" w:name="_Toc29155"/>
      <w:bookmarkStart w:id="426" w:name="_Toc515647795"/>
      <w:bookmarkStart w:id="427" w:name="_Toc31074"/>
      <w:bookmarkStart w:id="428" w:name="_Toc14418"/>
      <w:bookmarkStart w:id="429" w:name="_Toc16593"/>
      <w:bookmarkStart w:id="430" w:name="_Toc18671"/>
      <w:bookmarkStart w:id="431" w:name="_Toc7049"/>
      <w:bookmarkStart w:id="432" w:name="_Toc13588"/>
      <w:r>
        <w:rPr>
          <w:rFonts w:hint="eastAsia" w:ascii="仿宋" w:hAnsi="仿宋" w:eastAsia="仿宋" w:cs="仿宋"/>
          <w:color w:val="auto"/>
          <w:sz w:val="28"/>
          <w:szCs w:val="28"/>
          <w:highlight w:val="none"/>
          <w:u w:val="none"/>
        </w:rPr>
        <w:t>33.政府采购信用担保</w:t>
      </w:r>
      <w:bookmarkEnd w:id="425"/>
      <w:bookmarkEnd w:id="426"/>
      <w:bookmarkEnd w:id="427"/>
      <w:bookmarkEnd w:id="428"/>
      <w:bookmarkEnd w:id="429"/>
      <w:bookmarkEnd w:id="430"/>
      <w:bookmarkEnd w:id="431"/>
      <w:bookmarkEnd w:id="432"/>
    </w:p>
    <w:p w14:paraId="66FF408C">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33.1   本项目是否属于信用担保试点范围见</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w:t>
      </w:r>
    </w:p>
    <w:p w14:paraId="27E8C363">
      <w:pPr>
        <w:spacing w:line="240" w:lineRule="atLeast"/>
        <w:ind w:left="850" w:hanging="991" w:hangingChars="354"/>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33.2   如属于政府采购信用担保试点范围内，中小型企业投标人可以自由按照财政部门的规定，采用投标担保、履约担保和融资担保。</w:t>
      </w:r>
    </w:p>
    <w:p w14:paraId="7A3C2894">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33.2.1 投标人递交的投标担保函和履约担保函应符合本招标文件的规定。</w:t>
      </w:r>
    </w:p>
    <w:p w14:paraId="34CDD033">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33.2.2 中标人可以采取融资担保的形式为政府采购项目履约进行融资。</w:t>
      </w:r>
    </w:p>
    <w:p w14:paraId="1B3346FA">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33.2.3 合格的政府采购专业信用担保机构名单见</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w:t>
      </w:r>
    </w:p>
    <w:p w14:paraId="1C0771F2">
      <w:pPr>
        <w:pStyle w:val="6"/>
        <w:spacing w:before="0" w:after="0" w:line="240" w:lineRule="atLeast"/>
        <w:outlineLvl w:val="2"/>
        <w:rPr>
          <w:rFonts w:hint="eastAsia" w:ascii="仿宋" w:hAnsi="仿宋" w:eastAsia="仿宋" w:cs="仿宋"/>
          <w:color w:val="auto"/>
          <w:sz w:val="28"/>
          <w:szCs w:val="28"/>
          <w:highlight w:val="none"/>
          <w:u w:val="none"/>
        </w:rPr>
      </w:pPr>
      <w:bookmarkStart w:id="433" w:name="_Toc27198"/>
      <w:bookmarkStart w:id="434" w:name="_Toc515647796"/>
      <w:bookmarkStart w:id="435" w:name="_Toc17225"/>
      <w:bookmarkStart w:id="436" w:name="_Toc2133"/>
      <w:bookmarkStart w:id="437" w:name="_Toc16860"/>
      <w:bookmarkStart w:id="438" w:name="_Toc23999"/>
      <w:bookmarkStart w:id="439" w:name="_Toc19863"/>
      <w:bookmarkStart w:id="440" w:name="_Toc20504"/>
      <w:bookmarkStart w:id="441" w:name="_Toc23181"/>
      <w:r>
        <w:rPr>
          <w:rFonts w:hint="eastAsia" w:ascii="仿宋" w:hAnsi="仿宋" w:eastAsia="仿宋" w:cs="仿宋"/>
          <w:color w:val="auto"/>
          <w:sz w:val="28"/>
          <w:szCs w:val="28"/>
          <w:highlight w:val="none"/>
          <w:u w:val="none"/>
        </w:rPr>
        <w:t>34.廉洁自律规定</w:t>
      </w:r>
      <w:bookmarkEnd w:id="433"/>
      <w:bookmarkEnd w:id="434"/>
      <w:bookmarkEnd w:id="435"/>
      <w:bookmarkEnd w:id="436"/>
      <w:bookmarkEnd w:id="437"/>
      <w:bookmarkEnd w:id="438"/>
      <w:bookmarkEnd w:id="439"/>
      <w:bookmarkEnd w:id="440"/>
      <w:bookmarkEnd w:id="441"/>
    </w:p>
    <w:p w14:paraId="691360BD">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34.1   采购代理机构工作人员不得以不正当手段获取政府采购代理业务，不得与采购人、供应商恶意串通操纵政府采购活动。</w:t>
      </w:r>
    </w:p>
    <w:p w14:paraId="243158F3">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34.2   采购代理机构工作人员不得接受采购人或者供应商组织的宴请、旅游、娱乐，不得收受礼品、现金、有价证券等，不得向采购人或者供应商报销应当由个人承担的费用。</w:t>
      </w:r>
    </w:p>
    <w:p w14:paraId="72A1FB14">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34.3   为强化采购代理机构内部监督机制，供应商可按</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u w:val="single"/>
        </w:rPr>
        <w:t>中的</w:t>
      </w:r>
      <w:r>
        <w:rPr>
          <w:rFonts w:hint="eastAsia" w:ascii="仿宋" w:hAnsi="仿宋" w:eastAsia="仿宋" w:cs="仿宋"/>
          <w:color w:val="auto"/>
          <w:sz w:val="28"/>
          <w:szCs w:val="28"/>
          <w:highlight w:val="none"/>
        </w:rPr>
        <w:t>监督电话和邮箱，反映采购代理机构的廉洁自律等问题。</w:t>
      </w:r>
    </w:p>
    <w:p w14:paraId="1696290F">
      <w:pPr>
        <w:pStyle w:val="6"/>
        <w:spacing w:before="0" w:after="0" w:line="240" w:lineRule="atLeast"/>
        <w:outlineLvl w:val="2"/>
        <w:rPr>
          <w:rFonts w:hint="eastAsia" w:ascii="仿宋" w:hAnsi="仿宋" w:eastAsia="仿宋" w:cs="仿宋"/>
          <w:color w:val="auto"/>
          <w:sz w:val="28"/>
          <w:szCs w:val="28"/>
          <w:highlight w:val="none"/>
          <w:u w:val="none"/>
        </w:rPr>
      </w:pPr>
      <w:bookmarkStart w:id="442" w:name="_Toc1575"/>
      <w:bookmarkStart w:id="443" w:name="_Toc30226"/>
      <w:bookmarkStart w:id="444" w:name="_Toc11586"/>
      <w:bookmarkStart w:id="445" w:name="_Toc17493"/>
      <w:bookmarkStart w:id="446" w:name="_Toc515647797"/>
      <w:bookmarkStart w:id="447" w:name="_Toc7509"/>
      <w:bookmarkStart w:id="448" w:name="_Toc7178"/>
      <w:bookmarkStart w:id="449" w:name="_Toc10437"/>
      <w:bookmarkStart w:id="450" w:name="_Toc25480"/>
      <w:r>
        <w:rPr>
          <w:rFonts w:hint="eastAsia" w:ascii="仿宋" w:hAnsi="仿宋" w:eastAsia="仿宋" w:cs="仿宋"/>
          <w:color w:val="auto"/>
          <w:sz w:val="28"/>
          <w:szCs w:val="28"/>
          <w:highlight w:val="none"/>
          <w:u w:val="none"/>
        </w:rPr>
        <w:t>35.人员回避</w:t>
      </w:r>
      <w:bookmarkEnd w:id="442"/>
      <w:bookmarkEnd w:id="443"/>
      <w:bookmarkEnd w:id="444"/>
      <w:bookmarkEnd w:id="445"/>
      <w:bookmarkEnd w:id="446"/>
      <w:bookmarkEnd w:id="447"/>
      <w:bookmarkEnd w:id="448"/>
      <w:bookmarkEnd w:id="449"/>
      <w:bookmarkEnd w:id="450"/>
    </w:p>
    <w:p w14:paraId="0BD578AA">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投标人认为采购人员及其相关人员有法律法规所列与其他供应商有利害关系的，可以向采购人或采购代理机构书面提出回避申请，并说明理由。</w:t>
      </w:r>
    </w:p>
    <w:p w14:paraId="5E7BB3F9">
      <w:pPr>
        <w:pStyle w:val="6"/>
        <w:spacing w:before="0" w:after="0" w:line="240" w:lineRule="atLeast"/>
        <w:outlineLvl w:val="2"/>
        <w:rPr>
          <w:rFonts w:hint="eastAsia" w:ascii="仿宋" w:hAnsi="仿宋" w:eastAsia="仿宋" w:cs="仿宋"/>
          <w:color w:val="auto"/>
          <w:sz w:val="28"/>
          <w:szCs w:val="28"/>
          <w:highlight w:val="none"/>
          <w:u w:val="none"/>
        </w:rPr>
      </w:pPr>
      <w:bookmarkStart w:id="451" w:name="_Toc25875"/>
      <w:bookmarkStart w:id="452" w:name="_Toc10538"/>
      <w:bookmarkStart w:id="453" w:name="_Toc515647798"/>
      <w:bookmarkStart w:id="454" w:name="_Toc1148"/>
      <w:bookmarkStart w:id="455" w:name="_Toc23668"/>
      <w:bookmarkStart w:id="456" w:name="_Toc15161"/>
      <w:bookmarkStart w:id="457" w:name="_Toc10700"/>
      <w:bookmarkStart w:id="458" w:name="_Toc3789"/>
      <w:bookmarkStart w:id="459" w:name="_Toc11115"/>
      <w:r>
        <w:rPr>
          <w:rFonts w:hint="eastAsia" w:ascii="仿宋" w:hAnsi="仿宋" w:eastAsia="仿宋" w:cs="仿宋"/>
          <w:color w:val="auto"/>
          <w:sz w:val="28"/>
          <w:szCs w:val="28"/>
          <w:highlight w:val="none"/>
          <w:u w:val="none"/>
        </w:rPr>
        <w:t>36.质疑与接收</w:t>
      </w:r>
      <w:bookmarkEnd w:id="451"/>
      <w:bookmarkEnd w:id="452"/>
      <w:bookmarkEnd w:id="453"/>
      <w:bookmarkEnd w:id="454"/>
      <w:bookmarkEnd w:id="455"/>
      <w:bookmarkEnd w:id="456"/>
      <w:bookmarkEnd w:id="457"/>
      <w:bookmarkEnd w:id="458"/>
      <w:bookmarkEnd w:id="459"/>
    </w:p>
    <w:p w14:paraId="6D45F204">
      <w:pPr>
        <w:spacing w:line="240" w:lineRule="atLeast"/>
        <w:ind w:left="968" w:leftChars="68" w:hanging="826" w:hangingChars="29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36.1  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303DFCC6">
      <w:pPr>
        <w:spacing w:line="240" w:lineRule="atLeast"/>
        <w:ind w:left="968" w:leftChars="68" w:hanging="826" w:hangingChars="29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36.2  质疑供应商应按照财政部制定的《政府采购质疑函范本》格式（可从财政部官方网站下载）和《政府采购质疑和投诉办法》的要求，在法定质疑期内以书面形式提出质疑，针对同一采购程序环节的质疑应一次性提出。</w:t>
      </w:r>
    </w:p>
    <w:p w14:paraId="7BA0B9DF">
      <w:pPr>
        <w:spacing w:line="240" w:lineRule="atLeast"/>
        <w:ind w:left="851" w:leftChars="405" w:hanging="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超出法定质疑期的、重复提出的、分次提出的或内容、形式不符合《政府采购质疑和投诉办法》的，质疑供应商将依法承担不利后果。</w:t>
      </w:r>
    </w:p>
    <w:p w14:paraId="14BD3B9E">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36.3  采购代理机构质疑函接收部门、联系电话和通讯地址, 见</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u w:val="single"/>
        </w:rPr>
        <w:t>。</w:t>
      </w:r>
    </w:p>
    <w:p w14:paraId="746C8516">
      <w:pPr>
        <w:pStyle w:val="3"/>
        <w:spacing w:before="0" w:line="240" w:lineRule="atLeast"/>
        <w:ind w:left="1079" w:leftChars="257" w:hanging="540"/>
        <w:outlineLvl w:val="2"/>
        <w:rPr>
          <w:rFonts w:hint="eastAsia" w:ascii="仿宋" w:hAnsi="仿宋" w:eastAsia="仿宋" w:cs="仿宋"/>
          <w:b/>
          <w:color w:val="auto"/>
          <w:kern w:val="0"/>
          <w:sz w:val="28"/>
          <w:szCs w:val="28"/>
          <w:highlight w:val="none"/>
          <w:u w:val="none"/>
          <w:lang w:val="en-US" w:eastAsia="zh-CN" w:bidi="ar-SA"/>
        </w:rPr>
      </w:pPr>
      <w:r>
        <w:rPr>
          <w:rFonts w:hint="eastAsia" w:ascii="仿宋" w:hAnsi="仿宋" w:eastAsia="仿宋" w:cs="仿宋"/>
          <w:color w:val="auto"/>
          <w:highlight w:val="none"/>
        </w:rPr>
        <w:br w:type="page"/>
      </w:r>
      <w:bookmarkStart w:id="460" w:name="_Toc30751"/>
      <w:bookmarkStart w:id="461" w:name="_Toc19523"/>
      <w:bookmarkStart w:id="462" w:name="_Toc5833"/>
      <w:bookmarkStart w:id="463" w:name="_Toc32714"/>
      <w:bookmarkStart w:id="464" w:name="_Toc3083"/>
      <w:bookmarkStart w:id="465" w:name="_Toc518923103"/>
      <w:bookmarkStart w:id="466" w:name="_Toc23883"/>
      <w:bookmarkStart w:id="467" w:name="_Toc23678"/>
      <w:bookmarkStart w:id="468" w:name="_Toc27035"/>
      <w:bookmarkStart w:id="469" w:name="_Toc17284"/>
      <w:r>
        <w:rPr>
          <w:rFonts w:hint="eastAsia" w:ascii="仿宋" w:hAnsi="仿宋" w:eastAsia="仿宋" w:cs="仿宋"/>
          <w:b/>
          <w:color w:val="auto"/>
          <w:kern w:val="0"/>
          <w:sz w:val="28"/>
          <w:szCs w:val="28"/>
          <w:highlight w:val="none"/>
          <w:u w:val="none"/>
          <w:lang w:val="en-US" w:eastAsia="zh-CN" w:bidi="ar-SA"/>
        </w:rPr>
        <w:t>附件1：履约保证金保函（格式）</w:t>
      </w:r>
      <w:bookmarkEnd w:id="460"/>
      <w:bookmarkEnd w:id="461"/>
      <w:bookmarkEnd w:id="462"/>
      <w:bookmarkEnd w:id="463"/>
      <w:bookmarkEnd w:id="464"/>
      <w:bookmarkEnd w:id="465"/>
      <w:bookmarkEnd w:id="466"/>
      <w:bookmarkEnd w:id="467"/>
      <w:bookmarkEnd w:id="468"/>
      <w:bookmarkEnd w:id="469"/>
    </w:p>
    <w:p w14:paraId="123D49F2">
      <w:pPr>
        <w:pStyle w:val="11"/>
        <w:spacing w:line="240" w:lineRule="atLeast"/>
        <w:ind w:left="1079" w:leftChars="257" w:hanging="540"/>
        <w:rPr>
          <w:rFonts w:hint="eastAsia" w:ascii="仿宋" w:hAnsi="仿宋" w:eastAsia="仿宋" w:cs="仿宋"/>
          <w:b/>
          <w:color w:val="auto"/>
          <w:sz w:val="24"/>
          <w:highlight w:val="none"/>
        </w:rPr>
      </w:pPr>
    </w:p>
    <w:p w14:paraId="5DCC1165">
      <w:pPr>
        <w:pStyle w:val="11"/>
        <w:spacing w:line="240" w:lineRule="atLeast"/>
        <w:ind w:left="1079" w:leftChars="257" w:hanging="54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（中标后开具）</w:t>
      </w:r>
    </w:p>
    <w:p w14:paraId="0D8BE40A">
      <w:pPr>
        <w:pStyle w:val="11"/>
        <w:spacing w:line="240" w:lineRule="atLeast"/>
        <w:ind w:left="1079" w:leftChars="257" w:hanging="540"/>
        <w:rPr>
          <w:rFonts w:hint="eastAsia" w:ascii="仿宋" w:hAnsi="仿宋" w:eastAsia="仿宋" w:cs="仿宋"/>
          <w:b/>
          <w:color w:val="auto"/>
          <w:sz w:val="24"/>
          <w:highlight w:val="none"/>
        </w:rPr>
      </w:pPr>
    </w:p>
    <w:p w14:paraId="6D25921B">
      <w:pPr>
        <w:pStyle w:val="11"/>
        <w:spacing w:line="240" w:lineRule="atLeas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致: (</w:t>
      </w:r>
      <w:r>
        <w:rPr>
          <w:rFonts w:hint="eastAsia" w:ascii="仿宋" w:hAnsi="仿宋" w:eastAsia="仿宋" w:cs="仿宋"/>
          <w:i/>
          <w:color w:val="auto"/>
          <w:sz w:val="28"/>
          <w:szCs w:val="28"/>
          <w:highlight w:val="none"/>
          <w:u w:val="single"/>
        </w:rPr>
        <w:t>买方名称</w:t>
      </w:r>
      <w:r>
        <w:rPr>
          <w:rFonts w:hint="eastAsia" w:ascii="仿宋" w:hAnsi="仿宋" w:eastAsia="仿宋" w:cs="仿宋"/>
          <w:color w:val="auto"/>
          <w:sz w:val="28"/>
          <w:szCs w:val="28"/>
          <w:highlight w:val="none"/>
        </w:rPr>
        <w:t>)</w:t>
      </w:r>
    </w:p>
    <w:p w14:paraId="2D77564F">
      <w:pPr>
        <w:pStyle w:val="11"/>
        <w:spacing w:line="240" w:lineRule="atLeast"/>
        <w:ind w:left="1079" w:leftChars="257" w:hanging="54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号合同履约保函</w:t>
      </w:r>
    </w:p>
    <w:p w14:paraId="3CECAEE5">
      <w:pPr>
        <w:pStyle w:val="11"/>
        <w:spacing w:line="240" w:lineRule="atLeast"/>
        <w:ind w:left="1079" w:leftChars="257" w:hanging="540"/>
        <w:jc w:val="center"/>
        <w:rPr>
          <w:rFonts w:hint="eastAsia" w:ascii="仿宋" w:hAnsi="仿宋" w:eastAsia="仿宋" w:cs="仿宋"/>
          <w:color w:val="auto"/>
          <w:sz w:val="28"/>
          <w:szCs w:val="28"/>
          <w:highlight w:val="none"/>
        </w:rPr>
      </w:pPr>
    </w:p>
    <w:p w14:paraId="1DBCE852">
      <w:pPr>
        <w:pStyle w:val="11"/>
        <w:spacing w:line="240" w:lineRule="atLeast"/>
        <w:ind w:firstLine="700" w:firstLineChars="2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本保函作为贵方与(</w:t>
      </w:r>
      <w:r>
        <w:rPr>
          <w:rFonts w:hint="eastAsia" w:ascii="仿宋" w:hAnsi="仿宋" w:eastAsia="仿宋" w:cs="仿宋"/>
          <w:i/>
          <w:color w:val="auto"/>
          <w:sz w:val="28"/>
          <w:szCs w:val="28"/>
          <w:highlight w:val="none"/>
          <w:u w:val="single"/>
        </w:rPr>
        <w:t>卖方名称</w:t>
      </w:r>
      <w:r>
        <w:rPr>
          <w:rFonts w:hint="eastAsia" w:ascii="仿宋" w:hAnsi="仿宋" w:eastAsia="仿宋" w:cs="仿宋"/>
          <w:color w:val="auto"/>
          <w:sz w:val="28"/>
          <w:szCs w:val="28"/>
          <w:highlight w:val="none"/>
        </w:rPr>
        <w:t>)(以下简称卖方)于</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日就</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项目(以下简称项目)项下提供(</w:t>
      </w:r>
      <w:r>
        <w:rPr>
          <w:rFonts w:hint="eastAsia" w:ascii="仿宋" w:hAnsi="仿宋" w:eastAsia="仿宋" w:cs="仿宋"/>
          <w:i/>
          <w:color w:val="auto"/>
          <w:sz w:val="28"/>
          <w:szCs w:val="28"/>
          <w:highlight w:val="none"/>
          <w:u w:val="single"/>
        </w:rPr>
        <w:t>货物名称</w:t>
      </w:r>
      <w:r>
        <w:rPr>
          <w:rFonts w:hint="eastAsia" w:ascii="仿宋" w:hAnsi="仿宋" w:eastAsia="仿宋" w:cs="仿宋"/>
          <w:color w:val="auto"/>
          <w:sz w:val="28"/>
          <w:szCs w:val="28"/>
          <w:highlight w:val="none"/>
        </w:rPr>
        <w:t>)(以下简称货物)签订的(</w:t>
      </w:r>
      <w:r>
        <w:rPr>
          <w:rFonts w:hint="eastAsia" w:ascii="仿宋" w:hAnsi="仿宋" w:eastAsia="仿宋" w:cs="仿宋"/>
          <w:i/>
          <w:color w:val="auto"/>
          <w:sz w:val="28"/>
          <w:szCs w:val="28"/>
          <w:highlight w:val="none"/>
          <w:u w:val="single"/>
        </w:rPr>
        <w:t>合同号</w:t>
      </w:r>
      <w:r>
        <w:rPr>
          <w:rFonts w:hint="eastAsia" w:ascii="仿宋" w:hAnsi="仿宋" w:eastAsia="仿宋" w:cs="仿宋"/>
          <w:color w:val="auto"/>
          <w:sz w:val="28"/>
          <w:szCs w:val="28"/>
          <w:highlight w:val="none"/>
        </w:rPr>
        <w:t>)号合同的履约保函。</w:t>
      </w:r>
    </w:p>
    <w:p w14:paraId="42CB7F50">
      <w:pPr>
        <w:pStyle w:val="11"/>
        <w:spacing w:line="240" w:lineRule="atLeast"/>
        <w:ind w:firstLine="630" w:firstLineChars="22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i/>
          <w:color w:val="auto"/>
          <w:sz w:val="28"/>
          <w:szCs w:val="28"/>
          <w:highlight w:val="none"/>
          <w:u w:val="single"/>
        </w:rPr>
        <w:t>出具保函的银行名称</w:t>
      </w:r>
      <w:r>
        <w:rPr>
          <w:rFonts w:hint="eastAsia" w:ascii="仿宋" w:hAnsi="仿宋" w:eastAsia="仿宋" w:cs="仿宋"/>
          <w:color w:val="auto"/>
          <w:sz w:val="28"/>
          <w:szCs w:val="28"/>
          <w:highlight w:val="none"/>
        </w:rPr>
        <w:t>)(以下简称银行)无条件地、不可撤销地具结保证本行、其继承人和受让人无追索地向贵方以(</w:t>
      </w:r>
      <w:r>
        <w:rPr>
          <w:rFonts w:hint="eastAsia" w:ascii="仿宋" w:hAnsi="仿宋" w:eastAsia="仿宋" w:cs="仿宋"/>
          <w:i/>
          <w:color w:val="auto"/>
          <w:sz w:val="28"/>
          <w:szCs w:val="28"/>
          <w:highlight w:val="none"/>
          <w:u w:val="single"/>
        </w:rPr>
        <w:t>货币名称</w:t>
      </w:r>
      <w:r>
        <w:rPr>
          <w:rFonts w:hint="eastAsia" w:ascii="仿宋" w:hAnsi="仿宋" w:eastAsia="仿宋" w:cs="仿宋"/>
          <w:color w:val="auto"/>
          <w:sz w:val="28"/>
          <w:szCs w:val="28"/>
          <w:highlight w:val="none"/>
        </w:rPr>
        <w:t>)支付总额不超过(</w:t>
      </w:r>
      <w:r>
        <w:rPr>
          <w:rFonts w:hint="eastAsia" w:ascii="仿宋" w:hAnsi="仿宋" w:eastAsia="仿宋" w:cs="仿宋"/>
          <w:i/>
          <w:color w:val="auto"/>
          <w:sz w:val="28"/>
          <w:szCs w:val="28"/>
          <w:highlight w:val="none"/>
          <w:u w:val="single"/>
        </w:rPr>
        <w:t>货币数量</w:t>
      </w:r>
      <w:r>
        <w:rPr>
          <w:rFonts w:hint="eastAsia" w:ascii="仿宋" w:hAnsi="仿宋" w:eastAsia="仿宋" w:cs="仿宋"/>
          <w:color w:val="auto"/>
          <w:sz w:val="28"/>
          <w:szCs w:val="28"/>
          <w:highlight w:val="none"/>
        </w:rPr>
        <w:t>),即相当于合同价格的</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%,并以此约定如下:</w:t>
      </w:r>
    </w:p>
    <w:p w14:paraId="1E46F336">
      <w:pPr>
        <w:pStyle w:val="11"/>
        <w:spacing w:line="240" w:lineRule="atLeast"/>
        <w:ind w:left="539" w:leftChars="257"/>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1.只要贵方确定卖方未能忠实地履行所有合同文件的规定和双方此后一致 同意的修改、补充和变动,包括更改和/或修补贵方认为有缺陷的货物(以下简称违约),无论卖方有任何反对,本行将凭贵方关于卖方违约说明的书面通知,立即按贵方提出的累计总额不超过上述金额的款项和按贵方通知规定的方式付给贵方。</w:t>
      </w:r>
    </w:p>
    <w:p w14:paraId="2AC73D07">
      <w:pPr>
        <w:pStyle w:val="11"/>
        <w:spacing w:line="240" w:lineRule="atLeast"/>
        <w:ind w:left="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2.本保函项下的任何支付应为免税和净值。对于现有或将来的税收、关税、收费、费用扣减或预提税款，不论这些款项是何种性质和由谁征收，都不应从本保函项下的支付中扣除。</w:t>
      </w:r>
    </w:p>
    <w:p w14:paraId="53063454">
      <w:pPr>
        <w:pStyle w:val="11"/>
        <w:spacing w:line="240" w:lineRule="atLeast"/>
        <w:ind w:left="54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55EC8E4F">
      <w:pPr>
        <w:pStyle w:val="11"/>
        <w:spacing w:line="240" w:lineRule="atLeast"/>
        <w:ind w:left="1079" w:leftChars="257" w:hanging="540"/>
        <w:outlineLvl w:val="9"/>
        <w:rPr>
          <w:rFonts w:hint="eastAsia" w:ascii="仿宋" w:hAnsi="仿宋" w:eastAsia="仿宋" w:cs="仿宋"/>
          <w:color w:val="auto"/>
          <w:sz w:val="28"/>
          <w:szCs w:val="28"/>
          <w:highlight w:val="none"/>
        </w:rPr>
      </w:pPr>
      <w:bookmarkStart w:id="470" w:name="_Toc1076"/>
      <w:r>
        <w:rPr>
          <w:rFonts w:hint="eastAsia" w:ascii="仿宋" w:hAnsi="仿宋" w:eastAsia="仿宋" w:cs="仿宋"/>
          <w:color w:val="auto"/>
          <w:sz w:val="28"/>
          <w:szCs w:val="28"/>
          <w:highlight w:val="none"/>
        </w:rPr>
        <w:t>4.本保函在本合同规定的保证期期满前完全有效。</w:t>
      </w:r>
      <w:bookmarkEnd w:id="470"/>
    </w:p>
    <w:p w14:paraId="7BD40750">
      <w:pPr>
        <w:pStyle w:val="11"/>
        <w:spacing w:line="240" w:lineRule="atLeast"/>
        <w:ind w:left="1079" w:leftChars="257" w:hanging="540"/>
        <w:outlineLvl w:val="9"/>
        <w:rPr>
          <w:rFonts w:hint="eastAsia" w:ascii="仿宋" w:hAnsi="仿宋" w:eastAsia="仿宋" w:cs="仿宋"/>
          <w:color w:val="auto"/>
          <w:sz w:val="28"/>
          <w:szCs w:val="28"/>
          <w:highlight w:val="none"/>
        </w:rPr>
      </w:pPr>
    </w:p>
    <w:p w14:paraId="41C1DA0E">
      <w:pPr>
        <w:pStyle w:val="11"/>
        <w:spacing w:line="240" w:lineRule="atLeast"/>
        <w:ind w:left="1079" w:leftChars="257" w:hanging="54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谨启</w:t>
      </w:r>
    </w:p>
    <w:p w14:paraId="6D1CB2FA">
      <w:pPr>
        <w:pStyle w:val="11"/>
        <w:spacing w:line="240" w:lineRule="atLeast"/>
        <w:ind w:left="1079" w:leftChars="257" w:hanging="54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出具保函银行名称：</w:t>
      </w:r>
      <w:r>
        <w:rPr>
          <w:rFonts w:hint="eastAsia" w:ascii="仿宋" w:hAnsi="仿宋" w:eastAsia="仿宋" w:cs="仿宋"/>
          <w:color w:val="auto"/>
          <w:sz w:val="28"/>
          <w:szCs w:val="28"/>
          <w:highlight w:val="none"/>
          <w:u w:val="single"/>
        </w:rPr>
        <w:t xml:space="preserve">                             </w:t>
      </w:r>
    </w:p>
    <w:p w14:paraId="3AE0E809">
      <w:pPr>
        <w:pStyle w:val="11"/>
        <w:spacing w:line="240" w:lineRule="atLeast"/>
        <w:ind w:left="1079" w:leftChars="257" w:hanging="540"/>
        <w:outlineLvl w:val="9"/>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签字人姓名和职务：</w:t>
      </w:r>
      <w:r>
        <w:rPr>
          <w:rFonts w:hint="eastAsia" w:ascii="仿宋" w:hAnsi="仿宋" w:eastAsia="仿宋" w:cs="仿宋"/>
          <w:color w:val="auto"/>
          <w:sz w:val="28"/>
          <w:szCs w:val="28"/>
          <w:highlight w:val="none"/>
          <w:u w:val="single"/>
        </w:rPr>
        <w:t xml:space="preserve">                             </w:t>
      </w:r>
    </w:p>
    <w:p w14:paraId="2EBB0046">
      <w:pPr>
        <w:pStyle w:val="11"/>
        <w:spacing w:line="240" w:lineRule="atLeast"/>
        <w:ind w:left="1079" w:leftChars="257" w:hanging="54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签字人签名：</w:t>
      </w:r>
      <w:r>
        <w:rPr>
          <w:rFonts w:hint="eastAsia" w:ascii="仿宋" w:hAnsi="仿宋" w:eastAsia="仿宋" w:cs="仿宋"/>
          <w:color w:val="auto"/>
          <w:sz w:val="28"/>
          <w:szCs w:val="28"/>
          <w:highlight w:val="none"/>
          <w:u w:val="single"/>
        </w:rPr>
        <w:t xml:space="preserve">                                   </w:t>
      </w:r>
    </w:p>
    <w:p w14:paraId="3DA30D03">
      <w:pPr>
        <w:pStyle w:val="11"/>
        <w:spacing w:line="240" w:lineRule="atLeast"/>
        <w:ind w:left="1079" w:leftChars="257" w:hanging="54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公章：</w:t>
      </w:r>
      <w:r>
        <w:rPr>
          <w:rFonts w:hint="eastAsia" w:ascii="仿宋" w:hAnsi="仿宋" w:eastAsia="仿宋" w:cs="仿宋"/>
          <w:color w:val="auto"/>
          <w:sz w:val="28"/>
          <w:szCs w:val="28"/>
          <w:highlight w:val="none"/>
          <w:u w:val="single"/>
        </w:rPr>
        <w:t xml:space="preserve">                                         </w:t>
      </w:r>
    </w:p>
    <w:p w14:paraId="727033B4">
      <w:pPr>
        <w:pStyle w:val="3"/>
        <w:spacing w:before="0" w:line="240" w:lineRule="atLeast"/>
        <w:ind w:left="1079" w:leftChars="257" w:hanging="540"/>
        <w:outlineLvl w:val="2"/>
        <w:rPr>
          <w:rFonts w:hint="eastAsia" w:ascii="仿宋" w:hAnsi="仿宋" w:eastAsia="仿宋" w:cs="仿宋"/>
          <w:b/>
          <w:color w:val="auto"/>
          <w:kern w:val="0"/>
          <w:sz w:val="28"/>
          <w:szCs w:val="28"/>
          <w:highlight w:val="none"/>
          <w:u w:val="none"/>
          <w:lang w:val="en-US" w:eastAsia="zh-CN" w:bidi="ar-SA"/>
        </w:rPr>
      </w:pPr>
      <w:r>
        <w:rPr>
          <w:rFonts w:hint="eastAsia" w:ascii="仿宋" w:hAnsi="仿宋" w:eastAsia="仿宋" w:cs="仿宋"/>
          <w:color w:val="auto"/>
          <w:highlight w:val="none"/>
        </w:rPr>
        <w:br w:type="page"/>
      </w:r>
      <w:bookmarkStart w:id="471" w:name="_Toc13314"/>
      <w:bookmarkStart w:id="472" w:name="_Toc21744"/>
      <w:bookmarkStart w:id="473" w:name="_Toc518923104"/>
      <w:bookmarkStart w:id="474" w:name="_Toc25674"/>
      <w:bookmarkStart w:id="475" w:name="_Toc27581"/>
      <w:bookmarkStart w:id="476" w:name="_Toc27788"/>
      <w:bookmarkStart w:id="477" w:name="_Toc16707"/>
      <w:bookmarkStart w:id="478" w:name="_Toc4749"/>
      <w:bookmarkStart w:id="479" w:name="_Toc106"/>
      <w:bookmarkStart w:id="480" w:name="_Toc31563"/>
      <w:r>
        <w:rPr>
          <w:rFonts w:hint="eastAsia" w:ascii="仿宋" w:hAnsi="仿宋" w:eastAsia="仿宋" w:cs="仿宋"/>
          <w:b/>
          <w:color w:val="auto"/>
          <w:kern w:val="0"/>
          <w:sz w:val="28"/>
          <w:szCs w:val="28"/>
          <w:highlight w:val="none"/>
          <w:u w:val="none"/>
          <w:lang w:val="en-US" w:eastAsia="zh-CN" w:bidi="ar-SA"/>
        </w:rPr>
        <w:t>附件2：履约担保函格式</w:t>
      </w:r>
      <w:bookmarkEnd w:id="471"/>
      <w:bookmarkEnd w:id="472"/>
      <w:bookmarkEnd w:id="473"/>
      <w:bookmarkEnd w:id="474"/>
      <w:bookmarkEnd w:id="475"/>
      <w:bookmarkEnd w:id="476"/>
      <w:bookmarkEnd w:id="477"/>
      <w:bookmarkEnd w:id="478"/>
      <w:bookmarkEnd w:id="479"/>
      <w:bookmarkEnd w:id="480"/>
    </w:p>
    <w:p w14:paraId="7CCF15A6">
      <w:pPr>
        <w:spacing w:before="0" w:line="240" w:lineRule="atLeast"/>
        <w:ind w:left="1079" w:leftChars="257" w:hanging="540"/>
        <w:outlineLvl w:val="9"/>
        <w:rPr>
          <w:rFonts w:hint="eastAsia" w:ascii="仿宋" w:hAnsi="仿宋" w:eastAsia="仿宋" w:cs="仿宋"/>
          <w:b w:val="0"/>
          <w:color w:val="auto"/>
          <w:highlight w:val="none"/>
        </w:rPr>
      </w:pPr>
      <w:bookmarkStart w:id="481" w:name="_Toc7209"/>
      <w:bookmarkStart w:id="482" w:name="_Toc515647801"/>
      <w:bookmarkStart w:id="483" w:name="_Toc13962"/>
      <w:bookmarkStart w:id="484" w:name="_Toc30861"/>
      <w:bookmarkStart w:id="485" w:name="_Toc162"/>
      <w:bookmarkStart w:id="486" w:name="_Toc9735"/>
      <w:r>
        <w:rPr>
          <w:rFonts w:hint="eastAsia" w:ascii="仿宋" w:hAnsi="仿宋" w:eastAsia="仿宋" w:cs="仿宋"/>
          <w:color w:val="auto"/>
          <w:szCs w:val="24"/>
          <w:highlight w:val="none"/>
        </w:rPr>
        <w:t>（采用政府采购信用担保形式时使用）</w:t>
      </w:r>
      <w:bookmarkEnd w:id="481"/>
      <w:bookmarkEnd w:id="482"/>
      <w:bookmarkEnd w:id="483"/>
      <w:bookmarkEnd w:id="484"/>
      <w:bookmarkEnd w:id="485"/>
      <w:bookmarkEnd w:id="486"/>
    </w:p>
    <w:p w14:paraId="7A6077E3">
      <w:pPr>
        <w:spacing w:line="240" w:lineRule="atLeast"/>
        <w:ind w:left="1079" w:leftChars="257" w:hanging="540"/>
        <w:outlineLvl w:val="9"/>
        <w:rPr>
          <w:rFonts w:hint="eastAsia" w:ascii="仿宋" w:hAnsi="仿宋" w:eastAsia="仿宋" w:cs="仿宋"/>
          <w:b/>
          <w:color w:val="auto"/>
          <w:kern w:val="0"/>
          <w:sz w:val="24"/>
          <w:szCs w:val="20"/>
          <w:highlight w:val="none"/>
        </w:rPr>
      </w:pPr>
    </w:p>
    <w:p w14:paraId="13DC7313">
      <w:pPr>
        <w:jc w:val="center"/>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政府采购履约担保函（项目用）</w:t>
      </w:r>
    </w:p>
    <w:p w14:paraId="72CCE3EB">
      <w:pPr>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编号：</w:t>
      </w:r>
    </w:p>
    <w:p w14:paraId="72F91A13">
      <w:pPr>
        <w:outlineLvl w:val="9"/>
        <w:rPr>
          <w:rFonts w:hint="eastAsia" w:ascii="仿宋" w:hAnsi="仿宋" w:eastAsia="仿宋" w:cs="仿宋"/>
          <w:color w:val="auto"/>
          <w:sz w:val="28"/>
          <w:szCs w:val="28"/>
          <w:highlight w:val="none"/>
        </w:rPr>
      </w:pPr>
    </w:p>
    <w:p w14:paraId="4276F8E0">
      <w:pPr>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（采购人）：</w:t>
      </w:r>
    </w:p>
    <w:p w14:paraId="0C5BEF5C">
      <w:pPr>
        <w:outlineLvl w:val="9"/>
        <w:rPr>
          <w:rFonts w:hint="eastAsia" w:ascii="仿宋" w:hAnsi="仿宋" w:eastAsia="仿宋" w:cs="仿宋"/>
          <w:color w:val="auto"/>
          <w:sz w:val="28"/>
          <w:szCs w:val="28"/>
          <w:highlight w:val="none"/>
        </w:rPr>
      </w:pPr>
    </w:p>
    <w:p w14:paraId="5F8A3367">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鉴于你方与</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（以下简称供应商）于</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日签定编号为   的《</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政府采购合同》（以下简称主合同），且依据该合同的约定，供应商应在</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p>
    <w:p w14:paraId="159D6B36">
      <w:pPr>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日前向你方交纳履约保证金，且可以履约担保函的形式交纳履约保证金。应供应商的申请，我方以保证的方式向你方提供如下履约保证金担保：</w:t>
      </w:r>
    </w:p>
    <w:p w14:paraId="03A0B63B">
      <w:pPr>
        <w:ind w:firstLine="560" w:firstLineChars="200"/>
        <w:outlineLvl w:val="9"/>
        <w:rPr>
          <w:rFonts w:hint="eastAsia" w:ascii="仿宋" w:hAnsi="仿宋" w:eastAsia="仿宋" w:cs="仿宋"/>
          <w:color w:val="auto"/>
          <w:sz w:val="28"/>
          <w:szCs w:val="28"/>
          <w:highlight w:val="none"/>
        </w:rPr>
      </w:pPr>
      <w:bookmarkStart w:id="487" w:name="_Toc16807"/>
      <w:r>
        <w:rPr>
          <w:rFonts w:hint="eastAsia" w:ascii="仿宋" w:hAnsi="仿宋" w:eastAsia="仿宋" w:cs="仿宋"/>
          <w:color w:val="auto"/>
          <w:sz w:val="28"/>
          <w:szCs w:val="28"/>
          <w:highlight w:val="none"/>
        </w:rPr>
        <w:t>一、保证责任的情形及保证金额</w:t>
      </w:r>
      <w:bookmarkEnd w:id="487"/>
    </w:p>
    <w:p w14:paraId="37220FF9">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（一）在供应商出现下列情形之一时，我方承担保证责任：</w:t>
      </w:r>
    </w:p>
    <w:p w14:paraId="3EB99674">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1．将中标项目转让给他人，或者在投标文件中未说明，且未经采购招标机构人同意，将中标项目分包给他人的；</w:t>
      </w:r>
    </w:p>
    <w:p w14:paraId="6FBD1C4F">
      <w:pPr>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w:t>
      </w:r>
      <w:bookmarkStart w:id="488" w:name="_Toc30650"/>
      <w:bookmarkStart w:id="489" w:name="_Toc2434"/>
      <w:r>
        <w:rPr>
          <w:rFonts w:hint="eastAsia" w:ascii="仿宋" w:hAnsi="仿宋" w:eastAsia="仿宋" w:cs="仿宋"/>
          <w:color w:val="auto"/>
          <w:sz w:val="28"/>
          <w:szCs w:val="28"/>
          <w:highlight w:val="none"/>
        </w:rPr>
        <w:t>2．主合同约定的应当缴纳履约保证金的情形:</w:t>
      </w:r>
      <w:bookmarkEnd w:id="488"/>
      <w:bookmarkEnd w:id="489"/>
      <w:r>
        <w:rPr>
          <w:rFonts w:hint="eastAsia" w:ascii="仿宋" w:hAnsi="仿宋" w:eastAsia="仿宋" w:cs="仿宋"/>
          <w:color w:val="auto"/>
          <w:sz w:val="28"/>
          <w:szCs w:val="28"/>
          <w:highlight w:val="none"/>
        </w:rPr>
        <w:t xml:space="preserve"> </w:t>
      </w:r>
    </w:p>
    <w:p w14:paraId="73D440C6">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（1）未按主合同约定的质量、数量和期限供应货物/提供服务/完成工程的；</w:t>
      </w:r>
    </w:p>
    <w:p w14:paraId="7C8B0517">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（二）我方的保证范围是主合同约定的合同价款总额的</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%数额为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元（大写</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），币种为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。（即主合同履约保证金金额）</w:t>
      </w:r>
    </w:p>
    <w:p w14:paraId="72B50A90">
      <w:pPr>
        <w:ind w:firstLine="560" w:firstLineChars="200"/>
        <w:outlineLvl w:val="9"/>
        <w:rPr>
          <w:rFonts w:hint="eastAsia" w:ascii="仿宋" w:hAnsi="仿宋" w:eastAsia="仿宋" w:cs="仿宋"/>
          <w:color w:val="auto"/>
          <w:sz w:val="28"/>
          <w:szCs w:val="28"/>
          <w:highlight w:val="none"/>
        </w:rPr>
      </w:pPr>
      <w:bookmarkStart w:id="490" w:name="_Toc16733"/>
      <w:r>
        <w:rPr>
          <w:rFonts w:hint="eastAsia" w:ascii="仿宋" w:hAnsi="仿宋" w:eastAsia="仿宋" w:cs="仿宋"/>
          <w:color w:val="auto"/>
          <w:sz w:val="28"/>
          <w:szCs w:val="28"/>
          <w:highlight w:val="none"/>
        </w:rPr>
        <w:t>二、保证的方式及保证期间</w:t>
      </w:r>
      <w:bookmarkEnd w:id="490"/>
    </w:p>
    <w:p w14:paraId="5593364E">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我方保证的方式为：连带责任保证。</w:t>
      </w:r>
    </w:p>
    <w:p w14:paraId="7A832BEC">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我方保证的期间为：自本合同生效之日起至供应商按照主合同约定的供货/完工期限届满后</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日内。</w:t>
      </w:r>
    </w:p>
    <w:p w14:paraId="12E22CE8">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如果供应商未按主合同约定向贵方供应货物/提供服务/完成工程的，由我方在保证金额内向你方支付上述款项。</w:t>
      </w:r>
    </w:p>
    <w:p w14:paraId="583C4AED">
      <w:pPr>
        <w:ind w:firstLine="560" w:firstLineChars="200"/>
        <w:outlineLvl w:val="9"/>
        <w:rPr>
          <w:rFonts w:hint="eastAsia" w:ascii="仿宋" w:hAnsi="仿宋" w:eastAsia="仿宋" w:cs="仿宋"/>
          <w:color w:val="auto"/>
          <w:sz w:val="28"/>
          <w:szCs w:val="28"/>
          <w:highlight w:val="none"/>
        </w:rPr>
      </w:pPr>
      <w:bookmarkStart w:id="491" w:name="_Toc19668"/>
      <w:r>
        <w:rPr>
          <w:rFonts w:hint="eastAsia" w:ascii="仿宋" w:hAnsi="仿宋" w:eastAsia="仿宋" w:cs="仿宋"/>
          <w:color w:val="auto"/>
          <w:sz w:val="28"/>
          <w:szCs w:val="28"/>
          <w:highlight w:val="none"/>
        </w:rPr>
        <w:t>三、承担保证责任的程序</w:t>
      </w:r>
      <w:bookmarkEnd w:id="491"/>
    </w:p>
    <w:p w14:paraId="17C3459A">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1．你方要求我方承担保证责任的，应在本保函保证期间内向我方发出书面索赔通知。索赔通知应写明要求索赔的金额，支付款项应到达的帐号。并附有证明供应商违约事实的证明材料。</w:t>
      </w:r>
    </w:p>
    <w:p w14:paraId="39638D46">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如果你方与供应商因货物质量问题产生争议，你方还需同时提供</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部门出具的质量检测报告，或经诉讼（仲裁）程序裁决后的裁决书、调解书，本保证人即按照检测结果或裁决书、调解书决定是否承担保证责任。</w:t>
      </w:r>
    </w:p>
    <w:p w14:paraId="30BE945F">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 我方收到你方的书面索赔通知及相应证明材料，在</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工作日内进行核定后按照本保函的承诺承担保证责任。</w:t>
      </w:r>
    </w:p>
    <w:p w14:paraId="5F568C36">
      <w:pPr>
        <w:ind w:firstLine="560" w:firstLineChars="200"/>
        <w:outlineLvl w:val="9"/>
        <w:rPr>
          <w:rFonts w:hint="eastAsia" w:ascii="仿宋" w:hAnsi="仿宋" w:eastAsia="仿宋" w:cs="仿宋"/>
          <w:color w:val="auto"/>
          <w:sz w:val="28"/>
          <w:szCs w:val="28"/>
          <w:highlight w:val="none"/>
        </w:rPr>
      </w:pPr>
      <w:bookmarkStart w:id="492" w:name="_Toc11641"/>
      <w:r>
        <w:rPr>
          <w:rFonts w:hint="eastAsia" w:ascii="仿宋" w:hAnsi="仿宋" w:eastAsia="仿宋" w:cs="仿宋"/>
          <w:color w:val="auto"/>
          <w:sz w:val="28"/>
          <w:szCs w:val="28"/>
          <w:highlight w:val="none"/>
        </w:rPr>
        <w:t>四、保证责任的终止</w:t>
      </w:r>
      <w:bookmarkEnd w:id="492"/>
    </w:p>
    <w:p w14:paraId="31315D81">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59F53C6F">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2．我方按照本保函向你方履行了保证责任后，自我方向你方支付款项（支付款项从我方账户划出）之日起，保证责任即终止。</w:t>
      </w:r>
    </w:p>
    <w:p w14:paraId="1C6A2D99">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3．按照法律法规的规定或出现应终止我方保证责任的其它情形的，我方在本保函项下的保证责任亦终止。</w:t>
      </w:r>
    </w:p>
    <w:p w14:paraId="14616A0F">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43BE9F57">
      <w:pPr>
        <w:ind w:firstLine="560" w:firstLineChars="200"/>
        <w:outlineLvl w:val="9"/>
        <w:rPr>
          <w:rFonts w:hint="eastAsia" w:ascii="仿宋" w:hAnsi="仿宋" w:eastAsia="仿宋" w:cs="仿宋"/>
          <w:color w:val="auto"/>
          <w:sz w:val="28"/>
          <w:szCs w:val="28"/>
          <w:highlight w:val="none"/>
        </w:rPr>
      </w:pPr>
      <w:bookmarkStart w:id="493" w:name="_Toc3542"/>
      <w:r>
        <w:rPr>
          <w:rFonts w:hint="eastAsia" w:ascii="仿宋" w:hAnsi="仿宋" w:eastAsia="仿宋" w:cs="仿宋"/>
          <w:color w:val="auto"/>
          <w:sz w:val="28"/>
          <w:szCs w:val="28"/>
          <w:highlight w:val="none"/>
        </w:rPr>
        <w:t>五、免责条款</w:t>
      </w:r>
      <w:bookmarkEnd w:id="493"/>
    </w:p>
    <w:p w14:paraId="53073728">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1．因你方违反主合同约定致使供应商不能履行义务的，我方不承担保证责任。</w:t>
      </w:r>
    </w:p>
    <w:p w14:paraId="1A45B787">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2．依照法律法规的规定或你方与供应商的另行约定，全部或者部分免除供应商应缴纳的保证金义务的，我方亦免除相应的保证责任。</w:t>
      </w:r>
    </w:p>
    <w:p w14:paraId="079E2EF8">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3．因不可抗力造成供应商不能履行供货义务的，我方不承担保证责任。</w:t>
      </w:r>
    </w:p>
    <w:p w14:paraId="2DDE5365">
      <w:pPr>
        <w:ind w:firstLine="560" w:firstLineChars="200"/>
        <w:outlineLvl w:val="9"/>
        <w:rPr>
          <w:rFonts w:hint="eastAsia" w:ascii="仿宋" w:hAnsi="仿宋" w:eastAsia="仿宋" w:cs="仿宋"/>
          <w:color w:val="auto"/>
          <w:sz w:val="28"/>
          <w:szCs w:val="28"/>
          <w:highlight w:val="none"/>
        </w:rPr>
      </w:pPr>
      <w:bookmarkStart w:id="494" w:name="_Toc908"/>
      <w:r>
        <w:rPr>
          <w:rFonts w:hint="eastAsia" w:ascii="仿宋" w:hAnsi="仿宋" w:eastAsia="仿宋" w:cs="仿宋"/>
          <w:color w:val="auto"/>
          <w:sz w:val="28"/>
          <w:szCs w:val="28"/>
          <w:highlight w:val="none"/>
        </w:rPr>
        <w:t>六、争议的解决</w:t>
      </w:r>
      <w:bookmarkEnd w:id="494"/>
    </w:p>
    <w:p w14:paraId="42E0C883">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因本保函发生的纠纷，由你我双方协商解决，协商不成的，通过诉讼程序解决，诉讼管辖地法院为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法院。</w:t>
      </w:r>
    </w:p>
    <w:p w14:paraId="0EAECB1A">
      <w:pPr>
        <w:ind w:firstLine="560" w:firstLineChars="200"/>
        <w:outlineLvl w:val="9"/>
        <w:rPr>
          <w:rFonts w:hint="eastAsia" w:ascii="仿宋" w:hAnsi="仿宋" w:eastAsia="仿宋" w:cs="仿宋"/>
          <w:color w:val="auto"/>
          <w:sz w:val="28"/>
          <w:szCs w:val="28"/>
          <w:highlight w:val="none"/>
        </w:rPr>
      </w:pPr>
      <w:bookmarkStart w:id="495" w:name="_Toc17651"/>
      <w:r>
        <w:rPr>
          <w:rFonts w:hint="eastAsia" w:ascii="仿宋" w:hAnsi="仿宋" w:eastAsia="仿宋" w:cs="仿宋"/>
          <w:color w:val="auto"/>
          <w:sz w:val="28"/>
          <w:szCs w:val="28"/>
          <w:highlight w:val="none"/>
        </w:rPr>
        <w:t>七、保函的生效</w:t>
      </w:r>
      <w:bookmarkEnd w:id="495"/>
    </w:p>
    <w:p w14:paraId="4BD37623">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本保函自我方加盖公章之日起生效。                            </w:t>
      </w:r>
    </w:p>
    <w:p w14:paraId="57ECD113">
      <w:pPr>
        <w:ind w:firstLine="6300" w:firstLineChars="225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保证人：（公章）</w:t>
      </w:r>
    </w:p>
    <w:p w14:paraId="6A087710">
      <w:pPr>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14:paraId="560CBC7F">
      <w:pPr>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年     月      日</w:t>
      </w:r>
    </w:p>
    <w:p w14:paraId="38F982E8">
      <w:pPr>
        <w:pStyle w:val="4"/>
        <w:spacing w:line="240" w:lineRule="atLeast"/>
        <w:ind w:firstLine="0"/>
        <w:rPr>
          <w:rFonts w:hint="eastAsia" w:ascii="仿宋" w:hAnsi="仿宋" w:eastAsia="仿宋" w:cs="仿宋"/>
          <w:color w:val="auto"/>
          <w:kern w:val="2"/>
          <w:szCs w:val="24"/>
          <w:highlight w:val="none"/>
        </w:rPr>
      </w:pPr>
      <w:r>
        <w:rPr>
          <w:rFonts w:hint="eastAsia" w:ascii="仿宋" w:hAnsi="仿宋" w:eastAsia="仿宋" w:cs="仿宋"/>
          <w:b/>
          <w:color w:val="auto"/>
          <w:highlight w:val="none"/>
        </w:rPr>
        <w:br w:type="page"/>
      </w:r>
    </w:p>
    <w:p w14:paraId="267D2475">
      <w:pPr>
        <w:pStyle w:val="2"/>
        <w:tabs>
          <w:tab w:val="left" w:pos="0"/>
        </w:tabs>
        <w:spacing w:before="0" w:after="0" w:line="240" w:lineRule="atLeast"/>
        <w:outlineLvl w:val="0"/>
        <w:rPr>
          <w:rFonts w:hint="eastAsia" w:ascii="仿宋" w:hAnsi="仿宋" w:eastAsia="仿宋" w:cs="仿宋"/>
          <w:color w:val="auto"/>
          <w:kern w:val="0"/>
          <w:sz w:val="36"/>
          <w:szCs w:val="22"/>
          <w:highlight w:val="none"/>
        </w:rPr>
      </w:pPr>
      <w:bookmarkStart w:id="496" w:name="_Toc9300"/>
      <w:bookmarkStart w:id="497" w:name="_Toc16529"/>
      <w:bookmarkStart w:id="498" w:name="_Toc26574"/>
      <w:bookmarkStart w:id="499" w:name="_Toc14838"/>
      <w:bookmarkStart w:id="500" w:name="_Toc7506"/>
      <w:bookmarkStart w:id="501" w:name="_Toc216582812"/>
      <w:r>
        <w:rPr>
          <w:rFonts w:hint="eastAsia" w:ascii="仿宋" w:hAnsi="仿宋" w:eastAsia="仿宋" w:cs="仿宋"/>
          <w:color w:val="auto"/>
          <w:kern w:val="0"/>
          <w:sz w:val="36"/>
          <w:szCs w:val="22"/>
          <w:highlight w:val="none"/>
        </w:rPr>
        <w:t xml:space="preserve">第二章  </w:t>
      </w:r>
      <w:bookmarkStart w:id="502" w:name="_Toc518923106"/>
      <w:bookmarkStart w:id="503" w:name="_Toc6923"/>
      <w:r>
        <w:rPr>
          <w:rFonts w:hint="eastAsia" w:ascii="仿宋" w:hAnsi="仿宋" w:eastAsia="仿宋" w:cs="仿宋"/>
          <w:color w:val="auto"/>
          <w:kern w:val="0"/>
          <w:sz w:val="36"/>
          <w:szCs w:val="22"/>
          <w:highlight w:val="none"/>
        </w:rPr>
        <w:t>投标文件格式</w:t>
      </w:r>
      <w:bookmarkEnd w:id="496"/>
      <w:bookmarkEnd w:id="497"/>
      <w:bookmarkEnd w:id="498"/>
      <w:bookmarkEnd w:id="499"/>
      <w:bookmarkEnd w:id="500"/>
      <w:bookmarkEnd w:id="501"/>
      <w:bookmarkEnd w:id="502"/>
      <w:bookmarkEnd w:id="503"/>
    </w:p>
    <w:p w14:paraId="1F107A2F">
      <w:pPr>
        <w:spacing w:line="240" w:lineRule="atLeast"/>
        <w:ind w:left="735" w:leftChars="350" w:firstLine="120" w:firstLineChars="50"/>
        <w:rPr>
          <w:rFonts w:hint="eastAsia" w:ascii="仿宋" w:hAnsi="仿宋" w:eastAsia="仿宋" w:cs="仿宋"/>
          <w:color w:val="auto"/>
          <w:sz w:val="24"/>
          <w:highlight w:val="none"/>
        </w:rPr>
      </w:pPr>
    </w:p>
    <w:p w14:paraId="0D72F7D6">
      <w:pPr>
        <w:pStyle w:val="3"/>
        <w:spacing w:before="0" w:line="240" w:lineRule="atLeast"/>
        <w:ind w:left="1079" w:leftChars="257" w:hanging="540"/>
        <w:outlineLvl w:val="1"/>
        <w:rPr>
          <w:rFonts w:hint="eastAsia" w:ascii="仿宋" w:hAnsi="仿宋" w:eastAsia="仿宋" w:cs="仿宋"/>
          <w:color w:val="auto"/>
          <w:sz w:val="32"/>
          <w:szCs w:val="32"/>
          <w:highlight w:val="none"/>
        </w:rPr>
      </w:pPr>
      <w:bookmarkStart w:id="504" w:name="_Toc20451"/>
      <w:bookmarkStart w:id="505" w:name="_Toc15142"/>
      <w:bookmarkStart w:id="506" w:name="_Toc518923107"/>
      <w:bookmarkStart w:id="507" w:name="_Toc5991"/>
      <w:bookmarkStart w:id="508" w:name="_Toc14820"/>
      <w:bookmarkStart w:id="509" w:name="_Toc20890"/>
      <w:bookmarkStart w:id="510" w:name="_Toc16277"/>
      <w:r>
        <w:rPr>
          <w:rFonts w:hint="eastAsia" w:ascii="仿宋" w:hAnsi="仿宋" w:eastAsia="仿宋" w:cs="仿宋"/>
          <w:color w:val="auto"/>
          <w:sz w:val="32"/>
          <w:szCs w:val="32"/>
          <w:highlight w:val="none"/>
        </w:rPr>
        <w:t>第一部分 开标一览表及资格证明文件</w:t>
      </w:r>
      <w:bookmarkEnd w:id="504"/>
      <w:bookmarkEnd w:id="505"/>
      <w:bookmarkEnd w:id="506"/>
      <w:bookmarkEnd w:id="507"/>
      <w:bookmarkEnd w:id="508"/>
      <w:bookmarkEnd w:id="509"/>
      <w:bookmarkEnd w:id="510"/>
    </w:p>
    <w:p w14:paraId="2FFAF251">
      <w:pPr>
        <w:spacing w:line="240" w:lineRule="atLeast"/>
        <w:ind w:left="708" w:hanging="826" w:hangingChars="295"/>
        <w:jc w:val="center"/>
        <w:outlineLvl w:val="9"/>
        <w:rPr>
          <w:rFonts w:hint="eastAsia" w:ascii="仿宋" w:hAnsi="仿宋" w:eastAsia="仿宋" w:cs="仿宋"/>
          <w:color w:val="auto"/>
          <w:sz w:val="28"/>
          <w:szCs w:val="28"/>
          <w:highlight w:val="none"/>
        </w:rPr>
      </w:pPr>
    </w:p>
    <w:p w14:paraId="158F251A">
      <w:pPr>
        <w:tabs>
          <w:tab w:val="left" w:pos="5580"/>
        </w:tabs>
        <w:spacing w:line="240" w:lineRule="atLeast"/>
        <w:ind w:left="1" w:firstLine="658" w:firstLineChars="235"/>
        <w:outlineLvl w:val="9"/>
        <w:rPr>
          <w:rFonts w:hint="eastAsia" w:ascii="仿宋" w:hAnsi="仿宋" w:eastAsia="仿宋" w:cs="仿宋"/>
          <w:color w:val="auto"/>
          <w:sz w:val="28"/>
          <w:szCs w:val="28"/>
          <w:highlight w:val="none"/>
        </w:rPr>
      </w:pPr>
      <w:bookmarkStart w:id="511" w:name="_Toc17104"/>
      <w:r>
        <w:rPr>
          <w:rFonts w:hint="eastAsia" w:ascii="仿宋" w:hAnsi="仿宋" w:eastAsia="仿宋" w:cs="仿宋"/>
          <w:color w:val="auto"/>
          <w:sz w:val="28"/>
          <w:szCs w:val="28"/>
          <w:highlight w:val="none"/>
        </w:rPr>
        <w:t>1、开标一览表（见投标文件格式一）;</w:t>
      </w:r>
      <w:bookmarkEnd w:id="511"/>
    </w:p>
    <w:p w14:paraId="7AD36728">
      <w:pPr>
        <w:tabs>
          <w:tab w:val="left" w:pos="5580"/>
        </w:tabs>
        <w:spacing w:line="240" w:lineRule="atLeast"/>
        <w:ind w:left="1" w:firstLine="658" w:firstLineChars="23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2、法人或者非法人组织的营业执照等证明文件复印件（须加盖本单位章）或自然人的身份证明复印件;</w:t>
      </w:r>
    </w:p>
    <w:p w14:paraId="3AA51EB3">
      <w:pPr>
        <w:tabs>
          <w:tab w:val="left" w:pos="5580"/>
        </w:tabs>
        <w:spacing w:line="240" w:lineRule="atLeast"/>
        <w:ind w:left="1" w:firstLine="658" w:firstLineChars="23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3、法定代表人授权委托书（见投标文件格式二，自然人投标的无需提供）;</w:t>
      </w:r>
    </w:p>
    <w:p w14:paraId="386EBC49">
      <w:pPr>
        <w:tabs>
          <w:tab w:val="left" w:pos="5580"/>
        </w:tabs>
        <w:spacing w:line="240" w:lineRule="atLeast"/>
        <w:ind w:left="1" w:firstLine="658" w:firstLineChars="235"/>
        <w:outlineLvl w:val="9"/>
        <w:rPr>
          <w:rFonts w:hint="eastAsia" w:ascii="仿宋" w:hAnsi="仿宋" w:eastAsia="仿宋" w:cs="仿宋"/>
          <w:color w:val="auto"/>
          <w:sz w:val="28"/>
          <w:szCs w:val="28"/>
          <w:highlight w:val="none"/>
          <w:lang w:eastAsia="zh-CN"/>
        </w:rPr>
      </w:pPr>
      <w:bookmarkStart w:id="512" w:name="_Toc23848"/>
      <w:r>
        <w:rPr>
          <w:rFonts w:hint="eastAsia" w:ascii="仿宋" w:hAnsi="仿宋" w:eastAsia="仿宋" w:cs="仿宋"/>
          <w:color w:val="auto"/>
          <w:sz w:val="28"/>
          <w:szCs w:val="28"/>
          <w:highlight w:val="none"/>
        </w:rPr>
        <w:t>4、具有良好的商业信誉和健全的财务会计制度的证明文件；</w:t>
      </w:r>
      <w:bookmarkEnd w:id="512"/>
      <w:r>
        <w:rPr>
          <w:rFonts w:hint="eastAsia" w:ascii="仿宋" w:hAnsi="仿宋" w:eastAsia="仿宋" w:cs="仿宋"/>
          <w:color w:val="auto"/>
          <w:sz w:val="28"/>
          <w:szCs w:val="28"/>
          <w:highlight w:val="none"/>
        </w:rPr>
        <w:t>提供202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年度的财务审计报告(成立不满一年的提供开标前一个月内有效银行资信证明）</w:t>
      </w:r>
      <w:r>
        <w:rPr>
          <w:rFonts w:hint="eastAsia" w:ascii="仿宋" w:hAnsi="仿宋" w:eastAsia="仿宋" w:cs="仿宋"/>
          <w:color w:val="auto"/>
          <w:sz w:val="28"/>
          <w:szCs w:val="28"/>
          <w:highlight w:val="none"/>
          <w:lang w:eastAsia="zh-CN"/>
        </w:rPr>
        <w:t>；</w:t>
      </w:r>
    </w:p>
    <w:p w14:paraId="57050951">
      <w:pPr>
        <w:tabs>
          <w:tab w:val="left" w:pos="5580"/>
        </w:tabs>
        <w:spacing w:line="240" w:lineRule="atLeast"/>
        <w:ind w:left="1" w:firstLine="658" w:firstLineChars="23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lang w:eastAsia="zh-CN"/>
        </w:rPr>
        <w:t>提供</w:t>
      </w:r>
      <w:r>
        <w:rPr>
          <w:rFonts w:hint="eastAsia" w:ascii="仿宋" w:hAnsi="仿宋" w:eastAsia="仿宋" w:cs="仿宋"/>
          <w:color w:val="auto"/>
          <w:sz w:val="28"/>
          <w:szCs w:val="28"/>
          <w:highlight w:val="none"/>
          <w:lang w:val="en-US" w:eastAsia="zh-CN"/>
        </w:rPr>
        <w:t>2025年3月至今任一月</w:t>
      </w:r>
      <w:r>
        <w:rPr>
          <w:rFonts w:hint="eastAsia" w:ascii="仿宋" w:hAnsi="仿宋" w:eastAsia="仿宋" w:cs="仿宋"/>
          <w:color w:val="auto"/>
          <w:sz w:val="28"/>
          <w:szCs w:val="28"/>
          <w:highlight w:val="none"/>
        </w:rPr>
        <w:t>依法缴纳社会保障金的缴费证明或银行出具的“银行电子缴纳社会保障金付款凭证”；</w:t>
      </w:r>
    </w:p>
    <w:p w14:paraId="66F4B728">
      <w:pPr>
        <w:tabs>
          <w:tab w:val="left" w:pos="5580"/>
        </w:tabs>
        <w:spacing w:line="240" w:lineRule="atLeast"/>
        <w:ind w:left="1" w:firstLine="658" w:firstLineChars="23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lang w:eastAsia="zh-CN"/>
        </w:rPr>
        <w:t>提供</w:t>
      </w:r>
      <w:r>
        <w:rPr>
          <w:rFonts w:hint="eastAsia" w:ascii="仿宋" w:hAnsi="仿宋" w:eastAsia="仿宋" w:cs="仿宋"/>
          <w:color w:val="auto"/>
          <w:sz w:val="28"/>
          <w:szCs w:val="28"/>
          <w:highlight w:val="none"/>
          <w:lang w:val="en-US" w:eastAsia="zh-CN"/>
        </w:rPr>
        <w:t>2025年3月至今任一月</w:t>
      </w:r>
      <w:r>
        <w:rPr>
          <w:rFonts w:hint="eastAsia" w:ascii="仿宋" w:hAnsi="仿宋" w:eastAsia="仿宋" w:cs="仿宋"/>
          <w:color w:val="auto"/>
          <w:sz w:val="28"/>
          <w:szCs w:val="28"/>
          <w:highlight w:val="none"/>
        </w:rPr>
        <w:t>依法缴纳税收的证明（</w:t>
      </w:r>
      <w:r>
        <w:rPr>
          <w:rFonts w:hint="eastAsia" w:ascii="仿宋" w:hAnsi="仿宋" w:eastAsia="仿宋" w:cs="仿宋"/>
          <w:color w:val="auto"/>
          <w:sz w:val="28"/>
          <w:szCs w:val="28"/>
          <w:highlight w:val="none"/>
          <w:lang w:eastAsia="zh-CN"/>
        </w:rPr>
        <w:t>提供</w:t>
      </w:r>
      <w:r>
        <w:rPr>
          <w:rFonts w:hint="eastAsia" w:ascii="仿宋" w:hAnsi="仿宋" w:eastAsia="仿宋" w:cs="仿宋"/>
          <w:color w:val="auto"/>
          <w:sz w:val="28"/>
          <w:szCs w:val="28"/>
          <w:highlight w:val="none"/>
        </w:rPr>
        <w:t>完税凭证或缴税证明或银行出具的“银行电子缴税付款凭证”）；</w:t>
      </w:r>
    </w:p>
    <w:p w14:paraId="2167C4E9">
      <w:pPr>
        <w:tabs>
          <w:tab w:val="left" w:pos="5580"/>
        </w:tabs>
        <w:spacing w:line="240" w:lineRule="atLeast"/>
        <w:ind w:left="1" w:firstLine="658" w:firstLineChars="23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①若为零申报企业，需提供无欠税证明或国家税务总局电子税务局“申报结果查询截图”。②“税种”非社会保险。</w:t>
      </w:r>
    </w:p>
    <w:p w14:paraId="754EDA3E">
      <w:pPr>
        <w:tabs>
          <w:tab w:val="left" w:pos="5580"/>
        </w:tabs>
        <w:spacing w:line="240" w:lineRule="atLeast"/>
        <w:ind w:left="1" w:firstLine="658" w:firstLineChars="235"/>
        <w:outlineLvl w:val="9"/>
        <w:rPr>
          <w:rFonts w:hint="eastAsia" w:ascii="仿宋" w:hAnsi="仿宋" w:eastAsia="仿宋" w:cs="仿宋"/>
          <w:color w:val="auto"/>
          <w:sz w:val="28"/>
          <w:szCs w:val="28"/>
          <w:highlight w:val="none"/>
          <w:lang w:eastAsia="zh-CN"/>
        </w:rPr>
      </w:pPr>
      <w:bookmarkStart w:id="513" w:name="_Toc30969"/>
      <w:r>
        <w:rPr>
          <w:rFonts w:hint="eastAsia" w:ascii="仿宋" w:hAnsi="仿宋" w:eastAsia="仿宋" w:cs="仿宋"/>
          <w:color w:val="auto"/>
          <w:sz w:val="28"/>
          <w:szCs w:val="28"/>
          <w:highlight w:val="none"/>
        </w:rPr>
        <w:t>7、投标保证金缴纳凭证复印件或投标担保函</w:t>
      </w:r>
      <w:bookmarkEnd w:id="513"/>
      <w:r>
        <w:rPr>
          <w:rFonts w:hint="eastAsia" w:ascii="仿宋" w:hAnsi="仿宋" w:eastAsia="仿宋" w:cs="仿宋"/>
          <w:color w:val="auto"/>
          <w:sz w:val="28"/>
          <w:szCs w:val="28"/>
          <w:highlight w:val="none"/>
          <w:lang w:eastAsia="zh-CN"/>
        </w:rPr>
        <w:t>；</w:t>
      </w:r>
    </w:p>
    <w:p w14:paraId="45577E6F">
      <w:pPr>
        <w:tabs>
          <w:tab w:val="left" w:pos="5580"/>
        </w:tabs>
        <w:spacing w:line="240" w:lineRule="atLeast"/>
        <w:ind w:left="1" w:firstLine="658" w:firstLineChars="235"/>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8、参加政府采购活动前3年内在经营活动中没有重大违法记录的书面声明及反商业受贿承诺</w:t>
      </w:r>
      <w:r>
        <w:rPr>
          <w:rFonts w:hint="eastAsia" w:ascii="仿宋" w:hAnsi="仿宋" w:eastAsia="仿宋" w:cs="仿宋"/>
          <w:color w:val="auto"/>
          <w:sz w:val="28"/>
          <w:szCs w:val="28"/>
          <w:highlight w:val="none"/>
          <w:lang w:eastAsia="zh-CN"/>
        </w:rPr>
        <w:t>；</w:t>
      </w:r>
    </w:p>
    <w:p w14:paraId="2B145E79">
      <w:pPr>
        <w:tabs>
          <w:tab w:val="left" w:pos="5580"/>
        </w:tabs>
        <w:spacing w:line="240" w:lineRule="atLeast"/>
        <w:ind w:left="1" w:firstLine="658" w:firstLineChars="235"/>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9、在信用中国、中国政府采购网被列入失信被执行人、企业经营异常名录、重大税收违法案件当事人名单、列入严重违法失信企业名单（黑名单）信息、政府采购严重违法失信名单（自本公告发出之时起尚在处罚期内的或限制其参加政府采购活动的企业）将拒绝其参加本次政府采购活动</w:t>
      </w:r>
      <w:r>
        <w:rPr>
          <w:rFonts w:hint="eastAsia" w:ascii="仿宋" w:hAnsi="仿宋" w:eastAsia="仿宋" w:cs="仿宋"/>
          <w:color w:val="auto"/>
          <w:sz w:val="28"/>
          <w:szCs w:val="28"/>
          <w:highlight w:val="none"/>
          <w:lang w:eastAsia="zh-CN"/>
        </w:rPr>
        <w:t>；</w:t>
      </w:r>
    </w:p>
    <w:p w14:paraId="5392574A">
      <w:pPr>
        <w:tabs>
          <w:tab w:val="left" w:pos="5580"/>
        </w:tabs>
        <w:spacing w:line="240" w:lineRule="atLeast"/>
        <w:ind w:left="1" w:firstLine="658" w:firstLineChars="235"/>
        <w:outlineLvl w:val="9"/>
        <w:rPr>
          <w:rFonts w:hint="eastAsia" w:ascii="仿宋" w:hAnsi="仿宋" w:eastAsia="仿宋" w:cs="仿宋"/>
          <w:color w:val="auto"/>
          <w:sz w:val="28"/>
          <w:szCs w:val="28"/>
          <w:highlight w:val="none"/>
          <w:lang w:eastAsia="zh-CN"/>
        </w:rPr>
      </w:pPr>
    </w:p>
    <w:p w14:paraId="24B79798">
      <w:pPr>
        <w:tabs>
          <w:tab w:val="left" w:pos="5580"/>
        </w:tabs>
        <w:spacing w:line="240" w:lineRule="atLeast"/>
        <w:ind w:left="1" w:firstLine="658" w:firstLineChars="235"/>
        <w:outlineLvl w:val="9"/>
        <w:rPr>
          <w:rFonts w:hint="eastAsia" w:ascii="仿宋" w:hAnsi="仿宋" w:eastAsia="仿宋" w:cs="仿宋"/>
          <w:color w:val="auto"/>
          <w:sz w:val="28"/>
          <w:szCs w:val="28"/>
          <w:highlight w:val="none"/>
          <w:lang w:eastAsia="zh-CN"/>
        </w:rPr>
      </w:pPr>
    </w:p>
    <w:p w14:paraId="58A220EC">
      <w:pPr>
        <w:tabs>
          <w:tab w:val="left" w:pos="5580"/>
        </w:tabs>
        <w:spacing w:line="240" w:lineRule="atLeast"/>
        <w:ind w:left="1" w:firstLine="658" w:firstLineChars="235"/>
        <w:outlineLvl w:val="9"/>
        <w:rPr>
          <w:rFonts w:hint="eastAsia" w:ascii="仿宋" w:hAnsi="仿宋" w:eastAsia="仿宋" w:cs="仿宋"/>
          <w:color w:val="auto"/>
          <w:sz w:val="28"/>
          <w:szCs w:val="28"/>
          <w:highlight w:val="none"/>
          <w:lang w:eastAsia="zh-CN"/>
        </w:rPr>
      </w:pPr>
      <w:bookmarkStart w:id="514" w:name="_Toc1642"/>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rPr>
        <w:t>、投标人须知资料表要求的其他资格证明文件</w:t>
      </w:r>
      <w:bookmarkEnd w:id="514"/>
      <w:r>
        <w:rPr>
          <w:rFonts w:hint="eastAsia" w:ascii="仿宋" w:hAnsi="仿宋" w:eastAsia="仿宋" w:cs="仿宋"/>
          <w:color w:val="auto"/>
          <w:sz w:val="28"/>
          <w:szCs w:val="28"/>
          <w:highlight w:val="none"/>
          <w:lang w:eastAsia="zh-CN"/>
        </w:rPr>
        <w:t>。</w:t>
      </w:r>
    </w:p>
    <w:p w14:paraId="3393B2D5">
      <w:pPr>
        <w:tabs>
          <w:tab w:val="left" w:pos="5580"/>
        </w:tabs>
        <w:spacing w:line="240" w:lineRule="atLeast"/>
        <w:ind w:left="1" w:firstLine="564" w:firstLineChars="235"/>
        <w:rPr>
          <w:rFonts w:hint="eastAsia" w:ascii="仿宋" w:hAnsi="仿宋" w:eastAsia="仿宋" w:cs="仿宋"/>
          <w:color w:val="auto"/>
          <w:sz w:val="24"/>
          <w:highlight w:val="none"/>
        </w:rPr>
      </w:pPr>
    </w:p>
    <w:p w14:paraId="5A469C6D">
      <w:pPr>
        <w:tabs>
          <w:tab w:val="left" w:pos="5580"/>
        </w:tabs>
        <w:spacing w:line="240" w:lineRule="atLeast"/>
        <w:ind w:left="1" w:firstLine="564" w:firstLineChars="235"/>
        <w:rPr>
          <w:rFonts w:hint="eastAsia" w:ascii="仿宋" w:hAnsi="仿宋" w:eastAsia="仿宋" w:cs="仿宋"/>
          <w:color w:val="auto"/>
          <w:sz w:val="24"/>
          <w:highlight w:val="none"/>
        </w:rPr>
      </w:pPr>
    </w:p>
    <w:p w14:paraId="442266B7">
      <w:pPr>
        <w:tabs>
          <w:tab w:val="left" w:pos="5580"/>
        </w:tabs>
        <w:spacing w:line="240" w:lineRule="atLeast"/>
        <w:ind w:left="1" w:firstLine="564" w:firstLineChars="235"/>
        <w:rPr>
          <w:rFonts w:hint="eastAsia" w:ascii="仿宋" w:hAnsi="仿宋" w:eastAsia="仿宋" w:cs="仿宋"/>
          <w:color w:val="auto"/>
          <w:sz w:val="24"/>
          <w:highlight w:val="none"/>
        </w:rPr>
      </w:pPr>
    </w:p>
    <w:p w14:paraId="4EB17D9F">
      <w:pPr>
        <w:tabs>
          <w:tab w:val="left" w:pos="5580"/>
        </w:tabs>
        <w:spacing w:line="240" w:lineRule="atLeast"/>
        <w:ind w:left="1" w:firstLine="564" w:firstLineChars="235"/>
        <w:rPr>
          <w:rFonts w:hint="eastAsia" w:ascii="仿宋" w:hAnsi="仿宋" w:eastAsia="仿宋" w:cs="仿宋"/>
          <w:color w:val="auto"/>
          <w:sz w:val="24"/>
          <w:highlight w:val="none"/>
        </w:rPr>
      </w:pPr>
    </w:p>
    <w:p w14:paraId="4301B367">
      <w:pPr>
        <w:tabs>
          <w:tab w:val="left" w:pos="5580"/>
        </w:tabs>
        <w:spacing w:line="240" w:lineRule="atLeast"/>
        <w:ind w:left="1" w:firstLine="564" w:firstLineChars="235"/>
        <w:rPr>
          <w:rFonts w:hint="eastAsia" w:ascii="仿宋" w:hAnsi="仿宋" w:eastAsia="仿宋" w:cs="仿宋"/>
          <w:color w:val="auto"/>
          <w:sz w:val="24"/>
          <w:highlight w:val="none"/>
        </w:rPr>
      </w:pPr>
    </w:p>
    <w:p w14:paraId="26F147BD">
      <w:pPr>
        <w:tabs>
          <w:tab w:val="left" w:pos="5580"/>
        </w:tabs>
        <w:spacing w:line="240" w:lineRule="atLeast"/>
        <w:ind w:left="1" w:firstLine="564" w:firstLineChars="235"/>
        <w:rPr>
          <w:rFonts w:hint="eastAsia" w:ascii="仿宋" w:hAnsi="仿宋" w:eastAsia="仿宋" w:cs="仿宋"/>
          <w:color w:val="auto"/>
          <w:sz w:val="24"/>
          <w:highlight w:val="none"/>
        </w:rPr>
      </w:pPr>
    </w:p>
    <w:p w14:paraId="4B807A53">
      <w:pPr>
        <w:tabs>
          <w:tab w:val="left" w:pos="5580"/>
        </w:tabs>
        <w:spacing w:line="240" w:lineRule="atLeast"/>
        <w:ind w:left="1" w:firstLine="564" w:firstLineChars="235"/>
        <w:rPr>
          <w:rFonts w:hint="eastAsia" w:ascii="仿宋" w:hAnsi="仿宋" w:eastAsia="仿宋" w:cs="仿宋"/>
          <w:color w:val="auto"/>
          <w:sz w:val="24"/>
          <w:highlight w:val="none"/>
        </w:rPr>
      </w:pPr>
    </w:p>
    <w:p w14:paraId="66EEB6F7">
      <w:pPr>
        <w:tabs>
          <w:tab w:val="left" w:pos="5580"/>
        </w:tabs>
        <w:spacing w:line="240" w:lineRule="atLeast"/>
        <w:ind w:left="1" w:firstLine="564" w:firstLineChars="235"/>
        <w:rPr>
          <w:rFonts w:hint="eastAsia" w:ascii="仿宋" w:hAnsi="仿宋" w:eastAsia="仿宋" w:cs="仿宋"/>
          <w:color w:val="auto"/>
          <w:sz w:val="24"/>
          <w:highlight w:val="none"/>
        </w:rPr>
      </w:pPr>
    </w:p>
    <w:p w14:paraId="17E99B88">
      <w:pPr>
        <w:tabs>
          <w:tab w:val="left" w:pos="5580"/>
        </w:tabs>
        <w:spacing w:line="240" w:lineRule="atLeast"/>
        <w:ind w:left="1" w:firstLine="564" w:firstLineChars="235"/>
        <w:rPr>
          <w:rFonts w:hint="eastAsia" w:ascii="仿宋" w:hAnsi="仿宋" w:eastAsia="仿宋" w:cs="仿宋"/>
          <w:color w:val="auto"/>
          <w:sz w:val="24"/>
          <w:highlight w:val="none"/>
        </w:rPr>
      </w:pPr>
    </w:p>
    <w:p w14:paraId="0A8B80E2">
      <w:pPr>
        <w:tabs>
          <w:tab w:val="left" w:pos="5580"/>
        </w:tabs>
        <w:spacing w:line="240" w:lineRule="atLeast"/>
        <w:ind w:left="1" w:firstLine="564" w:firstLineChars="235"/>
        <w:rPr>
          <w:rFonts w:hint="eastAsia" w:ascii="仿宋" w:hAnsi="仿宋" w:eastAsia="仿宋" w:cs="仿宋"/>
          <w:color w:val="auto"/>
          <w:sz w:val="24"/>
          <w:highlight w:val="none"/>
        </w:rPr>
      </w:pPr>
    </w:p>
    <w:p w14:paraId="4A5FA16A">
      <w:pPr>
        <w:tabs>
          <w:tab w:val="left" w:pos="5580"/>
        </w:tabs>
        <w:spacing w:line="240" w:lineRule="atLeast"/>
        <w:ind w:left="1" w:firstLine="564" w:firstLineChars="235"/>
        <w:rPr>
          <w:rFonts w:hint="eastAsia" w:ascii="仿宋" w:hAnsi="仿宋" w:eastAsia="仿宋" w:cs="仿宋"/>
          <w:color w:val="auto"/>
          <w:sz w:val="24"/>
          <w:highlight w:val="none"/>
        </w:rPr>
      </w:pPr>
    </w:p>
    <w:p w14:paraId="3C8B8416">
      <w:pPr>
        <w:tabs>
          <w:tab w:val="left" w:pos="5580"/>
        </w:tabs>
        <w:spacing w:line="240" w:lineRule="atLeast"/>
        <w:ind w:left="1" w:firstLine="564" w:firstLineChars="235"/>
        <w:rPr>
          <w:rFonts w:hint="eastAsia" w:ascii="仿宋" w:hAnsi="仿宋" w:eastAsia="仿宋" w:cs="仿宋"/>
          <w:color w:val="auto"/>
          <w:sz w:val="24"/>
          <w:highlight w:val="none"/>
        </w:rPr>
      </w:pPr>
    </w:p>
    <w:p w14:paraId="733DBE84">
      <w:pPr>
        <w:tabs>
          <w:tab w:val="left" w:pos="5580"/>
        </w:tabs>
        <w:spacing w:line="240" w:lineRule="atLeast"/>
        <w:ind w:left="1" w:firstLine="564" w:firstLineChars="235"/>
        <w:rPr>
          <w:rFonts w:hint="eastAsia" w:ascii="仿宋" w:hAnsi="仿宋" w:eastAsia="仿宋" w:cs="仿宋"/>
          <w:color w:val="auto"/>
          <w:sz w:val="24"/>
          <w:highlight w:val="none"/>
        </w:rPr>
      </w:pPr>
    </w:p>
    <w:p w14:paraId="57C07AEB">
      <w:pPr>
        <w:tabs>
          <w:tab w:val="left" w:pos="5580"/>
        </w:tabs>
        <w:spacing w:line="240" w:lineRule="atLeast"/>
        <w:ind w:left="1" w:firstLine="564" w:firstLineChars="235"/>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586DCC76">
      <w:pPr>
        <w:pStyle w:val="6"/>
        <w:spacing w:before="0" w:after="0" w:line="240" w:lineRule="atLeast"/>
        <w:jc w:val="center"/>
        <w:outlineLvl w:val="2"/>
        <w:rPr>
          <w:rFonts w:hint="eastAsia" w:ascii="仿宋" w:hAnsi="仿宋" w:eastAsia="仿宋" w:cs="仿宋"/>
          <w:color w:val="auto"/>
          <w:sz w:val="28"/>
          <w:szCs w:val="28"/>
          <w:highlight w:val="none"/>
          <w:u w:val="none"/>
        </w:rPr>
      </w:pPr>
      <w:bookmarkStart w:id="515" w:name="_Toc29377"/>
      <w:bookmarkStart w:id="516" w:name="_Toc30400"/>
      <w:bookmarkStart w:id="517" w:name="_Toc7749"/>
      <w:bookmarkStart w:id="518" w:name="_Toc16042"/>
      <w:bookmarkStart w:id="519" w:name="_Toc2553"/>
      <w:bookmarkStart w:id="520" w:name="_Toc5917"/>
      <w:bookmarkStart w:id="521" w:name="_Toc518923108"/>
      <w:r>
        <w:rPr>
          <w:rFonts w:hint="eastAsia" w:ascii="仿宋" w:hAnsi="仿宋" w:eastAsia="仿宋" w:cs="仿宋"/>
          <w:color w:val="auto"/>
          <w:sz w:val="28"/>
          <w:szCs w:val="28"/>
          <w:highlight w:val="none"/>
          <w:u w:val="none"/>
        </w:rPr>
        <w:t>1</w:t>
      </w:r>
      <w:r>
        <w:rPr>
          <w:rFonts w:hint="eastAsia" w:ascii="仿宋" w:hAnsi="仿宋" w:eastAsia="仿宋" w:cs="仿宋"/>
          <w:color w:val="auto"/>
          <w:sz w:val="28"/>
          <w:szCs w:val="28"/>
          <w:highlight w:val="none"/>
          <w:u w:val="none"/>
          <w:lang w:val="en-US" w:eastAsia="zh-CN"/>
        </w:rPr>
        <w:t xml:space="preserve">  </w:t>
      </w:r>
      <w:r>
        <w:rPr>
          <w:rFonts w:hint="eastAsia" w:ascii="仿宋" w:hAnsi="仿宋" w:eastAsia="仿宋" w:cs="仿宋"/>
          <w:color w:val="auto"/>
          <w:sz w:val="28"/>
          <w:szCs w:val="28"/>
          <w:highlight w:val="none"/>
          <w:u w:val="none"/>
        </w:rPr>
        <w:t>开标一览表（投标文件格式一）</w:t>
      </w:r>
      <w:bookmarkEnd w:id="515"/>
      <w:bookmarkEnd w:id="516"/>
      <w:bookmarkEnd w:id="517"/>
      <w:bookmarkEnd w:id="518"/>
      <w:bookmarkEnd w:id="519"/>
      <w:bookmarkEnd w:id="520"/>
      <w:bookmarkEnd w:id="521"/>
    </w:p>
    <w:p w14:paraId="63A5A5A2">
      <w:pPr>
        <w:pStyle w:val="4"/>
        <w:tabs>
          <w:tab w:val="left" w:pos="5580"/>
        </w:tabs>
        <w:spacing w:line="240" w:lineRule="atLeast"/>
        <w:ind w:left="1079" w:leftChars="257" w:hanging="540"/>
        <w:jc w:val="center"/>
        <w:rPr>
          <w:rFonts w:hint="eastAsia" w:ascii="仿宋" w:hAnsi="仿宋" w:eastAsia="仿宋" w:cs="仿宋"/>
          <w:b/>
          <w:color w:val="auto"/>
          <w:sz w:val="28"/>
          <w:szCs w:val="28"/>
          <w:highlight w:val="none"/>
        </w:rPr>
      </w:pPr>
      <w:bookmarkStart w:id="522" w:name="_Hlt520356241"/>
      <w:bookmarkEnd w:id="522"/>
      <w:bookmarkStart w:id="523" w:name="_Toc494296984"/>
      <w:bookmarkStart w:id="524" w:name="_Toc480942349"/>
      <w:bookmarkStart w:id="525" w:name="_Ref467988698"/>
      <w:bookmarkStart w:id="526" w:name="_Toc520356217"/>
      <w:bookmarkStart w:id="527" w:name="_Toc216582813"/>
      <w:r>
        <w:rPr>
          <w:rFonts w:hint="eastAsia" w:ascii="仿宋" w:hAnsi="仿宋" w:eastAsia="仿宋" w:cs="仿宋"/>
          <w:b/>
          <w:color w:val="auto"/>
          <w:sz w:val="28"/>
          <w:szCs w:val="28"/>
          <w:highlight w:val="none"/>
        </w:rPr>
        <w:t>开标一览表</w:t>
      </w:r>
      <w:bookmarkEnd w:id="523"/>
      <w:r>
        <w:rPr>
          <w:rFonts w:hint="eastAsia" w:ascii="仿宋" w:hAnsi="仿宋" w:eastAsia="仿宋" w:cs="仿宋"/>
          <w:b/>
          <w:color w:val="auto"/>
          <w:sz w:val="28"/>
          <w:szCs w:val="28"/>
          <w:highlight w:val="none"/>
        </w:rPr>
        <w:cr/>
      </w:r>
    </w:p>
    <w:p w14:paraId="7C309914">
      <w:pPr>
        <w:pStyle w:val="4"/>
        <w:tabs>
          <w:tab w:val="left" w:pos="5580"/>
        </w:tabs>
        <w:spacing w:line="240" w:lineRule="atLeast"/>
        <w:ind w:left="1079" w:leftChars="257" w:hanging="540"/>
        <w:rPr>
          <w:rFonts w:hint="eastAsia" w:ascii="仿宋" w:hAnsi="仿宋" w:eastAsia="仿宋" w:cs="仿宋"/>
          <w:color w:val="auto"/>
          <w:sz w:val="28"/>
          <w:szCs w:val="28"/>
          <w:highlight w:val="none"/>
        </w:rPr>
      </w:pPr>
    </w:p>
    <w:p w14:paraId="3E03DC37">
      <w:pPr>
        <w:tabs>
          <w:tab w:val="left" w:pos="1800"/>
          <w:tab w:val="left" w:pos="5580"/>
        </w:tabs>
        <w:spacing w:line="240" w:lineRule="atLeast"/>
        <w:ind w:left="1079" w:leftChars="257" w:right="-867" w:rightChars="-413"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项目名称：　              招标编号：                 </w:t>
      </w:r>
    </w:p>
    <w:p w14:paraId="214EE882">
      <w:pPr>
        <w:tabs>
          <w:tab w:val="left" w:pos="1800"/>
          <w:tab w:val="left" w:pos="5580"/>
        </w:tabs>
        <w:spacing w:line="240" w:lineRule="atLeast"/>
        <w:ind w:left="1079" w:leftChars="257" w:right="-867" w:rightChars="-413" w:hanging="540"/>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报价单位：人民币</w:t>
      </w:r>
      <w:r>
        <w:rPr>
          <w:rFonts w:hint="eastAsia" w:ascii="仿宋" w:hAnsi="仿宋" w:eastAsia="仿宋" w:cs="仿宋"/>
          <w:b/>
          <w:color w:val="auto"/>
          <w:sz w:val="28"/>
          <w:szCs w:val="28"/>
          <w:highlight w:val="none"/>
        </w:rPr>
        <w:t xml:space="preserve">    元</w:t>
      </w:r>
    </w:p>
    <w:tbl>
      <w:tblPr>
        <w:tblStyle w:val="20"/>
        <w:tblW w:w="5006" w:type="pct"/>
        <w:tblInd w:w="0" w:type="dxa"/>
        <w:tblLayout w:type="autofit"/>
        <w:tblCellMar>
          <w:top w:w="0" w:type="dxa"/>
          <w:left w:w="0" w:type="dxa"/>
          <w:bottom w:w="0" w:type="dxa"/>
          <w:right w:w="0" w:type="dxa"/>
        </w:tblCellMar>
      </w:tblPr>
      <w:tblGrid>
        <w:gridCol w:w="1342"/>
        <w:gridCol w:w="1627"/>
        <w:gridCol w:w="1620"/>
        <w:gridCol w:w="1620"/>
        <w:gridCol w:w="1021"/>
        <w:gridCol w:w="1036"/>
        <w:gridCol w:w="832"/>
      </w:tblGrid>
      <w:tr w14:paraId="11CEFA56">
        <w:tblPrEx>
          <w:tblCellMar>
            <w:top w:w="0" w:type="dxa"/>
            <w:left w:w="0" w:type="dxa"/>
            <w:bottom w:w="0" w:type="dxa"/>
            <w:right w:w="0" w:type="dxa"/>
          </w:tblCellMar>
        </w:tblPrEx>
        <w:trPr>
          <w:trHeight w:val="662" w:hRule="atLeast"/>
        </w:trPr>
        <w:tc>
          <w:tcPr>
            <w:tcW w:w="737" w:type="pct"/>
            <w:tcBorders>
              <w:top w:val="single" w:color="auto" w:sz="4" w:space="0"/>
              <w:left w:val="single" w:color="auto" w:sz="4" w:space="0"/>
              <w:bottom w:val="single" w:color="auto" w:sz="8" w:space="0"/>
              <w:right w:val="single" w:color="auto" w:sz="4" w:space="0"/>
            </w:tcBorders>
            <w:noWrap w:val="0"/>
            <w:vAlign w:val="center"/>
          </w:tcPr>
          <w:p w14:paraId="17050947">
            <w:pPr>
              <w:keepNext w:val="0"/>
              <w:keepLines w:val="0"/>
              <w:suppressLineNumbers w:val="0"/>
              <w:tabs>
                <w:tab w:val="left" w:pos="5580"/>
              </w:tabs>
              <w:spacing w:before="0" w:beforeAutospacing="0" w:after="0" w:afterAutospacing="0" w:line="240" w:lineRule="atLeast"/>
              <w:ind w:left="0" w:right="-199"/>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p>
        </w:tc>
        <w:tc>
          <w:tcPr>
            <w:tcW w:w="894" w:type="pct"/>
            <w:tcBorders>
              <w:top w:val="single" w:color="auto" w:sz="4" w:space="0"/>
              <w:left w:val="single" w:color="auto" w:sz="8" w:space="0"/>
              <w:bottom w:val="single" w:color="auto" w:sz="8" w:space="0"/>
              <w:right w:val="single" w:color="auto" w:sz="4" w:space="0"/>
            </w:tcBorders>
            <w:noWrap w:val="0"/>
            <w:vAlign w:val="center"/>
          </w:tcPr>
          <w:p w14:paraId="70CB4AD9">
            <w:pPr>
              <w:keepNext w:val="0"/>
              <w:keepLines w:val="0"/>
              <w:suppressLineNumbers w:val="0"/>
              <w:tabs>
                <w:tab w:val="left" w:pos="5580"/>
              </w:tabs>
              <w:spacing w:before="0" w:beforeAutospacing="0" w:after="0" w:afterAutospacing="0" w:line="240" w:lineRule="atLeas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投标总价</w:t>
            </w:r>
          </w:p>
        </w:tc>
        <w:tc>
          <w:tcPr>
            <w:tcW w:w="890" w:type="pct"/>
            <w:tcBorders>
              <w:top w:val="single" w:color="auto" w:sz="8" w:space="0"/>
              <w:left w:val="nil"/>
              <w:bottom w:val="single" w:color="auto" w:sz="8" w:space="0"/>
              <w:right w:val="single" w:color="auto" w:sz="4" w:space="0"/>
            </w:tcBorders>
            <w:noWrap w:val="0"/>
            <w:vAlign w:val="center"/>
          </w:tcPr>
          <w:p w14:paraId="2425F404">
            <w:pPr>
              <w:keepNext w:val="0"/>
              <w:keepLines w:val="0"/>
              <w:suppressLineNumbers w:val="0"/>
              <w:tabs>
                <w:tab w:val="left" w:pos="5580"/>
              </w:tabs>
              <w:spacing w:before="0" w:beforeAutospacing="0" w:after="0" w:afterAutospacing="0" w:line="240" w:lineRule="atLeas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交货期限</w:t>
            </w:r>
          </w:p>
        </w:tc>
        <w:tc>
          <w:tcPr>
            <w:tcW w:w="890" w:type="pct"/>
            <w:tcBorders>
              <w:top w:val="single" w:color="auto" w:sz="8" w:space="0"/>
              <w:left w:val="nil"/>
              <w:bottom w:val="single" w:color="auto" w:sz="8" w:space="0"/>
              <w:right w:val="single" w:color="auto" w:sz="4" w:space="0"/>
            </w:tcBorders>
            <w:noWrap w:val="0"/>
            <w:vAlign w:val="center"/>
          </w:tcPr>
          <w:p w14:paraId="49D700C2">
            <w:pPr>
              <w:keepNext w:val="0"/>
              <w:keepLines w:val="0"/>
              <w:suppressLineNumbers w:val="0"/>
              <w:tabs>
                <w:tab w:val="left" w:pos="5580"/>
              </w:tabs>
              <w:spacing w:before="0" w:beforeAutospacing="0" w:after="0" w:afterAutospacing="0" w:line="240" w:lineRule="atLeas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交货地点</w:t>
            </w:r>
          </w:p>
        </w:tc>
        <w:tc>
          <w:tcPr>
            <w:tcW w:w="561" w:type="pct"/>
            <w:tcBorders>
              <w:top w:val="single" w:color="auto" w:sz="8" w:space="0"/>
              <w:left w:val="single" w:color="auto" w:sz="4" w:space="0"/>
              <w:bottom w:val="single" w:color="auto" w:sz="8" w:space="0"/>
              <w:right w:val="single" w:color="auto" w:sz="8" w:space="0"/>
            </w:tcBorders>
            <w:noWrap w:val="0"/>
            <w:vAlign w:val="center"/>
          </w:tcPr>
          <w:p w14:paraId="0DE09D39">
            <w:pPr>
              <w:keepNext w:val="0"/>
              <w:keepLines w:val="0"/>
              <w:suppressLineNumbers w:val="0"/>
              <w:tabs>
                <w:tab w:val="left" w:pos="5580"/>
              </w:tabs>
              <w:spacing w:before="0" w:beforeAutospacing="0" w:after="0" w:afterAutospacing="0" w:line="240" w:lineRule="atLeas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质保期</w:t>
            </w:r>
          </w:p>
        </w:tc>
        <w:tc>
          <w:tcPr>
            <w:tcW w:w="569" w:type="pct"/>
            <w:tcBorders>
              <w:top w:val="single" w:color="auto" w:sz="8" w:space="0"/>
              <w:left w:val="single" w:color="auto" w:sz="4" w:space="0"/>
              <w:bottom w:val="single" w:color="auto" w:sz="8" w:space="0"/>
              <w:right w:val="single" w:color="auto" w:sz="8" w:space="0"/>
            </w:tcBorders>
            <w:noWrap w:val="0"/>
            <w:vAlign w:val="center"/>
          </w:tcPr>
          <w:p w14:paraId="19669BAB">
            <w:pPr>
              <w:keepNext w:val="0"/>
              <w:keepLines w:val="0"/>
              <w:suppressLineNumbers w:val="0"/>
              <w:tabs>
                <w:tab w:val="left" w:pos="5580"/>
              </w:tabs>
              <w:spacing w:before="0" w:beforeAutospacing="0" w:after="0" w:afterAutospacing="0" w:line="240" w:lineRule="atLeast"/>
              <w:ind w:left="0" w:right="0"/>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投标保证金</w:t>
            </w:r>
          </w:p>
        </w:tc>
        <w:tc>
          <w:tcPr>
            <w:tcW w:w="457" w:type="pct"/>
            <w:tcBorders>
              <w:top w:val="single" w:color="auto" w:sz="8" w:space="0"/>
              <w:left w:val="single" w:color="auto" w:sz="4" w:space="0"/>
              <w:bottom w:val="single" w:color="auto" w:sz="8" w:space="0"/>
              <w:right w:val="single" w:color="auto" w:sz="8" w:space="0"/>
            </w:tcBorders>
            <w:noWrap w:val="0"/>
            <w:vAlign w:val="center"/>
          </w:tcPr>
          <w:p w14:paraId="772435E3">
            <w:pPr>
              <w:keepNext w:val="0"/>
              <w:keepLines w:val="0"/>
              <w:suppressLineNumbers w:val="0"/>
              <w:tabs>
                <w:tab w:val="left" w:pos="5580"/>
              </w:tabs>
              <w:spacing w:before="0" w:beforeAutospacing="0" w:after="0" w:afterAutospacing="0" w:line="240" w:lineRule="atLeas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备注</w:t>
            </w:r>
          </w:p>
        </w:tc>
      </w:tr>
      <w:tr w14:paraId="12900868">
        <w:tblPrEx>
          <w:tblCellMar>
            <w:top w:w="0" w:type="dxa"/>
            <w:left w:w="0" w:type="dxa"/>
            <w:bottom w:w="0" w:type="dxa"/>
            <w:right w:w="0" w:type="dxa"/>
          </w:tblCellMar>
        </w:tblPrEx>
        <w:trPr>
          <w:cantSplit/>
          <w:trHeight w:val="1640" w:hRule="atLeast"/>
        </w:trPr>
        <w:tc>
          <w:tcPr>
            <w:tcW w:w="737" w:type="pct"/>
            <w:tcBorders>
              <w:top w:val="single" w:color="auto" w:sz="8" w:space="0"/>
              <w:left w:val="single" w:color="auto" w:sz="4" w:space="0"/>
              <w:bottom w:val="single" w:color="auto" w:sz="4" w:space="0"/>
              <w:right w:val="single" w:color="auto" w:sz="4" w:space="0"/>
            </w:tcBorders>
            <w:noWrap w:val="0"/>
            <w:vAlign w:val="center"/>
          </w:tcPr>
          <w:p w14:paraId="11F934DC">
            <w:pPr>
              <w:keepNext w:val="0"/>
              <w:keepLines w:val="0"/>
              <w:suppressLineNumbers w:val="0"/>
              <w:tabs>
                <w:tab w:val="left" w:pos="5580"/>
              </w:tabs>
              <w:spacing w:before="0" w:beforeAutospacing="0" w:after="0" w:afterAutospacing="0" w:line="240" w:lineRule="atLeast"/>
              <w:ind w:left="1079" w:leftChars="257" w:right="0" w:hanging="540"/>
              <w:jc w:val="center"/>
              <w:rPr>
                <w:rFonts w:hint="eastAsia" w:ascii="仿宋" w:hAnsi="仿宋" w:eastAsia="仿宋" w:cs="仿宋"/>
                <w:color w:val="auto"/>
                <w:sz w:val="28"/>
                <w:szCs w:val="28"/>
                <w:highlight w:val="none"/>
              </w:rPr>
            </w:pPr>
          </w:p>
        </w:tc>
        <w:tc>
          <w:tcPr>
            <w:tcW w:w="894" w:type="pct"/>
            <w:tcBorders>
              <w:top w:val="single" w:color="auto" w:sz="8" w:space="0"/>
              <w:left w:val="single" w:color="auto" w:sz="8" w:space="0"/>
              <w:bottom w:val="single" w:color="auto" w:sz="4" w:space="0"/>
              <w:right w:val="single" w:color="auto" w:sz="4" w:space="0"/>
            </w:tcBorders>
            <w:noWrap w:val="0"/>
            <w:vAlign w:val="center"/>
          </w:tcPr>
          <w:p w14:paraId="74B059E1">
            <w:pPr>
              <w:keepNext w:val="0"/>
              <w:keepLines w:val="0"/>
              <w:suppressLineNumbers w:val="0"/>
              <w:tabs>
                <w:tab w:val="left" w:pos="5580"/>
              </w:tabs>
              <w:spacing w:before="0" w:beforeAutospacing="0" w:after="0" w:afterAutospacing="0" w:line="240" w:lineRule="atLeast"/>
              <w:ind w:left="0" w:right="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大写：</w:t>
            </w:r>
          </w:p>
          <w:p w14:paraId="1EFCC3CD">
            <w:pPr>
              <w:keepNext w:val="0"/>
              <w:keepLines w:val="0"/>
              <w:suppressLineNumbers w:val="0"/>
              <w:tabs>
                <w:tab w:val="left" w:pos="5580"/>
              </w:tabs>
              <w:spacing w:before="0" w:beforeAutospacing="0" w:after="0" w:afterAutospacing="0" w:line="240" w:lineRule="atLeast"/>
              <w:ind w:left="0" w:right="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小写：</w:t>
            </w:r>
          </w:p>
        </w:tc>
        <w:tc>
          <w:tcPr>
            <w:tcW w:w="890" w:type="pct"/>
            <w:tcBorders>
              <w:top w:val="single" w:color="auto" w:sz="8" w:space="0"/>
              <w:left w:val="nil"/>
              <w:bottom w:val="single" w:color="auto" w:sz="4" w:space="0"/>
              <w:right w:val="single" w:color="auto" w:sz="4" w:space="0"/>
            </w:tcBorders>
            <w:noWrap w:val="0"/>
            <w:vAlign w:val="center"/>
          </w:tcPr>
          <w:p w14:paraId="3FA05490">
            <w:pPr>
              <w:keepNext w:val="0"/>
              <w:keepLines w:val="0"/>
              <w:suppressLineNumbers w:val="0"/>
              <w:tabs>
                <w:tab w:val="left" w:pos="5580"/>
              </w:tabs>
              <w:spacing w:before="0" w:beforeAutospacing="0" w:after="0" w:afterAutospacing="0" w:line="240" w:lineRule="atLeast"/>
              <w:ind w:left="1079" w:leftChars="257" w:right="0" w:hanging="540"/>
              <w:jc w:val="center"/>
              <w:rPr>
                <w:rFonts w:hint="eastAsia" w:ascii="仿宋" w:hAnsi="仿宋" w:eastAsia="仿宋" w:cs="仿宋"/>
                <w:color w:val="auto"/>
                <w:sz w:val="28"/>
                <w:szCs w:val="28"/>
                <w:highlight w:val="none"/>
              </w:rPr>
            </w:pPr>
          </w:p>
        </w:tc>
        <w:tc>
          <w:tcPr>
            <w:tcW w:w="890" w:type="pct"/>
            <w:tcBorders>
              <w:top w:val="single" w:color="auto" w:sz="8" w:space="0"/>
              <w:left w:val="nil"/>
              <w:bottom w:val="single" w:color="auto" w:sz="4" w:space="0"/>
              <w:right w:val="single" w:color="auto" w:sz="4" w:space="0"/>
            </w:tcBorders>
            <w:noWrap w:val="0"/>
            <w:vAlign w:val="center"/>
          </w:tcPr>
          <w:p w14:paraId="39DD371E">
            <w:pPr>
              <w:keepNext w:val="0"/>
              <w:keepLines w:val="0"/>
              <w:suppressLineNumbers w:val="0"/>
              <w:tabs>
                <w:tab w:val="left" w:pos="5580"/>
              </w:tabs>
              <w:spacing w:before="0" w:beforeAutospacing="0" w:after="0" w:afterAutospacing="0" w:line="240" w:lineRule="atLeast"/>
              <w:ind w:left="1079" w:leftChars="257" w:right="0" w:hanging="540"/>
              <w:jc w:val="center"/>
              <w:rPr>
                <w:rFonts w:hint="eastAsia" w:ascii="仿宋" w:hAnsi="仿宋" w:eastAsia="仿宋" w:cs="仿宋"/>
                <w:color w:val="auto"/>
                <w:sz w:val="28"/>
                <w:szCs w:val="28"/>
                <w:highlight w:val="none"/>
              </w:rPr>
            </w:pPr>
          </w:p>
        </w:tc>
        <w:tc>
          <w:tcPr>
            <w:tcW w:w="561" w:type="pct"/>
            <w:tcBorders>
              <w:top w:val="single" w:color="auto" w:sz="8" w:space="0"/>
              <w:left w:val="single" w:color="auto" w:sz="4" w:space="0"/>
              <w:bottom w:val="single" w:color="auto" w:sz="4" w:space="0"/>
              <w:right w:val="single" w:color="auto" w:sz="8" w:space="0"/>
            </w:tcBorders>
            <w:noWrap w:val="0"/>
            <w:vAlign w:val="center"/>
          </w:tcPr>
          <w:p w14:paraId="2642AF1F">
            <w:pPr>
              <w:keepNext w:val="0"/>
              <w:keepLines w:val="0"/>
              <w:suppressLineNumbers w:val="0"/>
              <w:tabs>
                <w:tab w:val="left" w:pos="5580"/>
              </w:tabs>
              <w:spacing w:before="0" w:beforeAutospacing="0" w:after="0" w:afterAutospacing="0" w:line="240" w:lineRule="atLeast"/>
              <w:ind w:left="1079" w:leftChars="257" w:right="0" w:hanging="540"/>
              <w:jc w:val="center"/>
              <w:rPr>
                <w:rFonts w:hint="eastAsia" w:ascii="仿宋" w:hAnsi="仿宋" w:eastAsia="仿宋" w:cs="仿宋"/>
                <w:color w:val="auto"/>
                <w:sz w:val="28"/>
                <w:szCs w:val="28"/>
                <w:highlight w:val="none"/>
              </w:rPr>
            </w:pPr>
          </w:p>
        </w:tc>
        <w:tc>
          <w:tcPr>
            <w:tcW w:w="569" w:type="pct"/>
            <w:tcBorders>
              <w:top w:val="single" w:color="auto" w:sz="8" w:space="0"/>
              <w:left w:val="single" w:color="auto" w:sz="4" w:space="0"/>
              <w:bottom w:val="single" w:color="auto" w:sz="4" w:space="0"/>
              <w:right w:val="single" w:color="auto" w:sz="8" w:space="0"/>
            </w:tcBorders>
            <w:noWrap w:val="0"/>
            <w:vAlign w:val="center"/>
          </w:tcPr>
          <w:p w14:paraId="0901A90F">
            <w:pPr>
              <w:keepNext w:val="0"/>
              <w:keepLines w:val="0"/>
              <w:suppressLineNumbers w:val="0"/>
              <w:tabs>
                <w:tab w:val="left" w:pos="5580"/>
              </w:tabs>
              <w:spacing w:before="0" w:beforeAutospacing="0" w:after="0" w:afterAutospacing="0" w:line="240" w:lineRule="atLeast"/>
              <w:ind w:left="1079" w:leftChars="257" w:right="0" w:hanging="540"/>
              <w:jc w:val="center"/>
              <w:rPr>
                <w:rFonts w:hint="eastAsia" w:ascii="仿宋" w:hAnsi="仿宋" w:eastAsia="仿宋" w:cs="仿宋"/>
                <w:color w:val="auto"/>
                <w:sz w:val="28"/>
                <w:szCs w:val="28"/>
                <w:highlight w:val="none"/>
              </w:rPr>
            </w:pPr>
          </w:p>
        </w:tc>
        <w:tc>
          <w:tcPr>
            <w:tcW w:w="457" w:type="pct"/>
            <w:tcBorders>
              <w:top w:val="single" w:color="auto" w:sz="8" w:space="0"/>
              <w:left w:val="single" w:color="auto" w:sz="4" w:space="0"/>
              <w:bottom w:val="single" w:color="auto" w:sz="4" w:space="0"/>
              <w:right w:val="single" w:color="auto" w:sz="8" w:space="0"/>
            </w:tcBorders>
            <w:noWrap w:val="0"/>
            <w:vAlign w:val="center"/>
          </w:tcPr>
          <w:p w14:paraId="55D491F2">
            <w:pPr>
              <w:keepNext w:val="0"/>
              <w:keepLines w:val="0"/>
              <w:suppressLineNumbers w:val="0"/>
              <w:tabs>
                <w:tab w:val="left" w:pos="5580"/>
              </w:tabs>
              <w:spacing w:before="0" w:beforeAutospacing="0" w:after="0" w:afterAutospacing="0" w:line="240" w:lineRule="atLeast"/>
              <w:ind w:left="1079" w:leftChars="257" w:right="0" w:hanging="540"/>
              <w:jc w:val="center"/>
              <w:rPr>
                <w:rFonts w:hint="eastAsia" w:ascii="仿宋" w:hAnsi="仿宋" w:eastAsia="仿宋" w:cs="仿宋"/>
                <w:color w:val="auto"/>
                <w:sz w:val="28"/>
                <w:szCs w:val="28"/>
                <w:highlight w:val="none"/>
              </w:rPr>
            </w:pPr>
          </w:p>
        </w:tc>
      </w:tr>
    </w:tbl>
    <w:p w14:paraId="201D3690">
      <w:pPr>
        <w:pStyle w:val="11"/>
        <w:tabs>
          <w:tab w:val="left" w:pos="5580"/>
        </w:tabs>
        <w:spacing w:line="240" w:lineRule="atLeast"/>
        <w:ind w:left="1079" w:leftChars="257" w:hanging="540"/>
        <w:rPr>
          <w:rFonts w:hint="eastAsia" w:ascii="仿宋" w:hAnsi="仿宋" w:eastAsia="仿宋" w:cs="仿宋"/>
          <w:color w:val="auto"/>
          <w:sz w:val="28"/>
          <w:szCs w:val="28"/>
          <w:highlight w:val="none"/>
          <w:u w:val="single"/>
        </w:rPr>
      </w:pPr>
    </w:p>
    <w:p w14:paraId="2121E31A">
      <w:pPr>
        <w:pStyle w:val="11"/>
        <w:tabs>
          <w:tab w:val="left" w:pos="5580"/>
        </w:tabs>
        <w:spacing w:line="240" w:lineRule="atLeast"/>
        <w:ind w:left="1079" w:leftChars="257" w:hanging="540"/>
        <w:rPr>
          <w:rFonts w:hint="eastAsia" w:ascii="仿宋" w:hAnsi="仿宋" w:eastAsia="仿宋" w:cs="仿宋"/>
          <w:color w:val="auto"/>
          <w:sz w:val="28"/>
          <w:szCs w:val="28"/>
          <w:highlight w:val="none"/>
          <w:u w:val="single"/>
        </w:rPr>
      </w:pPr>
    </w:p>
    <w:p w14:paraId="07E46747">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投标人名称（单位章）：</w:t>
      </w:r>
      <w:r>
        <w:rPr>
          <w:rFonts w:hint="eastAsia" w:ascii="仿宋" w:hAnsi="仿宋" w:eastAsia="仿宋" w:cs="仿宋"/>
          <w:color w:val="auto"/>
          <w:sz w:val="28"/>
          <w:szCs w:val="28"/>
          <w:highlight w:val="none"/>
          <w:u w:val="single"/>
        </w:rPr>
        <w:t xml:space="preserve">                       </w:t>
      </w:r>
    </w:p>
    <w:p w14:paraId="7938AB0F">
      <w:pPr>
        <w:pStyle w:val="11"/>
        <w:tabs>
          <w:tab w:val="left" w:pos="5580"/>
        </w:tabs>
        <w:spacing w:line="240" w:lineRule="atLeast"/>
        <w:ind w:left="1079" w:leftChars="257" w:hanging="54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法定代表人(签字及盖章):</w:t>
      </w:r>
      <w:r>
        <w:rPr>
          <w:rFonts w:hint="eastAsia" w:ascii="仿宋" w:hAnsi="仿宋" w:eastAsia="仿宋" w:cs="仿宋"/>
          <w:color w:val="auto"/>
          <w:sz w:val="28"/>
          <w:szCs w:val="28"/>
          <w:highlight w:val="none"/>
          <w:u w:val="single"/>
        </w:rPr>
        <w:tab/>
      </w:r>
    </w:p>
    <w:p w14:paraId="0F64BB81">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5CB42546">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5CEE0ADF">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注:1、此表应按投标人须知的规定装订密封。</w:t>
      </w:r>
    </w:p>
    <w:p w14:paraId="7604E5C9">
      <w:pPr>
        <w:pStyle w:val="11"/>
        <w:tabs>
          <w:tab w:val="left" w:pos="5580"/>
        </w:tabs>
        <w:spacing w:line="240" w:lineRule="atLeast"/>
        <w:ind w:left="1108" w:leftChars="428" w:hanging="210" w:hangingChars="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2、此表中，每个分包的投标总价应和投标分项报价表的总价相一致。</w:t>
      </w:r>
    </w:p>
    <w:p w14:paraId="48D9574B">
      <w:pPr>
        <w:rPr>
          <w:rFonts w:hint="eastAsia" w:ascii="仿宋" w:hAnsi="仿宋" w:eastAsia="仿宋" w:cs="仿宋"/>
          <w:b/>
          <w:color w:val="auto"/>
          <w:sz w:val="28"/>
          <w:szCs w:val="28"/>
          <w:highlight w:val="none"/>
        </w:rPr>
      </w:pPr>
    </w:p>
    <w:p w14:paraId="104DB544">
      <w:pPr>
        <w:pStyle w:val="6"/>
        <w:spacing w:before="0" w:after="0" w:line="240" w:lineRule="atLeast"/>
        <w:jc w:val="center"/>
        <w:outlineLvl w:val="2"/>
        <w:rPr>
          <w:rFonts w:hint="eastAsia" w:ascii="仿宋" w:hAnsi="仿宋" w:eastAsia="仿宋" w:cs="仿宋"/>
          <w:color w:val="auto"/>
          <w:sz w:val="28"/>
          <w:szCs w:val="28"/>
          <w:highlight w:val="none"/>
          <w:u w:val="none"/>
          <w:lang w:val="en-US" w:eastAsia="zh-CN"/>
        </w:rPr>
      </w:pPr>
      <w:bookmarkStart w:id="528" w:name="_Toc518923109"/>
      <w:bookmarkStart w:id="529" w:name="_Toc26337"/>
      <w:bookmarkStart w:id="530" w:name="_Toc265"/>
      <w:bookmarkStart w:id="531" w:name="_Toc26107"/>
      <w:bookmarkStart w:id="532" w:name="_Toc32096"/>
      <w:bookmarkStart w:id="533" w:name="_Toc18015"/>
      <w:r>
        <w:rPr>
          <w:rFonts w:hint="eastAsia" w:ascii="仿宋" w:hAnsi="仿宋" w:eastAsia="仿宋" w:cs="仿宋"/>
          <w:color w:val="auto"/>
          <w:sz w:val="28"/>
          <w:szCs w:val="28"/>
          <w:highlight w:val="none"/>
          <w:u w:val="none"/>
          <w:lang w:val="en-US" w:eastAsia="zh-CN"/>
        </w:rPr>
        <w:br w:type="page"/>
      </w:r>
      <w:bookmarkStart w:id="534" w:name="_Toc16005"/>
      <w:r>
        <w:rPr>
          <w:rFonts w:hint="eastAsia" w:ascii="仿宋" w:hAnsi="仿宋" w:eastAsia="仿宋" w:cs="仿宋"/>
          <w:color w:val="auto"/>
          <w:sz w:val="28"/>
          <w:szCs w:val="28"/>
          <w:highlight w:val="none"/>
          <w:u w:val="none"/>
          <w:lang w:val="en-US" w:eastAsia="zh-CN"/>
        </w:rPr>
        <w:t>2  法人或者非法人组织的营业执照等证明文件或自然人的身份证明</w:t>
      </w:r>
      <w:bookmarkEnd w:id="528"/>
      <w:bookmarkEnd w:id="529"/>
      <w:bookmarkEnd w:id="530"/>
      <w:bookmarkEnd w:id="531"/>
      <w:bookmarkEnd w:id="532"/>
      <w:bookmarkEnd w:id="533"/>
      <w:bookmarkEnd w:id="534"/>
    </w:p>
    <w:p w14:paraId="1AD71E5C">
      <w:pPr>
        <w:adjustRightInd w:val="0"/>
        <w:snapToGrid w:val="0"/>
        <w:spacing w:before="312" w:beforeLines="100" w:after="312" w:afterLines="100" w:line="440" w:lineRule="exact"/>
        <w:jc w:val="center"/>
        <w:rPr>
          <w:rFonts w:hint="eastAsia" w:ascii="仿宋" w:hAnsi="仿宋" w:eastAsia="仿宋" w:cs="仿宋"/>
          <w:b w:val="0"/>
          <w:color w:val="auto"/>
          <w:kern w:val="2"/>
          <w:sz w:val="28"/>
          <w:szCs w:val="28"/>
          <w:highlight w:val="none"/>
          <w:lang w:val="en-US" w:eastAsia="zh-CN" w:bidi="ar-SA"/>
        </w:rPr>
      </w:pPr>
    </w:p>
    <w:p w14:paraId="721F2E8A">
      <w:pPr>
        <w:adjustRightInd w:val="0"/>
        <w:snapToGrid w:val="0"/>
        <w:spacing w:before="312" w:beforeLines="100" w:after="312" w:afterLines="100" w:line="440" w:lineRule="exact"/>
        <w:jc w:val="center"/>
        <w:rPr>
          <w:rFonts w:hint="eastAsia"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（一）法定代表人身份证明</w:t>
      </w:r>
    </w:p>
    <w:p w14:paraId="405578FB">
      <w:pPr>
        <w:spacing w:line="440" w:lineRule="exact"/>
        <w:rPr>
          <w:rFonts w:hint="eastAsia"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 xml:space="preserve">   </w:t>
      </w:r>
      <w:r>
        <w:rPr>
          <w:rFonts w:hint="eastAsia" w:ascii="仿宋" w:hAnsi="仿宋" w:eastAsia="仿宋" w:cs="仿宋"/>
          <w:b w:val="0"/>
          <w:color w:val="auto"/>
          <w:kern w:val="2"/>
          <w:sz w:val="28"/>
          <w:szCs w:val="28"/>
          <w:highlight w:val="none"/>
          <w:u w:val="single"/>
          <w:lang w:val="en-US" w:eastAsia="zh-CN" w:bidi="ar-SA"/>
        </w:rPr>
        <w:t xml:space="preserve">            </w:t>
      </w:r>
      <w:r>
        <w:rPr>
          <w:rFonts w:hint="eastAsia" w:ascii="仿宋" w:hAnsi="仿宋" w:eastAsia="仿宋" w:cs="仿宋"/>
          <w:b w:val="0"/>
          <w:color w:val="auto"/>
          <w:kern w:val="2"/>
          <w:sz w:val="28"/>
          <w:szCs w:val="28"/>
          <w:highlight w:val="none"/>
          <w:lang w:val="en-US" w:eastAsia="zh-CN" w:bidi="ar-SA"/>
        </w:rPr>
        <w:t>同志，现任我单位</w:t>
      </w:r>
      <w:r>
        <w:rPr>
          <w:rFonts w:hint="eastAsia" w:ascii="仿宋" w:hAnsi="仿宋" w:eastAsia="仿宋" w:cs="仿宋"/>
          <w:b w:val="0"/>
          <w:color w:val="auto"/>
          <w:kern w:val="2"/>
          <w:sz w:val="28"/>
          <w:szCs w:val="28"/>
          <w:highlight w:val="none"/>
          <w:u w:val="single"/>
          <w:lang w:val="en-US" w:eastAsia="zh-CN" w:bidi="ar-SA"/>
        </w:rPr>
        <w:t xml:space="preserve">          </w:t>
      </w:r>
      <w:r>
        <w:rPr>
          <w:rFonts w:hint="eastAsia" w:ascii="仿宋" w:hAnsi="仿宋" w:eastAsia="仿宋" w:cs="仿宋"/>
          <w:b w:val="0"/>
          <w:color w:val="auto"/>
          <w:kern w:val="2"/>
          <w:sz w:val="28"/>
          <w:szCs w:val="28"/>
          <w:highlight w:val="none"/>
          <w:lang w:val="en-US" w:eastAsia="zh-CN" w:bidi="ar-SA"/>
        </w:rPr>
        <w:t>职务，为法定代表人，特此证明。</w:t>
      </w:r>
    </w:p>
    <w:p w14:paraId="458BA998">
      <w:pPr>
        <w:spacing w:line="440" w:lineRule="exact"/>
        <w:ind w:firstLine="280" w:firstLineChars="100"/>
        <w:rPr>
          <w:rFonts w:hint="eastAsia"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 xml:space="preserve">签发日期：                  单位：           </w:t>
      </w:r>
    </w:p>
    <w:p w14:paraId="36D97F76">
      <w:pPr>
        <w:spacing w:line="440" w:lineRule="exact"/>
        <w:ind w:firstLine="280" w:firstLineChars="100"/>
        <w:rPr>
          <w:rFonts w:hint="eastAsia"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附：代表人性别：            年龄：           身份证号码：</w:t>
      </w:r>
    </w:p>
    <w:p w14:paraId="452A0E4D">
      <w:pPr>
        <w:spacing w:line="440" w:lineRule="exact"/>
        <w:ind w:firstLine="280" w:firstLineChars="100"/>
        <w:rPr>
          <w:rFonts w:hint="eastAsia"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联系电话：</w:t>
      </w:r>
    </w:p>
    <w:p w14:paraId="1EA15783">
      <w:pPr>
        <w:spacing w:line="440" w:lineRule="exact"/>
        <w:ind w:firstLine="280" w:firstLineChars="100"/>
        <w:rPr>
          <w:rFonts w:hint="eastAsia"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营业执照号码：              经济性质：</w:t>
      </w:r>
    </w:p>
    <w:p w14:paraId="39B437AB">
      <w:pPr>
        <w:spacing w:line="440" w:lineRule="exact"/>
        <w:rPr>
          <w:rFonts w:hint="eastAsia"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说明：</w:t>
      </w:r>
    </w:p>
    <w:p w14:paraId="016F5CDE">
      <w:pPr>
        <w:spacing w:line="440" w:lineRule="exact"/>
        <w:ind w:firstLine="280" w:firstLineChars="100"/>
        <w:rPr>
          <w:rFonts w:hint="eastAsia"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1、法定代表人为企业事业单位、国家机关、社会团体的主要行政负责人。</w:t>
      </w:r>
    </w:p>
    <w:p w14:paraId="1F5EDD14">
      <w:pPr>
        <w:spacing w:line="440" w:lineRule="exact"/>
        <w:rPr>
          <w:rFonts w:hint="eastAsia"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 xml:space="preserve">  2、内容必须填写真实、清楚、涂改无效，不得转让。</w:t>
      </w:r>
    </w:p>
    <w:p w14:paraId="732CFA8A">
      <w:pPr>
        <w:spacing w:line="440" w:lineRule="exact"/>
        <w:ind w:firstLine="280" w:firstLineChars="100"/>
        <w:rPr>
          <w:rFonts w:hint="eastAsia"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3、将此证明书放入谈判响应文件中加盖公章。</w:t>
      </w:r>
    </w:p>
    <w:p w14:paraId="6B1CFA58">
      <w:pPr>
        <w:spacing w:line="440" w:lineRule="exact"/>
        <w:rPr>
          <w:rFonts w:hint="eastAsia"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 xml:space="preserve">  (为避免废标，请投标人务必提供本附件)</w:t>
      </w:r>
    </w:p>
    <w:p w14:paraId="41737AC3">
      <w:pPr>
        <w:spacing w:line="440" w:lineRule="exact"/>
        <w:rPr>
          <w:rFonts w:hint="eastAsia"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154305</wp:posOffset>
                </wp:positionH>
                <wp:positionV relativeFrom="paragraph">
                  <wp:posOffset>10795</wp:posOffset>
                </wp:positionV>
                <wp:extent cx="2333625" cy="1584325"/>
                <wp:effectExtent l="4445" t="4445" r="8890" b="11430"/>
                <wp:wrapNone/>
                <wp:docPr id="14" name="流程图: 可选过程 1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77DEC310">
                            <w:pPr>
                              <w:jc w:val="center"/>
                              <w:rPr>
                                <w:rFonts w:hAnsi="宋体"/>
                                <w:szCs w:val="21"/>
                              </w:rPr>
                            </w:pPr>
                          </w:p>
                          <w:p w14:paraId="4A855DF8">
                            <w:pPr>
                              <w:jc w:val="center"/>
                              <w:rPr>
                                <w:rFonts w:hAnsi="宋体"/>
                                <w:szCs w:val="21"/>
                              </w:rPr>
                            </w:pPr>
                          </w:p>
                          <w:p w14:paraId="5B1E26CA">
                            <w:pPr>
                              <w:jc w:val="center"/>
                              <w:rPr>
                                <w:rFonts w:hAnsi="宋体"/>
                                <w:szCs w:val="21"/>
                              </w:rPr>
                            </w:pPr>
                          </w:p>
                          <w:p w14:paraId="0F40B165">
                            <w:pPr>
                              <w:jc w:val="center"/>
                              <w:rPr>
                                <w:rFonts w:hint="eastAsia" w:hAnsi="宋体"/>
                                <w:szCs w:val="21"/>
                              </w:rPr>
                            </w:pPr>
                            <w:r>
                              <w:rPr>
                                <w:rFonts w:hint="eastAsia" w:hAnsi="宋体"/>
                                <w:szCs w:val="21"/>
                              </w:rPr>
                              <w:t>法定代表人身份证复印件正面</w:t>
                            </w:r>
                          </w:p>
                          <w:p w14:paraId="1EF10B31">
                            <w:pPr>
                              <w:pStyle w:val="7"/>
                              <w:ind w:firstLine="1200" w:firstLineChars="500"/>
                              <w:rPr>
                                <w:rFonts w:hint="eastAsia" w:eastAsia="宋体"/>
                                <w:color w:val="FF0000"/>
                                <w:lang w:eastAsia="zh-CN"/>
                              </w:rPr>
                            </w:pPr>
                            <w:r>
                              <w:rPr>
                                <w:rFonts w:hint="eastAsia"/>
                                <w:color w:val="FF0000"/>
                                <w:szCs w:val="21"/>
                                <w:lang w:eastAsia="zh-CN"/>
                              </w:rPr>
                              <w:t>（</w:t>
                            </w:r>
                            <w:r>
                              <w:rPr>
                                <w:rFonts w:hint="eastAsia"/>
                                <w:color w:val="FF0000"/>
                                <w:szCs w:val="21"/>
                                <w:lang w:val="en-US" w:eastAsia="zh-CN"/>
                              </w:rPr>
                              <w:t>国徽面</w:t>
                            </w:r>
                            <w:r>
                              <w:rPr>
                                <w:rFonts w:hint="eastAsia"/>
                                <w:color w:val="FF0000"/>
                                <w:szCs w:val="21"/>
                                <w:lang w:eastAsia="zh-CN"/>
                              </w:rPr>
                              <w:t>）</w:t>
                            </w:r>
                          </w:p>
                        </w:txbxContent>
                      </wps:txbx>
                      <wps:bodyPr upright="1"/>
                    </wps:wsp>
                  </a:graphicData>
                </a:graphic>
              </wp:anchor>
            </w:drawing>
          </mc:Choice>
          <mc:Fallback>
            <w:pict>
              <v:shape id="_x0000_s1026" o:spid="_x0000_s1026" o:spt="176" type="#_x0000_t176" style="position:absolute;left:0pt;margin-left:12.15pt;margin-top:0.85pt;height:124.75pt;width:183.75pt;z-index:251662336;mso-width-relative:page;mso-height-relative:page;" fillcolor="#FFFFFF" filled="t" stroked="t" coordsize="21600,21600" o:gfxdata="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5WTr11gAAAAgBAAAPAAAAAAAAAAEAIAAAACIAAABkcnMvZG93bnJldi54bWxQSwEC&#10;FAAUAAAACACHTuJAgT5kQy8CAABgBAAADgAAAAAAAAABACAAAAAlAQAAZHJzL2Uyb0RvYy54bWxQ&#10;SwUGAAAAAAYABgBZAQAAxgUAAAAA&#10;">
                <v:fill on="t" focussize="0,0"/>
                <v:stroke color="#000000" joinstyle="miter"/>
                <v:imagedata o:title=""/>
                <o:lock v:ext="edit" aspectratio="f"/>
                <v:textbox>
                  <w:txbxContent>
                    <w:p w14:paraId="77DEC310">
                      <w:pPr>
                        <w:jc w:val="center"/>
                        <w:rPr>
                          <w:rFonts w:hAnsi="宋体"/>
                          <w:szCs w:val="21"/>
                        </w:rPr>
                      </w:pPr>
                    </w:p>
                    <w:p w14:paraId="4A855DF8">
                      <w:pPr>
                        <w:jc w:val="center"/>
                        <w:rPr>
                          <w:rFonts w:hAnsi="宋体"/>
                          <w:szCs w:val="21"/>
                        </w:rPr>
                      </w:pPr>
                    </w:p>
                    <w:p w14:paraId="5B1E26CA">
                      <w:pPr>
                        <w:jc w:val="center"/>
                        <w:rPr>
                          <w:rFonts w:hAnsi="宋体"/>
                          <w:szCs w:val="21"/>
                        </w:rPr>
                      </w:pPr>
                    </w:p>
                    <w:p w14:paraId="0F40B165">
                      <w:pPr>
                        <w:jc w:val="center"/>
                        <w:rPr>
                          <w:rFonts w:hint="eastAsia" w:hAnsi="宋体"/>
                          <w:szCs w:val="21"/>
                        </w:rPr>
                      </w:pPr>
                      <w:r>
                        <w:rPr>
                          <w:rFonts w:hint="eastAsia" w:hAnsi="宋体"/>
                          <w:szCs w:val="21"/>
                        </w:rPr>
                        <w:t>法定代表人身份证复印件正面</w:t>
                      </w:r>
                    </w:p>
                    <w:p w14:paraId="1EF10B31">
                      <w:pPr>
                        <w:pStyle w:val="7"/>
                        <w:ind w:firstLine="1200" w:firstLineChars="500"/>
                        <w:rPr>
                          <w:rFonts w:hint="eastAsia" w:eastAsia="宋体"/>
                          <w:color w:val="FF0000"/>
                          <w:lang w:eastAsia="zh-CN"/>
                        </w:rPr>
                      </w:pPr>
                      <w:r>
                        <w:rPr>
                          <w:rFonts w:hint="eastAsia"/>
                          <w:color w:val="FF0000"/>
                          <w:szCs w:val="21"/>
                          <w:lang w:eastAsia="zh-CN"/>
                        </w:rPr>
                        <w:t>（</w:t>
                      </w:r>
                      <w:r>
                        <w:rPr>
                          <w:rFonts w:hint="eastAsia"/>
                          <w:color w:val="FF0000"/>
                          <w:szCs w:val="21"/>
                          <w:lang w:val="en-US" w:eastAsia="zh-CN"/>
                        </w:rPr>
                        <w:t>国徽面</w:t>
                      </w:r>
                      <w:r>
                        <w:rPr>
                          <w:rFonts w:hint="eastAsia"/>
                          <w:color w:val="FF0000"/>
                          <w:szCs w:val="21"/>
                          <w:lang w:eastAsia="zh-CN"/>
                        </w:rPr>
                        <w:t>）</w:t>
                      </w:r>
                    </w:p>
                  </w:txbxContent>
                </v:textbox>
              </v:shape>
            </w:pict>
          </mc:Fallback>
        </mc:AlternateContent>
      </w:r>
      <w:r>
        <w:rPr>
          <w:rFonts w:hint="eastAsia" w:ascii="仿宋" w:hAnsi="仿宋" w:eastAsia="仿宋" w:cs="仿宋"/>
          <w:b w:val="0"/>
          <w:color w:val="auto"/>
          <w:kern w:val="2"/>
          <w:sz w:val="28"/>
          <w:szCs w:val="28"/>
          <w:highlight w:val="none"/>
          <w:lang w:val="en-US" w:eastAsia="zh-CN" w:bidi="ar-SA"/>
        </w:rPr>
        <mc:AlternateContent>
          <mc:Choice Requires="wps">
            <w:drawing>
              <wp:anchor distT="0" distB="0" distL="114300" distR="114300" simplePos="0" relativeHeight="251663360" behindDoc="0" locked="0" layoutInCell="1" allowOverlap="1">
                <wp:simplePos x="0" y="0"/>
                <wp:positionH relativeFrom="column">
                  <wp:posOffset>2918460</wp:posOffset>
                </wp:positionH>
                <wp:positionV relativeFrom="paragraph">
                  <wp:posOffset>28575</wp:posOffset>
                </wp:positionV>
                <wp:extent cx="2609850" cy="1557020"/>
                <wp:effectExtent l="7620" t="7620" r="19050" b="20320"/>
                <wp:wrapNone/>
                <wp:docPr id="15" name="圆角矩形 15"/>
                <wp:cNvGraphicFramePr/>
                <a:graphic xmlns:a="http://schemas.openxmlformats.org/drawingml/2006/main">
                  <a:graphicData uri="http://schemas.microsoft.com/office/word/2010/wordprocessingShape">
                    <wps:wsp>
                      <wps:cNvSpPr/>
                      <wps:spPr>
                        <a:xfrm>
                          <a:off x="0" y="0"/>
                          <a:ext cx="2609850" cy="15570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6CDA0330">
                            <w:pPr>
                              <w:jc w:val="center"/>
                              <w:rPr>
                                <w:rFonts w:hAnsi="宋体"/>
                                <w:szCs w:val="21"/>
                              </w:rPr>
                            </w:pPr>
                            <w:r>
                              <w:rPr>
                                <w:rFonts w:hint="eastAsia" w:hAnsi="宋体"/>
                                <w:szCs w:val="21"/>
                              </w:rPr>
                              <w:t xml:space="preserve">  </w:t>
                            </w:r>
                          </w:p>
                          <w:p w14:paraId="09DE9EAE">
                            <w:pPr>
                              <w:jc w:val="center"/>
                              <w:rPr>
                                <w:rFonts w:hAnsi="宋体"/>
                                <w:szCs w:val="21"/>
                              </w:rPr>
                            </w:pPr>
                          </w:p>
                          <w:p w14:paraId="033225EC">
                            <w:pPr>
                              <w:jc w:val="center"/>
                              <w:rPr>
                                <w:rFonts w:hAnsi="宋体"/>
                                <w:szCs w:val="21"/>
                              </w:rPr>
                            </w:pPr>
                          </w:p>
                          <w:p w14:paraId="397C1FEF">
                            <w:pPr>
                              <w:jc w:val="center"/>
                              <w:rPr>
                                <w:szCs w:val="21"/>
                              </w:rPr>
                            </w:pPr>
                            <w:r>
                              <w:rPr>
                                <w:rFonts w:hint="eastAsia" w:hAnsi="宋体"/>
                                <w:szCs w:val="21"/>
                              </w:rPr>
                              <w:t>法定代表人身份证复印件反面</w:t>
                            </w:r>
                          </w:p>
                          <w:p w14:paraId="1A9F791C">
                            <w:pPr>
                              <w:pStyle w:val="4"/>
                              <w:ind w:firstLine="1200" w:firstLineChars="500"/>
                              <w:rPr>
                                <w:rFonts w:hint="eastAsia" w:eastAsia="宋体"/>
                                <w:color w:val="FF0000"/>
                                <w:lang w:eastAsia="zh-CN"/>
                              </w:rPr>
                            </w:pPr>
                            <w:r>
                              <w:rPr>
                                <w:rFonts w:hint="eastAsia"/>
                                <w:color w:val="FF0000"/>
                                <w:lang w:eastAsia="zh-CN"/>
                              </w:rPr>
                              <w:t>（</w:t>
                            </w:r>
                            <w:r>
                              <w:rPr>
                                <w:rFonts w:hint="eastAsia"/>
                                <w:color w:val="FF0000"/>
                                <w:lang w:val="en-US" w:eastAsia="zh-CN"/>
                              </w:rPr>
                              <w:t>人像面</w:t>
                            </w:r>
                            <w:r>
                              <w:rPr>
                                <w:rFonts w:hint="eastAsia"/>
                                <w:color w:val="FF0000"/>
                                <w:lang w:eastAsia="zh-CN"/>
                              </w:rPr>
                              <w:t>）</w:t>
                            </w:r>
                          </w:p>
                          <w:p w14:paraId="67C177A6">
                            <w:pPr>
                              <w:pStyle w:val="4"/>
                            </w:pPr>
                          </w:p>
                          <w:p w14:paraId="7D5A9DD5">
                            <w:pPr>
                              <w:pStyle w:val="4"/>
                            </w:pPr>
                          </w:p>
                          <w:p w14:paraId="5068EC86">
                            <w:pPr>
                              <w:pStyle w:val="4"/>
                            </w:pPr>
                          </w:p>
                        </w:txbxContent>
                      </wps:txbx>
                      <wps:bodyPr upright="1"/>
                    </wps:wsp>
                  </a:graphicData>
                </a:graphic>
              </wp:anchor>
            </w:drawing>
          </mc:Choice>
          <mc:Fallback>
            <w:pict>
              <v:roundrect id="_x0000_s1026" o:spid="_x0000_s1026" o:spt="2" style="position:absolute;left:0pt;margin-left:229.8pt;margin-top:2.25pt;height:122.6pt;width:205.5pt;z-index:251663360;mso-width-relative:page;mso-height-relative:page;" fillcolor="#FFFFFF" filled="t" stroked="t" coordsize="21600,21600" arcsize="0.166666666666667" o:gfxdata="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I8vY1/aAAAACQEAAA8AAAAAAAAAAQAgAAAAIgAAAGRycy9kb3ducmV2LnhtbFBL&#10;AQIUABQAAAAIAIdO4kCL2ZNHLQIAAGgEAAAOAAAAAAAAAAEAIAAAACkBAABkcnMvZTJvRG9jLnht&#10;bFBLBQYAAAAABgAGAFkBAADIBQAAAAA=&#10;">
                <v:fill on="t" focussize="0,0"/>
                <v:stroke weight="1.25pt" color="#808080" joinstyle="round"/>
                <v:imagedata o:title=""/>
                <o:lock v:ext="edit" aspectratio="f"/>
                <v:textbox>
                  <w:txbxContent>
                    <w:p w14:paraId="6CDA0330">
                      <w:pPr>
                        <w:jc w:val="center"/>
                        <w:rPr>
                          <w:rFonts w:hAnsi="宋体"/>
                          <w:szCs w:val="21"/>
                        </w:rPr>
                      </w:pPr>
                      <w:r>
                        <w:rPr>
                          <w:rFonts w:hint="eastAsia" w:hAnsi="宋体"/>
                          <w:szCs w:val="21"/>
                        </w:rPr>
                        <w:t xml:space="preserve">  </w:t>
                      </w:r>
                    </w:p>
                    <w:p w14:paraId="09DE9EAE">
                      <w:pPr>
                        <w:jc w:val="center"/>
                        <w:rPr>
                          <w:rFonts w:hAnsi="宋体"/>
                          <w:szCs w:val="21"/>
                        </w:rPr>
                      </w:pPr>
                    </w:p>
                    <w:p w14:paraId="033225EC">
                      <w:pPr>
                        <w:jc w:val="center"/>
                        <w:rPr>
                          <w:rFonts w:hAnsi="宋体"/>
                          <w:szCs w:val="21"/>
                        </w:rPr>
                      </w:pPr>
                    </w:p>
                    <w:p w14:paraId="397C1FEF">
                      <w:pPr>
                        <w:jc w:val="center"/>
                        <w:rPr>
                          <w:szCs w:val="21"/>
                        </w:rPr>
                      </w:pPr>
                      <w:r>
                        <w:rPr>
                          <w:rFonts w:hint="eastAsia" w:hAnsi="宋体"/>
                          <w:szCs w:val="21"/>
                        </w:rPr>
                        <w:t>法定代表人身份证复印件反面</w:t>
                      </w:r>
                    </w:p>
                    <w:p w14:paraId="1A9F791C">
                      <w:pPr>
                        <w:pStyle w:val="4"/>
                        <w:ind w:firstLine="1200" w:firstLineChars="500"/>
                        <w:rPr>
                          <w:rFonts w:hint="eastAsia" w:eastAsia="宋体"/>
                          <w:color w:val="FF0000"/>
                          <w:lang w:eastAsia="zh-CN"/>
                        </w:rPr>
                      </w:pPr>
                      <w:r>
                        <w:rPr>
                          <w:rFonts w:hint="eastAsia"/>
                          <w:color w:val="FF0000"/>
                          <w:lang w:eastAsia="zh-CN"/>
                        </w:rPr>
                        <w:t>（</w:t>
                      </w:r>
                      <w:r>
                        <w:rPr>
                          <w:rFonts w:hint="eastAsia"/>
                          <w:color w:val="FF0000"/>
                          <w:lang w:val="en-US" w:eastAsia="zh-CN"/>
                        </w:rPr>
                        <w:t>人像面</w:t>
                      </w:r>
                      <w:r>
                        <w:rPr>
                          <w:rFonts w:hint="eastAsia"/>
                          <w:color w:val="FF0000"/>
                          <w:lang w:eastAsia="zh-CN"/>
                        </w:rPr>
                        <w:t>）</w:t>
                      </w:r>
                    </w:p>
                    <w:p w14:paraId="67C177A6">
                      <w:pPr>
                        <w:pStyle w:val="4"/>
                      </w:pPr>
                    </w:p>
                    <w:p w14:paraId="7D5A9DD5">
                      <w:pPr>
                        <w:pStyle w:val="4"/>
                      </w:pPr>
                    </w:p>
                    <w:p w14:paraId="5068EC86">
                      <w:pPr>
                        <w:pStyle w:val="4"/>
                      </w:pPr>
                    </w:p>
                  </w:txbxContent>
                </v:textbox>
              </v:roundrect>
            </w:pict>
          </mc:Fallback>
        </mc:AlternateContent>
      </w:r>
    </w:p>
    <w:p w14:paraId="3F7A0CF6">
      <w:pPr>
        <w:spacing w:line="440" w:lineRule="exact"/>
        <w:rPr>
          <w:rFonts w:hint="eastAsia" w:ascii="仿宋" w:hAnsi="仿宋" w:eastAsia="仿宋" w:cs="仿宋"/>
          <w:b w:val="0"/>
          <w:color w:val="auto"/>
          <w:kern w:val="2"/>
          <w:sz w:val="28"/>
          <w:szCs w:val="28"/>
          <w:highlight w:val="none"/>
          <w:lang w:val="en-US" w:eastAsia="zh-CN" w:bidi="ar-SA"/>
        </w:rPr>
      </w:pPr>
    </w:p>
    <w:p w14:paraId="45F3D7DA">
      <w:pPr>
        <w:spacing w:line="440" w:lineRule="exact"/>
        <w:rPr>
          <w:rFonts w:hint="eastAsia" w:ascii="仿宋" w:hAnsi="仿宋" w:eastAsia="仿宋" w:cs="仿宋"/>
          <w:b w:val="0"/>
          <w:color w:val="auto"/>
          <w:kern w:val="2"/>
          <w:sz w:val="28"/>
          <w:szCs w:val="28"/>
          <w:highlight w:val="none"/>
          <w:lang w:val="en-US" w:eastAsia="zh-CN" w:bidi="ar-SA"/>
        </w:rPr>
      </w:pPr>
    </w:p>
    <w:p w14:paraId="37506E07">
      <w:pPr>
        <w:tabs>
          <w:tab w:val="left" w:pos="654"/>
          <w:tab w:val="left" w:pos="1734"/>
          <w:tab w:val="left" w:pos="2814"/>
          <w:tab w:val="left" w:pos="3894"/>
          <w:tab w:val="left" w:pos="5334"/>
          <w:tab w:val="left" w:pos="6414"/>
          <w:tab w:val="left" w:pos="7254"/>
          <w:tab w:val="left" w:pos="8574"/>
          <w:tab w:val="left" w:pos="9654"/>
        </w:tabs>
        <w:spacing w:line="440" w:lineRule="exact"/>
        <w:rPr>
          <w:rFonts w:hint="eastAsia" w:ascii="仿宋" w:hAnsi="仿宋" w:eastAsia="仿宋" w:cs="仿宋"/>
          <w:b w:val="0"/>
          <w:color w:val="auto"/>
          <w:kern w:val="2"/>
          <w:sz w:val="28"/>
          <w:szCs w:val="28"/>
          <w:highlight w:val="none"/>
          <w:lang w:val="en-US" w:eastAsia="zh-CN" w:bidi="ar-SA"/>
        </w:rPr>
      </w:pPr>
    </w:p>
    <w:p w14:paraId="6AB7C8B7">
      <w:pPr>
        <w:autoSpaceDE w:val="0"/>
        <w:autoSpaceDN w:val="0"/>
        <w:adjustRightInd w:val="0"/>
        <w:spacing w:line="440" w:lineRule="exact"/>
        <w:ind w:right="246"/>
        <w:rPr>
          <w:rFonts w:hint="eastAsia" w:ascii="仿宋" w:hAnsi="仿宋" w:eastAsia="仿宋" w:cs="仿宋"/>
          <w:b w:val="0"/>
          <w:color w:val="auto"/>
          <w:kern w:val="2"/>
          <w:sz w:val="28"/>
          <w:szCs w:val="28"/>
          <w:highlight w:val="none"/>
          <w:lang w:val="en-US" w:eastAsia="zh-CN" w:bidi="ar-SA"/>
        </w:rPr>
      </w:pPr>
    </w:p>
    <w:p w14:paraId="2A9CD28A">
      <w:pPr>
        <w:autoSpaceDE w:val="0"/>
        <w:autoSpaceDN w:val="0"/>
        <w:adjustRightInd w:val="0"/>
        <w:spacing w:line="440" w:lineRule="exact"/>
        <w:ind w:right="246" w:firstLine="915" w:firstLineChars="327"/>
        <w:rPr>
          <w:rFonts w:hint="eastAsia" w:ascii="仿宋" w:hAnsi="仿宋" w:eastAsia="仿宋" w:cs="仿宋"/>
          <w:b w:val="0"/>
          <w:color w:val="auto"/>
          <w:kern w:val="2"/>
          <w:sz w:val="28"/>
          <w:szCs w:val="28"/>
          <w:highlight w:val="none"/>
          <w:lang w:val="en-US" w:eastAsia="zh-CN" w:bidi="ar-SA"/>
        </w:rPr>
      </w:pPr>
    </w:p>
    <w:p w14:paraId="7085AE1E">
      <w:pPr>
        <w:autoSpaceDE w:val="0"/>
        <w:autoSpaceDN w:val="0"/>
        <w:adjustRightInd w:val="0"/>
        <w:spacing w:line="440" w:lineRule="exact"/>
        <w:ind w:right="246"/>
        <w:rPr>
          <w:rFonts w:hint="eastAsia" w:ascii="仿宋" w:hAnsi="仿宋" w:eastAsia="仿宋" w:cs="仿宋"/>
          <w:b w:val="0"/>
          <w:color w:val="auto"/>
          <w:kern w:val="2"/>
          <w:sz w:val="28"/>
          <w:szCs w:val="28"/>
          <w:highlight w:val="none"/>
          <w:lang w:val="en-US" w:eastAsia="zh-CN" w:bidi="ar-SA"/>
        </w:rPr>
      </w:pPr>
    </w:p>
    <w:p w14:paraId="0B439740">
      <w:pPr>
        <w:autoSpaceDE w:val="0"/>
        <w:autoSpaceDN w:val="0"/>
        <w:adjustRightInd w:val="0"/>
        <w:spacing w:line="440" w:lineRule="exact"/>
        <w:ind w:right="246" w:firstLine="915" w:firstLineChars="327"/>
        <w:rPr>
          <w:rFonts w:hint="eastAsia"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 xml:space="preserve">投标人（盖章）：                              </w:t>
      </w:r>
    </w:p>
    <w:p w14:paraId="6C0452E2">
      <w:pPr>
        <w:adjustRightInd w:val="0"/>
        <w:snapToGrid w:val="0"/>
        <w:spacing w:line="440" w:lineRule="exact"/>
        <w:ind w:firstLine="915" w:firstLineChars="327"/>
        <w:rPr>
          <w:rFonts w:hint="eastAsia"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 xml:space="preserve">法定代表人签字或盖章：                    </w:t>
      </w:r>
    </w:p>
    <w:p w14:paraId="0B26D5B5">
      <w:pPr>
        <w:adjustRightInd w:val="0"/>
        <w:snapToGrid w:val="0"/>
        <w:spacing w:line="440" w:lineRule="exact"/>
        <w:ind w:firstLine="915" w:firstLineChars="327"/>
        <w:outlineLvl w:val="9"/>
        <w:rPr>
          <w:rFonts w:hint="eastAsia"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 xml:space="preserve">日期：                                       </w:t>
      </w:r>
    </w:p>
    <w:p w14:paraId="10BF4C06">
      <w:pPr>
        <w:pStyle w:val="11"/>
        <w:tabs>
          <w:tab w:val="left" w:pos="5580"/>
        </w:tabs>
        <w:spacing w:line="240" w:lineRule="auto"/>
        <w:ind w:left="1079" w:leftChars="257" w:hanging="540"/>
        <w:outlineLvl w:val="9"/>
        <w:rPr>
          <w:rFonts w:hint="eastAsia" w:ascii="仿宋" w:hAnsi="仿宋" w:eastAsia="仿宋" w:cs="仿宋"/>
          <w:b w:val="0"/>
          <w:color w:val="auto"/>
          <w:kern w:val="2"/>
          <w:sz w:val="24"/>
          <w:szCs w:val="24"/>
          <w:highlight w:val="none"/>
          <w:lang w:val="en-US" w:eastAsia="zh-CN" w:bidi="ar-SA"/>
        </w:rPr>
      </w:pPr>
    </w:p>
    <w:p w14:paraId="53076B51">
      <w:pPr>
        <w:pStyle w:val="11"/>
        <w:tabs>
          <w:tab w:val="left" w:pos="5580"/>
        </w:tabs>
        <w:spacing w:line="240" w:lineRule="auto"/>
        <w:ind w:left="1079" w:leftChars="257" w:hanging="540"/>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说明：1.提供有效的营业执照等证明文件复印件，复印件上应加盖本单位章。</w:t>
      </w:r>
    </w:p>
    <w:p w14:paraId="30AB711A">
      <w:pPr>
        <w:pStyle w:val="11"/>
        <w:tabs>
          <w:tab w:val="left" w:pos="5580"/>
        </w:tabs>
        <w:spacing w:line="240" w:lineRule="auto"/>
        <w:ind w:left="1079" w:leftChars="257" w:hanging="540"/>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 xml:space="preserve">      2. 投标人为自然人的，应提供身份证明的复印件。</w:t>
      </w:r>
    </w:p>
    <w:p w14:paraId="26DEBD29">
      <w:pPr>
        <w:pStyle w:val="11"/>
        <w:tabs>
          <w:tab w:val="left" w:pos="5580"/>
        </w:tabs>
        <w:spacing w:line="240" w:lineRule="auto"/>
        <w:ind w:left="1079" w:leftChars="257" w:hanging="540"/>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 xml:space="preserve">      3.联合体投标应提供联合体各方满足以上要求的证明文件。</w:t>
      </w:r>
    </w:p>
    <w:p w14:paraId="7D70E666">
      <w:pPr>
        <w:pStyle w:val="6"/>
        <w:spacing w:before="0" w:after="0" w:line="240" w:lineRule="atLeast"/>
        <w:jc w:val="center"/>
        <w:outlineLvl w:val="2"/>
        <w:rPr>
          <w:rFonts w:hint="eastAsia" w:ascii="仿宋" w:hAnsi="仿宋" w:eastAsia="仿宋" w:cs="仿宋"/>
          <w:color w:val="auto"/>
          <w:sz w:val="28"/>
          <w:szCs w:val="28"/>
          <w:highlight w:val="none"/>
          <w:u w:val="none"/>
        </w:rPr>
      </w:pPr>
      <w:bookmarkStart w:id="535" w:name="_Toc22501"/>
      <w:bookmarkStart w:id="536" w:name="_Toc13266"/>
      <w:bookmarkStart w:id="537" w:name="_Toc518923110"/>
      <w:bookmarkStart w:id="538" w:name="_Toc19142"/>
      <w:bookmarkStart w:id="539" w:name="_Toc16327"/>
      <w:bookmarkStart w:id="540" w:name="_Toc21926"/>
      <w:r>
        <w:rPr>
          <w:rFonts w:hint="eastAsia" w:ascii="仿宋" w:hAnsi="仿宋" w:eastAsia="仿宋" w:cs="仿宋"/>
          <w:color w:val="auto"/>
          <w:sz w:val="28"/>
          <w:szCs w:val="28"/>
          <w:highlight w:val="none"/>
          <w:u w:val="none"/>
        </w:rPr>
        <w:br w:type="page"/>
      </w:r>
      <w:bookmarkStart w:id="541" w:name="_Toc2843"/>
      <w:r>
        <w:rPr>
          <w:rFonts w:hint="eastAsia" w:ascii="仿宋" w:hAnsi="仿宋" w:eastAsia="仿宋" w:cs="仿宋"/>
          <w:color w:val="auto"/>
          <w:sz w:val="28"/>
          <w:szCs w:val="28"/>
          <w:highlight w:val="none"/>
          <w:u w:val="none"/>
        </w:rPr>
        <w:t>3  法定代表人授权书(投标文件格式二，自然人投标的无需提供)</w:t>
      </w:r>
      <w:bookmarkEnd w:id="535"/>
      <w:bookmarkEnd w:id="536"/>
      <w:bookmarkEnd w:id="537"/>
      <w:bookmarkEnd w:id="538"/>
      <w:bookmarkEnd w:id="539"/>
      <w:bookmarkEnd w:id="540"/>
      <w:bookmarkEnd w:id="541"/>
    </w:p>
    <w:p w14:paraId="4D3296E8">
      <w:pPr>
        <w:pStyle w:val="11"/>
        <w:tabs>
          <w:tab w:val="left" w:pos="5580"/>
        </w:tabs>
        <w:spacing w:line="240" w:lineRule="atLeas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cr/>
      </w:r>
      <w:r>
        <w:rPr>
          <w:rFonts w:hint="eastAsia" w:ascii="仿宋" w:hAnsi="仿宋" w:eastAsia="仿宋" w:cs="仿宋"/>
          <w:color w:val="auto"/>
          <w:sz w:val="28"/>
          <w:szCs w:val="28"/>
          <w:highlight w:val="none"/>
        </w:rPr>
        <w:t xml:space="preserve">    本授权书声明：注册于</w:t>
      </w:r>
      <w:r>
        <w:rPr>
          <w:rFonts w:hint="eastAsia" w:ascii="仿宋" w:hAnsi="仿宋" w:eastAsia="仿宋" w:cs="仿宋"/>
          <w:color w:val="auto"/>
          <w:sz w:val="28"/>
          <w:szCs w:val="28"/>
          <w:highlight w:val="none"/>
          <w:u w:val="single"/>
        </w:rPr>
        <w:t>（国家或地区的名称）</w:t>
      </w:r>
      <w:r>
        <w:rPr>
          <w:rFonts w:hint="eastAsia" w:ascii="仿宋" w:hAnsi="仿宋" w:eastAsia="仿宋" w:cs="仿宋"/>
          <w:color w:val="auto"/>
          <w:sz w:val="28"/>
          <w:szCs w:val="28"/>
          <w:highlight w:val="none"/>
        </w:rPr>
        <w:t>的（</w:t>
      </w:r>
      <w:r>
        <w:rPr>
          <w:rFonts w:hint="eastAsia" w:ascii="仿宋" w:hAnsi="仿宋" w:eastAsia="仿宋" w:cs="仿宋"/>
          <w:i/>
          <w:color w:val="auto"/>
          <w:sz w:val="28"/>
          <w:szCs w:val="28"/>
          <w:highlight w:val="none"/>
          <w:u w:val="single"/>
        </w:rPr>
        <w:t>投标人</w:t>
      </w:r>
      <w:r>
        <w:rPr>
          <w:rFonts w:hint="eastAsia" w:ascii="仿宋" w:hAnsi="仿宋" w:eastAsia="仿宋" w:cs="仿宋"/>
          <w:color w:val="auto"/>
          <w:sz w:val="28"/>
          <w:szCs w:val="28"/>
          <w:highlight w:val="none"/>
        </w:rPr>
        <w:t>）的在下面签字的（</w:t>
      </w:r>
      <w:r>
        <w:rPr>
          <w:rFonts w:hint="eastAsia" w:ascii="仿宋" w:hAnsi="仿宋" w:eastAsia="仿宋" w:cs="仿宋"/>
          <w:i/>
          <w:color w:val="auto"/>
          <w:sz w:val="28"/>
          <w:szCs w:val="28"/>
          <w:highlight w:val="none"/>
          <w:u w:val="single"/>
        </w:rPr>
        <w:t>法人代表姓名、职务</w:t>
      </w:r>
      <w:r>
        <w:rPr>
          <w:rFonts w:hint="eastAsia" w:ascii="仿宋" w:hAnsi="仿宋" w:eastAsia="仿宋" w:cs="仿宋"/>
          <w:color w:val="auto"/>
          <w:sz w:val="28"/>
          <w:szCs w:val="28"/>
          <w:highlight w:val="none"/>
        </w:rPr>
        <w:t>）代表我单位授权（</w:t>
      </w:r>
      <w:r>
        <w:rPr>
          <w:rFonts w:hint="eastAsia" w:ascii="仿宋" w:hAnsi="仿宋" w:eastAsia="仿宋" w:cs="仿宋"/>
          <w:i/>
          <w:color w:val="auto"/>
          <w:sz w:val="28"/>
          <w:szCs w:val="28"/>
          <w:highlight w:val="none"/>
          <w:u w:val="single"/>
        </w:rPr>
        <w:t>单位名称</w:t>
      </w:r>
      <w:r>
        <w:rPr>
          <w:rFonts w:hint="eastAsia" w:ascii="仿宋" w:hAnsi="仿宋" w:eastAsia="仿宋" w:cs="仿宋"/>
          <w:color w:val="auto"/>
          <w:sz w:val="28"/>
          <w:szCs w:val="28"/>
          <w:highlight w:val="none"/>
        </w:rPr>
        <w:t>）的在下面签字的（</w:t>
      </w:r>
      <w:r>
        <w:rPr>
          <w:rFonts w:hint="eastAsia" w:ascii="仿宋" w:hAnsi="仿宋" w:eastAsia="仿宋" w:cs="仿宋"/>
          <w:i/>
          <w:color w:val="auto"/>
          <w:sz w:val="28"/>
          <w:szCs w:val="28"/>
          <w:highlight w:val="none"/>
          <w:u w:val="single"/>
        </w:rPr>
        <w:t>被授权人的姓名、职务</w:t>
      </w:r>
      <w:r>
        <w:rPr>
          <w:rFonts w:hint="eastAsia" w:ascii="仿宋" w:hAnsi="仿宋" w:eastAsia="仿宋" w:cs="仿宋"/>
          <w:color w:val="auto"/>
          <w:sz w:val="28"/>
          <w:szCs w:val="28"/>
          <w:highlight w:val="none"/>
        </w:rPr>
        <w:t>）为我单位的合法代理人，就（</w:t>
      </w:r>
      <w:r>
        <w:rPr>
          <w:rFonts w:hint="eastAsia" w:ascii="仿宋" w:hAnsi="仿宋" w:eastAsia="仿宋" w:cs="仿宋"/>
          <w:i/>
          <w:color w:val="auto"/>
          <w:sz w:val="28"/>
          <w:szCs w:val="28"/>
          <w:highlight w:val="none"/>
          <w:u w:val="single"/>
        </w:rPr>
        <w:t>项目名称</w:t>
      </w:r>
      <w:r>
        <w:rPr>
          <w:rFonts w:hint="eastAsia" w:ascii="仿宋" w:hAnsi="仿宋" w:eastAsia="仿宋" w:cs="仿宋"/>
          <w:color w:val="auto"/>
          <w:sz w:val="28"/>
          <w:szCs w:val="28"/>
          <w:highlight w:val="none"/>
        </w:rPr>
        <w:t>）的（</w:t>
      </w:r>
      <w:r>
        <w:rPr>
          <w:rFonts w:hint="eastAsia" w:ascii="仿宋" w:hAnsi="仿宋" w:eastAsia="仿宋" w:cs="仿宋"/>
          <w:i/>
          <w:color w:val="auto"/>
          <w:sz w:val="28"/>
          <w:szCs w:val="28"/>
          <w:highlight w:val="none"/>
          <w:u w:val="single"/>
        </w:rPr>
        <w:t>合同名称</w:t>
      </w:r>
      <w:r>
        <w:rPr>
          <w:rFonts w:hint="eastAsia" w:ascii="仿宋" w:hAnsi="仿宋" w:eastAsia="仿宋" w:cs="仿宋"/>
          <w:color w:val="auto"/>
          <w:sz w:val="28"/>
          <w:szCs w:val="28"/>
          <w:highlight w:val="none"/>
        </w:rPr>
        <w:t>）投标，以我单位名义处理一切与之有关的事务。</w:t>
      </w:r>
      <w:r>
        <w:rPr>
          <w:rFonts w:hint="eastAsia" w:ascii="仿宋" w:hAnsi="仿宋" w:eastAsia="仿宋" w:cs="仿宋"/>
          <w:color w:val="auto"/>
          <w:sz w:val="28"/>
          <w:szCs w:val="28"/>
          <w:highlight w:val="none"/>
        </w:rPr>
        <w:cr/>
      </w:r>
      <w:r>
        <w:rPr>
          <w:rFonts w:hint="eastAsia" w:ascii="仿宋" w:hAnsi="仿宋" w:eastAsia="仿宋" w:cs="仿宋"/>
          <w:color w:val="auto"/>
          <w:sz w:val="28"/>
          <w:szCs w:val="28"/>
          <w:highlight w:val="none"/>
        </w:rPr>
        <w:t>　　</w:t>
      </w:r>
    </w:p>
    <w:p w14:paraId="7A17293D">
      <w:pPr>
        <w:pStyle w:val="11"/>
        <w:tabs>
          <w:tab w:val="left" w:pos="5580"/>
        </w:tabs>
        <w:spacing w:line="240" w:lineRule="atLeast"/>
        <w:ind w:left="300" w:leftChars="143" w:firstLine="210" w:firstLineChars="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本授权书于</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日签字生效,特此声明。</w:t>
      </w:r>
      <w:r>
        <w:rPr>
          <w:rFonts w:hint="eastAsia" w:ascii="仿宋" w:hAnsi="仿宋" w:eastAsia="仿宋" w:cs="仿宋"/>
          <w:color w:val="auto"/>
          <w:sz w:val="28"/>
          <w:szCs w:val="28"/>
          <w:highlight w:val="none"/>
        </w:rPr>
        <w:cr/>
      </w:r>
      <w:r>
        <w:rPr>
          <w:rFonts w:hint="eastAsia" w:ascii="仿宋" w:hAnsi="仿宋" w:eastAsia="仿宋" w:cs="仿宋"/>
          <w:b/>
          <w:bCs/>
          <w:color w:val="auto"/>
          <w:sz w:val="28"/>
          <w:szCs w:val="28"/>
          <w:highlight w:val="none"/>
          <w:lang w:val="en-US" w:eastAsia="zh-CN"/>
        </w:rPr>
        <w:t>附：法人身份证正反面及授权委托人身份证正反面。</w:t>
      </w:r>
    </w:p>
    <w:p w14:paraId="5A318893">
      <w:pPr>
        <w:pStyle w:val="11"/>
        <w:tabs>
          <w:tab w:val="left" w:pos="5580"/>
        </w:tabs>
        <w:spacing w:line="240" w:lineRule="atLeast"/>
        <w:ind w:left="-539" w:leftChars="-257" w:firstLine="1050" w:firstLineChars="375"/>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投标人（盖单位章）：</w:t>
      </w:r>
      <w:r>
        <w:rPr>
          <w:rFonts w:hint="eastAsia" w:ascii="仿宋" w:hAnsi="仿宋" w:eastAsia="仿宋" w:cs="仿宋"/>
          <w:color w:val="auto"/>
          <w:sz w:val="28"/>
          <w:szCs w:val="28"/>
          <w:highlight w:val="none"/>
          <w:u w:val="single"/>
        </w:rPr>
        <w:t xml:space="preserve">                                        </w:t>
      </w:r>
    </w:p>
    <w:p w14:paraId="0EE3AA3F">
      <w:pPr>
        <w:pStyle w:val="11"/>
        <w:tabs>
          <w:tab w:val="left" w:pos="5580"/>
        </w:tabs>
        <w:spacing w:line="240" w:lineRule="atLeast"/>
        <w:ind w:left="-539" w:leftChars="-257" w:firstLine="1050" w:firstLineChars="375"/>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法定代表人(签字或签章)：</w:t>
      </w:r>
      <w:r>
        <w:rPr>
          <w:rFonts w:hint="eastAsia" w:ascii="仿宋" w:hAnsi="仿宋" w:eastAsia="仿宋" w:cs="仿宋"/>
          <w:color w:val="auto"/>
          <w:sz w:val="28"/>
          <w:szCs w:val="28"/>
          <w:highlight w:val="none"/>
          <w:u w:val="single"/>
        </w:rPr>
        <w:t xml:space="preserve">                                    </w:t>
      </w:r>
    </w:p>
    <w:p w14:paraId="3F0E444A">
      <w:pPr>
        <w:pStyle w:val="11"/>
        <w:tabs>
          <w:tab w:val="left" w:pos="5580"/>
        </w:tabs>
        <w:spacing w:line="240" w:lineRule="atLeast"/>
        <w:ind w:left="-539" w:leftChars="-257" w:firstLine="1050" w:firstLineChars="375"/>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身份证号码：</w:t>
      </w:r>
      <w:r>
        <w:rPr>
          <w:rFonts w:hint="eastAsia" w:ascii="仿宋" w:hAnsi="仿宋" w:eastAsia="仿宋" w:cs="仿宋"/>
          <w:color w:val="auto"/>
          <w:sz w:val="28"/>
          <w:szCs w:val="28"/>
          <w:highlight w:val="none"/>
          <w:u w:val="single"/>
        </w:rPr>
        <w:t xml:space="preserve">                                    </w:t>
      </w:r>
    </w:p>
    <w:p w14:paraId="030B62AA">
      <w:pPr>
        <w:pStyle w:val="11"/>
        <w:tabs>
          <w:tab w:val="left" w:pos="5580"/>
        </w:tabs>
        <w:spacing w:line="240" w:lineRule="atLeast"/>
        <w:ind w:firstLine="420" w:firstLineChars="15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委托代理人（签字）：</w:t>
      </w:r>
      <w:r>
        <w:rPr>
          <w:rFonts w:hint="eastAsia" w:ascii="仿宋" w:hAnsi="仿宋" w:eastAsia="仿宋" w:cs="仿宋"/>
          <w:color w:val="auto"/>
          <w:sz w:val="28"/>
          <w:szCs w:val="28"/>
          <w:highlight w:val="none"/>
          <w:u w:val="single"/>
        </w:rPr>
        <w:t xml:space="preserve">                                </w:t>
      </w:r>
    </w:p>
    <w:p w14:paraId="573F1923">
      <w:pPr>
        <w:pStyle w:val="11"/>
        <w:tabs>
          <w:tab w:val="left" w:pos="5580"/>
        </w:tabs>
        <w:spacing w:line="240" w:lineRule="atLeast"/>
        <w:ind w:firstLine="420" w:firstLineChars="1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身份证号码：</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w:t>
      </w:r>
    </w:p>
    <w:p w14:paraId="1C310E08">
      <w:pPr>
        <w:pStyle w:val="11"/>
        <w:tabs>
          <w:tab w:val="left" w:pos="5580"/>
        </w:tabs>
        <w:spacing w:line="240" w:lineRule="atLeast"/>
        <w:ind w:firstLine="420" w:firstLineChars="1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详细通讯地址：</w:t>
      </w:r>
      <w:r>
        <w:rPr>
          <w:rFonts w:hint="eastAsia" w:ascii="仿宋" w:hAnsi="仿宋" w:eastAsia="仿宋" w:cs="仿宋"/>
          <w:color w:val="auto"/>
          <w:sz w:val="28"/>
          <w:szCs w:val="28"/>
          <w:highlight w:val="none"/>
          <w:u w:val="single"/>
        </w:rPr>
        <w:t xml:space="preserve">                                </w:t>
      </w:r>
    </w:p>
    <w:p w14:paraId="36410EF3">
      <w:pPr>
        <w:pStyle w:val="11"/>
        <w:tabs>
          <w:tab w:val="left" w:pos="5580"/>
        </w:tabs>
        <w:spacing w:line="240" w:lineRule="atLeast"/>
        <w:ind w:firstLine="420" w:firstLineChars="1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邮 政 编 码 ：</w:t>
      </w:r>
      <w:r>
        <w:rPr>
          <w:rFonts w:hint="eastAsia" w:ascii="仿宋" w:hAnsi="仿宋" w:eastAsia="仿宋" w:cs="仿宋"/>
          <w:color w:val="auto"/>
          <w:sz w:val="28"/>
          <w:szCs w:val="28"/>
          <w:highlight w:val="none"/>
          <w:u w:val="single"/>
        </w:rPr>
        <w:t xml:space="preserve">                                </w:t>
      </w:r>
    </w:p>
    <w:p w14:paraId="329EB8A5">
      <w:pPr>
        <w:pStyle w:val="11"/>
        <w:tabs>
          <w:tab w:val="left" w:pos="5580"/>
        </w:tabs>
        <w:spacing w:line="240" w:lineRule="atLeast"/>
        <w:ind w:firstLine="420" w:firstLineChars="1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传　　　　真：</w:t>
      </w:r>
      <w:r>
        <w:rPr>
          <w:rFonts w:hint="eastAsia" w:ascii="仿宋" w:hAnsi="仿宋" w:eastAsia="仿宋" w:cs="仿宋"/>
          <w:color w:val="auto"/>
          <w:sz w:val="28"/>
          <w:szCs w:val="28"/>
          <w:highlight w:val="none"/>
          <w:u w:val="single"/>
        </w:rPr>
        <w:t xml:space="preserve">                                </w:t>
      </w:r>
    </w:p>
    <w:p w14:paraId="33FD0577">
      <w:pPr>
        <w:pStyle w:val="11"/>
        <w:tabs>
          <w:tab w:val="left" w:pos="5580"/>
        </w:tabs>
        <w:spacing w:line="240" w:lineRule="atLeast"/>
        <w:ind w:firstLine="420" w:firstLineChars="1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　　　　话：</w:t>
      </w:r>
      <w:r>
        <w:rPr>
          <w:rFonts w:hint="eastAsia" w:ascii="仿宋" w:hAnsi="仿宋" w:eastAsia="仿宋" w:cs="仿宋"/>
          <w:color w:val="auto"/>
          <w:sz w:val="28"/>
          <w:szCs w:val="28"/>
          <w:highlight w:val="none"/>
          <w:u w:val="single"/>
        </w:rPr>
        <w:t xml:space="preserve">                                </w:t>
      </w:r>
    </w:p>
    <w:p w14:paraId="771B8AFE">
      <w:pPr>
        <w:pStyle w:val="11"/>
        <w:tabs>
          <w:tab w:val="left" w:pos="5580"/>
        </w:tabs>
        <w:spacing w:line="240" w:lineRule="atLeast"/>
        <w:ind w:left="-539" w:leftChars="-257" w:firstLine="1050" w:firstLineChars="375"/>
        <w:outlineLvl w:val="2"/>
        <w:rPr>
          <w:rFonts w:hint="eastAsia" w:ascii="仿宋" w:hAnsi="仿宋" w:eastAsia="仿宋" w:cs="仿宋"/>
          <w:b/>
          <w:color w:val="auto"/>
          <w:kern w:val="0"/>
          <w:sz w:val="28"/>
          <w:szCs w:val="28"/>
          <w:highlight w:val="none"/>
          <w:u w:val="none"/>
          <w:lang w:val="en-US" w:eastAsia="zh-CN" w:bidi="ar-SA"/>
        </w:rPr>
      </w:pPr>
      <w:r>
        <w:rPr>
          <w:rFonts w:hint="eastAsia" w:ascii="仿宋" w:hAnsi="仿宋" w:eastAsia="仿宋" w:cs="仿宋"/>
          <w:b/>
          <w:color w:val="auto"/>
          <w:kern w:val="0"/>
          <w:sz w:val="28"/>
          <w:szCs w:val="28"/>
          <w:highlight w:val="none"/>
        </w:rPr>
        <w:br w:type="page"/>
      </w:r>
      <w:bookmarkStart w:id="542" w:name="_Toc23836"/>
      <w:bookmarkStart w:id="543" w:name="_Toc1705"/>
      <w:bookmarkStart w:id="544" w:name="_Toc26512"/>
      <w:bookmarkStart w:id="545" w:name="_Toc1517"/>
      <w:bookmarkStart w:id="546" w:name="_Toc7448"/>
      <w:r>
        <w:rPr>
          <w:rFonts w:hint="eastAsia" w:ascii="仿宋" w:hAnsi="仿宋" w:eastAsia="仿宋" w:cs="仿宋"/>
          <w:b/>
          <w:color w:val="auto"/>
          <w:kern w:val="0"/>
          <w:sz w:val="28"/>
          <w:szCs w:val="28"/>
          <w:highlight w:val="none"/>
          <w:u w:val="none"/>
          <w:lang w:val="en-US" w:eastAsia="zh-CN" w:bidi="ar-SA"/>
        </w:rPr>
        <w:t xml:space="preserve">4  </w:t>
      </w:r>
      <w:bookmarkEnd w:id="542"/>
      <w:bookmarkEnd w:id="543"/>
      <w:bookmarkEnd w:id="544"/>
      <w:bookmarkEnd w:id="545"/>
      <w:r>
        <w:rPr>
          <w:rFonts w:hint="eastAsia" w:ascii="仿宋" w:hAnsi="仿宋" w:eastAsia="仿宋" w:cs="仿宋"/>
          <w:b/>
          <w:color w:val="auto"/>
          <w:kern w:val="0"/>
          <w:sz w:val="28"/>
          <w:szCs w:val="28"/>
          <w:highlight w:val="none"/>
          <w:u w:val="none"/>
          <w:lang w:val="en-US" w:eastAsia="zh-CN" w:bidi="ar-SA"/>
        </w:rPr>
        <w:t>具有良好的商业信誉和健全的财务会计制度的证明文件；提供2024年度的财务审计报告(成立不满一年的提供开标前一个月内有效银行资信证明）；</w:t>
      </w:r>
      <w:bookmarkEnd w:id="546"/>
    </w:p>
    <w:p w14:paraId="64216322">
      <w:pPr>
        <w:pStyle w:val="11"/>
        <w:tabs>
          <w:tab w:val="left" w:pos="5580"/>
        </w:tabs>
        <w:spacing w:line="240" w:lineRule="atLeast"/>
        <w:ind w:left="-539" w:leftChars="-257" w:firstLine="1050" w:firstLineChars="375"/>
        <w:outlineLvl w:val="9"/>
        <w:rPr>
          <w:rFonts w:hint="eastAsia" w:ascii="仿宋" w:hAnsi="仿宋" w:eastAsia="仿宋" w:cs="仿宋"/>
          <w:b/>
          <w:color w:val="auto"/>
          <w:kern w:val="0"/>
          <w:sz w:val="28"/>
          <w:szCs w:val="28"/>
          <w:highlight w:val="none"/>
        </w:rPr>
      </w:pPr>
    </w:p>
    <w:p w14:paraId="01DA4246">
      <w:pPr>
        <w:tabs>
          <w:tab w:val="left" w:pos="5580"/>
        </w:tabs>
        <w:spacing w:line="240" w:lineRule="atLeast"/>
        <w:ind w:left="1079" w:leftChars="257" w:hanging="540"/>
        <w:jc w:val="center"/>
        <w:rPr>
          <w:rFonts w:hint="eastAsia" w:ascii="仿宋" w:hAnsi="仿宋" w:eastAsia="仿宋" w:cs="仿宋"/>
          <w:b/>
          <w:color w:val="auto"/>
          <w:sz w:val="28"/>
          <w:szCs w:val="28"/>
          <w:highlight w:val="none"/>
        </w:rPr>
      </w:pPr>
    </w:p>
    <w:p w14:paraId="60B37C4C">
      <w:pPr>
        <w:tabs>
          <w:tab w:val="left" w:pos="3060"/>
          <w:tab w:val="left" w:pos="5580"/>
        </w:tabs>
        <w:spacing w:line="240" w:lineRule="atLeast"/>
        <w:ind w:left="1079" w:leftChars="257" w:hanging="540"/>
        <w:rPr>
          <w:rFonts w:hint="eastAsia" w:ascii="仿宋" w:hAnsi="仿宋" w:eastAsia="仿宋" w:cs="仿宋"/>
          <w:b/>
          <w:color w:val="auto"/>
          <w:sz w:val="28"/>
          <w:szCs w:val="28"/>
          <w:highlight w:val="none"/>
        </w:rPr>
      </w:pPr>
    </w:p>
    <w:p w14:paraId="10489417">
      <w:pPr>
        <w:tabs>
          <w:tab w:val="left" w:pos="5580"/>
        </w:tabs>
        <w:spacing w:line="240" w:lineRule="atLeast"/>
        <w:ind w:left="1079" w:leftChars="257" w:hanging="540"/>
        <w:jc w:val="center"/>
        <w:rPr>
          <w:rFonts w:hint="eastAsia" w:ascii="仿宋" w:hAnsi="仿宋" w:eastAsia="仿宋" w:cs="仿宋"/>
          <w:b/>
          <w:color w:val="auto"/>
          <w:sz w:val="28"/>
          <w:szCs w:val="28"/>
          <w:highlight w:val="none"/>
        </w:rPr>
      </w:pPr>
    </w:p>
    <w:p w14:paraId="791FB179">
      <w:pPr>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说明：</w:t>
      </w:r>
    </w:p>
    <w:p w14:paraId="6FAF976F">
      <w:pPr>
        <w:tabs>
          <w:tab w:val="left" w:pos="5580"/>
        </w:tabs>
        <w:spacing w:line="240" w:lineRule="atLeast"/>
        <w:ind w:left="1079" w:leftChars="257" w:hanging="54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kern w:val="0"/>
          <w:sz w:val="28"/>
          <w:szCs w:val="28"/>
          <w:highlight w:val="none"/>
          <w:lang w:val="en-US" w:eastAsia="zh-CN" w:bidi="ar"/>
        </w:rPr>
        <w:t>投标人应按照相关法规规定如实作出说明。</w:t>
      </w:r>
    </w:p>
    <w:p w14:paraId="41806508">
      <w:pPr>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、如果是联合体投标，联合体各方均需提供上述证明。</w:t>
      </w:r>
    </w:p>
    <w:p w14:paraId="6DF20163">
      <w:pPr>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、如采用合格的投标担保函的，可提供投标担保函复印件替代。</w:t>
      </w:r>
    </w:p>
    <w:p w14:paraId="3C10BEB1">
      <w:pPr>
        <w:tabs>
          <w:tab w:val="left" w:pos="5580"/>
        </w:tabs>
        <w:spacing w:line="240" w:lineRule="atLeast"/>
        <w:ind w:left="1079" w:leftChars="257" w:hanging="540"/>
        <w:rPr>
          <w:rFonts w:hint="eastAsia" w:ascii="仿宋" w:hAnsi="仿宋" w:eastAsia="仿宋" w:cs="仿宋"/>
          <w:color w:val="auto"/>
          <w:sz w:val="28"/>
          <w:szCs w:val="28"/>
          <w:highlight w:val="none"/>
        </w:rPr>
        <w:sectPr>
          <w:pgSz w:w="11906" w:h="16838"/>
          <w:pgMar w:top="1417" w:right="1417" w:bottom="1417" w:left="1417" w:header="851" w:footer="992" w:gutter="0"/>
          <w:pgNumType w:fmt="decimal"/>
          <w:cols w:space="720" w:num="1"/>
          <w:docGrid w:type="linesAndChars" w:linePitch="312" w:charSpace="0"/>
        </w:sectPr>
      </w:pPr>
    </w:p>
    <w:p w14:paraId="3F7C4670">
      <w:pPr>
        <w:pStyle w:val="6"/>
        <w:spacing w:before="0" w:after="0" w:line="240" w:lineRule="atLeast"/>
        <w:jc w:val="center"/>
        <w:outlineLvl w:val="2"/>
        <w:rPr>
          <w:rFonts w:hint="eastAsia" w:ascii="仿宋" w:hAnsi="仿宋" w:eastAsia="仿宋" w:cs="仿宋"/>
          <w:color w:val="auto"/>
          <w:sz w:val="28"/>
          <w:szCs w:val="28"/>
          <w:highlight w:val="none"/>
          <w:u w:val="none"/>
        </w:rPr>
      </w:pPr>
      <w:bookmarkStart w:id="547" w:name="_Toc12056"/>
      <w:bookmarkStart w:id="548" w:name="_Toc5949"/>
      <w:bookmarkStart w:id="549" w:name="_Toc21730"/>
      <w:bookmarkStart w:id="550" w:name="_Toc7315"/>
      <w:bookmarkStart w:id="551" w:name="_Toc518923111"/>
      <w:bookmarkStart w:id="552" w:name="_Toc27589"/>
      <w:bookmarkStart w:id="553" w:name="_Toc19160"/>
      <w:r>
        <w:rPr>
          <w:rFonts w:hint="eastAsia" w:ascii="仿宋" w:hAnsi="仿宋" w:eastAsia="仿宋" w:cs="仿宋"/>
          <w:color w:val="auto"/>
          <w:sz w:val="28"/>
          <w:szCs w:val="28"/>
          <w:highlight w:val="none"/>
          <w:u w:val="none"/>
        </w:rPr>
        <w:t>5  社会保障资金的缴纳记录</w:t>
      </w:r>
      <w:bookmarkEnd w:id="547"/>
      <w:bookmarkEnd w:id="548"/>
      <w:bookmarkEnd w:id="549"/>
      <w:bookmarkEnd w:id="550"/>
      <w:bookmarkEnd w:id="551"/>
      <w:bookmarkEnd w:id="552"/>
      <w:bookmarkEnd w:id="553"/>
    </w:p>
    <w:p w14:paraId="68CFFA16">
      <w:pPr>
        <w:pStyle w:val="11"/>
        <w:tabs>
          <w:tab w:val="left" w:pos="5580"/>
        </w:tabs>
        <w:spacing w:line="240" w:lineRule="atLeast"/>
        <w:ind w:left="1079" w:leftChars="257" w:hanging="540"/>
        <w:jc w:val="center"/>
        <w:rPr>
          <w:rFonts w:hint="eastAsia" w:ascii="仿宋" w:hAnsi="仿宋" w:eastAsia="仿宋" w:cs="仿宋"/>
          <w:b/>
          <w:color w:val="auto"/>
          <w:sz w:val="28"/>
          <w:szCs w:val="28"/>
          <w:highlight w:val="none"/>
        </w:rPr>
      </w:pPr>
    </w:p>
    <w:p w14:paraId="26C4605A">
      <w:pPr>
        <w:pStyle w:val="11"/>
        <w:tabs>
          <w:tab w:val="left" w:pos="5580"/>
        </w:tabs>
        <w:spacing w:line="240" w:lineRule="atLeast"/>
        <w:ind w:left="540"/>
        <w:rPr>
          <w:rFonts w:hint="eastAsia" w:ascii="仿宋" w:hAnsi="仿宋" w:eastAsia="仿宋" w:cs="仿宋"/>
          <w:b/>
          <w:color w:val="auto"/>
          <w:sz w:val="28"/>
          <w:szCs w:val="28"/>
          <w:highlight w:val="none"/>
        </w:rPr>
      </w:pPr>
    </w:p>
    <w:p w14:paraId="79CFEB1D">
      <w:pPr>
        <w:pStyle w:val="11"/>
        <w:tabs>
          <w:tab w:val="left" w:pos="5580"/>
        </w:tabs>
        <w:spacing w:line="240" w:lineRule="atLeast"/>
        <w:ind w:left="540"/>
        <w:rPr>
          <w:rFonts w:hint="eastAsia" w:ascii="仿宋" w:hAnsi="仿宋" w:eastAsia="仿宋" w:cs="仿宋"/>
          <w:b/>
          <w:color w:val="auto"/>
          <w:sz w:val="28"/>
          <w:szCs w:val="28"/>
          <w:highlight w:val="none"/>
        </w:rPr>
      </w:pPr>
    </w:p>
    <w:p w14:paraId="15CC73B7">
      <w:pPr>
        <w:pStyle w:val="11"/>
        <w:tabs>
          <w:tab w:val="left" w:pos="5580"/>
        </w:tabs>
        <w:spacing w:line="240" w:lineRule="atLeast"/>
        <w:ind w:left="540"/>
        <w:rPr>
          <w:rFonts w:hint="eastAsia" w:ascii="仿宋" w:hAnsi="仿宋" w:eastAsia="仿宋" w:cs="仿宋"/>
          <w:b/>
          <w:color w:val="auto"/>
          <w:sz w:val="28"/>
          <w:szCs w:val="28"/>
          <w:highlight w:val="none"/>
        </w:rPr>
      </w:pPr>
    </w:p>
    <w:p w14:paraId="39435F28">
      <w:pPr>
        <w:pStyle w:val="11"/>
        <w:tabs>
          <w:tab w:val="left" w:pos="5580"/>
        </w:tabs>
        <w:spacing w:line="240" w:lineRule="atLeast"/>
        <w:ind w:left="540"/>
        <w:rPr>
          <w:rFonts w:hint="eastAsia" w:ascii="仿宋" w:hAnsi="仿宋" w:eastAsia="仿宋" w:cs="仿宋"/>
          <w:b/>
          <w:color w:val="auto"/>
          <w:sz w:val="28"/>
          <w:szCs w:val="28"/>
          <w:highlight w:val="none"/>
        </w:rPr>
      </w:pPr>
    </w:p>
    <w:p w14:paraId="0D142274">
      <w:pPr>
        <w:pStyle w:val="11"/>
        <w:tabs>
          <w:tab w:val="left" w:pos="5580"/>
        </w:tabs>
        <w:spacing w:line="240" w:lineRule="atLeast"/>
        <w:ind w:left="540"/>
        <w:rPr>
          <w:rFonts w:hint="eastAsia" w:ascii="仿宋" w:hAnsi="仿宋" w:eastAsia="仿宋" w:cs="仿宋"/>
          <w:b/>
          <w:color w:val="auto"/>
          <w:sz w:val="28"/>
          <w:szCs w:val="28"/>
          <w:highlight w:val="none"/>
        </w:rPr>
      </w:pPr>
    </w:p>
    <w:p w14:paraId="5B7BE4F6">
      <w:pPr>
        <w:pStyle w:val="11"/>
        <w:tabs>
          <w:tab w:val="left" w:pos="5580"/>
        </w:tabs>
        <w:spacing w:line="240" w:lineRule="atLeast"/>
        <w:ind w:left="54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说明：1.按照</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中的规定提供复印件。</w:t>
      </w:r>
    </w:p>
    <w:p w14:paraId="66B6A59F">
      <w:pPr>
        <w:pStyle w:val="11"/>
        <w:tabs>
          <w:tab w:val="left" w:pos="5580"/>
        </w:tabs>
        <w:spacing w:line="240" w:lineRule="atLeast"/>
        <w:ind w:left="1079" w:leftChars="257" w:hanging="54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bookmarkStart w:id="554" w:name="_Toc3350"/>
      <w:r>
        <w:rPr>
          <w:rFonts w:hint="eastAsia" w:ascii="仿宋" w:hAnsi="仿宋" w:eastAsia="仿宋" w:cs="仿宋"/>
          <w:color w:val="auto"/>
          <w:sz w:val="28"/>
          <w:szCs w:val="28"/>
          <w:highlight w:val="none"/>
        </w:rPr>
        <w:t>2.复印件上应加盖本单位章。</w:t>
      </w:r>
      <w:bookmarkEnd w:id="554"/>
    </w:p>
    <w:p w14:paraId="05EA3935">
      <w:pPr>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14:paraId="762F2B5B">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7B473A20">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5443EF88">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585FF737">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7EAFBC8A">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5EB0B9A0">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7765735A">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4D3A28EF">
      <w:pPr>
        <w:pStyle w:val="3"/>
        <w:spacing w:before="0" w:line="240" w:lineRule="atLeast"/>
        <w:ind w:left="1079" w:leftChars="257" w:hanging="540"/>
        <w:outlineLvl w:val="2"/>
        <w:rPr>
          <w:rFonts w:hint="eastAsia" w:ascii="仿宋" w:hAnsi="仿宋" w:eastAsia="仿宋" w:cs="仿宋"/>
          <w:b/>
          <w:color w:val="auto"/>
          <w:kern w:val="0"/>
          <w:sz w:val="28"/>
          <w:szCs w:val="28"/>
          <w:highlight w:val="none"/>
          <w:u w:val="none"/>
          <w:lang w:val="en-US" w:eastAsia="zh-CN" w:bidi="ar-SA"/>
        </w:rPr>
      </w:pPr>
      <w:bookmarkStart w:id="555" w:name="_Toc26488"/>
      <w:bookmarkStart w:id="556" w:name="_Toc19657"/>
      <w:bookmarkStart w:id="557" w:name="_Toc10796"/>
      <w:r>
        <w:rPr>
          <w:rFonts w:hint="eastAsia" w:ascii="仿宋" w:hAnsi="仿宋" w:eastAsia="仿宋" w:cs="仿宋"/>
          <w:color w:val="auto"/>
          <w:sz w:val="28"/>
          <w:szCs w:val="28"/>
          <w:highlight w:val="none"/>
        </w:rPr>
        <w:br w:type="page"/>
      </w:r>
      <w:bookmarkStart w:id="558" w:name="_Toc2358"/>
      <w:bookmarkStart w:id="559" w:name="_Toc26556"/>
      <w:r>
        <w:rPr>
          <w:rFonts w:hint="eastAsia" w:ascii="仿宋" w:hAnsi="仿宋" w:eastAsia="仿宋" w:cs="仿宋"/>
          <w:b/>
          <w:color w:val="auto"/>
          <w:kern w:val="0"/>
          <w:sz w:val="28"/>
          <w:szCs w:val="28"/>
          <w:highlight w:val="none"/>
          <w:u w:val="none"/>
          <w:lang w:val="en-US" w:eastAsia="zh-CN" w:bidi="ar-SA"/>
        </w:rPr>
        <w:t>6  依法缴纳税收的证明</w:t>
      </w:r>
      <w:bookmarkEnd w:id="555"/>
      <w:bookmarkEnd w:id="556"/>
      <w:bookmarkEnd w:id="557"/>
      <w:bookmarkEnd w:id="558"/>
      <w:bookmarkEnd w:id="559"/>
    </w:p>
    <w:p w14:paraId="3FC7EB7D">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44A2AC60">
      <w:pPr>
        <w:pStyle w:val="11"/>
        <w:tabs>
          <w:tab w:val="left" w:pos="5580"/>
        </w:tabs>
        <w:spacing w:line="240" w:lineRule="atLeast"/>
        <w:ind w:left="540"/>
        <w:rPr>
          <w:rFonts w:hint="eastAsia" w:ascii="仿宋" w:hAnsi="仿宋" w:eastAsia="仿宋" w:cs="仿宋"/>
          <w:b/>
          <w:color w:val="auto"/>
          <w:sz w:val="28"/>
          <w:szCs w:val="28"/>
          <w:highlight w:val="none"/>
        </w:rPr>
      </w:pPr>
    </w:p>
    <w:p w14:paraId="55B30AAD">
      <w:pPr>
        <w:pStyle w:val="11"/>
        <w:tabs>
          <w:tab w:val="left" w:pos="5580"/>
        </w:tabs>
        <w:spacing w:line="240" w:lineRule="atLeast"/>
        <w:ind w:left="540"/>
        <w:rPr>
          <w:rFonts w:hint="eastAsia" w:ascii="仿宋" w:hAnsi="仿宋" w:eastAsia="仿宋" w:cs="仿宋"/>
          <w:b/>
          <w:color w:val="auto"/>
          <w:sz w:val="28"/>
          <w:szCs w:val="28"/>
          <w:highlight w:val="none"/>
        </w:rPr>
      </w:pPr>
    </w:p>
    <w:p w14:paraId="7FA59210">
      <w:pPr>
        <w:pStyle w:val="11"/>
        <w:tabs>
          <w:tab w:val="left" w:pos="5580"/>
        </w:tabs>
        <w:spacing w:line="240" w:lineRule="atLeast"/>
        <w:ind w:left="54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说明：1.按照</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中的规定提供复印件。</w:t>
      </w:r>
    </w:p>
    <w:p w14:paraId="5543C174">
      <w:pPr>
        <w:pStyle w:val="11"/>
        <w:tabs>
          <w:tab w:val="left" w:pos="5580"/>
        </w:tabs>
        <w:spacing w:line="240" w:lineRule="atLeast"/>
        <w:ind w:left="1079" w:leftChars="257" w:hanging="54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bookmarkStart w:id="560" w:name="_Toc23136"/>
      <w:r>
        <w:rPr>
          <w:rFonts w:hint="eastAsia" w:ascii="仿宋" w:hAnsi="仿宋" w:eastAsia="仿宋" w:cs="仿宋"/>
          <w:color w:val="auto"/>
          <w:sz w:val="28"/>
          <w:szCs w:val="28"/>
          <w:highlight w:val="none"/>
        </w:rPr>
        <w:t>2.复印件上应加盖本单位章。</w:t>
      </w:r>
      <w:bookmarkEnd w:id="560"/>
    </w:p>
    <w:p w14:paraId="060F2A72">
      <w:pPr>
        <w:tabs>
          <w:tab w:val="left" w:pos="5580"/>
        </w:tabs>
        <w:spacing w:line="240" w:lineRule="atLeast"/>
        <w:ind w:left="1079" w:leftChars="257" w:hanging="54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3.如果是联合体投标，联合体各方均需提供上述证明。</w:t>
      </w:r>
    </w:p>
    <w:p w14:paraId="4606FBFC">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13108285">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7C28E594">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3A4004EB">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2AAF7F75">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4E250165">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1A8672CD">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01D6856F">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01547660">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70AB242D">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370FDBA4">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3867C159">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6B9FDC62">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2F81C81E">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736E6935">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35AECA72">
      <w:pPr>
        <w:pStyle w:val="6"/>
        <w:spacing w:before="0" w:after="0" w:line="240" w:lineRule="atLeast"/>
        <w:jc w:val="center"/>
        <w:outlineLvl w:val="2"/>
        <w:rPr>
          <w:rFonts w:hint="eastAsia" w:ascii="仿宋" w:hAnsi="仿宋" w:eastAsia="仿宋" w:cs="仿宋"/>
          <w:color w:val="auto"/>
          <w:sz w:val="28"/>
          <w:szCs w:val="28"/>
          <w:highlight w:val="none"/>
          <w:u w:val="none"/>
        </w:rPr>
      </w:pPr>
      <w:bookmarkStart w:id="561" w:name="_Toc31238"/>
      <w:bookmarkStart w:id="562" w:name="_Toc515647809"/>
      <w:bookmarkStart w:id="563" w:name="_Toc29854"/>
      <w:bookmarkStart w:id="564" w:name="_Toc11168"/>
      <w:bookmarkStart w:id="565" w:name="_Toc32379"/>
      <w:bookmarkStart w:id="566" w:name="_Toc28445"/>
      <w:bookmarkStart w:id="567" w:name="_Toc11047"/>
      <w:r>
        <w:rPr>
          <w:rFonts w:hint="eastAsia" w:ascii="仿宋" w:hAnsi="仿宋" w:eastAsia="仿宋" w:cs="仿宋"/>
          <w:color w:val="auto"/>
          <w:sz w:val="28"/>
          <w:szCs w:val="28"/>
          <w:highlight w:val="none"/>
          <w:u w:val="none"/>
        </w:rPr>
        <w:t>7  投标保证金缴纳凭证复印件或投标担保函</w:t>
      </w:r>
      <w:bookmarkEnd w:id="561"/>
      <w:bookmarkEnd w:id="562"/>
      <w:bookmarkEnd w:id="563"/>
      <w:bookmarkEnd w:id="564"/>
      <w:bookmarkEnd w:id="565"/>
      <w:bookmarkEnd w:id="566"/>
      <w:bookmarkEnd w:id="567"/>
    </w:p>
    <w:p w14:paraId="60E29FC0">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投标人可将本项目投标保证金支付的汇款凭证、支票、汇票或保证金收据（如有）的复印件作为缴纳凭证</w:t>
      </w:r>
      <w:r>
        <w:rPr>
          <w:rFonts w:hint="eastAsia" w:ascii="仿宋" w:hAnsi="仿宋" w:eastAsia="仿宋" w:cs="仿宋"/>
          <w:color w:val="auto"/>
          <w:sz w:val="28"/>
          <w:szCs w:val="28"/>
          <w:highlight w:val="none"/>
          <w:lang w:val="en-US" w:eastAsia="zh-CN"/>
        </w:rPr>
        <w:t>附</w:t>
      </w:r>
      <w:r>
        <w:rPr>
          <w:rFonts w:hint="eastAsia" w:ascii="仿宋" w:hAnsi="仿宋" w:eastAsia="仿宋" w:cs="仿宋"/>
          <w:color w:val="auto"/>
          <w:sz w:val="28"/>
          <w:szCs w:val="28"/>
          <w:highlight w:val="none"/>
        </w:rPr>
        <w:t>在本部分，复印件上应加盖本单位章；使用银行保函等其他投标担保函的，应将担保函正本，</w:t>
      </w:r>
      <w:r>
        <w:rPr>
          <w:rFonts w:hint="eastAsia" w:ascii="仿宋" w:hAnsi="仿宋" w:eastAsia="仿宋" w:cs="仿宋"/>
          <w:color w:val="auto"/>
          <w:sz w:val="28"/>
          <w:szCs w:val="28"/>
          <w:highlight w:val="none"/>
          <w:lang w:val="en-US" w:eastAsia="zh-CN"/>
        </w:rPr>
        <w:t>附</w:t>
      </w:r>
      <w:r>
        <w:rPr>
          <w:rFonts w:hint="eastAsia" w:ascii="仿宋" w:hAnsi="仿宋" w:eastAsia="仿宋" w:cs="仿宋"/>
          <w:color w:val="auto"/>
          <w:sz w:val="28"/>
          <w:szCs w:val="28"/>
          <w:highlight w:val="none"/>
        </w:rPr>
        <w:t>在本部分正本中；如采用政府采购信用担保形式的，应使用</w:t>
      </w:r>
      <w:r>
        <w:rPr>
          <w:rFonts w:hint="eastAsia" w:ascii="仿宋" w:hAnsi="仿宋" w:eastAsia="仿宋" w:cs="仿宋"/>
          <w:color w:val="auto"/>
          <w:sz w:val="28"/>
          <w:szCs w:val="28"/>
          <w:highlight w:val="none"/>
          <w:lang w:val="en-US" w:eastAsia="zh-CN"/>
        </w:rPr>
        <w:t>以下范本</w:t>
      </w:r>
      <w:r>
        <w:rPr>
          <w:rFonts w:hint="eastAsia" w:ascii="仿宋" w:hAnsi="仿宋" w:eastAsia="仿宋" w:cs="仿宋"/>
          <w:color w:val="auto"/>
          <w:sz w:val="28"/>
          <w:szCs w:val="28"/>
          <w:highlight w:val="none"/>
        </w:rPr>
        <w:t>,将原件</w:t>
      </w:r>
      <w:r>
        <w:rPr>
          <w:rFonts w:hint="eastAsia" w:ascii="仿宋" w:hAnsi="仿宋" w:eastAsia="仿宋" w:cs="仿宋"/>
          <w:color w:val="auto"/>
          <w:sz w:val="28"/>
          <w:szCs w:val="28"/>
          <w:highlight w:val="none"/>
          <w:lang w:val="en-US" w:eastAsia="zh-CN"/>
        </w:rPr>
        <w:t>附</w:t>
      </w:r>
      <w:r>
        <w:rPr>
          <w:rFonts w:hint="eastAsia" w:ascii="仿宋" w:hAnsi="仿宋" w:eastAsia="仿宋" w:cs="仿宋"/>
          <w:color w:val="auto"/>
          <w:sz w:val="28"/>
          <w:szCs w:val="28"/>
          <w:highlight w:val="none"/>
        </w:rPr>
        <w:t>在本部分正本中。</w:t>
      </w:r>
    </w:p>
    <w:p w14:paraId="644AB4B9">
      <w:pPr>
        <w:spacing w:line="240" w:lineRule="atLeast"/>
        <w:ind w:left="1079" w:leftChars="257" w:hanging="540"/>
        <w:jc w:val="center"/>
        <w:rPr>
          <w:rFonts w:hint="eastAsia" w:ascii="仿宋" w:hAnsi="仿宋" w:eastAsia="仿宋" w:cs="仿宋"/>
          <w:color w:val="auto"/>
          <w:sz w:val="28"/>
          <w:szCs w:val="28"/>
          <w:highlight w:val="none"/>
        </w:rPr>
      </w:pPr>
    </w:p>
    <w:p w14:paraId="7D1F5F1E">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r>
        <w:rPr>
          <w:rFonts w:hint="eastAsia" w:ascii="仿宋" w:hAnsi="仿宋" w:eastAsia="仿宋" w:cs="仿宋"/>
          <w:color w:val="auto"/>
          <w:sz w:val="28"/>
          <w:szCs w:val="28"/>
          <w:highlight w:val="none"/>
        </w:rPr>
        <w:t>政府采购投标担保函 （项目用）</w:t>
      </w:r>
    </w:p>
    <w:p w14:paraId="26A2036E">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编号：</w:t>
      </w:r>
    </w:p>
    <w:p w14:paraId="50598947">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14:paraId="0278BE58">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（采购人或采购代理机构）：</w:t>
      </w:r>
    </w:p>
    <w:p w14:paraId="7D4E9294">
      <w:pPr>
        <w:rPr>
          <w:rFonts w:hint="eastAsia" w:ascii="仿宋" w:hAnsi="仿宋" w:eastAsia="仿宋" w:cs="仿宋"/>
          <w:color w:val="auto"/>
          <w:sz w:val="28"/>
          <w:szCs w:val="28"/>
          <w:highlight w:val="none"/>
        </w:rPr>
      </w:pPr>
    </w:p>
    <w:p w14:paraId="176940D0">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鉴于</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（以下简称“投标人”）拟参加编号为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项目（以下简称“本项目”）投标，根据本项目招标文件，供应商参加投标时应向你方交纳投标保证金，且可以投标担保函的形式交纳投标保证金。应供应商的申请，我方以保证的方式向你方提供如下投标保证金担保：</w:t>
      </w:r>
    </w:p>
    <w:p w14:paraId="54F08839">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一、保证责任的情形及保证金额</w:t>
      </w:r>
    </w:p>
    <w:p w14:paraId="3F15AE37">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（一）在投标人出现下列情形之一时，我方承担保证责任：</w:t>
      </w:r>
    </w:p>
    <w:p w14:paraId="30FE7CE2">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1．中标后投标人无正当理由不与采购人或者采购代理机构签订《政府采购合同》；</w:t>
      </w:r>
    </w:p>
    <w:p w14:paraId="311B4FA0">
      <w:pPr>
        <w:ind w:firstLine="560" w:firstLineChars="200"/>
        <w:outlineLvl w:val="9"/>
        <w:rPr>
          <w:rFonts w:hint="eastAsia" w:ascii="仿宋" w:hAnsi="仿宋" w:eastAsia="仿宋" w:cs="仿宋"/>
          <w:color w:val="auto"/>
          <w:sz w:val="28"/>
          <w:szCs w:val="28"/>
          <w:highlight w:val="none"/>
        </w:rPr>
      </w:pPr>
      <w:bookmarkStart w:id="568" w:name="_Toc21176"/>
      <w:r>
        <w:rPr>
          <w:rFonts w:hint="eastAsia" w:ascii="仿宋" w:hAnsi="仿宋" w:eastAsia="仿宋" w:cs="仿宋"/>
          <w:color w:val="auto"/>
          <w:sz w:val="28"/>
          <w:szCs w:val="28"/>
          <w:highlight w:val="none"/>
        </w:rPr>
        <w:t>2．招标文件规定的投标人应当缴纳保证金的其他情形。</w:t>
      </w:r>
      <w:bookmarkEnd w:id="568"/>
    </w:p>
    <w:p w14:paraId="70BC4301">
      <w:pPr>
        <w:ind w:firstLine="280" w:firstLineChars="1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（二）我方承担保证责任的最高金额为人民币</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元（大写</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），即本项目的投标保证金金额。</w:t>
      </w:r>
    </w:p>
    <w:p w14:paraId="3FFC7AB7">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二、保证的方式及保证期间</w:t>
      </w:r>
    </w:p>
    <w:p w14:paraId="3341D70B">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我方保证的方式为：连带责任保证。</w:t>
      </w:r>
    </w:p>
    <w:p w14:paraId="1FA4956A">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我方的保证期间为：自本保函生效之日起</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个月止。</w:t>
      </w:r>
    </w:p>
    <w:p w14:paraId="75AD6B83">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三、承担保证责任的程序</w:t>
      </w:r>
    </w:p>
    <w:p w14:paraId="5FC563D9">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377911D1">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2．我方在收到索赔通知及相关证明材料后，在</w:t>
      </w: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rPr>
        <w:t>个工作日内进行审查，符合应承担保证责任情形的，我方应按照你方的要求代投标人向你方支付投标保证金。</w:t>
      </w:r>
    </w:p>
    <w:p w14:paraId="7636F925">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四、保证责任的终止</w:t>
      </w:r>
    </w:p>
    <w:p w14:paraId="3E18407D">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1．保证期间届满你方未向我方书面主张保证责任的，自保证期间届满次日起，我方保证责任自动终止。</w:t>
      </w:r>
    </w:p>
    <w:p w14:paraId="2206D897">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2．我方按照本保函向你贵方履行了保证责任后，自我方向你贵方支付款项（支付款项从我方账户划出）之日起，保证责任终止。</w:t>
      </w:r>
    </w:p>
    <w:p w14:paraId="664DB376">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3．按照法律法规的规定或出现我方保证责任终止的其它情形的，我方在本保函项下的保证责任亦终止。</w:t>
      </w:r>
    </w:p>
    <w:p w14:paraId="43A4D3FF">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五、免责条款</w:t>
      </w:r>
    </w:p>
    <w:p w14:paraId="7E3B1274">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1．依照法律规定或你方与投标人的另行约定，全部或者部分免除投标人投标保证金义务时，我方亦免除相应的保证责任。</w:t>
      </w:r>
    </w:p>
    <w:p w14:paraId="0FC9E35A">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2．因你方原因致使投标人发生本保函第一条第（一）款约定情形的，我方不承担保证责任。</w:t>
      </w:r>
    </w:p>
    <w:p w14:paraId="5E189619">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3．因不可抗力造成投标人发生本保函第一条约定情形的，我方不承担保证责任。</w:t>
      </w:r>
    </w:p>
    <w:p w14:paraId="3C449A91">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4．你方或其他有权机关对招标文件进行任何澄清或修改，加重我方保证责任的，我方对加重部分不承担保证责任，但该澄清或修改经我方事先书面同意的除外。</w:t>
      </w:r>
    </w:p>
    <w:p w14:paraId="22959D84">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六、争议的解决</w:t>
      </w:r>
    </w:p>
    <w:p w14:paraId="75C562B5">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因本保函发生的纠纷，由你我双方协商解决，协商不成的，通过诉讼程序解决，诉讼管辖地法院为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法院。</w:t>
      </w:r>
    </w:p>
    <w:p w14:paraId="3B4F3916">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七、保函的生效</w:t>
      </w:r>
    </w:p>
    <w:p w14:paraId="6DF0BD03">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本保函自我方加盖公章之日起生效。</w:t>
      </w:r>
    </w:p>
    <w:p w14:paraId="582ED95F">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保证人：（公章）</w:t>
      </w:r>
    </w:p>
    <w:p w14:paraId="23475E4B">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14:paraId="24DBA787">
      <w:pPr>
        <w:pStyle w:val="11"/>
        <w:tabs>
          <w:tab w:val="left" w:pos="5580"/>
        </w:tabs>
        <w:spacing w:line="240" w:lineRule="atLeas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年     月      日</w:t>
      </w:r>
    </w:p>
    <w:p w14:paraId="13B6BC26">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781BAF94">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34996248">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7EE3A885">
      <w:pPr>
        <w:pStyle w:val="6"/>
        <w:spacing w:before="0" w:line="240" w:lineRule="atLeast"/>
        <w:ind w:left="1079" w:leftChars="257" w:hanging="540"/>
        <w:outlineLvl w:val="2"/>
        <w:rPr>
          <w:rFonts w:hint="eastAsia" w:ascii="仿宋" w:hAnsi="仿宋" w:eastAsia="仿宋" w:cs="仿宋"/>
          <w:b/>
          <w:color w:val="auto"/>
          <w:kern w:val="0"/>
          <w:sz w:val="28"/>
          <w:szCs w:val="28"/>
          <w:highlight w:val="none"/>
          <w:u w:val="none"/>
          <w:lang w:val="en-US" w:eastAsia="zh-CN" w:bidi="ar-SA"/>
        </w:rPr>
      </w:pPr>
      <w:r>
        <w:rPr>
          <w:rFonts w:hint="eastAsia" w:ascii="仿宋" w:hAnsi="仿宋" w:eastAsia="仿宋" w:cs="仿宋"/>
          <w:color w:val="auto"/>
          <w:sz w:val="28"/>
          <w:szCs w:val="28"/>
          <w:highlight w:val="none"/>
        </w:rPr>
        <w:br w:type="page"/>
      </w:r>
      <w:bookmarkStart w:id="569" w:name="_Toc518923112"/>
      <w:bookmarkStart w:id="570" w:name="_Toc16858"/>
      <w:bookmarkStart w:id="571" w:name="_Toc24259"/>
      <w:bookmarkStart w:id="572" w:name="_Toc2408"/>
      <w:bookmarkStart w:id="573" w:name="_Toc12112"/>
      <w:bookmarkStart w:id="574" w:name="_Toc17295"/>
      <w:bookmarkStart w:id="575" w:name="_Toc28482"/>
      <w:r>
        <w:rPr>
          <w:rFonts w:hint="eastAsia" w:ascii="仿宋" w:hAnsi="仿宋" w:eastAsia="仿宋" w:cs="仿宋"/>
          <w:b/>
          <w:color w:val="auto"/>
          <w:kern w:val="0"/>
          <w:sz w:val="28"/>
          <w:szCs w:val="28"/>
          <w:highlight w:val="none"/>
          <w:u w:val="none"/>
          <w:lang w:val="en-US" w:eastAsia="zh-CN" w:bidi="ar-SA"/>
        </w:rPr>
        <w:t>8  参加政府采购活动前3年内</w:t>
      </w:r>
      <w:bookmarkEnd w:id="569"/>
      <w:bookmarkStart w:id="576" w:name="_Toc518923113"/>
      <w:r>
        <w:rPr>
          <w:rFonts w:hint="eastAsia" w:ascii="仿宋" w:hAnsi="仿宋" w:eastAsia="仿宋" w:cs="仿宋"/>
          <w:b/>
          <w:color w:val="auto"/>
          <w:kern w:val="0"/>
          <w:sz w:val="28"/>
          <w:szCs w:val="28"/>
          <w:highlight w:val="none"/>
          <w:u w:val="none"/>
          <w:lang w:val="en-US" w:eastAsia="zh-CN" w:bidi="ar-SA"/>
        </w:rPr>
        <w:t>在经营活动中没有重大违法记录的书面声明</w:t>
      </w:r>
      <w:bookmarkEnd w:id="570"/>
      <w:bookmarkEnd w:id="576"/>
      <w:r>
        <w:rPr>
          <w:rFonts w:hint="eastAsia" w:ascii="仿宋" w:hAnsi="仿宋" w:eastAsia="仿宋" w:cs="仿宋"/>
          <w:b/>
          <w:color w:val="auto"/>
          <w:kern w:val="0"/>
          <w:sz w:val="28"/>
          <w:szCs w:val="28"/>
          <w:highlight w:val="none"/>
          <w:u w:val="none"/>
          <w:lang w:val="en-US" w:eastAsia="zh-CN" w:bidi="ar-SA"/>
        </w:rPr>
        <w:t>反商业受贿承诺</w:t>
      </w:r>
      <w:bookmarkEnd w:id="571"/>
      <w:bookmarkEnd w:id="572"/>
      <w:bookmarkEnd w:id="573"/>
      <w:bookmarkEnd w:id="574"/>
      <w:bookmarkEnd w:id="575"/>
    </w:p>
    <w:p w14:paraId="33E8985D">
      <w:pPr>
        <w:pStyle w:val="11"/>
        <w:tabs>
          <w:tab w:val="left" w:pos="5580"/>
        </w:tabs>
        <w:spacing w:line="240" w:lineRule="atLeast"/>
        <w:ind w:left="1079" w:leftChars="257" w:hanging="540"/>
        <w:jc w:val="center"/>
        <w:rPr>
          <w:rFonts w:hint="eastAsia" w:ascii="仿宋" w:hAnsi="仿宋" w:eastAsia="仿宋" w:cs="仿宋"/>
          <w:b/>
          <w:color w:val="auto"/>
          <w:sz w:val="28"/>
          <w:szCs w:val="28"/>
          <w:highlight w:val="none"/>
        </w:rPr>
      </w:pPr>
    </w:p>
    <w:p w14:paraId="098D1567">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2A82908D">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3B538AF6">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说明：1.投标人应按照相关法规规定如实作出说明。</w:t>
      </w:r>
    </w:p>
    <w:p w14:paraId="01BEFFF7">
      <w:pPr>
        <w:pStyle w:val="11"/>
        <w:tabs>
          <w:tab w:val="left" w:pos="5580"/>
        </w:tabs>
        <w:spacing w:line="240" w:lineRule="atLeast"/>
        <w:ind w:left="644" w:leftChars="307" w:firstLine="700" w:firstLineChars="2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2．按照招标文件的规定加盖本单位章（自然人投标的无需盖章，需要签字）。</w:t>
      </w:r>
    </w:p>
    <w:p w14:paraId="3E145603">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3.如果是联合体投标，联合体各方均需提供上述证明。</w:t>
      </w:r>
    </w:p>
    <w:p w14:paraId="003BA27D">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28A4C21A">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69D749DD">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55D2B9EF">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324F541C">
      <w:pPr>
        <w:pStyle w:val="6"/>
        <w:spacing w:before="0" w:after="0" w:line="240" w:lineRule="atLeast"/>
        <w:jc w:val="center"/>
        <w:outlineLvl w:val="2"/>
        <w:rPr>
          <w:rFonts w:hint="eastAsia" w:ascii="仿宋" w:hAnsi="仿宋" w:eastAsia="仿宋" w:cs="仿宋"/>
          <w:color w:val="auto"/>
          <w:sz w:val="28"/>
          <w:szCs w:val="28"/>
          <w:highlight w:val="none"/>
          <w:u w:val="none"/>
          <w:lang w:eastAsia="zh-CN"/>
        </w:rPr>
      </w:pPr>
      <w:bookmarkStart w:id="577" w:name="_Toc273"/>
      <w:bookmarkStart w:id="578" w:name="_Toc24642"/>
      <w:bookmarkStart w:id="579" w:name="_Toc8049"/>
      <w:bookmarkStart w:id="580" w:name="_Toc15718"/>
      <w:bookmarkStart w:id="581" w:name="_Toc30502"/>
      <w:r>
        <w:rPr>
          <w:rFonts w:hint="eastAsia" w:ascii="仿宋" w:hAnsi="仿宋" w:eastAsia="仿宋" w:cs="仿宋"/>
          <w:color w:val="auto"/>
          <w:sz w:val="28"/>
          <w:szCs w:val="28"/>
          <w:highlight w:val="none"/>
          <w:u w:val="none"/>
        </w:rPr>
        <w:t>9  在信用中国、中国政府采购网被列入失信被执行人、企业经营异常名录、列入严重违法失信企业名单（黑名单）信息、政府采购严重违法失信名单（自本公告发出之时起尚在处罚期内的或限制其参加政府采购活动的企业）将拒绝其参加本次政府采购活动</w:t>
      </w:r>
      <w:bookmarkEnd w:id="577"/>
      <w:bookmarkEnd w:id="578"/>
      <w:bookmarkEnd w:id="579"/>
      <w:r>
        <w:rPr>
          <w:rFonts w:hint="eastAsia" w:ascii="仿宋" w:hAnsi="仿宋" w:eastAsia="仿宋" w:cs="仿宋"/>
          <w:color w:val="auto"/>
          <w:sz w:val="28"/>
          <w:szCs w:val="28"/>
          <w:highlight w:val="none"/>
          <w:u w:val="none"/>
          <w:lang w:eastAsia="zh-CN"/>
        </w:rPr>
        <w:t>；</w:t>
      </w:r>
      <w:bookmarkEnd w:id="580"/>
      <w:bookmarkEnd w:id="581"/>
    </w:p>
    <w:p w14:paraId="591ED854">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0329D40D">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例如：网站搜索页输入供应商名称，打印</w:t>
      </w:r>
    </w:p>
    <w:p w14:paraId="06D094DE">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6CFA3FA9">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13FFF91A">
      <w:pPr>
        <w:tabs>
          <w:tab w:val="left" w:pos="5580"/>
        </w:tabs>
        <w:spacing w:line="240" w:lineRule="atLeast"/>
        <w:ind w:left="1" w:firstLine="658" w:firstLineChars="235"/>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br w:type="page"/>
      </w:r>
    </w:p>
    <w:p w14:paraId="5C8DC772">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11C5610E">
      <w:pPr>
        <w:pStyle w:val="6"/>
        <w:spacing w:before="0" w:after="0" w:line="240" w:lineRule="atLeast"/>
        <w:jc w:val="center"/>
        <w:outlineLvl w:val="2"/>
        <w:rPr>
          <w:rFonts w:hint="eastAsia" w:ascii="仿宋" w:hAnsi="仿宋" w:eastAsia="仿宋" w:cs="仿宋"/>
          <w:color w:val="auto"/>
          <w:sz w:val="28"/>
          <w:szCs w:val="28"/>
          <w:highlight w:val="none"/>
          <w:u w:val="none"/>
        </w:rPr>
      </w:pPr>
      <w:bookmarkStart w:id="582" w:name="_Toc26030"/>
      <w:bookmarkStart w:id="583" w:name="_Toc11216"/>
      <w:bookmarkStart w:id="584" w:name="_Toc25803"/>
      <w:bookmarkStart w:id="585" w:name="_Toc9691"/>
      <w:bookmarkStart w:id="586" w:name="_Toc518923114"/>
      <w:bookmarkStart w:id="587" w:name="_Toc28996"/>
    </w:p>
    <w:p w14:paraId="271C7537">
      <w:pPr>
        <w:pStyle w:val="6"/>
        <w:spacing w:before="0" w:after="0" w:line="240" w:lineRule="atLeast"/>
        <w:jc w:val="center"/>
        <w:outlineLvl w:val="2"/>
        <w:rPr>
          <w:rFonts w:hint="eastAsia" w:ascii="仿宋" w:hAnsi="仿宋" w:eastAsia="仿宋" w:cs="仿宋"/>
          <w:color w:val="auto"/>
          <w:sz w:val="28"/>
          <w:szCs w:val="28"/>
          <w:highlight w:val="none"/>
          <w:u w:val="none"/>
        </w:rPr>
      </w:pPr>
      <w:bookmarkStart w:id="588" w:name="_Toc1498"/>
      <w:r>
        <w:rPr>
          <w:rFonts w:hint="eastAsia" w:ascii="仿宋" w:hAnsi="仿宋" w:eastAsia="仿宋" w:cs="仿宋"/>
          <w:color w:val="auto"/>
          <w:sz w:val="28"/>
          <w:szCs w:val="28"/>
          <w:highlight w:val="none"/>
          <w:u w:val="none"/>
        </w:rPr>
        <w:t>1</w:t>
      </w:r>
      <w:r>
        <w:rPr>
          <w:rFonts w:hint="eastAsia" w:ascii="仿宋" w:hAnsi="仿宋" w:eastAsia="仿宋" w:cs="仿宋"/>
          <w:color w:val="auto"/>
          <w:sz w:val="28"/>
          <w:szCs w:val="28"/>
          <w:highlight w:val="none"/>
          <w:u w:val="none"/>
          <w:lang w:val="en-US" w:eastAsia="zh-CN"/>
        </w:rPr>
        <w:t>0</w:t>
      </w:r>
      <w:r>
        <w:rPr>
          <w:rFonts w:hint="eastAsia" w:ascii="仿宋" w:hAnsi="仿宋" w:eastAsia="仿宋" w:cs="仿宋"/>
          <w:color w:val="auto"/>
          <w:sz w:val="28"/>
          <w:szCs w:val="28"/>
          <w:highlight w:val="none"/>
          <w:u w:val="none"/>
        </w:rPr>
        <w:t xml:space="preserve">  投标人须知资料表要求的其他资格证明文件</w:t>
      </w:r>
      <w:bookmarkEnd w:id="582"/>
      <w:bookmarkEnd w:id="583"/>
      <w:bookmarkEnd w:id="584"/>
      <w:bookmarkEnd w:id="585"/>
      <w:bookmarkEnd w:id="586"/>
      <w:bookmarkEnd w:id="587"/>
      <w:bookmarkEnd w:id="588"/>
    </w:p>
    <w:p w14:paraId="06CCE4E2">
      <w:pPr>
        <w:spacing w:line="240" w:lineRule="atLeast"/>
        <w:ind w:left="1079" w:leftChars="257" w:hanging="540"/>
        <w:jc w:val="center"/>
        <w:rPr>
          <w:rFonts w:hint="eastAsia" w:ascii="仿宋" w:hAnsi="仿宋" w:eastAsia="仿宋" w:cs="仿宋"/>
          <w:b/>
          <w:bCs/>
          <w:color w:val="auto"/>
          <w:sz w:val="28"/>
          <w:szCs w:val="28"/>
          <w:highlight w:val="none"/>
        </w:rPr>
      </w:pPr>
    </w:p>
    <w:p w14:paraId="61352435">
      <w:pPr>
        <w:spacing w:line="240" w:lineRule="atLeast"/>
        <w:ind w:left="1079" w:leftChars="257" w:hanging="540"/>
        <w:jc w:val="center"/>
        <w:rPr>
          <w:rFonts w:hint="eastAsia" w:ascii="仿宋" w:hAnsi="仿宋" w:eastAsia="仿宋" w:cs="仿宋"/>
          <w:b/>
          <w:bCs/>
          <w:color w:val="auto"/>
          <w:sz w:val="28"/>
          <w:szCs w:val="28"/>
          <w:highlight w:val="none"/>
        </w:rPr>
      </w:pPr>
    </w:p>
    <w:p w14:paraId="638F7C9F">
      <w:pPr>
        <w:spacing w:line="240" w:lineRule="atLeast"/>
        <w:ind w:left="1079" w:leftChars="257" w:hanging="540"/>
        <w:jc w:val="center"/>
        <w:rPr>
          <w:rFonts w:hint="eastAsia" w:ascii="仿宋" w:hAnsi="仿宋" w:eastAsia="仿宋" w:cs="仿宋"/>
          <w:b/>
          <w:bCs/>
          <w:color w:val="auto"/>
          <w:sz w:val="28"/>
          <w:szCs w:val="28"/>
          <w:highlight w:val="none"/>
        </w:rPr>
      </w:pPr>
    </w:p>
    <w:p w14:paraId="1C9BB68A">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说明：1.应提供</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要求的其他资格证明文件。</w:t>
      </w:r>
    </w:p>
    <w:p w14:paraId="570A8E24">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2.复印件上应加盖本单位章（自然人投标的无需盖章，需要签字）。</w:t>
      </w:r>
    </w:p>
    <w:p w14:paraId="5A451213">
      <w:pPr>
        <w:pStyle w:val="11"/>
        <w:tabs>
          <w:tab w:val="left" w:pos="5580"/>
        </w:tabs>
        <w:spacing w:line="240" w:lineRule="atLeast"/>
        <w:ind w:left="1260" w:leftChars="344" w:hanging="538"/>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22F70B61">
      <w:pPr>
        <w:pStyle w:val="11"/>
        <w:tabs>
          <w:tab w:val="left" w:pos="5580"/>
        </w:tabs>
        <w:spacing w:line="240" w:lineRule="atLeast"/>
        <w:ind w:left="1260" w:leftChars="344" w:hanging="538"/>
        <w:rPr>
          <w:rFonts w:hint="eastAsia" w:ascii="仿宋" w:hAnsi="仿宋" w:eastAsia="仿宋" w:cs="仿宋"/>
          <w:color w:val="auto"/>
          <w:sz w:val="24"/>
          <w:highlight w:val="none"/>
        </w:rPr>
      </w:pPr>
    </w:p>
    <w:p w14:paraId="658F05A6">
      <w:pPr>
        <w:pStyle w:val="11"/>
        <w:tabs>
          <w:tab w:val="left" w:pos="5580"/>
        </w:tabs>
        <w:spacing w:line="240" w:lineRule="atLeast"/>
        <w:ind w:left="1260" w:leftChars="344" w:hanging="538"/>
        <w:rPr>
          <w:rFonts w:hint="eastAsia" w:ascii="仿宋" w:hAnsi="仿宋" w:eastAsia="仿宋" w:cs="仿宋"/>
          <w:color w:val="auto"/>
          <w:sz w:val="24"/>
          <w:highlight w:val="none"/>
        </w:rPr>
      </w:pPr>
    </w:p>
    <w:p w14:paraId="6F6EE686">
      <w:pPr>
        <w:pStyle w:val="11"/>
        <w:tabs>
          <w:tab w:val="left" w:pos="5580"/>
        </w:tabs>
        <w:spacing w:line="240" w:lineRule="atLeast"/>
        <w:ind w:left="1260" w:leftChars="344" w:hanging="538"/>
        <w:rPr>
          <w:rFonts w:hint="eastAsia" w:ascii="仿宋" w:hAnsi="仿宋" w:eastAsia="仿宋" w:cs="仿宋"/>
          <w:color w:val="auto"/>
          <w:sz w:val="24"/>
          <w:highlight w:val="none"/>
        </w:rPr>
      </w:pPr>
    </w:p>
    <w:p w14:paraId="093E3E4A">
      <w:pPr>
        <w:pStyle w:val="3"/>
        <w:spacing w:before="0" w:line="240" w:lineRule="atLeast"/>
        <w:ind w:left="1079" w:leftChars="257" w:hanging="540"/>
        <w:rPr>
          <w:rFonts w:hint="eastAsia" w:ascii="仿宋" w:hAnsi="仿宋" w:eastAsia="仿宋" w:cs="仿宋"/>
          <w:color w:val="auto"/>
          <w:sz w:val="32"/>
          <w:szCs w:val="32"/>
          <w:highlight w:val="none"/>
        </w:rPr>
      </w:pPr>
      <w:bookmarkStart w:id="589" w:name="_Toc9079"/>
      <w:bookmarkStart w:id="590" w:name="_Toc19030"/>
      <w:bookmarkStart w:id="591" w:name="_Toc10561"/>
      <w:bookmarkStart w:id="592" w:name="_Toc518923115"/>
      <w:bookmarkStart w:id="593" w:name="_Toc16844"/>
      <w:r>
        <w:rPr>
          <w:rFonts w:hint="eastAsia" w:ascii="仿宋" w:hAnsi="仿宋" w:eastAsia="仿宋" w:cs="仿宋"/>
          <w:color w:val="auto"/>
          <w:sz w:val="24"/>
          <w:highlight w:val="none"/>
        </w:rPr>
        <w:br w:type="page"/>
      </w:r>
      <w:bookmarkStart w:id="594" w:name="_Toc19839"/>
      <w:bookmarkStart w:id="595" w:name="_Toc14819"/>
      <w:r>
        <w:rPr>
          <w:rFonts w:hint="eastAsia" w:ascii="仿宋" w:hAnsi="仿宋" w:eastAsia="仿宋" w:cs="仿宋"/>
          <w:color w:val="auto"/>
          <w:sz w:val="32"/>
          <w:szCs w:val="32"/>
          <w:highlight w:val="none"/>
        </w:rPr>
        <w:t>第二部分  商务及技术文件</w:t>
      </w:r>
      <w:bookmarkEnd w:id="589"/>
      <w:bookmarkEnd w:id="590"/>
      <w:bookmarkEnd w:id="591"/>
      <w:bookmarkEnd w:id="592"/>
      <w:bookmarkEnd w:id="593"/>
      <w:bookmarkEnd w:id="594"/>
      <w:bookmarkEnd w:id="595"/>
    </w:p>
    <w:p w14:paraId="0E3854EF">
      <w:pPr>
        <w:pStyle w:val="11"/>
        <w:ind w:left="1079" w:leftChars="257" w:hanging="540"/>
        <w:rPr>
          <w:rFonts w:hint="eastAsia" w:ascii="仿宋" w:hAnsi="仿宋" w:eastAsia="仿宋" w:cs="仿宋"/>
          <w:color w:val="auto"/>
          <w:sz w:val="28"/>
          <w:szCs w:val="28"/>
          <w:highlight w:val="none"/>
        </w:rPr>
      </w:pPr>
    </w:p>
    <w:p w14:paraId="25AF7479">
      <w:pPr>
        <w:pStyle w:val="11"/>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、投标书（投标文件格式四）</w:t>
      </w:r>
    </w:p>
    <w:p w14:paraId="6FCDA366">
      <w:pPr>
        <w:pStyle w:val="11"/>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、投标保证金缴纳凭证复印件或政府采购投标担保函（投标文件格式五）</w:t>
      </w:r>
    </w:p>
    <w:p w14:paraId="5A8EDF5E">
      <w:pPr>
        <w:pStyle w:val="11"/>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、投标分项报价表（投标文件格式六）</w:t>
      </w:r>
    </w:p>
    <w:p w14:paraId="1C6CA2C3">
      <w:pPr>
        <w:pStyle w:val="11"/>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、技术规格偏离表（投标文件格式八）</w:t>
      </w:r>
    </w:p>
    <w:p w14:paraId="7B089153">
      <w:pPr>
        <w:pStyle w:val="11"/>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、商务条款偏离表（投标文件格式九）</w:t>
      </w:r>
    </w:p>
    <w:p w14:paraId="79911A26">
      <w:pPr>
        <w:pStyle w:val="11"/>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-1中小企业声明（投标文件格式十）</w:t>
      </w:r>
    </w:p>
    <w:p w14:paraId="4ED4EE0B">
      <w:pPr>
        <w:pStyle w:val="11"/>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、投标人关联单位的说明（格式自拟）</w:t>
      </w:r>
    </w:p>
    <w:p w14:paraId="044102E5">
      <w:pPr>
        <w:pStyle w:val="11"/>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、申  明  函</w:t>
      </w:r>
    </w:p>
    <w:p w14:paraId="2212B600">
      <w:pPr>
        <w:pStyle w:val="11"/>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、自觉抵制招标领域商业贿赂行为承诺书</w:t>
      </w:r>
    </w:p>
    <w:p w14:paraId="7059FB6C">
      <w:pPr>
        <w:pStyle w:val="11"/>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、投标人没有被限制或取消投标资格的承诺函</w:t>
      </w:r>
    </w:p>
    <w:p w14:paraId="46E832F8">
      <w:pPr>
        <w:pStyle w:val="11"/>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11</w:t>
      </w:r>
      <w:r>
        <w:rPr>
          <w:rFonts w:hint="eastAsia" w:ascii="仿宋" w:hAnsi="仿宋" w:eastAsia="仿宋" w:cs="仿宋"/>
          <w:color w:val="auto"/>
          <w:sz w:val="28"/>
          <w:szCs w:val="28"/>
          <w:highlight w:val="none"/>
        </w:rPr>
        <w:t>、投标人需要补充的其他文件和说明。</w:t>
      </w:r>
    </w:p>
    <w:p w14:paraId="387FC54D">
      <w:pPr>
        <w:pStyle w:val="11"/>
        <w:ind w:left="1079" w:leftChars="257" w:hanging="540"/>
        <w:rPr>
          <w:rFonts w:hint="eastAsia" w:ascii="仿宋" w:hAnsi="仿宋" w:eastAsia="仿宋" w:cs="仿宋"/>
          <w:color w:val="auto"/>
          <w:sz w:val="28"/>
          <w:szCs w:val="28"/>
          <w:highlight w:val="none"/>
        </w:rPr>
      </w:pPr>
    </w:p>
    <w:p w14:paraId="586B8B27">
      <w:pPr>
        <w:pStyle w:val="11"/>
        <w:ind w:left="310" w:leftChars="148" w:firstLine="228"/>
        <w:rPr>
          <w:rFonts w:hint="eastAsia" w:ascii="仿宋" w:hAnsi="仿宋" w:eastAsia="仿宋" w:cs="仿宋"/>
          <w:color w:val="auto"/>
          <w:sz w:val="28"/>
          <w:szCs w:val="28"/>
          <w:highlight w:val="none"/>
        </w:rPr>
      </w:pPr>
    </w:p>
    <w:p w14:paraId="7081DD92">
      <w:pPr>
        <w:pStyle w:val="11"/>
        <w:ind w:left="310" w:leftChars="148" w:firstLine="228"/>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注∶以上内容根据本招标文件第六章评标办法及其他相关要求自行编制。</w:t>
      </w:r>
    </w:p>
    <w:p w14:paraId="2F24D1F7">
      <w:pPr>
        <w:pStyle w:val="11"/>
        <w:ind w:left="1079" w:leftChars="257" w:hanging="540"/>
        <w:rPr>
          <w:rFonts w:hint="eastAsia" w:ascii="仿宋" w:hAnsi="仿宋" w:eastAsia="仿宋" w:cs="仿宋"/>
          <w:color w:val="auto"/>
          <w:sz w:val="28"/>
          <w:szCs w:val="28"/>
          <w:highlight w:val="none"/>
        </w:rPr>
      </w:pPr>
    </w:p>
    <w:p w14:paraId="6428266F">
      <w:pPr>
        <w:pStyle w:val="19"/>
        <w:widowControl/>
        <w:spacing w:before="0" w:beforeAutospacing="0" w:after="0" w:afterAutospacing="0"/>
        <w:ind w:firstLine="4933" w:firstLineChars="176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559764E6">
      <w:pPr>
        <w:pStyle w:val="6"/>
        <w:spacing w:before="0" w:line="240" w:lineRule="atLeast"/>
        <w:ind w:left="1079" w:leftChars="257" w:hanging="540"/>
        <w:jc w:val="center"/>
        <w:outlineLvl w:val="2"/>
        <w:rPr>
          <w:rFonts w:hint="eastAsia" w:ascii="仿宋" w:hAnsi="仿宋" w:eastAsia="仿宋" w:cs="仿宋"/>
          <w:b/>
          <w:color w:val="auto"/>
          <w:kern w:val="0"/>
          <w:sz w:val="28"/>
          <w:szCs w:val="28"/>
          <w:highlight w:val="none"/>
          <w:u w:val="none"/>
          <w:lang w:val="en-US" w:eastAsia="zh-CN" w:bidi="ar-SA"/>
        </w:rPr>
      </w:pPr>
      <w:bookmarkStart w:id="596" w:name="_Hlt520355504"/>
      <w:bookmarkEnd w:id="596"/>
      <w:bookmarkStart w:id="597" w:name="_Toc26126"/>
      <w:bookmarkStart w:id="598" w:name="_Toc21378"/>
      <w:bookmarkStart w:id="599" w:name="_Toc30539"/>
      <w:bookmarkStart w:id="600" w:name="_Toc1006"/>
      <w:bookmarkStart w:id="601" w:name="_Toc1420"/>
      <w:bookmarkStart w:id="602" w:name="_Toc518923116"/>
      <w:bookmarkStart w:id="603" w:name="_Toc22989"/>
      <w:r>
        <w:rPr>
          <w:rFonts w:hint="eastAsia" w:ascii="仿宋" w:hAnsi="仿宋" w:eastAsia="仿宋" w:cs="仿宋"/>
          <w:b/>
          <w:color w:val="auto"/>
          <w:kern w:val="0"/>
          <w:sz w:val="28"/>
          <w:szCs w:val="28"/>
          <w:highlight w:val="none"/>
          <w:u w:val="none"/>
          <w:lang w:val="en-US" w:eastAsia="zh-CN" w:bidi="ar-SA"/>
        </w:rPr>
        <w:t>1  投标</w:t>
      </w:r>
      <w:bookmarkEnd w:id="524"/>
      <w:bookmarkEnd w:id="525"/>
      <w:r>
        <w:rPr>
          <w:rFonts w:hint="eastAsia" w:ascii="仿宋" w:hAnsi="仿宋" w:eastAsia="仿宋" w:cs="仿宋"/>
          <w:b/>
          <w:color w:val="auto"/>
          <w:kern w:val="0"/>
          <w:sz w:val="28"/>
          <w:szCs w:val="28"/>
          <w:highlight w:val="none"/>
          <w:u w:val="none"/>
          <w:lang w:val="en-US" w:eastAsia="zh-CN" w:bidi="ar-SA"/>
        </w:rPr>
        <w:t>书</w:t>
      </w:r>
      <w:bookmarkEnd w:id="526"/>
      <w:r>
        <w:rPr>
          <w:rFonts w:hint="eastAsia" w:ascii="仿宋" w:hAnsi="仿宋" w:eastAsia="仿宋" w:cs="仿宋"/>
          <w:b/>
          <w:color w:val="auto"/>
          <w:kern w:val="0"/>
          <w:sz w:val="28"/>
          <w:szCs w:val="28"/>
          <w:highlight w:val="none"/>
          <w:u w:val="none"/>
          <w:lang w:val="en-US" w:eastAsia="zh-CN" w:bidi="ar-SA"/>
        </w:rPr>
        <w:t>（投标文件格式四）</w:t>
      </w:r>
      <w:bookmarkEnd w:id="527"/>
      <w:bookmarkEnd w:id="597"/>
      <w:bookmarkEnd w:id="598"/>
      <w:bookmarkEnd w:id="599"/>
      <w:bookmarkEnd w:id="600"/>
      <w:bookmarkEnd w:id="601"/>
      <w:bookmarkEnd w:id="602"/>
      <w:bookmarkEnd w:id="603"/>
    </w:p>
    <w:p w14:paraId="0DD953C3">
      <w:pPr>
        <w:tabs>
          <w:tab w:val="left" w:pos="5580"/>
        </w:tabs>
        <w:spacing w:line="240" w:lineRule="atLeast"/>
        <w:ind w:left="1079" w:leftChars="257" w:hanging="540"/>
        <w:rPr>
          <w:rFonts w:hint="eastAsia" w:ascii="仿宋" w:hAnsi="仿宋" w:eastAsia="仿宋" w:cs="仿宋"/>
          <w:color w:val="auto"/>
          <w:sz w:val="28"/>
          <w:szCs w:val="28"/>
          <w:highlight w:val="none"/>
        </w:rPr>
      </w:pPr>
    </w:p>
    <w:p w14:paraId="682EA51E">
      <w:pPr>
        <w:tabs>
          <w:tab w:val="left" w:pos="5580"/>
        </w:tabs>
        <w:spacing w:line="240" w:lineRule="atLeast"/>
        <w:ind w:left="1080" w:hanging="1080"/>
        <w:rPr>
          <w:rFonts w:hint="eastAsia" w:ascii="仿宋" w:hAnsi="仿宋" w:eastAsia="仿宋" w:cs="仿宋"/>
          <w:color w:val="auto"/>
          <w:sz w:val="28"/>
          <w:szCs w:val="28"/>
          <w:highlight w:val="none"/>
        </w:rPr>
      </w:pPr>
      <w:bookmarkStart w:id="604" w:name="_Hlt520355938"/>
      <w:bookmarkEnd w:id="604"/>
      <w:bookmarkStart w:id="605" w:name="_Hlt520356243"/>
      <w:bookmarkEnd w:id="605"/>
      <w:bookmarkStart w:id="606" w:name="_Toc216582815"/>
      <w:r>
        <w:rPr>
          <w:rFonts w:hint="eastAsia" w:ascii="仿宋" w:hAnsi="仿宋" w:eastAsia="仿宋" w:cs="仿宋"/>
          <w:color w:val="auto"/>
          <w:sz w:val="28"/>
          <w:szCs w:val="28"/>
          <w:highlight w:val="none"/>
        </w:rPr>
        <w:t>致：</w:t>
      </w:r>
      <w:r>
        <w:rPr>
          <w:rFonts w:hint="eastAsia" w:ascii="仿宋" w:hAnsi="仿宋" w:eastAsia="仿宋" w:cs="仿宋"/>
          <w:color w:val="auto"/>
          <w:sz w:val="28"/>
          <w:szCs w:val="28"/>
          <w:highlight w:val="none"/>
          <w:u w:val="single"/>
        </w:rPr>
        <w:t>采购代理机构</w:t>
      </w:r>
    </w:p>
    <w:p w14:paraId="3385B56D">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16B4B2CE">
      <w:pPr>
        <w:pStyle w:val="11"/>
        <w:tabs>
          <w:tab w:val="left" w:pos="5580"/>
        </w:tabs>
        <w:spacing w:line="240" w:lineRule="atLeast"/>
        <w:ind w:left="2" w:leftChars="1"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根据贵方(</w:t>
      </w:r>
      <w:r>
        <w:rPr>
          <w:rFonts w:hint="eastAsia" w:ascii="仿宋" w:hAnsi="仿宋" w:eastAsia="仿宋" w:cs="仿宋"/>
          <w:i/>
          <w:color w:val="auto"/>
          <w:sz w:val="28"/>
          <w:szCs w:val="28"/>
          <w:highlight w:val="none"/>
          <w:u w:val="single"/>
        </w:rPr>
        <w:t>项目名称</w:t>
      </w:r>
      <w:r>
        <w:rPr>
          <w:rFonts w:hint="eastAsia" w:ascii="仿宋" w:hAnsi="仿宋" w:eastAsia="仿宋" w:cs="仿宋"/>
          <w:color w:val="auto"/>
          <w:sz w:val="28"/>
          <w:szCs w:val="28"/>
          <w:highlight w:val="none"/>
        </w:rPr>
        <w:t>)项目的投标邀请(</w:t>
      </w:r>
      <w:r>
        <w:rPr>
          <w:rFonts w:hint="eastAsia" w:ascii="仿宋" w:hAnsi="仿宋" w:eastAsia="仿宋" w:cs="仿宋"/>
          <w:i/>
          <w:color w:val="auto"/>
          <w:sz w:val="28"/>
          <w:szCs w:val="28"/>
          <w:highlight w:val="none"/>
          <w:u w:val="single"/>
        </w:rPr>
        <w:t>招标编号</w:t>
      </w:r>
      <w:r>
        <w:rPr>
          <w:rFonts w:hint="eastAsia" w:ascii="仿宋" w:hAnsi="仿宋" w:eastAsia="仿宋" w:cs="仿宋"/>
          <w:color w:val="auto"/>
          <w:sz w:val="28"/>
          <w:szCs w:val="28"/>
          <w:highlight w:val="none"/>
        </w:rPr>
        <w:t>),签字代表(</w:t>
      </w:r>
      <w:r>
        <w:rPr>
          <w:rFonts w:hint="eastAsia" w:ascii="仿宋" w:hAnsi="仿宋" w:eastAsia="仿宋" w:cs="仿宋"/>
          <w:i/>
          <w:color w:val="auto"/>
          <w:sz w:val="28"/>
          <w:szCs w:val="28"/>
          <w:highlight w:val="none"/>
          <w:u w:val="single"/>
        </w:rPr>
        <w:t>姓名、职务</w:t>
      </w:r>
      <w:r>
        <w:rPr>
          <w:rFonts w:hint="eastAsia" w:ascii="仿宋" w:hAnsi="仿宋" w:eastAsia="仿宋" w:cs="仿宋"/>
          <w:color w:val="auto"/>
          <w:sz w:val="28"/>
          <w:szCs w:val="28"/>
          <w:highlight w:val="none"/>
        </w:rPr>
        <w:t>)经正式授权并代表投标人（</w:t>
      </w:r>
      <w:r>
        <w:rPr>
          <w:rFonts w:hint="eastAsia" w:ascii="仿宋" w:hAnsi="仿宋" w:eastAsia="仿宋" w:cs="仿宋"/>
          <w:i/>
          <w:color w:val="auto"/>
          <w:sz w:val="28"/>
          <w:szCs w:val="28"/>
          <w:highlight w:val="none"/>
          <w:u w:val="single"/>
        </w:rPr>
        <w:t>名称、地址</w:t>
      </w:r>
      <w:r>
        <w:rPr>
          <w:rFonts w:hint="eastAsia" w:ascii="仿宋" w:hAnsi="仿宋" w:eastAsia="仿宋" w:cs="仿宋"/>
          <w:color w:val="auto"/>
          <w:sz w:val="28"/>
          <w:szCs w:val="28"/>
          <w:highlight w:val="none"/>
        </w:rPr>
        <w:t>）提交下述文件正本</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份、副本</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份及电子文档</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份，并以</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形式出具的金额为人民币</w:t>
      </w:r>
    </w:p>
    <w:p w14:paraId="3B78EBCC">
      <w:pPr>
        <w:pStyle w:val="11"/>
        <w:tabs>
          <w:tab w:val="left" w:pos="5580"/>
        </w:tabs>
        <w:spacing w:line="240" w:lineRule="atLeas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rPr>
        <w:t>元的投标保证金。</w:t>
      </w:r>
    </w:p>
    <w:p w14:paraId="03104D63">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据此，签字代表宣布同意如下：</w:t>
      </w:r>
    </w:p>
    <w:p w14:paraId="4D8CDD14">
      <w:pPr>
        <w:pStyle w:val="11"/>
        <w:tabs>
          <w:tab w:val="left" w:pos="720"/>
          <w:tab w:val="left" w:pos="900"/>
        </w:tabs>
        <w:spacing w:line="240" w:lineRule="atLeast"/>
        <w:ind w:left="768" w:leftChars="257" w:hanging="229"/>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（1）附投标价格表中规定的应提供货物的投标总价详见开标一览表，</w:t>
      </w:r>
      <w:r>
        <w:rPr>
          <w:rFonts w:hint="eastAsia" w:ascii="仿宋" w:hAnsi="仿宋" w:eastAsia="仿宋" w:cs="仿宋"/>
          <w:color w:val="auto"/>
          <w:sz w:val="28"/>
          <w:szCs w:val="28"/>
          <w:highlight w:val="none"/>
          <w:u w:val="none"/>
        </w:rPr>
        <w:t>其中由</w:t>
      </w:r>
      <w:r>
        <w:rPr>
          <w:rFonts w:hint="eastAsia" w:ascii="仿宋" w:hAnsi="仿宋" w:eastAsia="仿宋" w:cs="仿宋"/>
          <w:color w:val="auto"/>
          <w:sz w:val="28"/>
          <w:szCs w:val="28"/>
          <w:highlight w:val="none"/>
          <w:u w:val="single"/>
        </w:rPr>
        <w:t>小型和微型企业</w:t>
      </w:r>
      <w:r>
        <w:rPr>
          <w:rFonts w:hint="eastAsia" w:ascii="仿宋" w:hAnsi="仿宋" w:eastAsia="仿宋" w:cs="仿宋"/>
          <w:color w:val="auto"/>
          <w:sz w:val="28"/>
          <w:szCs w:val="28"/>
          <w:highlight w:val="none"/>
        </w:rPr>
        <w:t>制造产品的价格为</w:t>
      </w:r>
      <w:r>
        <w:rPr>
          <w:rFonts w:hint="eastAsia" w:ascii="仿宋" w:hAnsi="仿宋" w:eastAsia="仿宋" w:cs="仿宋"/>
          <w:color w:val="auto"/>
          <w:sz w:val="28"/>
          <w:szCs w:val="28"/>
          <w:highlight w:val="none"/>
          <w:u w:val="single"/>
        </w:rPr>
        <w:t>　　  （用文字和数字表示），占投标总价   %</w:t>
      </w:r>
      <w:r>
        <w:rPr>
          <w:rFonts w:hint="eastAsia" w:ascii="仿宋" w:hAnsi="仿宋" w:eastAsia="仿宋" w:cs="仿宋"/>
          <w:color w:val="auto"/>
          <w:sz w:val="28"/>
          <w:szCs w:val="28"/>
          <w:highlight w:val="none"/>
        </w:rPr>
        <w:t>。</w:t>
      </w:r>
    </w:p>
    <w:p w14:paraId="27C48EA1">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（2）本投标有效期为自投标截止之日起</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个日历日。</w:t>
      </w:r>
    </w:p>
    <w:p w14:paraId="73D514A2">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（3）联合体中的大中型企业和其他自然人、法人或者非法人组织，与联合体中的小型、微型企业之间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存在、不存在）投资关系（如果是联合体的话）。</w:t>
      </w:r>
    </w:p>
    <w:p w14:paraId="2D72F66C">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（4）已详细审查全部招标文件，包括所有补充通知（如果有的话），完全理解并同意放弃对这方面有不明、误解和质疑的权力。</w:t>
      </w:r>
    </w:p>
    <w:p w14:paraId="78CACA96">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（5）在规定的开标时间后，遵守招标文件中有关保证金的规定。</w:t>
      </w:r>
    </w:p>
    <w:p w14:paraId="60BCF7A6">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（6）我方不是为本项目提供整体设计、规范编制或者项目管理、监理、检测等服务的供应商，我方不是采购代理机构的附属机构。</w:t>
      </w:r>
    </w:p>
    <w:p w14:paraId="75C9CA59">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（7）在领取中标通知书的同时按招标文件规定的形式，向贵方一次性支付中标服务费。</w:t>
      </w:r>
    </w:p>
    <w:p w14:paraId="5BC548EA">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（8）按照贵方可能要求，提供与其投标有关的一切数据或资料，完全理解贵方不一定接受最低价的投标或收到的任何投标。</w:t>
      </w:r>
    </w:p>
    <w:p w14:paraId="5DD42FDD">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（9）按照招标文件的规定履行合同责任和义务。</w:t>
      </w:r>
    </w:p>
    <w:p w14:paraId="4E2B5287">
      <w:pPr>
        <w:pStyle w:val="11"/>
        <w:tabs>
          <w:tab w:val="left" w:pos="5580"/>
        </w:tabs>
        <w:spacing w:line="240" w:lineRule="atLeast"/>
        <w:ind w:left="394" w:leftChars="68" w:hanging="252" w:hangingChars="9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与本投标有关的一切正式往来信函请寄：</w:t>
      </w:r>
    </w:p>
    <w:p w14:paraId="104F9684">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传真</w:t>
      </w:r>
      <w:r>
        <w:rPr>
          <w:rFonts w:hint="eastAsia" w:ascii="仿宋" w:hAnsi="仿宋" w:eastAsia="仿宋" w:cs="仿宋"/>
          <w:color w:val="auto"/>
          <w:sz w:val="28"/>
          <w:szCs w:val="28"/>
          <w:highlight w:val="none"/>
          <w:u w:val="single"/>
        </w:rPr>
        <w:t xml:space="preserve">                             </w:t>
      </w:r>
    </w:p>
    <w:p w14:paraId="4D422778">
      <w:pPr>
        <w:pStyle w:val="11"/>
        <w:tabs>
          <w:tab w:val="left" w:pos="5580"/>
        </w:tabs>
        <w:spacing w:line="240" w:lineRule="atLeast"/>
        <w:ind w:left="1079" w:leftChars="257" w:hanging="540"/>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电话</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电子函件</w:t>
      </w:r>
      <w:r>
        <w:rPr>
          <w:rFonts w:hint="eastAsia" w:ascii="仿宋" w:hAnsi="仿宋" w:eastAsia="仿宋" w:cs="仿宋"/>
          <w:color w:val="auto"/>
          <w:sz w:val="28"/>
          <w:szCs w:val="28"/>
          <w:highlight w:val="none"/>
          <w:u w:val="single"/>
        </w:rPr>
        <w:t xml:space="preserve">                         </w:t>
      </w:r>
    </w:p>
    <w:p w14:paraId="4B4D2F3D">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103A4111">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法定代表人或其委托代理人签字-----------------</w:t>
      </w:r>
    </w:p>
    <w:p w14:paraId="28E3E25E">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投标人名称（全称）-----------------</w:t>
      </w:r>
    </w:p>
    <w:p w14:paraId="1597A44C">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投标人开户银行（全称）</w:t>
      </w:r>
      <w:r>
        <w:rPr>
          <w:rFonts w:hint="eastAsia" w:ascii="仿宋" w:hAnsi="仿宋" w:eastAsia="仿宋" w:cs="仿宋"/>
          <w:color w:val="auto"/>
          <w:sz w:val="28"/>
          <w:szCs w:val="28"/>
          <w:highlight w:val="none"/>
          <w:u w:val="single"/>
        </w:rPr>
        <w:t xml:space="preserve">　　　　　　 </w:t>
      </w:r>
    </w:p>
    <w:p w14:paraId="37E36AA8">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投标人银行帐号</w:t>
      </w:r>
      <w:r>
        <w:rPr>
          <w:rFonts w:hint="eastAsia" w:ascii="仿宋" w:hAnsi="仿宋" w:eastAsia="仿宋" w:cs="仿宋"/>
          <w:color w:val="auto"/>
          <w:sz w:val="28"/>
          <w:szCs w:val="28"/>
          <w:highlight w:val="none"/>
          <w:u w:val="single"/>
        </w:rPr>
        <w:t>　　　　　　　　 　　</w:t>
      </w:r>
    </w:p>
    <w:p w14:paraId="2CCAC86A">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投标人单位章-------------------------</w:t>
      </w:r>
    </w:p>
    <w:p w14:paraId="2000ED0C">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日期-------------------------------</w:t>
      </w:r>
    </w:p>
    <w:p w14:paraId="55F8E173">
      <w:pPr>
        <w:pStyle w:val="3"/>
        <w:spacing w:before="0" w:line="240" w:lineRule="atLeast"/>
        <w:ind w:left="1079" w:leftChars="257" w:hanging="540"/>
        <w:outlineLvl w:val="2"/>
        <w:rPr>
          <w:rFonts w:hint="eastAsia" w:ascii="仿宋" w:hAnsi="仿宋" w:eastAsia="仿宋" w:cs="仿宋"/>
          <w:b/>
          <w:color w:val="auto"/>
          <w:kern w:val="0"/>
          <w:sz w:val="28"/>
          <w:szCs w:val="28"/>
          <w:highlight w:val="none"/>
          <w:u w:val="none"/>
          <w:lang w:val="en-US" w:eastAsia="zh-CN" w:bidi="ar-SA"/>
        </w:rPr>
      </w:pPr>
      <w:r>
        <w:rPr>
          <w:rFonts w:hint="eastAsia" w:ascii="仿宋" w:hAnsi="仿宋" w:eastAsia="仿宋" w:cs="仿宋"/>
          <w:color w:val="auto"/>
          <w:sz w:val="28"/>
          <w:szCs w:val="28"/>
          <w:highlight w:val="none"/>
        </w:rPr>
        <w:br w:type="page"/>
      </w:r>
      <w:bookmarkStart w:id="607" w:name="_Toc26673"/>
      <w:bookmarkStart w:id="608" w:name="_Toc23912"/>
      <w:bookmarkStart w:id="609" w:name="_Toc4197"/>
      <w:bookmarkStart w:id="610" w:name="_Toc24886"/>
      <w:bookmarkStart w:id="611" w:name="_Toc31599"/>
      <w:bookmarkStart w:id="612" w:name="_Toc9148"/>
      <w:bookmarkStart w:id="613" w:name="_Toc518923117"/>
      <w:r>
        <w:rPr>
          <w:rFonts w:hint="eastAsia" w:ascii="仿宋" w:hAnsi="仿宋" w:eastAsia="仿宋" w:cs="仿宋"/>
          <w:b/>
          <w:color w:val="auto"/>
          <w:kern w:val="0"/>
          <w:sz w:val="28"/>
          <w:szCs w:val="28"/>
          <w:highlight w:val="none"/>
          <w:u w:val="none"/>
          <w:lang w:val="en-US" w:eastAsia="zh-CN" w:bidi="ar-SA"/>
        </w:rPr>
        <w:t>2 投标保证金缴纳凭证复印件或投标担保函</w:t>
      </w:r>
      <w:bookmarkEnd w:id="607"/>
      <w:bookmarkEnd w:id="608"/>
      <w:bookmarkEnd w:id="609"/>
      <w:bookmarkEnd w:id="610"/>
      <w:bookmarkEnd w:id="611"/>
      <w:bookmarkEnd w:id="612"/>
      <w:bookmarkEnd w:id="613"/>
    </w:p>
    <w:p w14:paraId="18FB90D8">
      <w:pPr>
        <w:ind w:firstLine="560" w:firstLineChars="200"/>
        <w:rPr>
          <w:rFonts w:hint="eastAsia" w:ascii="仿宋" w:hAnsi="仿宋" w:eastAsia="仿宋" w:cs="仿宋"/>
          <w:color w:val="auto"/>
          <w:sz w:val="28"/>
          <w:szCs w:val="28"/>
          <w:highlight w:val="none"/>
        </w:rPr>
      </w:pPr>
      <w:bookmarkStart w:id="614" w:name="_Toc494296991"/>
      <w:bookmarkStart w:id="615" w:name="_Toc494296665"/>
      <w:r>
        <w:rPr>
          <w:rFonts w:hint="eastAsia" w:ascii="仿宋" w:hAnsi="仿宋" w:eastAsia="仿宋" w:cs="仿宋"/>
          <w:color w:val="auto"/>
          <w:sz w:val="28"/>
          <w:szCs w:val="28"/>
          <w:highlight w:val="none"/>
        </w:rPr>
        <w:t>投标人可将本项目投标保证金支付的汇款凭证、支票、汇票或保证金收据（如有）的复印件作为缴纳凭证</w:t>
      </w:r>
      <w:r>
        <w:rPr>
          <w:rFonts w:hint="eastAsia" w:ascii="仿宋" w:hAnsi="仿宋" w:eastAsia="仿宋" w:cs="仿宋"/>
          <w:color w:val="auto"/>
          <w:sz w:val="28"/>
          <w:szCs w:val="28"/>
          <w:highlight w:val="none"/>
          <w:lang w:val="en-US" w:eastAsia="zh-CN"/>
        </w:rPr>
        <w:t>附</w:t>
      </w:r>
      <w:r>
        <w:rPr>
          <w:rFonts w:hint="eastAsia" w:ascii="仿宋" w:hAnsi="仿宋" w:eastAsia="仿宋" w:cs="仿宋"/>
          <w:color w:val="auto"/>
          <w:sz w:val="28"/>
          <w:szCs w:val="28"/>
          <w:highlight w:val="none"/>
        </w:rPr>
        <w:t>在本部分，复印件上应加盖本单位章；使用银行保函等其他投标担保函的，应将担保函正本，</w:t>
      </w:r>
      <w:r>
        <w:rPr>
          <w:rFonts w:hint="eastAsia" w:ascii="仿宋" w:hAnsi="仿宋" w:eastAsia="仿宋" w:cs="仿宋"/>
          <w:color w:val="auto"/>
          <w:sz w:val="28"/>
          <w:szCs w:val="28"/>
          <w:highlight w:val="none"/>
          <w:lang w:val="en-US" w:eastAsia="zh-CN"/>
        </w:rPr>
        <w:t>附</w:t>
      </w:r>
      <w:r>
        <w:rPr>
          <w:rFonts w:hint="eastAsia" w:ascii="仿宋" w:hAnsi="仿宋" w:eastAsia="仿宋" w:cs="仿宋"/>
          <w:color w:val="auto"/>
          <w:sz w:val="28"/>
          <w:szCs w:val="28"/>
          <w:highlight w:val="none"/>
        </w:rPr>
        <w:t>在本部分正本中；如采用政府采购信用担保形式的，应使用（投标文件格式五）,将原件</w:t>
      </w:r>
      <w:r>
        <w:rPr>
          <w:rFonts w:hint="eastAsia" w:ascii="仿宋" w:hAnsi="仿宋" w:eastAsia="仿宋" w:cs="仿宋"/>
          <w:color w:val="auto"/>
          <w:sz w:val="28"/>
          <w:szCs w:val="28"/>
          <w:highlight w:val="none"/>
          <w:lang w:val="en-US" w:eastAsia="zh-CN"/>
        </w:rPr>
        <w:t>附</w:t>
      </w:r>
      <w:r>
        <w:rPr>
          <w:rFonts w:hint="eastAsia" w:ascii="仿宋" w:hAnsi="仿宋" w:eastAsia="仿宋" w:cs="仿宋"/>
          <w:color w:val="auto"/>
          <w:sz w:val="28"/>
          <w:szCs w:val="28"/>
          <w:highlight w:val="none"/>
        </w:rPr>
        <w:t>在本部分正本中。</w:t>
      </w:r>
      <w:bookmarkEnd w:id="614"/>
      <w:bookmarkEnd w:id="615"/>
    </w:p>
    <w:p w14:paraId="6EA5423D">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政府采购投标担保函 （项目用）（投标文件格式五）</w:t>
      </w:r>
    </w:p>
    <w:p w14:paraId="574C2DD0">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编号：</w:t>
      </w:r>
    </w:p>
    <w:p w14:paraId="1B92C80A">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（采购人或采购代理机构）：</w:t>
      </w:r>
    </w:p>
    <w:p w14:paraId="03AC35CD">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鉴于</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（以下简称“投标人”）拟参加编号为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项目（以下简称“本项目”）投标，根据本项目招标文件，供应商参加投标时应向你方交纳投标保证金，且可以投标担保函的形式交纳投标保证金。应供应商的申请，我方以保证的方式向你方提供如下投标保证金担保：</w:t>
      </w:r>
    </w:p>
    <w:p w14:paraId="6DD3F309">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一、保证责任的情形及保证金额</w:t>
      </w:r>
    </w:p>
    <w:p w14:paraId="40FE6654">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（一）在投标人出现下列情形之一时，我方承担保证责任：</w:t>
      </w:r>
    </w:p>
    <w:p w14:paraId="133484EE">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1．中标后投标人无正当理由不与采购人或者采购代理机构签订《政府采购合同》；</w:t>
      </w:r>
    </w:p>
    <w:p w14:paraId="5194279D">
      <w:pPr>
        <w:ind w:firstLine="560" w:firstLineChars="200"/>
        <w:outlineLvl w:val="9"/>
        <w:rPr>
          <w:rFonts w:hint="eastAsia" w:ascii="仿宋" w:hAnsi="仿宋" w:eastAsia="仿宋" w:cs="仿宋"/>
          <w:color w:val="auto"/>
          <w:sz w:val="28"/>
          <w:szCs w:val="28"/>
          <w:highlight w:val="none"/>
        </w:rPr>
      </w:pPr>
      <w:bookmarkStart w:id="616" w:name="_Toc31028"/>
      <w:r>
        <w:rPr>
          <w:rFonts w:hint="eastAsia" w:ascii="仿宋" w:hAnsi="仿宋" w:eastAsia="仿宋" w:cs="仿宋"/>
          <w:color w:val="auto"/>
          <w:sz w:val="28"/>
          <w:szCs w:val="28"/>
          <w:highlight w:val="none"/>
        </w:rPr>
        <w:t>2．招标文件规定的投标人应当缴纳保证金的其他情形。</w:t>
      </w:r>
      <w:bookmarkEnd w:id="616"/>
    </w:p>
    <w:p w14:paraId="485794B0">
      <w:pPr>
        <w:ind w:firstLine="280" w:firstLineChars="1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（二）我方承担保证责任的最高金额为人民币</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元（大写</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），即本项目的投标保证金金额。</w:t>
      </w:r>
    </w:p>
    <w:p w14:paraId="34204E63">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二、保证的方式及保证期间</w:t>
      </w:r>
    </w:p>
    <w:p w14:paraId="33D52555">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我方保证的方式为：连带责任保证。</w:t>
      </w:r>
    </w:p>
    <w:p w14:paraId="7B48194A">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我方的保证期间为：自本保函生效之日起</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个月止。</w:t>
      </w:r>
    </w:p>
    <w:p w14:paraId="520D504E">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三、承担保证责任的程序</w:t>
      </w:r>
    </w:p>
    <w:p w14:paraId="3C4248A9">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4FFD3DAD">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2．我方在收到索赔通知及相关证明材料后，在</w:t>
      </w: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rPr>
        <w:t>个工作日内进行审查，符合应承担保证责任情形的，我方应按照你方的要求代投标人向你方支付投标保证金。</w:t>
      </w:r>
    </w:p>
    <w:p w14:paraId="6624D5B8">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四、保证责任的终止</w:t>
      </w:r>
    </w:p>
    <w:p w14:paraId="78D93C4B">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1．保证期间届满你方未向我方书面主张保证责任的，自保证期间届满次日起，我方保证责任自动终止。</w:t>
      </w:r>
    </w:p>
    <w:p w14:paraId="6A2254D0">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2．我方按照本保函向你贵方履行了保证责任后，自我方向你贵方支付款项（支付款项从我方账户划出）之日起，保证责任终止。</w:t>
      </w:r>
    </w:p>
    <w:p w14:paraId="6B1598D9">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3．按照法律法规的规定或出现我方保证责任终止的其它情形的，我方在本保函项下的保证责任亦终止。</w:t>
      </w:r>
    </w:p>
    <w:p w14:paraId="113C72B6">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五、免责条款</w:t>
      </w:r>
    </w:p>
    <w:p w14:paraId="39C0B242">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1．依照法律规定或你方与投标人的另行约定，全部或者部分免除投标人投标保证金义务时，我方亦免除相应的保证责任。</w:t>
      </w:r>
    </w:p>
    <w:p w14:paraId="463A47D5">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2．因你方原因致使投标人发生本保函第一条第（一）款约定情形的，我方不承担保证责任。</w:t>
      </w:r>
    </w:p>
    <w:p w14:paraId="099A328A">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3．因不可抗力造成投标人发生本保函第一条约定情形的，我方不承担保证责任。</w:t>
      </w:r>
    </w:p>
    <w:p w14:paraId="3EC763B9">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4．你方或其他有权机关对招标文件进行任何澄清或修改，加重我方保证责任的，我方对加重部分不承担保证责任，但该澄清或修改经我方事先书面同意的除外。</w:t>
      </w:r>
    </w:p>
    <w:p w14:paraId="72587413">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六、争议的解决</w:t>
      </w:r>
    </w:p>
    <w:p w14:paraId="5FBE80AF">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因本保函发生的纠纷，由你我双方协商解决，协商不成的，通过诉讼程序解决，诉讼管辖地法院为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法院。</w:t>
      </w:r>
    </w:p>
    <w:p w14:paraId="549E0A9F">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七、保函的生效</w:t>
      </w:r>
    </w:p>
    <w:p w14:paraId="56EFE9C5">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本保函自我方加盖公章之日起生效。</w:t>
      </w:r>
    </w:p>
    <w:p w14:paraId="05F90804">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保证人：（公章）</w:t>
      </w:r>
    </w:p>
    <w:p w14:paraId="2A552733">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14:paraId="0558B4BA">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年     月      日</w:t>
      </w:r>
    </w:p>
    <w:p w14:paraId="305D5306">
      <w:pPr>
        <w:ind w:firstLine="7700" w:firstLineChars="2750"/>
        <w:rPr>
          <w:rFonts w:hint="eastAsia" w:ascii="仿宋" w:hAnsi="仿宋" w:eastAsia="仿宋" w:cs="仿宋"/>
          <w:color w:val="auto"/>
          <w:sz w:val="28"/>
          <w:szCs w:val="28"/>
          <w:highlight w:val="none"/>
        </w:rPr>
        <w:sectPr>
          <w:footerReference r:id="rId8" w:type="first"/>
          <w:footerReference r:id="rId6" w:type="default"/>
          <w:footerReference r:id="rId7" w:type="even"/>
          <w:pgSz w:w="11906" w:h="16838"/>
          <w:pgMar w:top="1417" w:right="1417" w:bottom="1417" w:left="1417" w:header="851" w:footer="992" w:gutter="0"/>
          <w:pgNumType w:fmt="decimal"/>
          <w:cols w:space="720" w:num="1"/>
          <w:docGrid w:type="linesAndChars" w:linePitch="312" w:charSpace="0"/>
        </w:sectPr>
      </w:pPr>
    </w:p>
    <w:p w14:paraId="1E3DB611">
      <w:pPr>
        <w:pStyle w:val="6"/>
        <w:spacing w:before="0" w:after="0" w:line="240" w:lineRule="atLeast"/>
        <w:jc w:val="center"/>
        <w:outlineLvl w:val="2"/>
        <w:rPr>
          <w:rFonts w:hint="eastAsia" w:ascii="仿宋" w:hAnsi="仿宋" w:eastAsia="仿宋" w:cs="仿宋"/>
          <w:color w:val="auto"/>
          <w:sz w:val="28"/>
          <w:szCs w:val="28"/>
          <w:highlight w:val="none"/>
          <w:u w:val="none"/>
        </w:rPr>
      </w:pPr>
      <w:bookmarkStart w:id="617" w:name="_Toc12912"/>
      <w:bookmarkStart w:id="618" w:name="_Toc22442"/>
      <w:bookmarkStart w:id="619" w:name="_Toc7841"/>
      <w:bookmarkStart w:id="620" w:name="_Toc518923118"/>
      <w:bookmarkStart w:id="621" w:name="_Toc1893"/>
      <w:bookmarkStart w:id="622" w:name="_Toc7654"/>
      <w:bookmarkStart w:id="623" w:name="_Toc10740"/>
      <w:r>
        <w:rPr>
          <w:rFonts w:hint="eastAsia" w:ascii="仿宋" w:hAnsi="仿宋" w:eastAsia="仿宋" w:cs="仿宋"/>
          <w:color w:val="auto"/>
          <w:sz w:val="28"/>
          <w:szCs w:val="28"/>
          <w:highlight w:val="none"/>
          <w:u w:val="none"/>
          <w:lang w:val="en-US" w:eastAsia="zh-CN"/>
        </w:rPr>
        <w:t xml:space="preserve">3  </w:t>
      </w:r>
      <w:r>
        <w:rPr>
          <w:rFonts w:hint="eastAsia" w:ascii="仿宋" w:hAnsi="仿宋" w:eastAsia="仿宋" w:cs="仿宋"/>
          <w:color w:val="auto"/>
          <w:sz w:val="28"/>
          <w:szCs w:val="28"/>
          <w:highlight w:val="none"/>
          <w:u w:val="none"/>
        </w:rPr>
        <w:t>投标分项报价表</w:t>
      </w:r>
      <w:bookmarkEnd w:id="606"/>
      <w:r>
        <w:rPr>
          <w:rFonts w:hint="eastAsia" w:ascii="仿宋" w:hAnsi="仿宋" w:eastAsia="仿宋" w:cs="仿宋"/>
          <w:color w:val="auto"/>
          <w:sz w:val="28"/>
          <w:szCs w:val="28"/>
          <w:highlight w:val="none"/>
          <w:u w:val="none"/>
        </w:rPr>
        <w:t>（投标文件格式六）</w:t>
      </w:r>
      <w:bookmarkEnd w:id="617"/>
      <w:bookmarkEnd w:id="618"/>
      <w:bookmarkEnd w:id="619"/>
      <w:bookmarkEnd w:id="620"/>
      <w:bookmarkEnd w:id="621"/>
      <w:bookmarkEnd w:id="622"/>
      <w:bookmarkEnd w:id="623"/>
    </w:p>
    <w:p w14:paraId="73EBC0AB">
      <w:pPr>
        <w:pStyle w:val="11"/>
        <w:spacing w:line="240" w:lineRule="atLeast"/>
        <w:ind w:left="1080" w:leftChars="257" w:hanging="540"/>
        <w:rPr>
          <w:rFonts w:hint="eastAsia" w:ascii="仿宋" w:hAnsi="仿宋" w:eastAsia="仿宋" w:cs="仿宋"/>
          <w:color w:val="auto"/>
          <w:sz w:val="24"/>
          <w:highlight w:val="none"/>
        </w:rPr>
      </w:pPr>
    </w:p>
    <w:p w14:paraId="7AB73616">
      <w:pPr>
        <w:pStyle w:val="11"/>
        <w:spacing w:line="240" w:lineRule="atLeast"/>
        <w:ind w:left="1080" w:leftChars="257" w:hanging="540"/>
        <w:rPr>
          <w:rFonts w:hint="eastAsia" w:ascii="仿宋" w:hAnsi="仿宋" w:eastAsia="仿宋" w:cs="仿宋"/>
          <w:color w:val="auto"/>
          <w:sz w:val="24"/>
          <w:highlight w:val="none"/>
        </w:rPr>
      </w:pPr>
    </w:p>
    <w:p w14:paraId="13B21483">
      <w:pPr>
        <w:pStyle w:val="11"/>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招标编号:                         包号: 　 　报价单位：人民币  </w:t>
      </w:r>
      <w:r>
        <w:rPr>
          <w:rFonts w:hint="eastAsia" w:ascii="仿宋" w:hAnsi="仿宋" w:eastAsia="仿宋" w:cs="仿宋"/>
          <w:b/>
          <w:bCs/>
          <w:color w:val="auto"/>
          <w:sz w:val="24"/>
          <w:highlight w:val="none"/>
        </w:rPr>
        <w:t xml:space="preserve"> 元</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2750"/>
        <w:gridCol w:w="2173"/>
        <w:gridCol w:w="1553"/>
        <w:gridCol w:w="1330"/>
        <w:gridCol w:w="1259"/>
        <w:gridCol w:w="1293"/>
        <w:gridCol w:w="1879"/>
        <w:gridCol w:w="1069"/>
      </w:tblGrid>
      <w:tr w14:paraId="5847D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908" w:type="dxa"/>
            <w:noWrap w:val="0"/>
            <w:vAlign w:val="center"/>
          </w:tcPr>
          <w:p w14:paraId="0DB858EC">
            <w:pPr>
              <w:pStyle w:val="11"/>
              <w:keepNext w:val="0"/>
              <w:keepLines w:val="0"/>
              <w:suppressLineNumbers w:val="0"/>
              <w:spacing w:before="0" w:beforeAutospacing="0" w:after="0" w:afterAutospacing="0" w:line="240" w:lineRule="atLeast"/>
              <w:ind w:left="269" w:leftChars="128"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序号</w:t>
            </w:r>
          </w:p>
        </w:tc>
        <w:tc>
          <w:tcPr>
            <w:tcW w:w="2750" w:type="dxa"/>
            <w:noWrap w:val="0"/>
            <w:vAlign w:val="center"/>
          </w:tcPr>
          <w:p w14:paraId="79242B49">
            <w:pPr>
              <w:pStyle w:val="11"/>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名称</w:t>
            </w:r>
          </w:p>
        </w:tc>
        <w:tc>
          <w:tcPr>
            <w:tcW w:w="2173" w:type="dxa"/>
            <w:noWrap w:val="0"/>
            <w:vAlign w:val="center"/>
          </w:tcPr>
          <w:p w14:paraId="1940B158">
            <w:pPr>
              <w:pStyle w:val="11"/>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品牌</w:t>
            </w:r>
          </w:p>
        </w:tc>
        <w:tc>
          <w:tcPr>
            <w:tcW w:w="1553" w:type="dxa"/>
            <w:noWrap w:val="0"/>
            <w:vAlign w:val="center"/>
          </w:tcPr>
          <w:p w14:paraId="55761F22">
            <w:pPr>
              <w:pStyle w:val="11"/>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型号</w:t>
            </w:r>
          </w:p>
        </w:tc>
        <w:tc>
          <w:tcPr>
            <w:tcW w:w="1330" w:type="dxa"/>
            <w:noWrap w:val="0"/>
            <w:vAlign w:val="center"/>
          </w:tcPr>
          <w:p w14:paraId="2ECD67AF">
            <w:pPr>
              <w:pStyle w:val="11"/>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规格</w:t>
            </w:r>
          </w:p>
        </w:tc>
        <w:tc>
          <w:tcPr>
            <w:tcW w:w="1259" w:type="dxa"/>
            <w:noWrap w:val="0"/>
            <w:vAlign w:val="center"/>
          </w:tcPr>
          <w:p w14:paraId="018DA5C3">
            <w:pPr>
              <w:pStyle w:val="11"/>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数量</w:t>
            </w:r>
          </w:p>
        </w:tc>
        <w:tc>
          <w:tcPr>
            <w:tcW w:w="1293" w:type="dxa"/>
            <w:noWrap w:val="0"/>
            <w:vAlign w:val="center"/>
          </w:tcPr>
          <w:p w14:paraId="6CF886CC">
            <w:pPr>
              <w:pStyle w:val="11"/>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单价</w:t>
            </w:r>
          </w:p>
        </w:tc>
        <w:tc>
          <w:tcPr>
            <w:tcW w:w="1879" w:type="dxa"/>
            <w:noWrap w:val="0"/>
            <w:vAlign w:val="center"/>
          </w:tcPr>
          <w:p w14:paraId="7DC64199">
            <w:pPr>
              <w:pStyle w:val="11"/>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总价</w:t>
            </w:r>
          </w:p>
        </w:tc>
        <w:tc>
          <w:tcPr>
            <w:tcW w:w="1069" w:type="dxa"/>
            <w:noWrap w:val="0"/>
            <w:vAlign w:val="center"/>
          </w:tcPr>
          <w:p w14:paraId="530B7318">
            <w:pPr>
              <w:pStyle w:val="11"/>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备注</w:t>
            </w:r>
          </w:p>
        </w:tc>
      </w:tr>
      <w:tr w14:paraId="71FDB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908" w:type="dxa"/>
            <w:noWrap w:val="0"/>
            <w:vAlign w:val="center"/>
          </w:tcPr>
          <w:p w14:paraId="17CDBB19">
            <w:pPr>
              <w:pStyle w:val="11"/>
              <w:keepNext w:val="0"/>
              <w:keepLines w:val="0"/>
              <w:suppressLineNumbers w:val="0"/>
              <w:spacing w:before="0" w:beforeAutospacing="0" w:after="0" w:afterAutospacing="0" w:line="240" w:lineRule="atLeast"/>
              <w:ind w:left="269" w:leftChars="128"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2750" w:type="dxa"/>
            <w:noWrap w:val="0"/>
            <w:vAlign w:val="center"/>
          </w:tcPr>
          <w:p w14:paraId="73EFD6D4">
            <w:pPr>
              <w:pStyle w:val="11"/>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货物名称</w:t>
            </w:r>
          </w:p>
        </w:tc>
        <w:tc>
          <w:tcPr>
            <w:tcW w:w="2173" w:type="dxa"/>
            <w:noWrap w:val="0"/>
            <w:vAlign w:val="center"/>
          </w:tcPr>
          <w:p w14:paraId="5BFD8FE7">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553" w:type="dxa"/>
            <w:noWrap w:val="0"/>
            <w:vAlign w:val="center"/>
          </w:tcPr>
          <w:p w14:paraId="5DEDA121">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330" w:type="dxa"/>
            <w:noWrap w:val="0"/>
            <w:vAlign w:val="center"/>
          </w:tcPr>
          <w:p w14:paraId="55EAC8ED">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259" w:type="dxa"/>
            <w:noWrap w:val="0"/>
            <w:vAlign w:val="center"/>
          </w:tcPr>
          <w:p w14:paraId="1E2A17F6">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293" w:type="dxa"/>
            <w:noWrap w:val="0"/>
            <w:vAlign w:val="center"/>
          </w:tcPr>
          <w:p w14:paraId="5FE688E4">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879" w:type="dxa"/>
            <w:noWrap w:val="0"/>
            <w:vAlign w:val="center"/>
          </w:tcPr>
          <w:p w14:paraId="2C3C8989">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069" w:type="dxa"/>
            <w:noWrap w:val="0"/>
            <w:vAlign w:val="center"/>
          </w:tcPr>
          <w:p w14:paraId="5216EB41">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r>
      <w:tr w14:paraId="7B501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08" w:type="dxa"/>
            <w:noWrap w:val="0"/>
            <w:vAlign w:val="center"/>
          </w:tcPr>
          <w:p w14:paraId="410D0BDD">
            <w:pPr>
              <w:pStyle w:val="11"/>
              <w:keepNext w:val="0"/>
              <w:keepLines w:val="0"/>
              <w:suppressLineNumbers w:val="0"/>
              <w:spacing w:before="0" w:beforeAutospacing="0" w:after="0" w:afterAutospacing="0" w:line="240" w:lineRule="atLeast"/>
              <w:ind w:left="269" w:leftChars="128"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2750" w:type="dxa"/>
            <w:noWrap w:val="0"/>
            <w:vAlign w:val="center"/>
          </w:tcPr>
          <w:p w14:paraId="48502FE6">
            <w:pPr>
              <w:pStyle w:val="11"/>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备品备件</w:t>
            </w:r>
          </w:p>
        </w:tc>
        <w:tc>
          <w:tcPr>
            <w:tcW w:w="2173" w:type="dxa"/>
            <w:noWrap w:val="0"/>
            <w:vAlign w:val="center"/>
          </w:tcPr>
          <w:p w14:paraId="6CAB005C">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553" w:type="dxa"/>
            <w:noWrap w:val="0"/>
            <w:vAlign w:val="center"/>
          </w:tcPr>
          <w:p w14:paraId="453AA99D">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330" w:type="dxa"/>
            <w:noWrap w:val="0"/>
            <w:vAlign w:val="center"/>
          </w:tcPr>
          <w:p w14:paraId="346D7BB3">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259" w:type="dxa"/>
            <w:noWrap w:val="0"/>
            <w:vAlign w:val="center"/>
          </w:tcPr>
          <w:p w14:paraId="7D89065E">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293" w:type="dxa"/>
            <w:noWrap w:val="0"/>
            <w:vAlign w:val="center"/>
          </w:tcPr>
          <w:p w14:paraId="14AD02BB">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879" w:type="dxa"/>
            <w:noWrap w:val="0"/>
            <w:vAlign w:val="center"/>
          </w:tcPr>
          <w:p w14:paraId="14067DAB">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069" w:type="dxa"/>
            <w:noWrap w:val="0"/>
            <w:vAlign w:val="center"/>
          </w:tcPr>
          <w:p w14:paraId="0E5391BA">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r>
      <w:tr w14:paraId="406BD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08" w:type="dxa"/>
            <w:noWrap w:val="0"/>
            <w:vAlign w:val="center"/>
          </w:tcPr>
          <w:p w14:paraId="23DC34B5">
            <w:pPr>
              <w:pStyle w:val="11"/>
              <w:keepNext w:val="0"/>
              <w:keepLines w:val="0"/>
              <w:suppressLineNumbers w:val="0"/>
              <w:spacing w:before="0" w:beforeAutospacing="0" w:after="0" w:afterAutospacing="0" w:line="240" w:lineRule="atLeast"/>
              <w:ind w:left="269" w:leftChars="128"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2750" w:type="dxa"/>
            <w:noWrap w:val="0"/>
            <w:vAlign w:val="center"/>
          </w:tcPr>
          <w:p w14:paraId="07D80DE3">
            <w:pPr>
              <w:pStyle w:val="11"/>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专用工具</w:t>
            </w:r>
          </w:p>
        </w:tc>
        <w:tc>
          <w:tcPr>
            <w:tcW w:w="2173" w:type="dxa"/>
            <w:noWrap w:val="0"/>
            <w:vAlign w:val="center"/>
          </w:tcPr>
          <w:p w14:paraId="002C302F">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553" w:type="dxa"/>
            <w:noWrap w:val="0"/>
            <w:vAlign w:val="center"/>
          </w:tcPr>
          <w:p w14:paraId="2B96B0FF">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330" w:type="dxa"/>
            <w:noWrap w:val="0"/>
            <w:vAlign w:val="center"/>
          </w:tcPr>
          <w:p w14:paraId="39C8E903">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259" w:type="dxa"/>
            <w:noWrap w:val="0"/>
            <w:vAlign w:val="center"/>
          </w:tcPr>
          <w:p w14:paraId="21575AFE">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293" w:type="dxa"/>
            <w:noWrap w:val="0"/>
            <w:vAlign w:val="center"/>
          </w:tcPr>
          <w:p w14:paraId="3360292C">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879" w:type="dxa"/>
            <w:noWrap w:val="0"/>
            <w:vAlign w:val="center"/>
          </w:tcPr>
          <w:p w14:paraId="01DAE076">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069" w:type="dxa"/>
            <w:noWrap w:val="0"/>
            <w:vAlign w:val="center"/>
          </w:tcPr>
          <w:p w14:paraId="2C8DDFB4">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r>
      <w:tr w14:paraId="2AE5D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08" w:type="dxa"/>
            <w:noWrap w:val="0"/>
            <w:vAlign w:val="center"/>
          </w:tcPr>
          <w:p w14:paraId="361CD837">
            <w:pPr>
              <w:pStyle w:val="11"/>
              <w:keepNext w:val="0"/>
              <w:keepLines w:val="0"/>
              <w:suppressLineNumbers w:val="0"/>
              <w:spacing w:before="0" w:beforeAutospacing="0" w:after="0" w:afterAutospacing="0" w:line="240" w:lineRule="atLeast"/>
              <w:ind w:left="269" w:leftChars="128"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2750" w:type="dxa"/>
            <w:noWrap w:val="0"/>
            <w:vAlign w:val="center"/>
          </w:tcPr>
          <w:p w14:paraId="47718661">
            <w:pPr>
              <w:pStyle w:val="11"/>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安装、调试、检验</w:t>
            </w:r>
          </w:p>
        </w:tc>
        <w:tc>
          <w:tcPr>
            <w:tcW w:w="2173" w:type="dxa"/>
            <w:noWrap w:val="0"/>
            <w:vAlign w:val="center"/>
          </w:tcPr>
          <w:p w14:paraId="731C3D4B">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553" w:type="dxa"/>
            <w:noWrap w:val="0"/>
            <w:vAlign w:val="center"/>
          </w:tcPr>
          <w:p w14:paraId="6386797A">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330" w:type="dxa"/>
            <w:noWrap w:val="0"/>
            <w:vAlign w:val="center"/>
          </w:tcPr>
          <w:p w14:paraId="55E55582">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259" w:type="dxa"/>
            <w:noWrap w:val="0"/>
            <w:vAlign w:val="center"/>
          </w:tcPr>
          <w:p w14:paraId="5B94B68B">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293" w:type="dxa"/>
            <w:noWrap w:val="0"/>
            <w:vAlign w:val="center"/>
          </w:tcPr>
          <w:p w14:paraId="39061E5F">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879" w:type="dxa"/>
            <w:noWrap w:val="0"/>
            <w:vAlign w:val="center"/>
          </w:tcPr>
          <w:p w14:paraId="7CDDF49B">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069" w:type="dxa"/>
            <w:noWrap w:val="0"/>
            <w:vAlign w:val="center"/>
          </w:tcPr>
          <w:p w14:paraId="42837D25">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r>
      <w:tr w14:paraId="3A10F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08" w:type="dxa"/>
            <w:noWrap w:val="0"/>
            <w:vAlign w:val="center"/>
          </w:tcPr>
          <w:p w14:paraId="35981D8E">
            <w:pPr>
              <w:pStyle w:val="11"/>
              <w:keepNext w:val="0"/>
              <w:keepLines w:val="0"/>
              <w:suppressLineNumbers w:val="0"/>
              <w:spacing w:before="0" w:beforeAutospacing="0" w:after="0" w:afterAutospacing="0" w:line="240" w:lineRule="atLeast"/>
              <w:ind w:left="269" w:leftChars="128"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2750" w:type="dxa"/>
            <w:noWrap w:val="0"/>
            <w:vAlign w:val="center"/>
          </w:tcPr>
          <w:p w14:paraId="2EA82E9B">
            <w:pPr>
              <w:pStyle w:val="11"/>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培训</w:t>
            </w:r>
          </w:p>
        </w:tc>
        <w:tc>
          <w:tcPr>
            <w:tcW w:w="2173" w:type="dxa"/>
            <w:noWrap w:val="0"/>
            <w:vAlign w:val="center"/>
          </w:tcPr>
          <w:p w14:paraId="34647F64">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553" w:type="dxa"/>
            <w:noWrap w:val="0"/>
            <w:vAlign w:val="center"/>
          </w:tcPr>
          <w:p w14:paraId="542C4438">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330" w:type="dxa"/>
            <w:noWrap w:val="0"/>
            <w:vAlign w:val="center"/>
          </w:tcPr>
          <w:p w14:paraId="0CBC5B77">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259" w:type="dxa"/>
            <w:noWrap w:val="0"/>
            <w:vAlign w:val="center"/>
          </w:tcPr>
          <w:p w14:paraId="7A6267FB">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293" w:type="dxa"/>
            <w:noWrap w:val="0"/>
            <w:vAlign w:val="center"/>
          </w:tcPr>
          <w:p w14:paraId="1B4393CA">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879" w:type="dxa"/>
            <w:noWrap w:val="0"/>
            <w:vAlign w:val="center"/>
          </w:tcPr>
          <w:p w14:paraId="451DEEDB">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069" w:type="dxa"/>
            <w:noWrap w:val="0"/>
            <w:vAlign w:val="center"/>
          </w:tcPr>
          <w:p w14:paraId="4DE98C71">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r>
      <w:tr w14:paraId="43872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08" w:type="dxa"/>
            <w:noWrap w:val="0"/>
            <w:vAlign w:val="center"/>
          </w:tcPr>
          <w:p w14:paraId="1C7EB48F">
            <w:pPr>
              <w:pStyle w:val="11"/>
              <w:keepNext w:val="0"/>
              <w:keepLines w:val="0"/>
              <w:suppressLineNumbers w:val="0"/>
              <w:spacing w:before="0" w:beforeAutospacing="0" w:after="0" w:afterAutospacing="0" w:line="240" w:lineRule="atLeast"/>
              <w:ind w:left="269" w:leftChars="128"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2750" w:type="dxa"/>
            <w:noWrap w:val="0"/>
            <w:vAlign w:val="center"/>
          </w:tcPr>
          <w:p w14:paraId="13D37D39">
            <w:pPr>
              <w:pStyle w:val="11"/>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技术服务</w:t>
            </w:r>
          </w:p>
        </w:tc>
        <w:tc>
          <w:tcPr>
            <w:tcW w:w="2173" w:type="dxa"/>
            <w:noWrap w:val="0"/>
            <w:vAlign w:val="center"/>
          </w:tcPr>
          <w:p w14:paraId="3DE3DC80">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553" w:type="dxa"/>
            <w:noWrap w:val="0"/>
            <w:vAlign w:val="center"/>
          </w:tcPr>
          <w:p w14:paraId="1D1FB584">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330" w:type="dxa"/>
            <w:noWrap w:val="0"/>
            <w:vAlign w:val="center"/>
          </w:tcPr>
          <w:p w14:paraId="60509A9E">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259" w:type="dxa"/>
            <w:noWrap w:val="0"/>
            <w:vAlign w:val="center"/>
          </w:tcPr>
          <w:p w14:paraId="22B71E16">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293" w:type="dxa"/>
            <w:noWrap w:val="0"/>
            <w:vAlign w:val="center"/>
          </w:tcPr>
          <w:p w14:paraId="3B677E9B">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879" w:type="dxa"/>
            <w:noWrap w:val="0"/>
            <w:vAlign w:val="center"/>
          </w:tcPr>
          <w:p w14:paraId="084A1966">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069" w:type="dxa"/>
            <w:noWrap w:val="0"/>
            <w:vAlign w:val="center"/>
          </w:tcPr>
          <w:p w14:paraId="5C23E951">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r>
      <w:tr w14:paraId="0840B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11266" w:type="dxa"/>
            <w:gridSpan w:val="7"/>
            <w:noWrap w:val="0"/>
            <w:vAlign w:val="center"/>
          </w:tcPr>
          <w:p w14:paraId="2EF15B31">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总价：</w:t>
            </w:r>
          </w:p>
        </w:tc>
        <w:tc>
          <w:tcPr>
            <w:tcW w:w="2948" w:type="dxa"/>
            <w:gridSpan w:val="2"/>
            <w:noWrap w:val="0"/>
            <w:vAlign w:val="center"/>
          </w:tcPr>
          <w:p w14:paraId="5FC10830">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r>
    </w:tbl>
    <w:p w14:paraId="7B5F0A4A">
      <w:pPr>
        <w:pStyle w:val="11"/>
        <w:spacing w:line="240" w:lineRule="atLeast"/>
        <w:ind w:left="1080" w:leftChars="257" w:hanging="540"/>
        <w:rPr>
          <w:rFonts w:hint="eastAsia" w:ascii="仿宋" w:hAnsi="仿宋" w:eastAsia="仿宋" w:cs="仿宋"/>
          <w:color w:val="auto"/>
          <w:sz w:val="24"/>
          <w:highlight w:val="none"/>
        </w:rPr>
      </w:pPr>
    </w:p>
    <w:p w14:paraId="26C328CE">
      <w:pPr>
        <w:pStyle w:val="11"/>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法定代表人或其委托代理人签字: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p>
    <w:p w14:paraId="2D0C27AE">
      <w:pPr>
        <w:pStyle w:val="11"/>
        <w:tabs>
          <w:tab w:val="left" w:pos="5370"/>
        </w:tabs>
        <w:spacing w:line="240" w:lineRule="atLeast"/>
        <w:ind w:left="1080" w:leftChars="257" w:hanging="54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投标人(盖单位章):</w:t>
      </w:r>
      <w:r>
        <w:rPr>
          <w:rFonts w:hint="eastAsia" w:ascii="仿宋" w:hAnsi="仿宋" w:eastAsia="仿宋" w:cs="仿宋"/>
          <w:color w:val="auto"/>
          <w:sz w:val="24"/>
          <w:highlight w:val="none"/>
          <w:u w:val="single"/>
        </w:rPr>
        <w:tab/>
      </w:r>
    </w:p>
    <w:p w14:paraId="6C6122F1">
      <w:pPr>
        <w:pStyle w:val="11"/>
        <w:spacing w:line="240" w:lineRule="atLeast"/>
        <w:ind w:left="1080" w:leftChars="257" w:hanging="540"/>
        <w:rPr>
          <w:rFonts w:hint="eastAsia" w:ascii="仿宋" w:hAnsi="仿宋" w:eastAsia="仿宋" w:cs="仿宋"/>
          <w:color w:val="auto"/>
          <w:sz w:val="24"/>
          <w:highlight w:val="none"/>
        </w:rPr>
      </w:pPr>
    </w:p>
    <w:p w14:paraId="18D5708D">
      <w:pPr>
        <w:pStyle w:val="11"/>
        <w:spacing w:line="240" w:lineRule="atLeas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注:1.如果投标人认为需要，每种货物填写一份该表。</w:t>
      </w:r>
    </w:p>
    <w:p w14:paraId="6B22450C">
      <w:pPr>
        <w:pStyle w:val="11"/>
        <w:spacing w:line="240" w:lineRule="atLeast"/>
        <w:ind w:left="1079" w:leftChars="428" w:hanging="180" w:hangingChars="75"/>
        <w:outlineLvl w:val="9"/>
        <w:rPr>
          <w:rFonts w:hint="eastAsia" w:ascii="仿宋" w:hAnsi="仿宋" w:eastAsia="仿宋" w:cs="仿宋"/>
          <w:color w:val="auto"/>
          <w:sz w:val="24"/>
          <w:highlight w:val="none"/>
        </w:rPr>
      </w:pPr>
      <w:bookmarkStart w:id="624" w:name="_Toc19384"/>
      <w:r>
        <w:rPr>
          <w:rFonts w:hint="eastAsia" w:ascii="仿宋" w:hAnsi="仿宋" w:eastAsia="仿宋" w:cs="仿宋"/>
          <w:color w:val="auto"/>
          <w:sz w:val="24"/>
          <w:highlight w:val="none"/>
        </w:rPr>
        <w:t>2.如果按单价计算的结果与总价不一致,以单价为准修正总价。</w:t>
      </w:r>
      <w:bookmarkEnd w:id="624"/>
    </w:p>
    <w:p w14:paraId="491C2BA9">
      <w:pPr>
        <w:pStyle w:val="11"/>
        <w:spacing w:line="240" w:lineRule="atLeas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3.如果不提供详细分项报价将视为没有实质性响应招标文件。</w:t>
      </w:r>
    </w:p>
    <w:p w14:paraId="2FCD9D68">
      <w:pPr>
        <w:pStyle w:val="11"/>
        <w:spacing w:line="240" w:lineRule="atLeas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bookmarkStart w:id="625" w:name="_Toc13679"/>
      <w:r>
        <w:rPr>
          <w:rFonts w:hint="eastAsia" w:ascii="仿宋" w:hAnsi="仿宋" w:eastAsia="仿宋" w:cs="仿宋"/>
          <w:color w:val="auto"/>
          <w:sz w:val="24"/>
          <w:highlight w:val="none"/>
        </w:rPr>
        <w:t>4.上述各项的详细分项报价，应另页描述。</w:t>
      </w:r>
      <w:bookmarkEnd w:id="625"/>
    </w:p>
    <w:p w14:paraId="29756E0C">
      <w:pPr>
        <w:pStyle w:val="11"/>
        <w:spacing w:line="240" w:lineRule="atLeas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5.如果开标一览表（报价表）内容与投标文件中明细表内容不一致的，以开标一览表（报价表）内容为准。</w:t>
      </w:r>
    </w:p>
    <w:p w14:paraId="686E32B5">
      <w:pPr>
        <w:pStyle w:val="11"/>
        <w:spacing w:line="240" w:lineRule="atLeast"/>
        <w:rPr>
          <w:rFonts w:hint="eastAsia" w:ascii="仿宋" w:hAnsi="仿宋" w:eastAsia="仿宋" w:cs="仿宋"/>
          <w:color w:val="auto"/>
          <w:sz w:val="24"/>
          <w:highlight w:val="none"/>
        </w:rPr>
      </w:pPr>
    </w:p>
    <w:p w14:paraId="13AD2614">
      <w:pPr>
        <w:pStyle w:val="11"/>
        <w:spacing w:line="240" w:lineRule="atLeast"/>
        <w:rPr>
          <w:rFonts w:hint="eastAsia" w:ascii="仿宋" w:hAnsi="仿宋" w:eastAsia="仿宋" w:cs="仿宋"/>
          <w:color w:val="auto"/>
          <w:sz w:val="24"/>
          <w:highlight w:val="none"/>
        </w:rPr>
        <w:sectPr>
          <w:headerReference r:id="rId9" w:type="default"/>
          <w:footerReference r:id="rId11" w:type="default"/>
          <w:headerReference r:id="rId10" w:type="even"/>
          <w:footerReference r:id="rId12" w:type="even"/>
          <w:pgSz w:w="16838" w:h="11906" w:orient="landscape"/>
          <w:pgMar w:top="1417" w:right="1417" w:bottom="1417" w:left="1417" w:header="851" w:footer="992" w:gutter="0"/>
          <w:pgNumType w:fmt="decimal"/>
          <w:cols w:space="720" w:num="1"/>
          <w:docGrid w:linePitch="312" w:charSpace="0"/>
        </w:sectPr>
      </w:pPr>
    </w:p>
    <w:p w14:paraId="6E82C801">
      <w:pPr>
        <w:pStyle w:val="6"/>
        <w:spacing w:before="0" w:after="0" w:line="240" w:lineRule="atLeast"/>
        <w:jc w:val="center"/>
        <w:outlineLvl w:val="2"/>
        <w:rPr>
          <w:rFonts w:hint="eastAsia" w:ascii="仿宋" w:hAnsi="仿宋" w:eastAsia="仿宋" w:cs="仿宋"/>
          <w:color w:val="auto"/>
          <w:sz w:val="28"/>
          <w:szCs w:val="28"/>
          <w:highlight w:val="none"/>
          <w:u w:val="none"/>
        </w:rPr>
      </w:pPr>
      <w:bookmarkStart w:id="626" w:name="_Toc10840"/>
      <w:bookmarkStart w:id="627" w:name="_Toc14384"/>
      <w:bookmarkStart w:id="628" w:name="_Toc27767"/>
      <w:r>
        <w:rPr>
          <w:rFonts w:hint="eastAsia" w:ascii="仿宋" w:hAnsi="仿宋" w:eastAsia="仿宋" w:cs="仿宋"/>
          <w:color w:val="auto"/>
          <w:sz w:val="28"/>
          <w:szCs w:val="28"/>
          <w:highlight w:val="none"/>
          <w:u w:val="none"/>
          <w:lang w:val="en-US" w:eastAsia="zh-CN"/>
        </w:rPr>
        <w:t xml:space="preserve">4 </w:t>
      </w:r>
      <w:r>
        <w:rPr>
          <w:rFonts w:hint="eastAsia" w:ascii="仿宋" w:hAnsi="仿宋" w:eastAsia="仿宋" w:cs="仿宋"/>
          <w:color w:val="auto"/>
          <w:sz w:val="28"/>
          <w:szCs w:val="28"/>
          <w:highlight w:val="none"/>
          <w:u w:val="none"/>
        </w:rPr>
        <w:t>技术规格偏离表（投标文件格式八）</w:t>
      </w:r>
      <w:bookmarkEnd w:id="626"/>
      <w:bookmarkEnd w:id="627"/>
      <w:bookmarkEnd w:id="628"/>
    </w:p>
    <w:p w14:paraId="4FE3849F">
      <w:pPr>
        <w:pStyle w:val="11"/>
        <w:spacing w:line="240" w:lineRule="atLeast"/>
        <w:ind w:left="1080" w:leftChars="257" w:hanging="540"/>
        <w:rPr>
          <w:rFonts w:hint="eastAsia" w:ascii="仿宋" w:hAnsi="仿宋" w:eastAsia="仿宋" w:cs="仿宋"/>
          <w:color w:val="auto"/>
          <w:sz w:val="24"/>
          <w:highlight w:val="none"/>
        </w:rPr>
      </w:pPr>
    </w:p>
    <w:p w14:paraId="12B53175">
      <w:pPr>
        <w:pStyle w:val="11"/>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                       招标编号:                 包号:</w:t>
      </w:r>
    </w:p>
    <w:p w14:paraId="5D0114ED">
      <w:pPr>
        <w:pStyle w:val="11"/>
        <w:spacing w:line="240" w:lineRule="atLeast"/>
        <w:ind w:left="1080" w:leftChars="257" w:hanging="540"/>
        <w:rPr>
          <w:rFonts w:hint="eastAsia" w:ascii="仿宋" w:hAnsi="仿宋" w:eastAsia="仿宋" w:cs="仿宋"/>
          <w:color w:val="auto"/>
          <w:sz w:val="24"/>
          <w:highlight w:val="none"/>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2340"/>
        <w:gridCol w:w="1260"/>
        <w:gridCol w:w="1260"/>
        <w:gridCol w:w="900"/>
        <w:gridCol w:w="900"/>
      </w:tblGrid>
      <w:tr w14:paraId="1EC16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center"/>
          </w:tcPr>
          <w:p w14:paraId="3917D211">
            <w:pPr>
              <w:pStyle w:val="11"/>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序号</w:t>
            </w:r>
          </w:p>
        </w:tc>
        <w:tc>
          <w:tcPr>
            <w:tcW w:w="1260" w:type="dxa"/>
            <w:noWrap w:val="0"/>
            <w:vAlign w:val="center"/>
          </w:tcPr>
          <w:p w14:paraId="4A8D01D2">
            <w:pPr>
              <w:pStyle w:val="11"/>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货物名称</w:t>
            </w:r>
          </w:p>
        </w:tc>
        <w:tc>
          <w:tcPr>
            <w:tcW w:w="2340" w:type="dxa"/>
            <w:noWrap w:val="0"/>
            <w:vAlign w:val="center"/>
          </w:tcPr>
          <w:p w14:paraId="19929B3C">
            <w:pPr>
              <w:pStyle w:val="11"/>
              <w:keepNext w:val="0"/>
              <w:keepLines w:val="0"/>
              <w:suppressLineNumbers w:val="0"/>
              <w:spacing w:before="0" w:beforeAutospacing="0" w:after="0" w:afterAutospacing="0" w:line="240" w:lineRule="atLeast"/>
              <w:ind w:left="269" w:leftChars="128"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招标文件条款号</w:t>
            </w:r>
          </w:p>
        </w:tc>
        <w:tc>
          <w:tcPr>
            <w:tcW w:w="1260" w:type="dxa"/>
            <w:noWrap w:val="0"/>
            <w:vAlign w:val="center"/>
          </w:tcPr>
          <w:p w14:paraId="3B29D28D">
            <w:pPr>
              <w:pStyle w:val="11"/>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招标规格</w:t>
            </w:r>
          </w:p>
        </w:tc>
        <w:tc>
          <w:tcPr>
            <w:tcW w:w="1260" w:type="dxa"/>
            <w:noWrap w:val="0"/>
            <w:vAlign w:val="center"/>
          </w:tcPr>
          <w:p w14:paraId="79A511CA">
            <w:pPr>
              <w:pStyle w:val="11"/>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投标规格</w:t>
            </w:r>
          </w:p>
        </w:tc>
        <w:tc>
          <w:tcPr>
            <w:tcW w:w="900" w:type="dxa"/>
            <w:noWrap w:val="0"/>
            <w:vAlign w:val="center"/>
          </w:tcPr>
          <w:p w14:paraId="552BFF36">
            <w:pPr>
              <w:pStyle w:val="11"/>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偏离</w:t>
            </w:r>
          </w:p>
        </w:tc>
        <w:tc>
          <w:tcPr>
            <w:tcW w:w="900" w:type="dxa"/>
            <w:noWrap w:val="0"/>
            <w:vAlign w:val="center"/>
          </w:tcPr>
          <w:p w14:paraId="304FCD9A">
            <w:pPr>
              <w:pStyle w:val="11"/>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说明</w:t>
            </w:r>
          </w:p>
        </w:tc>
      </w:tr>
      <w:tr w14:paraId="1A9C4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13D7DFA2">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57868DA0">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noWrap w:val="0"/>
            <w:vAlign w:val="top"/>
          </w:tcPr>
          <w:p w14:paraId="5DC25A43">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281B5C5D">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22BE144F">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4815550E">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402CF5C1">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7F621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14C9CFC0">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5F68A583">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noWrap w:val="0"/>
            <w:vAlign w:val="top"/>
          </w:tcPr>
          <w:p w14:paraId="4F70B5AE">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46BC5BDE">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3286AD69">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5B9A3409">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2D09ED5B">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14572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60F38239">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30390730">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noWrap w:val="0"/>
            <w:vAlign w:val="top"/>
          </w:tcPr>
          <w:p w14:paraId="4BF98A49">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10E29FB8">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3EA24533">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4B7E3619">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280272D7">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34F70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0FACDD0A">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1FBE3437">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noWrap w:val="0"/>
            <w:vAlign w:val="top"/>
          </w:tcPr>
          <w:p w14:paraId="5DDDEC76">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58584A47">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28699DC4">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14031109">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68796222">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2E620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3EDC2F42">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23DE8B51">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noWrap w:val="0"/>
            <w:vAlign w:val="top"/>
          </w:tcPr>
          <w:p w14:paraId="228219F1">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6697E8AE">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2CC41BE9">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40875969">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0C78E6F2">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7AC0D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66AB2AB5">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53DA4FE9">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noWrap w:val="0"/>
            <w:vAlign w:val="top"/>
          </w:tcPr>
          <w:p w14:paraId="7A32E4C1">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57DF410F">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15E9A1AC">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2459DDDB">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589CADD5">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140D4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69790CA9">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41A47F8C">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noWrap w:val="0"/>
            <w:vAlign w:val="top"/>
          </w:tcPr>
          <w:p w14:paraId="6581FEA4">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2CFE035E">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51FE21FE">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5DA2D849">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62A3701B">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5003E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5D6D9AC1">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76A53CD2">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noWrap w:val="0"/>
            <w:vAlign w:val="top"/>
          </w:tcPr>
          <w:p w14:paraId="3F932F32">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6639EB2C">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04786555">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2ED51623">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01699ECC">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64CC3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7B0900AB">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153BA584">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noWrap w:val="0"/>
            <w:vAlign w:val="top"/>
          </w:tcPr>
          <w:p w14:paraId="7BADC95E">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7171D19B">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470D68D7">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778F22FF">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583FF659">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0618B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07ADF6CA">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1E140289">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noWrap w:val="0"/>
            <w:vAlign w:val="top"/>
          </w:tcPr>
          <w:p w14:paraId="103D4E73">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63A1F4DD">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5C2DDAED">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0F6B1BAE">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748D7D9F">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05B8C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4AD193E0">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44BAC934">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noWrap w:val="0"/>
            <w:vAlign w:val="top"/>
          </w:tcPr>
          <w:p w14:paraId="2DD06140">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6C3D92A2">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450007EB">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233E9E6B">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0442D4E3">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18371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2BFC2EBD">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4B978FD8">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noWrap w:val="0"/>
            <w:vAlign w:val="top"/>
          </w:tcPr>
          <w:p w14:paraId="40456D11">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637D596E">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551942D4">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7A46F797">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7E03E93B">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0E309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1BDFC34A">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33BDEEEA">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noWrap w:val="0"/>
            <w:vAlign w:val="top"/>
          </w:tcPr>
          <w:p w14:paraId="40CCB237">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3255FDA5">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1117B8DD">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2F3E9546">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117D346D">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74FF0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2E0CE637">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2C6B129A">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noWrap w:val="0"/>
            <w:vAlign w:val="top"/>
          </w:tcPr>
          <w:p w14:paraId="0B089A93">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75FF4338">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11C3E04B">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37F7F31F">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1240FF05">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1FAB2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53923395">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0F3EB8F9">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noWrap w:val="0"/>
            <w:vAlign w:val="top"/>
          </w:tcPr>
          <w:p w14:paraId="1611D594">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318CF54B">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0C1E8810">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741FD0E7">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668424E9">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5BDC7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199CED6C">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4122F363">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noWrap w:val="0"/>
            <w:vAlign w:val="top"/>
          </w:tcPr>
          <w:p w14:paraId="3757A8D1">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5BB81B5C">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7A4A6784">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4767AABA">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3CC07F23">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71E6E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0C7AA33E">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424861C7">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noWrap w:val="0"/>
            <w:vAlign w:val="top"/>
          </w:tcPr>
          <w:p w14:paraId="68C64093">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5692AFE0">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124E3840">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5652DE4F">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36C094B9">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bl>
    <w:p w14:paraId="5D123298">
      <w:pPr>
        <w:pStyle w:val="11"/>
        <w:spacing w:line="240" w:lineRule="atLeast"/>
        <w:ind w:left="1080" w:leftChars="257" w:hanging="540"/>
        <w:rPr>
          <w:rFonts w:hint="eastAsia" w:ascii="仿宋" w:hAnsi="仿宋" w:eastAsia="仿宋" w:cs="仿宋"/>
          <w:color w:val="auto"/>
          <w:sz w:val="24"/>
          <w:highlight w:val="none"/>
        </w:rPr>
      </w:pPr>
    </w:p>
    <w:p w14:paraId="476C2575">
      <w:pPr>
        <w:pStyle w:val="11"/>
        <w:spacing w:line="240" w:lineRule="atLeast"/>
        <w:ind w:left="1080" w:leftChars="257" w:hanging="540"/>
        <w:rPr>
          <w:rFonts w:hint="eastAsia" w:ascii="仿宋" w:hAnsi="仿宋" w:eastAsia="仿宋" w:cs="仿宋"/>
          <w:color w:val="auto"/>
          <w:sz w:val="24"/>
          <w:highlight w:val="none"/>
        </w:rPr>
      </w:pPr>
    </w:p>
    <w:p w14:paraId="57CFFBDD">
      <w:pPr>
        <w:pStyle w:val="11"/>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法定代表人或其委托代理人签字: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p>
    <w:p w14:paraId="47128BB6">
      <w:pPr>
        <w:pStyle w:val="11"/>
        <w:tabs>
          <w:tab w:val="left" w:pos="5370"/>
        </w:tabs>
        <w:spacing w:line="240" w:lineRule="atLeast"/>
        <w:ind w:left="1080" w:leftChars="257" w:hanging="54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投标人(盖单位章):</w:t>
      </w:r>
      <w:r>
        <w:rPr>
          <w:rFonts w:hint="eastAsia" w:ascii="仿宋" w:hAnsi="仿宋" w:eastAsia="仿宋" w:cs="仿宋"/>
          <w:color w:val="auto"/>
          <w:sz w:val="24"/>
          <w:highlight w:val="none"/>
          <w:u w:val="single"/>
        </w:rPr>
        <w:tab/>
      </w:r>
    </w:p>
    <w:p w14:paraId="7AA1DEB2">
      <w:pPr>
        <w:pStyle w:val="11"/>
        <w:spacing w:line="240" w:lineRule="atLeast"/>
        <w:ind w:left="1080" w:leftChars="257" w:hanging="540"/>
        <w:rPr>
          <w:rFonts w:hint="eastAsia" w:ascii="仿宋" w:hAnsi="仿宋" w:eastAsia="仿宋" w:cs="仿宋"/>
          <w:color w:val="auto"/>
          <w:sz w:val="24"/>
          <w:highlight w:val="none"/>
        </w:rPr>
      </w:pPr>
    </w:p>
    <w:p w14:paraId="4B82DC5A">
      <w:pPr>
        <w:pStyle w:val="11"/>
        <w:spacing w:line="240" w:lineRule="atLeast"/>
        <w:ind w:left="1080" w:leftChars="257" w:hanging="540"/>
        <w:rPr>
          <w:rFonts w:hint="eastAsia" w:ascii="仿宋" w:hAnsi="仿宋" w:eastAsia="仿宋" w:cs="仿宋"/>
          <w:color w:val="auto"/>
          <w:sz w:val="24"/>
          <w:highlight w:val="none"/>
        </w:rPr>
      </w:pPr>
    </w:p>
    <w:p w14:paraId="05691609">
      <w:pPr>
        <w:pStyle w:val="11"/>
        <w:spacing w:line="240" w:lineRule="atLeast"/>
        <w:ind w:left="1080" w:leftChars="257" w:hanging="540"/>
        <w:rPr>
          <w:rFonts w:hint="eastAsia" w:ascii="仿宋" w:hAnsi="仿宋" w:eastAsia="仿宋" w:cs="仿宋"/>
          <w:color w:val="auto"/>
          <w:sz w:val="24"/>
          <w:highlight w:val="none"/>
        </w:rPr>
      </w:pPr>
    </w:p>
    <w:p w14:paraId="7E5B11B4">
      <w:pPr>
        <w:pStyle w:val="11"/>
        <w:spacing w:line="240" w:lineRule="atLeast"/>
        <w:ind w:left="1080" w:leftChars="257" w:hanging="540"/>
        <w:rPr>
          <w:rFonts w:hint="eastAsia" w:ascii="仿宋" w:hAnsi="仿宋" w:eastAsia="仿宋" w:cs="仿宋"/>
          <w:color w:val="auto"/>
          <w:sz w:val="24"/>
          <w:highlight w:val="none"/>
        </w:rPr>
      </w:pPr>
    </w:p>
    <w:p w14:paraId="581B0DEA">
      <w:pPr>
        <w:pStyle w:val="11"/>
        <w:spacing w:line="240" w:lineRule="atLeast"/>
        <w:ind w:left="1080" w:leftChars="257" w:hanging="540"/>
        <w:rPr>
          <w:rFonts w:hint="eastAsia" w:ascii="仿宋" w:hAnsi="仿宋" w:eastAsia="仿宋" w:cs="仿宋"/>
          <w:color w:val="auto"/>
          <w:sz w:val="24"/>
          <w:highlight w:val="none"/>
        </w:rPr>
      </w:pPr>
    </w:p>
    <w:p w14:paraId="2B692025">
      <w:pPr>
        <w:pStyle w:val="6"/>
        <w:spacing w:before="0" w:after="0" w:line="240" w:lineRule="atLeast"/>
        <w:jc w:val="center"/>
        <w:outlineLvl w:val="2"/>
        <w:rPr>
          <w:rFonts w:hint="eastAsia" w:ascii="仿宋" w:hAnsi="仿宋" w:eastAsia="仿宋" w:cs="仿宋"/>
          <w:color w:val="auto"/>
          <w:sz w:val="28"/>
          <w:szCs w:val="28"/>
          <w:highlight w:val="none"/>
          <w:u w:val="none"/>
        </w:rPr>
      </w:pPr>
      <w:bookmarkStart w:id="629" w:name="_Toc216582818"/>
      <w:bookmarkStart w:id="630" w:name="_Toc27904"/>
      <w:bookmarkStart w:id="631" w:name="_Toc518923119"/>
      <w:bookmarkStart w:id="632" w:name="_Toc14704"/>
      <w:bookmarkStart w:id="633" w:name="_Toc9031"/>
      <w:bookmarkStart w:id="634" w:name="_Toc12649"/>
      <w:bookmarkStart w:id="635" w:name="_Toc8079"/>
      <w:bookmarkStart w:id="636" w:name="_Toc26608"/>
      <w:r>
        <w:rPr>
          <w:rFonts w:hint="eastAsia" w:ascii="仿宋" w:hAnsi="仿宋" w:eastAsia="仿宋" w:cs="仿宋"/>
          <w:color w:val="auto"/>
          <w:sz w:val="28"/>
          <w:szCs w:val="28"/>
          <w:highlight w:val="none"/>
          <w:u w:val="none"/>
          <w:lang w:val="en-US" w:eastAsia="zh-CN"/>
        </w:rPr>
        <w:t xml:space="preserve">5  </w:t>
      </w:r>
      <w:r>
        <w:rPr>
          <w:rFonts w:hint="eastAsia" w:ascii="仿宋" w:hAnsi="仿宋" w:eastAsia="仿宋" w:cs="仿宋"/>
          <w:color w:val="auto"/>
          <w:sz w:val="28"/>
          <w:szCs w:val="28"/>
          <w:highlight w:val="none"/>
          <w:u w:val="none"/>
        </w:rPr>
        <w:t>商务条款偏离表</w:t>
      </w:r>
      <w:bookmarkEnd w:id="629"/>
      <w:r>
        <w:rPr>
          <w:rFonts w:hint="eastAsia" w:ascii="仿宋" w:hAnsi="仿宋" w:eastAsia="仿宋" w:cs="仿宋"/>
          <w:color w:val="auto"/>
          <w:sz w:val="28"/>
          <w:szCs w:val="28"/>
          <w:highlight w:val="none"/>
          <w:u w:val="none"/>
        </w:rPr>
        <w:t>（投标文件格式九）</w:t>
      </w:r>
      <w:bookmarkEnd w:id="630"/>
      <w:bookmarkEnd w:id="631"/>
      <w:bookmarkEnd w:id="632"/>
      <w:bookmarkEnd w:id="633"/>
      <w:bookmarkEnd w:id="634"/>
      <w:bookmarkEnd w:id="635"/>
      <w:bookmarkEnd w:id="636"/>
    </w:p>
    <w:p w14:paraId="38E05116">
      <w:pPr>
        <w:pStyle w:val="11"/>
        <w:spacing w:line="240" w:lineRule="atLeast"/>
        <w:ind w:left="1080" w:leftChars="257" w:hanging="540"/>
        <w:rPr>
          <w:rFonts w:hint="eastAsia" w:ascii="仿宋" w:hAnsi="仿宋" w:eastAsia="仿宋" w:cs="仿宋"/>
          <w:color w:val="auto"/>
          <w:sz w:val="28"/>
          <w:szCs w:val="28"/>
          <w:highlight w:val="none"/>
        </w:rPr>
      </w:pPr>
    </w:p>
    <w:p w14:paraId="5768011F">
      <w:pPr>
        <w:pStyle w:val="11"/>
        <w:spacing w:line="240" w:lineRule="atLeast"/>
        <w:ind w:left="1080" w:leftChars="257" w:hanging="540"/>
        <w:rPr>
          <w:rFonts w:hint="eastAsia" w:ascii="仿宋" w:hAnsi="仿宋" w:eastAsia="仿宋" w:cs="仿宋"/>
          <w:color w:val="auto"/>
          <w:sz w:val="24"/>
          <w:highlight w:val="none"/>
        </w:rPr>
      </w:pPr>
    </w:p>
    <w:p w14:paraId="2831E343">
      <w:pPr>
        <w:pStyle w:val="11"/>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                      招标编号:             包号:</w:t>
      </w:r>
    </w:p>
    <w:p w14:paraId="7FFD251D">
      <w:pPr>
        <w:pStyle w:val="11"/>
        <w:spacing w:line="240" w:lineRule="atLeast"/>
        <w:ind w:left="1080" w:leftChars="257" w:hanging="540"/>
        <w:rPr>
          <w:rFonts w:hint="eastAsia" w:ascii="仿宋" w:hAnsi="仿宋" w:eastAsia="仿宋" w:cs="仿宋"/>
          <w:color w:val="auto"/>
          <w:sz w:val="24"/>
          <w:highlight w:val="none"/>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14:paraId="428D8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0F7D84C2">
            <w:pPr>
              <w:pStyle w:val="11"/>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序号</w:t>
            </w:r>
          </w:p>
        </w:tc>
        <w:tc>
          <w:tcPr>
            <w:tcW w:w="2040" w:type="dxa"/>
            <w:noWrap w:val="0"/>
            <w:vAlign w:val="top"/>
          </w:tcPr>
          <w:p w14:paraId="47239630">
            <w:pPr>
              <w:pStyle w:val="11"/>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招标文件条款号</w:t>
            </w:r>
          </w:p>
        </w:tc>
        <w:tc>
          <w:tcPr>
            <w:tcW w:w="2520" w:type="dxa"/>
            <w:noWrap w:val="0"/>
            <w:vAlign w:val="top"/>
          </w:tcPr>
          <w:p w14:paraId="18EE8EE8">
            <w:pPr>
              <w:pStyle w:val="11"/>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招标文件的商务条款</w:t>
            </w:r>
          </w:p>
        </w:tc>
        <w:tc>
          <w:tcPr>
            <w:tcW w:w="2520" w:type="dxa"/>
            <w:noWrap w:val="0"/>
            <w:vAlign w:val="top"/>
          </w:tcPr>
          <w:p w14:paraId="404B8E1C">
            <w:pPr>
              <w:pStyle w:val="11"/>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投标文件的商务条款</w:t>
            </w:r>
          </w:p>
        </w:tc>
        <w:tc>
          <w:tcPr>
            <w:tcW w:w="900" w:type="dxa"/>
            <w:noWrap w:val="0"/>
            <w:vAlign w:val="top"/>
          </w:tcPr>
          <w:p w14:paraId="401C0DD4">
            <w:pPr>
              <w:pStyle w:val="11"/>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说明</w:t>
            </w:r>
          </w:p>
        </w:tc>
      </w:tr>
      <w:tr w14:paraId="3653E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0CCA1404">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noWrap w:val="0"/>
            <w:vAlign w:val="top"/>
          </w:tcPr>
          <w:p w14:paraId="078C7CDE">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24FF270E">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2520" w:type="dxa"/>
            <w:noWrap w:val="0"/>
            <w:vAlign w:val="top"/>
          </w:tcPr>
          <w:p w14:paraId="124DF891">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900" w:type="dxa"/>
            <w:noWrap w:val="0"/>
            <w:vAlign w:val="top"/>
          </w:tcPr>
          <w:p w14:paraId="3E516EF8">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5AD76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0D5C7CE">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noWrap w:val="0"/>
            <w:vAlign w:val="top"/>
          </w:tcPr>
          <w:p w14:paraId="1DE86379">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7DFF293A">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4C249B5A">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721C01ED">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30705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25566900">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noWrap w:val="0"/>
            <w:vAlign w:val="top"/>
          </w:tcPr>
          <w:p w14:paraId="6CEF7887">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344A978D">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6C862B0E">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37DF9BCA">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0F379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2931848">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noWrap w:val="0"/>
            <w:vAlign w:val="top"/>
          </w:tcPr>
          <w:p w14:paraId="04E5C6CC">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2337829E">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59B7014B">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581E2F48">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43EF0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1295845">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noWrap w:val="0"/>
            <w:vAlign w:val="top"/>
          </w:tcPr>
          <w:p w14:paraId="5D68DDEA">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67164246">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18D5EB53">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3D0C2C9C">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2105F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899E2CA">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noWrap w:val="0"/>
            <w:vAlign w:val="top"/>
          </w:tcPr>
          <w:p w14:paraId="7AC6C836">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1BA31217">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43A17C1D">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463793D5">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378F7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51D39EA">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noWrap w:val="0"/>
            <w:vAlign w:val="top"/>
          </w:tcPr>
          <w:p w14:paraId="2D6155B6">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43763D43">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5C529661">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215612CC">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7B072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0E2AB295">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noWrap w:val="0"/>
            <w:vAlign w:val="top"/>
          </w:tcPr>
          <w:p w14:paraId="0A33F0C8">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4E29AAEE">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54B21926">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2003F581">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55462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80165A0">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noWrap w:val="0"/>
            <w:vAlign w:val="top"/>
          </w:tcPr>
          <w:p w14:paraId="49BC3CEE">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407ED83E">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382CCA0A">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094FE201">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3B85A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37B42A6">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noWrap w:val="0"/>
            <w:vAlign w:val="top"/>
          </w:tcPr>
          <w:p w14:paraId="524649BE">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5E41DC06">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2E1C5D14">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065B67F4">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79211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9ED5578">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noWrap w:val="0"/>
            <w:vAlign w:val="top"/>
          </w:tcPr>
          <w:p w14:paraId="3FDDD961">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3CD85220">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7AC3C3A0">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60AB9812">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63D9E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08459124">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noWrap w:val="0"/>
            <w:vAlign w:val="top"/>
          </w:tcPr>
          <w:p w14:paraId="537E1460">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043C4E32">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4855F229">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51469054">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5E210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8847423">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noWrap w:val="0"/>
            <w:vAlign w:val="top"/>
          </w:tcPr>
          <w:p w14:paraId="1FBE16E3">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6CE0055D">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11E55203">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1D119844">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0E724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3AE30801">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noWrap w:val="0"/>
            <w:vAlign w:val="top"/>
          </w:tcPr>
          <w:p w14:paraId="03F8CED2">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2BEF797F">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169D2223">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79EF7054">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27CEA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DD1A710">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noWrap w:val="0"/>
            <w:vAlign w:val="top"/>
          </w:tcPr>
          <w:p w14:paraId="0FB09183">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5F5861DB">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013E864A">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7040AAAB">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195E0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59B166C">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noWrap w:val="0"/>
            <w:vAlign w:val="top"/>
          </w:tcPr>
          <w:p w14:paraId="3A93B4EB">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42276985">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7E3C4B14">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75328929">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33721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21FF65E3">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noWrap w:val="0"/>
            <w:vAlign w:val="top"/>
          </w:tcPr>
          <w:p w14:paraId="155B9876">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64A16E68">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7D6AA00D">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5ECC911E">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bl>
    <w:p w14:paraId="4ED6900E">
      <w:pPr>
        <w:pStyle w:val="11"/>
        <w:spacing w:line="240" w:lineRule="atLeast"/>
        <w:ind w:left="1080" w:leftChars="257" w:hanging="540"/>
        <w:rPr>
          <w:rFonts w:hint="eastAsia" w:ascii="仿宋" w:hAnsi="仿宋" w:eastAsia="仿宋" w:cs="仿宋"/>
          <w:color w:val="auto"/>
          <w:sz w:val="24"/>
          <w:highlight w:val="none"/>
        </w:rPr>
      </w:pPr>
    </w:p>
    <w:p w14:paraId="46FBC1E7">
      <w:pPr>
        <w:pStyle w:val="11"/>
        <w:spacing w:line="240" w:lineRule="atLeast"/>
        <w:ind w:left="1080" w:leftChars="257" w:hanging="540"/>
        <w:rPr>
          <w:rFonts w:hint="eastAsia" w:ascii="仿宋" w:hAnsi="仿宋" w:eastAsia="仿宋" w:cs="仿宋"/>
          <w:color w:val="auto"/>
          <w:sz w:val="24"/>
          <w:highlight w:val="none"/>
        </w:rPr>
      </w:pPr>
    </w:p>
    <w:p w14:paraId="4992674F">
      <w:pPr>
        <w:pStyle w:val="11"/>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法定代表人或其委托代理人签字: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p>
    <w:p w14:paraId="66E28315">
      <w:pPr>
        <w:pStyle w:val="11"/>
        <w:spacing w:line="240" w:lineRule="atLeast"/>
        <w:ind w:left="1080" w:leftChars="257" w:hanging="54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投标人(盖单位章):</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p>
    <w:p w14:paraId="5B2110E7">
      <w:pPr>
        <w:pStyle w:val="11"/>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br w:type="page"/>
      </w:r>
      <w:bookmarkStart w:id="637" w:name="_Hlt520343392"/>
      <w:bookmarkEnd w:id="637"/>
      <w:bookmarkStart w:id="638" w:name="_Hlt520350918"/>
      <w:bookmarkEnd w:id="638"/>
      <w:bookmarkStart w:id="639" w:name="_Hlt520274065"/>
      <w:bookmarkEnd w:id="639"/>
      <w:bookmarkStart w:id="640" w:name="_Hlt520271212"/>
      <w:bookmarkEnd w:id="640"/>
      <w:bookmarkStart w:id="641" w:name="_Hlt520274393"/>
      <w:bookmarkEnd w:id="641"/>
      <w:bookmarkStart w:id="642" w:name="_Hlt520273711"/>
      <w:bookmarkEnd w:id="642"/>
      <w:bookmarkStart w:id="643" w:name="_Hlt520343000"/>
      <w:bookmarkEnd w:id="643"/>
      <w:bookmarkStart w:id="644" w:name="_Hlt520273973"/>
      <w:bookmarkEnd w:id="644"/>
      <w:bookmarkStart w:id="645" w:name="_Hlt520274911"/>
      <w:bookmarkEnd w:id="645"/>
      <w:bookmarkStart w:id="646" w:name="_Hlt520274407"/>
      <w:bookmarkEnd w:id="646"/>
      <w:bookmarkStart w:id="647" w:name="_Hlt520350957"/>
      <w:bookmarkEnd w:id="647"/>
    </w:p>
    <w:p w14:paraId="009AA21D">
      <w:pPr>
        <w:pStyle w:val="6"/>
        <w:spacing w:before="0" w:after="0" w:line="240" w:lineRule="atLeast"/>
        <w:jc w:val="center"/>
        <w:outlineLvl w:val="2"/>
        <w:rPr>
          <w:rFonts w:hint="eastAsia" w:ascii="仿宋" w:hAnsi="仿宋" w:eastAsia="仿宋" w:cs="仿宋"/>
          <w:color w:val="auto"/>
          <w:sz w:val="28"/>
          <w:szCs w:val="28"/>
          <w:highlight w:val="none"/>
          <w:u w:val="none"/>
        </w:rPr>
      </w:pPr>
      <w:bookmarkStart w:id="648" w:name="_Toc26950"/>
      <w:bookmarkStart w:id="649" w:name="_Toc24656"/>
      <w:bookmarkStart w:id="650" w:name="_Toc4848"/>
      <w:bookmarkStart w:id="651" w:name="_Toc480"/>
      <w:bookmarkStart w:id="652" w:name="_Toc31214"/>
      <w:bookmarkStart w:id="653" w:name="_Toc518923120"/>
      <w:bookmarkStart w:id="654" w:name="_Toc10272"/>
      <w:r>
        <w:rPr>
          <w:rFonts w:hint="eastAsia" w:ascii="仿宋" w:hAnsi="仿宋" w:eastAsia="仿宋" w:cs="仿宋"/>
          <w:color w:val="auto"/>
          <w:sz w:val="28"/>
          <w:szCs w:val="28"/>
          <w:highlight w:val="none"/>
          <w:u w:val="none"/>
          <w:lang w:val="en-US" w:eastAsia="zh-CN"/>
        </w:rPr>
        <w:t>6</w:t>
      </w:r>
      <w:r>
        <w:rPr>
          <w:rFonts w:hint="eastAsia" w:ascii="仿宋" w:hAnsi="仿宋" w:eastAsia="仿宋" w:cs="仿宋"/>
          <w:color w:val="auto"/>
          <w:sz w:val="28"/>
          <w:szCs w:val="28"/>
          <w:highlight w:val="none"/>
          <w:u w:val="none"/>
        </w:rPr>
        <w:t>-1</w:t>
      </w:r>
      <w:r>
        <w:rPr>
          <w:rFonts w:hint="eastAsia" w:ascii="仿宋" w:hAnsi="仿宋" w:eastAsia="仿宋" w:cs="仿宋"/>
          <w:color w:val="auto"/>
          <w:sz w:val="28"/>
          <w:szCs w:val="28"/>
          <w:highlight w:val="none"/>
          <w:u w:val="none"/>
          <w:lang w:val="en-US" w:eastAsia="zh-CN"/>
        </w:rPr>
        <w:t xml:space="preserve">  </w:t>
      </w:r>
      <w:r>
        <w:rPr>
          <w:rFonts w:hint="eastAsia" w:ascii="仿宋" w:hAnsi="仿宋" w:eastAsia="仿宋" w:cs="仿宋"/>
          <w:color w:val="auto"/>
          <w:sz w:val="28"/>
          <w:szCs w:val="28"/>
          <w:highlight w:val="none"/>
          <w:u w:val="none"/>
        </w:rPr>
        <w:t>中小企业声明函（投标文件格式十）</w:t>
      </w:r>
      <w:bookmarkEnd w:id="648"/>
      <w:bookmarkEnd w:id="649"/>
      <w:bookmarkEnd w:id="650"/>
      <w:bookmarkEnd w:id="651"/>
      <w:bookmarkEnd w:id="652"/>
      <w:bookmarkEnd w:id="653"/>
      <w:bookmarkEnd w:id="654"/>
    </w:p>
    <w:p w14:paraId="6B5A50EA">
      <w:pPr>
        <w:spacing w:line="240" w:lineRule="atLeast"/>
        <w:ind w:left="1080" w:leftChars="257" w:hanging="540"/>
        <w:jc w:val="center"/>
        <w:rPr>
          <w:rFonts w:hint="eastAsia" w:ascii="仿宋" w:hAnsi="仿宋" w:eastAsia="仿宋" w:cs="仿宋"/>
          <w:b/>
          <w:color w:val="auto"/>
          <w:kern w:val="0"/>
          <w:sz w:val="28"/>
          <w:szCs w:val="28"/>
          <w:highlight w:val="none"/>
        </w:rPr>
      </w:pPr>
    </w:p>
    <w:p w14:paraId="55AD5A0D">
      <w:pPr>
        <w:pStyle w:val="19"/>
        <w:widowControl/>
        <w:spacing w:before="0" w:beforeAutospacing="0" w:after="0" w:afterAutospacing="0"/>
        <w:ind w:firstLine="420" w:firstLineChars="175"/>
        <w:rPr>
          <w:rFonts w:hint="eastAsia" w:ascii="仿宋" w:hAnsi="仿宋" w:eastAsia="仿宋" w:cs="仿宋"/>
          <w:color w:val="auto"/>
          <w:highlight w:val="none"/>
        </w:rPr>
      </w:pPr>
    </w:p>
    <w:p w14:paraId="33C8555A">
      <w:pPr>
        <w:tabs>
          <w:tab w:val="left" w:pos="940"/>
        </w:tabs>
        <w:bidi w:val="0"/>
        <w:jc w:val="center"/>
        <w:rPr>
          <w:rFonts w:hint="eastAsia" w:ascii="仿宋" w:hAnsi="仿宋" w:eastAsia="仿宋" w:cs="仿宋"/>
          <w:color w:val="auto"/>
          <w:sz w:val="24"/>
          <w:szCs w:val="32"/>
          <w:highlight w:val="none"/>
          <w:lang w:eastAsia="zh-CN"/>
        </w:rPr>
      </w:pPr>
      <w:r>
        <w:rPr>
          <w:rFonts w:hint="eastAsia" w:ascii="仿宋" w:hAnsi="仿宋" w:eastAsia="仿宋" w:cs="仿宋"/>
          <w:b/>
          <w:bCs/>
          <w:color w:val="auto"/>
          <w:sz w:val="24"/>
          <w:szCs w:val="32"/>
          <w:highlight w:val="none"/>
          <w:lang w:eastAsia="zh-CN"/>
        </w:rPr>
        <w:t>中小企业声明函（货物）</w:t>
      </w:r>
    </w:p>
    <w:p w14:paraId="1BE914DE">
      <w:pPr>
        <w:tabs>
          <w:tab w:val="left" w:pos="940"/>
        </w:tabs>
        <w:bidi w:val="0"/>
        <w:jc w:val="lef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w:t>
      </w:r>
    </w:p>
    <w:p w14:paraId="0917A8C0">
      <w:pPr>
        <w:keepNext w:val="0"/>
        <w:keepLines w:val="0"/>
        <w:pageBreakBefore w:val="0"/>
        <w:widowControl w:val="0"/>
        <w:tabs>
          <w:tab w:val="left" w:pos="940"/>
        </w:tabs>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本公司（联合体）郑重声明，根据《政府采购促进中小企业发展管理办法》（财库〔2020〕[2020]46号）的规定，本公司（联合体）参加（单位名称）的（项目名称）采购活动，提供的货物全部由符合政策要求的中小企业制造。相关企业（含联合体中的中小企业、签订分包意向协议的中小企业）的具体情况如下：</w:t>
      </w:r>
    </w:p>
    <w:p w14:paraId="374CEEEC">
      <w:pPr>
        <w:keepNext w:val="0"/>
        <w:keepLines w:val="0"/>
        <w:pageBreakBefore w:val="0"/>
        <w:widowControl w:val="0"/>
        <w:tabs>
          <w:tab w:val="left" w:pos="940"/>
        </w:tabs>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1.（标的名称），属于（采购文件中明确的所属行业：</w:t>
      </w:r>
      <w:r>
        <w:rPr>
          <w:rFonts w:hint="eastAsia" w:ascii="仿宋" w:hAnsi="仿宋" w:eastAsia="仿宋" w:cs="仿宋"/>
          <w:color w:val="auto"/>
          <w:sz w:val="24"/>
          <w:szCs w:val="32"/>
          <w:highlight w:val="none"/>
          <w:u w:val="single"/>
          <w:lang w:val="en-US" w:eastAsia="zh-CN"/>
        </w:rPr>
        <w:t xml:space="preserve">   </w:t>
      </w:r>
      <w:r>
        <w:rPr>
          <w:rFonts w:hint="eastAsia" w:ascii="仿宋" w:hAnsi="仿宋" w:eastAsia="仿宋" w:cs="仿宋"/>
          <w:color w:val="auto"/>
          <w:sz w:val="24"/>
          <w:szCs w:val="32"/>
          <w:highlight w:val="none"/>
          <w:lang w:val="en-US" w:eastAsia="zh-CN"/>
        </w:rPr>
        <w:t>业</w:t>
      </w:r>
      <w:r>
        <w:rPr>
          <w:rFonts w:hint="eastAsia" w:ascii="仿宋" w:hAnsi="仿宋" w:eastAsia="仿宋" w:cs="仿宋"/>
          <w:color w:val="auto"/>
          <w:sz w:val="24"/>
          <w:szCs w:val="32"/>
          <w:highlight w:val="none"/>
          <w:lang w:eastAsia="zh-CN"/>
        </w:rPr>
        <w:t>）；制造商为（企业名称），从业人员</w:t>
      </w:r>
      <w:r>
        <w:rPr>
          <w:rFonts w:hint="eastAsia" w:ascii="仿宋" w:hAnsi="仿宋" w:eastAsia="仿宋" w:cs="仿宋"/>
          <w:color w:val="auto"/>
          <w:sz w:val="24"/>
          <w:szCs w:val="32"/>
          <w:highlight w:val="none"/>
          <w:u w:val="single"/>
          <w:lang w:val="en-US" w:eastAsia="zh-CN"/>
        </w:rPr>
        <w:t xml:space="preserve">  </w:t>
      </w:r>
      <w:r>
        <w:rPr>
          <w:rFonts w:hint="eastAsia" w:ascii="仿宋" w:hAnsi="仿宋" w:eastAsia="仿宋" w:cs="仿宋"/>
          <w:color w:val="auto"/>
          <w:sz w:val="24"/>
          <w:szCs w:val="32"/>
          <w:highlight w:val="none"/>
          <w:lang w:eastAsia="zh-CN"/>
        </w:rPr>
        <w:t>人，营业收入为</w:t>
      </w:r>
      <w:r>
        <w:rPr>
          <w:rFonts w:hint="eastAsia" w:ascii="仿宋" w:hAnsi="仿宋" w:eastAsia="仿宋" w:cs="仿宋"/>
          <w:color w:val="auto"/>
          <w:sz w:val="24"/>
          <w:szCs w:val="32"/>
          <w:highlight w:val="none"/>
          <w:u w:val="single"/>
          <w:lang w:val="en-US" w:eastAsia="zh-CN"/>
        </w:rPr>
        <w:t xml:space="preserve">   </w:t>
      </w:r>
      <w:r>
        <w:rPr>
          <w:rFonts w:hint="eastAsia" w:ascii="仿宋" w:hAnsi="仿宋" w:eastAsia="仿宋" w:cs="仿宋"/>
          <w:color w:val="auto"/>
          <w:sz w:val="24"/>
          <w:szCs w:val="32"/>
          <w:highlight w:val="none"/>
          <w:lang w:eastAsia="zh-CN"/>
        </w:rPr>
        <w:t>万元，资产总额为</w:t>
      </w:r>
      <w:r>
        <w:rPr>
          <w:rFonts w:hint="eastAsia" w:ascii="仿宋" w:hAnsi="仿宋" w:eastAsia="仿宋" w:cs="仿宋"/>
          <w:color w:val="auto"/>
          <w:sz w:val="24"/>
          <w:szCs w:val="32"/>
          <w:highlight w:val="none"/>
          <w:u w:val="single"/>
          <w:lang w:val="en-US" w:eastAsia="zh-CN"/>
        </w:rPr>
        <w:t xml:space="preserve">   </w:t>
      </w:r>
      <w:r>
        <w:rPr>
          <w:rFonts w:hint="eastAsia" w:ascii="仿宋" w:hAnsi="仿宋" w:eastAsia="仿宋" w:cs="仿宋"/>
          <w:color w:val="auto"/>
          <w:sz w:val="24"/>
          <w:szCs w:val="32"/>
          <w:highlight w:val="none"/>
          <w:lang w:eastAsia="zh-CN"/>
        </w:rPr>
        <w:t>万元，属于（中型企业</w:t>
      </w:r>
      <w:r>
        <w:rPr>
          <w:rFonts w:hint="eastAsia" w:ascii="仿宋" w:hAnsi="仿宋" w:eastAsia="仿宋" w:cs="仿宋"/>
          <w:color w:val="auto"/>
          <w:sz w:val="24"/>
          <w:szCs w:val="32"/>
          <w:highlight w:val="none"/>
          <w:lang w:val="en-US" w:eastAsia="zh-CN"/>
        </w:rPr>
        <w:t>/</w:t>
      </w:r>
      <w:r>
        <w:rPr>
          <w:rFonts w:hint="eastAsia" w:ascii="仿宋" w:hAnsi="仿宋" w:eastAsia="仿宋" w:cs="仿宋"/>
          <w:color w:val="auto"/>
          <w:sz w:val="24"/>
          <w:szCs w:val="32"/>
          <w:highlight w:val="none"/>
          <w:lang w:eastAsia="zh-CN"/>
        </w:rPr>
        <w:t>小型企业</w:t>
      </w:r>
      <w:r>
        <w:rPr>
          <w:rFonts w:hint="eastAsia" w:ascii="仿宋" w:hAnsi="仿宋" w:eastAsia="仿宋" w:cs="仿宋"/>
          <w:color w:val="auto"/>
          <w:sz w:val="24"/>
          <w:szCs w:val="32"/>
          <w:highlight w:val="none"/>
          <w:lang w:val="en-US" w:eastAsia="zh-CN"/>
        </w:rPr>
        <w:t>/</w:t>
      </w:r>
      <w:r>
        <w:rPr>
          <w:rFonts w:hint="eastAsia" w:ascii="仿宋" w:hAnsi="仿宋" w:eastAsia="仿宋" w:cs="仿宋"/>
          <w:color w:val="auto"/>
          <w:sz w:val="24"/>
          <w:szCs w:val="32"/>
          <w:highlight w:val="none"/>
          <w:lang w:eastAsia="zh-CN"/>
        </w:rPr>
        <w:t>微型企业）；</w:t>
      </w:r>
    </w:p>
    <w:p w14:paraId="0F36D0D2">
      <w:pPr>
        <w:keepNext w:val="0"/>
        <w:keepLines w:val="0"/>
        <w:pageBreakBefore w:val="0"/>
        <w:widowControl w:val="0"/>
        <w:tabs>
          <w:tab w:val="left" w:pos="940"/>
        </w:tabs>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2. （标的名称），属于（采购文件中明确的所属行业：</w:t>
      </w:r>
      <w:r>
        <w:rPr>
          <w:rFonts w:hint="eastAsia" w:ascii="仿宋" w:hAnsi="仿宋" w:eastAsia="仿宋" w:cs="仿宋"/>
          <w:color w:val="auto"/>
          <w:sz w:val="24"/>
          <w:szCs w:val="32"/>
          <w:highlight w:val="none"/>
          <w:u w:val="single"/>
          <w:lang w:val="en-US" w:eastAsia="zh-CN"/>
        </w:rPr>
        <w:t xml:space="preserve">   </w:t>
      </w:r>
      <w:r>
        <w:rPr>
          <w:rFonts w:hint="eastAsia" w:ascii="仿宋" w:hAnsi="仿宋" w:eastAsia="仿宋" w:cs="仿宋"/>
          <w:color w:val="auto"/>
          <w:sz w:val="24"/>
          <w:szCs w:val="32"/>
          <w:highlight w:val="none"/>
          <w:lang w:val="en-US" w:eastAsia="zh-CN"/>
        </w:rPr>
        <w:t>业</w:t>
      </w:r>
      <w:r>
        <w:rPr>
          <w:rFonts w:hint="eastAsia" w:ascii="仿宋" w:hAnsi="仿宋" w:eastAsia="仿宋" w:cs="仿宋"/>
          <w:color w:val="auto"/>
          <w:sz w:val="24"/>
          <w:szCs w:val="32"/>
          <w:highlight w:val="none"/>
          <w:lang w:eastAsia="zh-CN"/>
        </w:rPr>
        <w:t>）；制造商为（企业名称），从业人员</w:t>
      </w:r>
      <w:r>
        <w:rPr>
          <w:rFonts w:hint="eastAsia" w:ascii="仿宋" w:hAnsi="仿宋" w:eastAsia="仿宋" w:cs="仿宋"/>
          <w:color w:val="auto"/>
          <w:sz w:val="24"/>
          <w:szCs w:val="32"/>
          <w:highlight w:val="none"/>
          <w:u w:val="single"/>
          <w:lang w:val="en-US" w:eastAsia="zh-CN"/>
        </w:rPr>
        <w:t xml:space="preserve">   </w:t>
      </w:r>
      <w:r>
        <w:rPr>
          <w:rFonts w:hint="eastAsia" w:ascii="仿宋" w:hAnsi="仿宋" w:eastAsia="仿宋" w:cs="仿宋"/>
          <w:color w:val="auto"/>
          <w:sz w:val="24"/>
          <w:szCs w:val="32"/>
          <w:highlight w:val="none"/>
          <w:lang w:eastAsia="zh-CN"/>
        </w:rPr>
        <w:t>人，营业收入为</w:t>
      </w:r>
      <w:r>
        <w:rPr>
          <w:rFonts w:hint="eastAsia" w:ascii="仿宋" w:hAnsi="仿宋" w:eastAsia="仿宋" w:cs="仿宋"/>
          <w:color w:val="auto"/>
          <w:sz w:val="24"/>
          <w:szCs w:val="32"/>
          <w:highlight w:val="none"/>
          <w:u w:val="single"/>
          <w:lang w:val="en-US" w:eastAsia="zh-CN"/>
        </w:rPr>
        <w:t xml:space="preserve">   </w:t>
      </w:r>
      <w:r>
        <w:rPr>
          <w:rFonts w:hint="eastAsia" w:ascii="仿宋" w:hAnsi="仿宋" w:eastAsia="仿宋" w:cs="仿宋"/>
          <w:color w:val="auto"/>
          <w:sz w:val="24"/>
          <w:szCs w:val="32"/>
          <w:highlight w:val="none"/>
          <w:lang w:eastAsia="zh-CN"/>
        </w:rPr>
        <w:t>万元，资产总额为</w:t>
      </w:r>
      <w:r>
        <w:rPr>
          <w:rFonts w:hint="eastAsia" w:ascii="仿宋" w:hAnsi="仿宋" w:eastAsia="仿宋" w:cs="仿宋"/>
          <w:color w:val="auto"/>
          <w:sz w:val="24"/>
          <w:szCs w:val="32"/>
          <w:highlight w:val="none"/>
          <w:u w:val="single"/>
          <w:lang w:val="en-US" w:eastAsia="zh-CN"/>
        </w:rPr>
        <w:t xml:space="preserve">    </w:t>
      </w:r>
      <w:r>
        <w:rPr>
          <w:rFonts w:hint="eastAsia" w:ascii="仿宋" w:hAnsi="仿宋" w:eastAsia="仿宋" w:cs="仿宋"/>
          <w:color w:val="auto"/>
          <w:sz w:val="24"/>
          <w:szCs w:val="32"/>
          <w:highlight w:val="none"/>
          <w:lang w:eastAsia="zh-CN"/>
        </w:rPr>
        <w:t>万元，属于（中型企业</w:t>
      </w:r>
      <w:r>
        <w:rPr>
          <w:rFonts w:hint="eastAsia" w:ascii="仿宋" w:hAnsi="仿宋" w:eastAsia="仿宋" w:cs="仿宋"/>
          <w:color w:val="auto"/>
          <w:sz w:val="24"/>
          <w:szCs w:val="32"/>
          <w:highlight w:val="none"/>
          <w:lang w:val="en-US" w:eastAsia="zh-CN"/>
        </w:rPr>
        <w:t>/</w:t>
      </w:r>
      <w:r>
        <w:rPr>
          <w:rFonts w:hint="eastAsia" w:ascii="仿宋" w:hAnsi="仿宋" w:eastAsia="仿宋" w:cs="仿宋"/>
          <w:color w:val="auto"/>
          <w:sz w:val="24"/>
          <w:szCs w:val="32"/>
          <w:highlight w:val="none"/>
          <w:lang w:eastAsia="zh-CN"/>
        </w:rPr>
        <w:t>小型企业</w:t>
      </w:r>
      <w:r>
        <w:rPr>
          <w:rFonts w:hint="eastAsia" w:ascii="仿宋" w:hAnsi="仿宋" w:eastAsia="仿宋" w:cs="仿宋"/>
          <w:color w:val="auto"/>
          <w:sz w:val="24"/>
          <w:szCs w:val="32"/>
          <w:highlight w:val="none"/>
          <w:lang w:val="en-US" w:eastAsia="zh-CN"/>
        </w:rPr>
        <w:t>/</w:t>
      </w:r>
      <w:r>
        <w:rPr>
          <w:rFonts w:hint="eastAsia" w:ascii="仿宋" w:hAnsi="仿宋" w:eastAsia="仿宋" w:cs="仿宋"/>
          <w:color w:val="auto"/>
          <w:sz w:val="24"/>
          <w:szCs w:val="32"/>
          <w:highlight w:val="none"/>
          <w:lang w:eastAsia="zh-CN"/>
        </w:rPr>
        <w:t>微型企业）；</w:t>
      </w:r>
    </w:p>
    <w:p w14:paraId="5CCE29AD">
      <w:pPr>
        <w:keepNext w:val="0"/>
        <w:keepLines w:val="0"/>
        <w:pageBreakBefore w:val="0"/>
        <w:widowControl w:val="0"/>
        <w:tabs>
          <w:tab w:val="left" w:pos="940"/>
        </w:tabs>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w:t>
      </w:r>
    </w:p>
    <w:p w14:paraId="218F3D45">
      <w:pPr>
        <w:keepNext w:val="0"/>
        <w:keepLines w:val="0"/>
        <w:pageBreakBefore w:val="0"/>
        <w:widowControl w:val="0"/>
        <w:tabs>
          <w:tab w:val="left" w:pos="940"/>
        </w:tabs>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以上企业，不属于大企业的分支机构，不存在控股股东为大企业的情形，也不存在与大企业的负责人为同一人的情形。</w:t>
      </w:r>
    </w:p>
    <w:p w14:paraId="10471104">
      <w:pPr>
        <w:keepNext w:val="0"/>
        <w:keepLines w:val="0"/>
        <w:pageBreakBefore w:val="0"/>
        <w:widowControl w:val="0"/>
        <w:tabs>
          <w:tab w:val="left" w:pos="940"/>
        </w:tabs>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本企业对上述声明内容的真实性负责。如有虚假，将依法承担相应责任。</w:t>
      </w:r>
    </w:p>
    <w:p w14:paraId="3CC63970">
      <w:pPr>
        <w:pStyle w:val="4"/>
        <w:rPr>
          <w:rFonts w:hint="eastAsia" w:ascii="仿宋" w:hAnsi="仿宋" w:eastAsia="仿宋" w:cs="仿宋"/>
          <w:color w:val="auto"/>
          <w:highlight w:val="none"/>
          <w:lang w:eastAsia="zh-CN"/>
        </w:rPr>
      </w:pPr>
    </w:p>
    <w:p w14:paraId="37060D99">
      <w:pPr>
        <w:pStyle w:val="19"/>
        <w:widowControl/>
        <w:spacing w:before="0" w:beforeAutospacing="0" w:after="0" w:afterAutospacing="0"/>
        <w:ind w:firstLine="420" w:firstLineChars="175"/>
        <w:rPr>
          <w:rFonts w:hint="eastAsia" w:ascii="仿宋" w:hAnsi="仿宋" w:eastAsia="仿宋" w:cs="仿宋"/>
          <w:color w:val="auto"/>
          <w:kern w:val="2"/>
          <w:sz w:val="24"/>
          <w:szCs w:val="32"/>
          <w:highlight w:val="none"/>
          <w:lang w:val="en-US" w:eastAsia="zh-CN" w:bidi="ar-SA"/>
        </w:rPr>
      </w:pPr>
      <w:r>
        <w:rPr>
          <w:rFonts w:hint="eastAsia" w:ascii="仿宋" w:hAnsi="仿宋" w:eastAsia="仿宋" w:cs="仿宋"/>
          <w:color w:val="auto"/>
          <w:kern w:val="2"/>
          <w:sz w:val="24"/>
          <w:szCs w:val="32"/>
          <w:highlight w:val="none"/>
          <w:lang w:val="en-US" w:eastAsia="zh-CN" w:bidi="ar-SA"/>
        </w:rPr>
        <w:t> 注：1、从业人员、营业收入、资产总额填报上一年度数据，无上一年度数据的新成立企业可不填报。</w:t>
      </w:r>
    </w:p>
    <w:p w14:paraId="0BFEB1F2">
      <w:pPr>
        <w:pStyle w:val="19"/>
        <w:widowControl/>
        <w:spacing w:before="0" w:beforeAutospacing="0" w:after="0" w:afterAutospacing="0"/>
        <w:ind w:firstLine="420" w:firstLineChars="175"/>
        <w:rPr>
          <w:rFonts w:hint="eastAsia" w:ascii="仿宋" w:hAnsi="仿宋" w:eastAsia="仿宋" w:cs="仿宋"/>
          <w:color w:val="auto"/>
          <w:kern w:val="2"/>
          <w:sz w:val="24"/>
          <w:szCs w:val="32"/>
          <w:highlight w:val="none"/>
          <w:lang w:val="en-US" w:eastAsia="zh-CN" w:bidi="ar-SA"/>
        </w:rPr>
      </w:pPr>
      <w:r>
        <w:rPr>
          <w:rFonts w:hint="eastAsia" w:ascii="仿宋" w:hAnsi="仿宋" w:eastAsia="仿宋" w:cs="仿宋"/>
          <w:color w:val="auto"/>
          <w:kern w:val="2"/>
          <w:sz w:val="24"/>
          <w:szCs w:val="32"/>
          <w:highlight w:val="none"/>
          <w:lang w:val="en-US" w:eastAsia="zh-CN" w:bidi="ar-SA"/>
        </w:rPr>
        <w:t>2、本项目所属行业为：</w:t>
      </w:r>
      <w:r>
        <w:rPr>
          <w:rFonts w:hint="eastAsia" w:ascii="仿宋" w:hAnsi="仿宋" w:eastAsia="仿宋" w:cs="仿宋"/>
          <w:color w:val="auto"/>
          <w:kern w:val="2"/>
          <w:sz w:val="24"/>
          <w:szCs w:val="32"/>
          <w:highlight w:val="none"/>
          <w:u w:val="single"/>
          <w:lang w:val="en-US" w:eastAsia="zh-CN" w:bidi="ar-SA"/>
        </w:rPr>
        <w:t xml:space="preserve">      业</w:t>
      </w:r>
      <w:r>
        <w:rPr>
          <w:rFonts w:hint="eastAsia" w:ascii="仿宋" w:hAnsi="仿宋" w:eastAsia="仿宋" w:cs="仿宋"/>
          <w:color w:val="auto"/>
          <w:kern w:val="2"/>
          <w:sz w:val="24"/>
          <w:szCs w:val="32"/>
          <w:highlight w:val="none"/>
          <w:lang w:val="en-US" w:eastAsia="zh-CN" w:bidi="ar-SA"/>
        </w:rPr>
        <w:t>，采购标的为服务及伴随服务的其他软硬件设施设备。</w:t>
      </w:r>
    </w:p>
    <w:p w14:paraId="463E40D0">
      <w:pPr>
        <w:keepNext w:val="0"/>
        <w:keepLines w:val="0"/>
        <w:pageBreakBefore w:val="0"/>
        <w:widowControl w:val="0"/>
        <w:tabs>
          <w:tab w:val="left" w:pos="940"/>
        </w:tabs>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   </w:t>
      </w:r>
      <w:r>
        <w:rPr>
          <w:rFonts w:hint="eastAsia" w:ascii="仿宋" w:hAnsi="仿宋" w:eastAsia="仿宋" w:cs="仿宋"/>
          <w:color w:val="auto"/>
          <w:sz w:val="24"/>
          <w:szCs w:val="32"/>
          <w:highlight w:val="none"/>
          <w:lang w:val="en-US" w:eastAsia="zh-CN"/>
        </w:rPr>
        <w:t xml:space="preserve">   </w:t>
      </w:r>
      <w:r>
        <w:rPr>
          <w:rFonts w:hint="eastAsia" w:ascii="仿宋" w:hAnsi="仿宋" w:eastAsia="仿宋" w:cs="仿宋"/>
          <w:color w:val="auto"/>
          <w:sz w:val="24"/>
          <w:szCs w:val="32"/>
          <w:highlight w:val="none"/>
          <w:lang w:eastAsia="zh-CN"/>
        </w:rPr>
        <w:t xml:space="preserve">            </w:t>
      </w:r>
    </w:p>
    <w:p w14:paraId="239994AA">
      <w:pPr>
        <w:widowControl/>
        <w:spacing w:before="100" w:beforeAutospacing="1" w:after="100" w:afterAutospacing="1" w:line="330" w:lineRule="atLeast"/>
        <w:ind w:firstLine="482" w:firstLineChars="200"/>
        <w:jc w:val="left"/>
        <w:rPr>
          <w:rFonts w:hint="eastAsia" w:ascii="仿宋" w:hAnsi="仿宋" w:eastAsia="仿宋" w:cs="仿宋"/>
          <w:b/>
          <w:bCs/>
          <w:color w:val="auto"/>
          <w:kern w:val="0"/>
          <w:sz w:val="24"/>
          <w:highlight w:val="none"/>
          <w:u w:val="none"/>
          <w:lang w:val="en-US" w:eastAsia="zh-CN"/>
        </w:rPr>
      </w:pPr>
    </w:p>
    <w:p w14:paraId="51F9572F">
      <w:pPr>
        <w:widowControl/>
        <w:spacing w:before="100" w:beforeAutospacing="1" w:after="100" w:afterAutospacing="1" w:line="330" w:lineRule="atLeast"/>
        <w:ind w:firstLine="482" w:firstLineChars="200"/>
        <w:jc w:val="left"/>
        <w:rPr>
          <w:rFonts w:hint="eastAsia" w:ascii="仿宋" w:hAnsi="仿宋" w:eastAsia="仿宋" w:cs="仿宋"/>
          <w:color w:val="auto"/>
          <w:highlight w:val="none"/>
        </w:rPr>
      </w:pPr>
      <w:r>
        <w:rPr>
          <w:rFonts w:hint="eastAsia" w:ascii="仿宋" w:hAnsi="仿宋" w:eastAsia="仿宋" w:cs="仿宋"/>
          <w:b/>
          <w:bCs/>
          <w:color w:val="auto"/>
          <w:kern w:val="0"/>
          <w:sz w:val="24"/>
          <w:highlight w:val="none"/>
          <w:u w:val="none"/>
          <w:lang w:val="en-US" w:eastAsia="zh-CN"/>
        </w:rPr>
        <w:t>潜在投标企业属于中小微企业的，请在投标文件中提供“中小企业声明函”，如果未提供或提请在投标文件中提供“中小企业声明函”，投标企业将承担由此造成的供虚假的“中小企业声明函”一切不利后果。</w:t>
      </w:r>
    </w:p>
    <w:p w14:paraId="09432E33">
      <w:pPr>
        <w:rPr>
          <w:rFonts w:hint="eastAsia" w:ascii="仿宋" w:hAnsi="仿宋" w:eastAsia="仿宋" w:cs="仿宋"/>
          <w:color w:val="auto"/>
          <w:highlight w:val="none"/>
        </w:rPr>
      </w:pPr>
    </w:p>
    <w:p w14:paraId="6B5D9FA9">
      <w:pPr>
        <w:keepNext w:val="0"/>
        <w:keepLines w:val="0"/>
        <w:pageBreakBefore w:val="0"/>
        <w:widowControl w:val="0"/>
        <w:tabs>
          <w:tab w:val="left" w:pos="940"/>
        </w:tabs>
        <w:kinsoku/>
        <w:wordWrap/>
        <w:overflowPunct/>
        <w:topLinePunct w:val="0"/>
        <w:autoSpaceDE/>
        <w:autoSpaceDN/>
        <w:bidi w:val="0"/>
        <w:adjustRightInd/>
        <w:snapToGrid/>
        <w:spacing w:line="360" w:lineRule="auto"/>
        <w:ind w:firstLine="5520" w:firstLineChars="2300"/>
        <w:jc w:val="left"/>
        <w:textAlignment w:val="auto"/>
        <w:rPr>
          <w:rFonts w:hint="eastAsia"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企业名称（盖章）：</w:t>
      </w:r>
    </w:p>
    <w:p w14:paraId="52FC5945">
      <w:pPr>
        <w:keepNext w:val="0"/>
        <w:keepLines w:val="0"/>
        <w:pageBreakBefore w:val="0"/>
        <w:widowControl w:val="0"/>
        <w:tabs>
          <w:tab w:val="left" w:pos="940"/>
        </w:tabs>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                      </w:t>
      </w:r>
      <w:r>
        <w:rPr>
          <w:rFonts w:hint="eastAsia" w:ascii="仿宋" w:hAnsi="仿宋" w:eastAsia="仿宋" w:cs="仿宋"/>
          <w:color w:val="auto"/>
          <w:sz w:val="24"/>
          <w:szCs w:val="32"/>
          <w:highlight w:val="none"/>
          <w:lang w:val="en-US" w:eastAsia="zh-CN"/>
        </w:rPr>
        <w:t xml:space="preserve">                                </w:t>
      </w:r>
      <w:r>
        <w:rPr>
          <w:rFonts w:hint="eastAsia" w:ascii="仿宋" w:hAnsi="仿宋" w:eastAsia="仿宋" w:cs="仿宋"/>
          <w:color w:val="auto"/>
          <w:sz w:val="24"/>
          <w:szCs w:val="32"/>
          <w:highlight w:val="none"/>
          <w:lang w:eastAsia="zh-CN"/>
        </w:rPr>
        <w:t xml:space="preserve">日期：  </w:t>
      </w:r>
    </w:p>
    <w:p w14:paraId="158A2ECC">
      <w:pPr>
        <w:keepNext w:val="0"/>
        <w:keepLines w:val="0"/>
        <w:pageBreakBefore w:val="0"/>
        <w:widowControl w:val="0"/>
        <w:tabs>
          <w:tab w:val="left" w:pos="940"/>
        </w:tabs>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32"/>
          <w:highlight w:val="none"/>
          <w:lang w:eastAsia="zh-CN"/>
        </w:rPr>
      </w:pPr>
    </w:p>
    <w:p w14:paraId="5DDB312E">
      <w:pPr>
        <w:pStyle w:val="4"/>
        <w:rPr>
          <w:rFonts w:hint="eastAsia" w:ascii="仿宋" w:hAnsi="仿宋" w:eastAsia="仿宋" w:cs="仿宋"/>
          <w:color w:val="auto"/>
          <w:highlight w:val="none"/>
          <w:lang w:eastAsia="zh-CN"/>
        </w:rPr>
      </w:pPr>
    </w:p>
    <w:p w14:paraId="280A21C7">
      <w:pPr>
        <w:pStyle w:val="19"/>
        <w:widowControl/>
        <w:spacing w:line="420" w:lineRule="atLeast"/>
        <w:ind w:firstLine="420"/>
        <w:rPr>
          <w:rFonts w:hint="eastAsia" w:ascii="仿宋" w:hAnsi="仿宋" w:eastAsia="仿宋" w:cs="仿宋"/>
          <w:color w:val="auto"/>
          <w:sz w:val="27"/>
          <w:szCs w:val="27"/>
          <w:highlight w:val="none"/>
        </w:rPr>
      </w:pPr>
      <w:r>
        <w:rPr>
          <w:rStyle w:val="23"/>
          <w:rFonts w:hint="eastAsia" w:ascii="仿宋" w:hAnsi="仿宋" w:eastAsia="仿宋" w:cs="仿宋"/>
          <w:color w:val="auto"/>
          <w:highlight w:val="none"/>
        </w:rPr>
        <w:t>附件1：</w:t>
      </w:r>
    </w:p>
    <w:p w14:paraId="0343D7ED">
      <w:pPr>
        <w:pStyle w:val="19"/>
        <w:widowControl/>
        <w:spacing w:line="420" w:lineRule="atLeast"/>
        <w:ind w:firstLine="420"/>
        <w:jc w:val="center"/>
        <w:rPr>
          <w:rFonts w:hint="eastAsia" w:ascii="仿宋" w:hAnsi="仿宋" w:eastAsia="仿宋" w:cs="仿宋"/>
          <w:color w:val="auto"/>
          <w:sz w:val="27"/>
          <w:szCs w:val="27"/>
          <w:highlight w:val="none"/>
        </w:rPr>
      </w:pPr>
      <w:r>
        <w:rPr>
          <w:rFonts w:hint="eastAsia" w:ascii="仿宋" w:hAnsi="仿宋" w:eastAsia="仿宋" w:cs="仿宋"/>
          <w:color w:val="auto"/>
          <w:highlight w:val="none"/>
        </w:rPr>
        <w:t>中小企业划型标准规定</w:t>
      </w:r>
    </w:p>
    <w:p w14:paraId="5B21FE50">
      <w:pPr>
        <w:pStyle w:val="19"/>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一、根据《中华人民共和国中小企业促进法》和《国务院关于进一步促进中小企业发展的若干意见》(（国发〔2009〕[2009]36号)，制定本规定。</w:t>
      </w:r>
    </w:p>
    <w:p w14:paraId="054B5A56">
      <w:pPr>
        <w:pStyle w:val="19"/>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二、中小企业划分为中型、小型、微型三种类型，具体标准根据企业从业人员、营业收入、资产总额等指标，结合行业特点制定。</w:t>
      </w:r>
    </w:p>
    <w:p w14:paraId="4EFB8758">
      <w:pPr>
        <w:pStyle w:val="19"/>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E20490A">
      <w:pPr>
        <w:pStyle w:val="19"/>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四、各行业划型标准为：</w:t>
      </w:r>
    </w:p>
    <w:p w14:paraId="56789068">
      <w:pPr>
        <w:pStyle w:val="19"/>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（一）农、林、牧、渔业。营业收入20000万元以下的为中小微型企业。其中，营业收入500万元及以上的为中型企业，营业收入50万元及以上的为小型企业，营业收入50万元以下的为微型企业。</w:t>
      </w:r>
    </w:p>
    <w:p w14:paraId="2E2CEC13">
      <w:pPr>
        <w:pStyle w:val="19"/>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0621530">
      <w:pPr>
        <w:pStyle w:val="19"/>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2CDA8AA">
      <w:pPr>
        <w:pStyle w:val="19"/>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832F329">
      <w:pPr>
        <w:pStyle w:val="19"/>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8483E1E">
      <w:pPr>
        <w:pStyle w:val="19"/>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56C739B">
      <w:pPr>
        <w:pStyle w:val="19"/>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011F97E">
      <w:pPr>
        <w:pStyle w:val="19"/>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1828316">
      <w:pPr>
        <w:pStyle w:val="19"/>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CBF1E4B">
      <w:pPr>
        <w:pStyle w:val="19"/>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A5D0736">
      <w:pPr>
        <w:pStyle w:val="19"/>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D2396A7">
      <w:pPr>
        <w:pStyle w:val="19"/>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CEF7715">
      <w:pPr>
        <w:pStyle w:val="19"/>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C9572B1">
      <w:pPr>
        <w:pStyle w:val="19"/>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0692ABC">
      <w:pPr>
        <w:pStyle w:val="19"/>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4768BBA">
      <w:pPr>
        <w:pStyle w:val="19"/>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（十六）其他未列明行业。从业人员300人以下的为中小微型企业。其中，从业人员100人及以上的为中型企业；从业人员10人及以上的为小型企业；从业人员10人以下的为微型企业。</w:t>
      </w:r>
    </w:p>
    <w:p w14:paraId="5FED935A">
      <w:pPr>
        <w:pStyle w:val="19"/>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五、企业类型的划分以统计部门的统计数据为依据。</w:t>
      </w:r>
    </w:p>
    <w:p w14:paraId="5F25243A">
      <w:pPr>
        <w:pStyle w:val="19"/>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六、本规定适用于在中华人民共和国境内依法设立的各类所有制和各种组织形式的企业。个体工商户和本规定以外的行业，参照本规定进行划型。</w:t>
      </w:r>
    </w:p>
    <w:p w14:paraId="2C1A592E">
      <w:pPr>
        <w:pStyle w:val="19"/>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4D940DD3">
      <w:pPr>
        <w:pStyle w:val="19"/>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八、本规定由工业和信息化部、国家统计局会同有关部门根据《国民经济行业分类》修订情况和企业发展变化情况适时修订。</w:t>
      </w:r>
    </w:p>
    <w:p w14:paraId="51872DA9">
      <w:pPr>
        <w:pStyle w:val="19"/>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九、本规定由工业和信息化部、国家统计局会同有关部门负责解释。</w:t>
      </w:r>
    </w:p>
    <w:p w14:paraId="16CA916B">
      <w:pPr>
        <w:pStyle w:val="4"/>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十、本规定自发布之日起执行，原国家经贸委、原国家计委、财政部和国家统计局2003年颁布的《中小企业标准暂行规定》同时废止。</w:t>
      </w:r>
    </w:p>
    <w:p w14:paraId="36534EA5">
      <w:pPr>
        <w:rPr>
          <w:rFonts w:hint="eastAsia" w:ascii="仿宋" w:hAnsi="仿宋" w:eastAsia="仿宋" w:cs="仿宋"/>
          <w:color w:val="auto"/>
          <w:sz w:val="27"/>
          <w:szCs w:val="27"/>
          <w:highlight w:val="none"/>
        </w:rPr>
      </w:pPr>
    </w:p>
    <w:p w14:paraId="2DCB899A">
      <w:pPr>
        <w:pStyle w:val="4"/>
        <w:rPr>
          <w:rFonts w:hint="eastAsia" w:ascii="仿宋" w:hAnsi="仿宋" w:eastAsia="仿宋" w:cs="仿宋"/>
          <w:color w:val="auto"/>
          <w:sz w:val="27"/>
          <w:szCs w:val="27"/>
          <w:highlight w:val="none"/>
        </w:rPr>
      </w:pPr>
    </w:p>
    <w:p w14:paraId="0AFF9769">
      <w:pPr>
        <w:pStyle w:val="4"/>
        <w:rPr>
          <w:rFonts w:hint="eastAsia" w:ascii="仿宋" w:hAnsi="仿宋" w:eastAsia="仿宋" w:cs="仿宋"/>
          <w:color w:val="auto"/>
          <w:sz w:val="27"/>
          <w:szCs w:val="27"/>
          <w:highlight w:val="none"/>
        </w:rPr>
      </w:pPr>
    </w:p>
    <w:p w14:paraId="774E047B">
      <w:pPr>
        <w:pStyle w:val="4"/>
        <w:rPr>
          <w:rFonts w:hint="eastAsia" w:ascii="仿宋" w:hAnsi="仿宋" w:eastAsia="仿宋" w:cs="仿宋"/>
          <w:color w:val="auto"/>
          <w:sz w:val="27"/>
          <w:szCs w:val="27"/>
          <w:highlight w:val="none"/>
        </w:rPr>
      </w:pPr>
    </w:p>
    <w:p w14:paraId="442233D5">
      <w:pPr>
        <w:pStyle w:val="4"/>
        <w:rPr>
          <w:rFonts w:hint="eastAsia" w:ascii="仿宋" w:hAnsi="仿宋" w:eastAsia="仿宋" w:cs="仿宋"/>
          <w:color w:val="auto"/>
          <w:sz w:val="27"/>
          <w:szCs w:val="27"/>
          <w:highlight w:val="none"/>
        </w:rPr>
      </w:pPr>
    </w:p>
    <w:p w14:paraId="604E1B43">
      <w:pPr>
        <w:pStyle w:val="4"/>
        <w:rPr>
          <w:rFonts w:hint="eastAsia" w:ascii="仿宋" w:hAnsi="仿宋" w:eastAsia="仿宋" w:cs="仿宋"/>
          <w:color w:val="auto"/>
          <w:sz w:val="27"/>
          <w:szCs w:val="27"/>
          <w:highlight w:val="none"/>
        </w:rPr>
      </w:pPr>
    </w:p>
    <w:p w14:paraId="0EB2EC50">
      <w:pPr>
        <w:pStyle w:val="4"/>
        <w:rPr>
          <w:rFonts w:hint="eastAsia" w:ascii="仿宋" w:hAnsi="仿宋" w:eastAsia="仿宋" w:cs="仿宋"/>
          <w:color w:val="auto"/>
          <w:sz w:val="27"/>
          <w:szCs w:val="27"/>
          <w:highlight w:val="none"/>
        </w:rPr>
      </w:pPr>
    </w:p>
    <w:p w14:paraId="0DB81316">
      <w:pPr>
        <w:pStyle w:val="6"/>
        <w:spacing w:before="0" w:after="0" w:line="240" w:lineRule="atLeast"/>
        <w:jc w:val="both"/>
        <w:outlineLvl w:val="2"/>
        <w:rPr>
          <w:rFonts w:hint="eastAsia" w:ascii="仿宋" w:hAnsi="仿宋" w:eastAsia="仿宋" w:cs="仿宋"/>
          <w:color w:val="auto"/>
          <w:sz w:val="28"/>
          <w:szCs w:val="28"/>
          <w:highlight w:val="none"/>
          <w:u w:val="none"/>
        </w:rPr>
      </w:pPr>
      <w:bookmarkStart w:id="655" w:name="_Toc11534"/>
      <w:bookmarkStart w:id="656" w:name="_Toc6238"/>
      <w:bookmarkStart w:id="657" w:name="_Toc1624"/>
      <w:bookmarkStart w:id="658" w:name="_Toc16981"/>
      <w:bookmarkStart w:id="659" w:name="_Toc3285"/>
      <w:bookmarkStart w:id="660" w:name="_Toc518923122"/>
      <w:r>
        <w:rPr>
          <w:rFonts w:hint="eastAsia" w:ascii="仿宋" w:hAnsi="仿宋" w:eastAsia="仿宋" w:cs="仿宋"/>
          <w:color w:val="auto"/>
          <w:sz w:val="28"/>
          <w:szCs w:val="28"/>
          <w:highlight w:val="none"/>
          <w:u w:val="none"/>
          <w:lang w:val="en-US" w:eastAsia="zh-CN"/>
        </w:rPr>
        <w:br w:type="page"/>
      </w:r>
      <w:bookmarkStart w:id="661" w:name="_Toc1732"/>
      <w:r>
        <w:rPr>
          <w:rFonts w:hint="eastAsia" w:ascii="仿宋" w:hAnsi="仿宋" w:eastAsia="仿宋" w:cs="仿宋"/>
          <w:color w:val="auto"/>
          <w:sz w:val="28"/>
          <w:szCs w:val="28"/>
          <w:highlight w:val="none"/>
          <w:u w:val="none"/>
          <w:lang w:val="en-US" w:eastAsia="zh-CN"/>
        </w:rPr>
        <w:t xml:space="preserve">7  </w:t>
      </w:r>
      <w:r>
        <w:rPr>
          <w:rFonts w:hint="eastAsia" w:ascii="仿宋" w:hAnsi="仿宋" w:eastAsia="仿宋" w:cs="仿宋"/>
          <w:color w:val="auto"/>
          <w:sz w:val="28"/>
          <w:szCs w:val="28"/>
          <w:highlight w:val="none"/>
          <w:u w:val="none"/>
        </w:rPr>
        <w:t>投标人关联单位的说明</w:t>
      </w:r>
      <w:bookmarkEnd w:id="655"/>
      <w:bookmarkEnd w:id="656"/>
      <w:bookmarkEnd w:id="657"/>
      <w:bookmarkEnd w:id="658"/>
      <w:bookmarkEnd w:id="659"/>
      <w:bookmarkEnd w:id="660"/>
      <w:bookmarkEnd w:id="661"/>
    </w:p>
    <w:p w14:paraId="6448A823">
      <w:pPr>
        <w:pStyle w:val="4"/>
        <w:ind w:firstLine="560" w:firstLineChars="200"/>
        <w:rPr>
          <w:rFonts w:hint="eastAsia" w:ascii="仿宋" w:hAnsi="仿宋" w:eastAsia="仿宋" w:cs="仿宋"/>
          <w:color w:val="auto"/>
          <w:sz w:val="28"/>
          <w:szCs w:val="28"/>
          <w:highlight w:val="none"/>
        </w:rPr>
      </w:pPr>
    </w:p>
    <w:p w14:paraId="35554A6E">
      <w:pPr>
        <w:pStyle w:val="4"/>
        <w:ind w:firstLine="560" w:firstLineChars="200"/>
        <w:rPr>
          <w:rFonts w:hint="eastAsia" w:ascii="仿宋" w:hAnsi="仿宋" w:eastAsia="仿宋" w:cs="仿宋"/>
          <w:color w:val="auto"/>
          <w:sz w:val="28"/>
          <w:szCs w:val="28"/>
          <w:highlight w:val="none"/>
        </w:rPr>
      </w:pPr>
    </w:p>
    <w:p w14:paraId="42BBAEEA">
      <w:pPr>
        <w:pStyle w:val="4"/>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说明：投标人应当如实披露与本单位存在下列关联关系的单位名称：</w:t>
      </w:r>
    </w:p>
    <w:p w14:paraId="3B8F1DE5">
      <w:pPr>
        <w:pStyle w:val="4"/>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（1）与投标人单位负责人为同一人的其他单位；</w:t>
      </w:r>
    </w:p>
    <w:p w14:paraId="1E6331F2">
      <w:pPr>
        <w:pStyle w:val="4"/>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（2）与投标人存在直接控股、管理关系的其他单位。</w:t>
      </w:r>
    </w:p>
    <w:p w14:paraId="01980FDF">
      <w:pPr>
        <w:pStyle w:val="4"/>
        <w:jc w:val="center"/>
        <w:rPr>
          <w:rFonts w:hint="eastAsia" w:ascii="仿宋" w:hAnsi="仿宋" w:eastAsia="仿宋" w:cs="仿宋"/>
          <w:color w:val="auto"/>
          <w:sz w:val="28"/>
          <w:szCs w:val="28"/>
          <w:highlight w:val="none"/>
        </w:rPr>
      </w:pPr>
    </w:p>
    <w:p w14:paraId="2AE7B237">
      <w:pPr>
        <w:rPr>
          <w:rFonts w:hint="eastAsia" w:ascii="仿宋" w:hAnsi="仿宋" w:eastAsia="仿宋" w:cs="仿宋"/>
          <w:color w:val="auto"/>
          <w:sz w:val="28"/>
          <w:szCs w:val="28"/>
          <w:highlight w:val="none"/>
        </w:rPr>
      </w:pPr>
    </w:p>
    <w:p w14:paraId="2DA69BD2">
      <w:pPr>
        <w:rPr>
          <w:rFonts w:hint="eastAsia" w:ascii="仿宋" w:hAnsi="仿宋" w:eastAsia="仿宋" w:cs="仿宋"/>
          <w:color w:val="auto"/>
          <w:sz w:val="28"/>
          <w:szCs w:val="28"/>
          <w:highlight w:val="none"/>
        </w:rPr>
      </w:pPr>
    </w:p>
    <w:p w14:paraId="54797949">
      <w:pPr>
        <w:rPr>
          <w:rFonts w:hint="eastAsia" w:ascii="仿宋" w:hAnsi="仿宋" w:eastAsia="仿宋" w:cs="仿宋"/>
          <w:color w:val="auto"/>
          <w:sz w:val="28"/>
          <w:szCs w:val="28"/>
          <w:highlight w:val="none"/>
        </w:rPr>
      </w:pPr>
    </w:p>
    <w:p w14:paraId="6CD3A58F">
      <w:pPr>
        <w:rPr>
          <w:rFonts w:hint="eastAsia" w:ascii="仿宋" w:hAnsi="仿宋" w:eastAsia="仿宋" w:cs="仿宋"/>
          <w:color w:val="auto"/>
          <w:sz w:val="28"/>
          <w:szCs w:val="28"/>
          <w:highlight w:val="none"/>
        </w:rPr>
      </w:pPr>
    </w:p>
    <w:p w14:paraId="4A6AF43D">
      <w:pPr>
        <w:pStyle w:val="6"/>
        <w:spacing w:before="0" w:after="0" w:line="240" w:lineRule="atLeast"/>
        <w:jc w:val="center"/>
        <w:outlineLvl w:val="2"/>
        <w:rPr>
          <w:rFonts w:hint="eastAsia" w:ascii="仿宋" w:hAnsi="仿宋" w:eastAsia="仿宋" w:cs="仿宋"/>
          <w:color w:val="auto"/>
          <w:sz w:val="28"/>
          <w:szCs w:val="28"/>
          <w:highlight w:val="none"/>
          <w:u w:val="none"/>
        </w:rPr>
      </w:pPr>
      <w:bookmarkStart w:id="662" w:name="_Toc4304"/>
      <w:bookmarkStart w:id="663" w:name="_Toc6417"/>
      <w:bookmarkStart w:id="664" w:name="_Toc4403"/>
      <w:bookmarkStart w:id="665" w:name="_Toc16697"/>
      <w:bookmarkStart w:id="666" w:name="_Toc4111"/>
      <w:r>
        <w:rPr>
          <w:rFonts w:hint="eastAsia" w:ascii="仿宋" w:hAnsi="仿宋" w:eastAsia="仿宋" w:cs="仿宋"/>
          <w:color w:val="auto"/>
          <w:sz w:val="28"/>
          <w:szCs w:val="28"/>
          <w:highlight w:val="none"/>
          <w:u w:val="none"/>
          <w:lang w:val="en-US" w:eastAsia="zh-CN"/>
        </w:rPr>
        <w:t xml:space="preserve">8 </w:t>
      </w:r>
      <w:r>
        <w:rPr>
          <w:rFonts w:hint="eastAsia" w:ascii="仿宋" w:hAnsi="仿宋" w:eastAsia="仿宋" w:cs="仿宋"/>
          <w:color w:val="auto"/>
          <w:sz w:val="28"/>
          <w:szCs w:val="28"/>
          <w:highlight w:val="none"/>
          <w:u w:val="none"/>
        </w:rPr>
        <w:t>申明函</w:t>
      </w:r>
      <w:bookmarkEnd w:id="662"/>
      <w:bookmarkEnd w:id="663"/>
      <w:bookmarkEnd w:id="664"/>
      <w:bookmarkEnd w:id="665"/>
      <w:bookmarkEnd w:id="666"/>
    </w:p>
    <w:p w14:paraId="418049B4">
      <w:pPr>
        <w:pStyle w:val="19"/>
        <w:widowControl/>
        <w:spacing w:before="0" w:beforeAutospacing="0" w:after="0" w:afterAutospacing="0"/>
        <w:rPr>
          <w:rFonts w:hint="eastAsia" w:ascii="仿宋" w:hAnsi="仿宋" w:eastAsia="仿宋" w:cs="仿宋"/>
          <w:color w:val="auto"/>
          <w:sz w:val="28"/>
          <w:szCs w:val="28"/>
          <w:highlight w:val="none"/>
        </w:rPr>
      </w:pPr>
    </w:p>
    <w:p w14:paraId="008745C7">
      <w:pPr>
        <w:pStyle w:val="19"/>
        <w:widowControl/>
        <w:spacing w:before="0" w:beforeAutospacing="0" w:after="0" w:afterAutospacing="0"/>
        <w:rPr>
          <w:rFonts w:hint="eastAsia" w:ascii="仿宋" w:hAnsi="仿宋" w:eastAsia="仿宋" w:cs="仿宋"/>
          <w:color w:val="auto"/>
          <w:sz w:val="28"/>
          <w:szCs w:val="28"/>
          <w:highlight w:val="none"/>
        </w:rPr>
      </w:pPr>
    </w:p>
    <w:p w14:paraId="40C09926">
      <w:pPr>
        <w:pStyle w:val="19"/>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本公司郑重声明，根据《企业信息公示暂行条例》（国务院令第654号）、《财政部关于在政府采购活动中查询及使用信用记录有关问题的通知》（财库【2016】125号）的要求，本公司作出以下声明。</w:t>
      </w:r>
    </w:p>
    <w:p w14:paraId="78A995B9">
      <w:pPr>
        <w:pStyle w:val="19"/>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本公司未被列入经营异常名录或严重违法企业的名单、失信被执行人、重大税收违法案件当事人名单、政府采购严重违法失信行为记录名单。</w:t>
      </w:r>
    </w:p>
    <w:p w14:paraId="1ED2FC26">
      <w:pPr>
        <w:pStyle w:val="19"/>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本公司对上述声明的真实性负责。如有虚假，将依法承担相应责任。</w:t>
      </w:r>
    </w:p>
    <w:p w14:paraId="3C910EA4">
      <w:pPr>
        <w:pStyle w:val="19"/>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p>
    <w:p w14:paraId="2A11DDC5">
      <w:pPr>
        <w:pStyle w:val="19"/>
        <w:widowControl/>
        <w:spacing w:before="0" w:beforeAutospacing="0" w:after="0" w:afterAutospacing="0" w:line="360" w:lineRule="auto"/>
        <w:rPr>
          <w:rFonts w:hint="eastAsia" w:ascii="仿宋" w:hAnsi="仿宋" w:eastAsia="仿宋" w:cs="仿宋"/>
          <w:color w:val="auto"/>
          <w:sz w:val="28"/>
          <w:szCs w:val="28"/>
          <w:highlight w:val="none"/>
        </w:rPr>
      </w:pPr>
    </w:p>
    <w:p w14:paraId="3A40C5E7">
      <w:pPr>
        <w:pStyle w:val="19"/>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p>
    <w:p w14:paraId="686E2BCC">
      <w:pPr>
        <w:pStyle w:val="19"/>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投标人名称（加盖公章）：</w:t>
      </w:r>
      <w:r>
        <w:rPr>
          <w:rFonts w:hint="eastAsia" w:ascii="仿宋" w:hAnsi="仿宋" w:eastAsia="仿宋" w:cs="仿宋"/>
          <w:color w:val="auto"/>
          <w:sz w:val="28"/>
          <w:szCs w:val="28"/>
          <w:highlight w:val="none"/>
          <w:u w:val="single"/>
        </w:rPr>
        <w:t xml:space="preserve">                    </w:t>
      </w:r>
    </w:p>
    <w:p w14:paraId="7EDE7352">
      <w:pPr>
        <w:pStyle w:val="19"/>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法定代表人（签字盖章）：</w:t>
      </w:r>
      <w:r>
        <w:rPr>
          <w:rFonts w:hint="eastAsia" w:ascii="仿宋" w:hAnsi="仿宋" w:eastAsia="仿宋" w:cs="仿宋"/>
          <w:color w:val="auto"/>
          <w:sz w:val="28"/>
          <w:szCs w:val="28"/>
          <w:highlight w:val="none"/>
          <w:u w:val="single"/>
        </w:rPr>
        <w:t xml:space="preserve">                    </w:t>
      </w:r>
    </w:p>
    <w:p w14:paraId="234031D9">
      <w:pPr>
        <w:pStyle w:val="19"/>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授权代表（签字）：</w:t>
      </w:r>
      <w:r>
        <w:rPr>
          <w:rFonts w:hint="eastAsia" w:ascii="仿宋" w:hAnsi="仿宋" w:eastAsia="仿宋" w:cs="仿宋"/>
          <w:color w:val="auto"/>
          <w:sz w:val="28"/>
          <w:szCs w:val="28"/>
          <w:highlight w:val="none"/>
          <w:u w:val="single"/>
        </w:rPr>
        <w:t xml:space="preserve">                    </w:t>
      </w:r>
    </w:p>
    <w:p w14:paraId="2DE55175">
      <w:pPr>
        <w:pStyle w:val="19"/>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签署日期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14:paraId="68A35096">
      <w:pPr>
        <w:pStyle w:val="19"/>
        <w:widowControl/>
        <w:spacing w:before="0" w:beforeAutospacing="0" w:after="0" w:afterAutospacing="0"/>
        <w:rPr>
          <w:rFonts w:hint="eastAsia" w:ascii="仿宋" w:hAnsi="仿宋" w:eastAsia="仿宋" w:cs="仿宋"/>
          <w:color w:val="auto"/>
          <w:highlight w:val="none"/>
        </w:rPr>
      </w:pPr>
    </w:p>
    <w:p w14:paraId="071CC063">
      <w:pPr>
        <w:pStyle w:val="6"/>
        <w:spacing w:before="0" w:after="0" w:line="240" w:lineRule="atLeast"/>
        <w:jc w:val="center"/>
        <w:outlineLvl w:val="2"/>
        <w:rPr>
          <w:rFonts w:hint="eastAsia" w:ascii="仿宋" w:hAnsi="仿宋" w:eastAsia="仿宋" w:cs="仿宋"/>
          <w:color w:val="auto"/>
          <w:sz w:val="28"/>
          <w:szCs w:val="28"/>
          <w:highlight w:val="none"/>
          <w:u w:val="none"/>
          <w:lang w:val="en-US" w:eastAsia="zh-CN"/>
        </w:rPr>
      </w:pPr>
      <w:bookmarkStart w:id="667" w:name="_Toc27857"/>
      <w:bookmarkStart w:id="668" w:name="_Toc30178"/>
      <w:bookmarkStart w:id="669" w:name="_Toc13302"/>
      <w:bookmarkStart w:id="670" w:name="_Toc8691"/>
      <w:r>
        <w:rPr>
          <w:rFonts w:hint="eastAsia" w:ascii="仿宋" w:hAnsi="仿宋" w:eastAsia="仿宋" w:cs="仿宋"/>
          <w:color w:val="auto"/>
          <w:sz w:val="28"/>
          <w:szCs w:val="28"/>
          <w:highlight w:val="none"/>
          <w:u w:val="none"/>
          <w:lang w:val="en-US" w:eastAsia="zh-CN"/>
        </w:rPr>
        <w:br w:type="page"/>
      </w:r>
      <w:bookmarkStart w:id="671" w:name="_Toc17615"/>
      <w:r>
        <w:rPr>
          <w:rFonts w:hint="eastAsia" w:ascii="仿宋" w:hAnsi="仿宋" w:eastAsia="仿宋" w:cs="仿宋"/>
          <w:color w:val="auto"/>
          <w:sz w:val="28"/>
          <w:szCs w:val="28"/>
          <w:highlight w:val="none"/>
          <w:u w:val="none"/>
          <w:lang w:val="en-US" w:eastAsia="zh-CN"/>
        </w:rPr>
        <w:t>9 自觉抵制招标领域商业贿赂行为承诺书</w:t>
      </w:r>
      <w:bookmarkEnd w:id="667"/>
      <w:bookmarkEnd w:id="668"/>
      <w:bookmarkEnd w:id="669"/>
      <w:bookmarkEnd w:id="670"/>
      <w:bookmarkEnd w:id="671"/>
    </w:p>
    <w:p w14:paraId="250871F0">
      <w:pPr>
        <w:pStyle w:val="19"/>
        <w:widowControl/>
        <w:spacing w:before="0" w:beforeAutospacing="0" w:after="0" w:afterAutospacing="0"/>
        <w:rPr>
          <w:rFonts w:hint="eastAsia" w:ascii="仿宋" w:hAnsi="仿宋" w:eastAsia="仿宋" w:cs="仿宋"/>
          <w:color w:val="auto"/>
          <w:sz w:val="28"/>
          <w:szCs w:val="28"/>
          <w:highlight w:val="none"/>
        </w:rPr>
      </w:pPr>
    </w:p>
    <w:p w14:paraId="5A19613F">
      <w:pPr>
        <w:pStyle w:val="19"/>
        <w:widowControl/>
        <w:spacing w:before="0" w:beforeAutospacing="0" w:after="0" w:afterAutospacing="0" w:line="360" w:lineRule="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（招标人名称）：</w:t>
      </w:r>
    </w:p>
    <w:p w14:paraId="40ED6D2B">
      <w:pPr>
        <w:pStyle w:val="19"/>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展治理招标领域商业贿赂工作，是中央确定的反腐败工作的重点领域之一，它既是完善市场经济、构建社会主义和谐社会的客观需要，又是从源头上抑制腐败的有力措施，意义重大、影响深远。为深入贯彻落实中央的有关部署及要求，进一步规范招标行为，营造公平竞争的市场环境，维护招标制度良好声誉，在参与贵公司组织的招标活动中，我方庄重承诺</w:t>
      </w:r>
    </w:p>
    <w:p w14:paraId="54BCC35E">
      <w:pPr>
        <w:pStyle w:val="19"/>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依法参与招标活动，遵纪守法，诚信经营，公平竞争。我单位在前三年内的经营活动中没有政府采购法实施条例第十九条所称重大违法记录，包括我单位或者其法定代表人、董事、监事、高级管理人员因经营活动中的违法行为受到行政处罚和刑事处罚。</w:t>
      </w:r>
    </w:p>
    <w:p w14:paraId="4FD1D757">
      <w:pPr>
        <w:pStyle w:val="19"/>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二、不向采购人、招标公司和评审专家提供任何形式的商业贿赂；对索取或接受商业贿赂的单位和个人，及时向主管部门和纪检监察机关举报。</w:t>
      </w:r>
    </w:p>
    <w:p w14:paraId="3CA3F5A3">
      <w:pPr>
        <w:pStyle w:val="19"/>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三、不以提供虚假资质文件等形式参与招标活动，不以虚假材料谋取中标。四、不采取不正当手段诋毁、排挤其他投标人，与其他参与招标活动投标人保持良性的竞争关系。</w:t>
      </w:r>
    </w:p>
    <w:p w14:paraId="7602CEF7">
      <w:pPr>
        <w:pStyle w:val="19"/>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五、不与采购人、招标公司和评审专家恶意串通，自觉维护招标公平竞争的市场秩序。</w:t>
      </w:r>
    </w:p>
    <w:p w14:paraId="40E28F7F">
      <w:pPr>
        <w:pStyle w:val="19"/>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六、不与其他投标人串通采取围标、陪标等商业欺诈手段谋取中标，积极维护国家利益、社会公共利益和采购人的合法权益。</w:t>
      </w:r>
    </w:p>
    <w:p w14:paraId="49449623">
      <w:pPr>
        <w:pStyle w:val="19"/>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七、严格履行招标合同约定义务，不在招标合同执行过程中采取降低质量或标准、减少数量、拖延交付时间等方式损害采购人的利益，并自觉承担违约责任。</w:t>
      </w:r>
    </w:p>
    <w:p w14:paraId="576FD92B">
      <w:pPr>
        <w:pStyle w:val="19"/>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八、自觉接受并积极配合主管部门和纪检监察机关依法实施的监督检查，如实反映情况，及时提供有关证明材料。</w:t>
      </w:r>
    </w:p>
    <w:p w14:paraId="75992D4B">
      <w:pPr>
        <w:pStyle w:val="19"/>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p>
    <w:p w14:paraId="7C72D9ED">
      <w:pPr>
        <w:pStyle w:val="19"/>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p>
    <w:p w14:paraId="39DABF9F">
      <w:pPr>
        <w:pStyle w:val="19"/>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投标人名称（加盖公章）：</w:t>
      </w:r>
      <w:r>
        <w:rPr>
          <w:rFonts w:hint="eastAsia" w:ascii="仿宋" w:hAnsi="仿宋" w:eastAsia="仿宋" w:cs="仿宋"/>
          <w:color w:val="auto"/>
          <w:sz w:val="28"/>
          <w:szCs w:val="28"/>
          <w:highlight w:val="none"/>
          <w:u w:val="single"/>
        </w:rPr>
        <w:t xml:space="preserve">                    </w:t>
      </w:r>
    </w:p>
    <w:p w14:paraId="2295DFB8">
      <w:pPr>
        <w:pStyle w:val="19"/>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法定代表人（签字盖章）：</w:t>
      </w:r>
      <w:r>
        <w:rPr>
          <w:rFonts w:hint="eastAsia" w:ascii="仿宋" w:hAnsi="仿宋" w:eastAsia="仿宋" w:cs="仿宋"/>
          <w:color w:val="auto"/>
          <w:sz w:val="28"/>
          <w:szCs w:val="28"/>
          <w:highlight w:val="none"/>
          <w:u w:val="single"/>
        </w:rPr>
        <w:t xml:space="preserve">                    </w:t>
      </w:r>
    </w:p>
    <w:p w14:paraId="61D3317D">
      <w:pPr>
        <w:pStyle w:val="19"/>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授权代表（签字）：</w:t>
      </w:r>
      <w:r>
        <w:rPr>
          <w:rFonts w:hint="eastAsia" w:ascii="仿宋" w:hAnsi="仿宋" w:eastAsia="仿宋" w:cs="仿宋"/>
          <w:color w:val="auto"/>
          <w:sz w:val="28"/>
          <w:szCs w:val="28"/>
          <w:highlight w:val="none"/>
          <w:u w:val="single"/>
        </w:rPr>
        <w:t xml:space="preserve">                    </w:t>
      </w:r>
    </w:p>
    <w:p w14:paraId="273D1C56">
      <w:pPr>
        <w:pStyle w:val="19"/>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签署日期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14:paraId="6F7FEA60">
      <w:pPr>
        <w:pStyle w:val="3"/>
        <w:spacing w:before="0" w:line="240" w:lineRule="atLeast"/>
        <w:ind w:left="1080" w:leftChars="257" w:hanging="540"/>
        <w:outlineLvl w:val="2"/>
        <w:rPr>
          <w:rFonts w:hint="eastAsia" w:ascii="仿宋" w:hAnsi="仿宋" w:eastAsia="仿宋" w:cs="仿宋"/>
          <w:b/>
          <w:color w:val="auto"/>
          <w:kern w:val="0"/>
          <w:sz w:val="28"/>
          <w:szCs w:val="28"/>
          <w:highlight w:val="none"/>
          <w:u w:val="none"/>
          <w:lang w:val="en-US" w:eastAsia="zh-CN" w:bidi="ar-SA"/>
        </w:rPr>
      </w:pPr>
      <w:bookmarkStart w:id="672" w:name="_Toc21303"/>
      <w:bookmarkStart w:id="673" w:name="_Toc17347"/>
      <w:bookmarkStart w:id="674" w:name="_Toc19859"/>
      <w:r>
        <w:rPr>
          <w:rFonts w:hint="eastAsia" w:ascii="仿宋" w:hAnsi="仿宋" w:eastAsia="仿宋" w:cs="仿宋"/>
          <w:color w:val="auto"/>
          <w:sz w:val="28"/>
          <w:szCs w:val="28"/>
          <w:highlight w:val="none"/>
        </w:rPr>
        <w:br w:type="page"/>
      </w:r>
      <w:bookmarkStart w:id="675" w:name="_Toc4825"/>
      <w:bookmarkStart w:id="676" w:name="_Toc7564"/>
      <w:r>
        <w:rPr>
          <w:rFonts w:hint="eastAsia" w:ascii="仿宋" w:hAnsi="仿宋" w:eastAsia="仿宋" w:cs="仿宋"/>
          <w:b/>
          <w:color w:val="auto"/>
          <w:kern w:val="0"/>
          <w:sz w:val="28"/>
          <w:szCs w:val="28"/>
          <w:highlight w:val="none"/>
          <w:u w:val="none"/>
          <w:lang w:val="en-US" w:eastAsia="zh-CN" w:bidi="ar-SA"/>
        </w:rPr>
        <w:t>10  投标人没有被限制或取消投标资格的承诺函</w:t>
      </w:r>
      <w:bookmarkEnd w:id="672"/>
      <w:bookmarkEnd w:id="673"/>
      <w:bookmarkEnd w:id="674"/>
      <w:bookmarkEnd w:id="675"/>
      <w:bookmarkEnd w:id="676"/>
    </w:p>
    <w:p w14:paraId="590682AE">
      <w:pPr>
        <w:pStyle w:val="19"/>
        <w:widowControl/>
        <w:spacing w:before="0" w:beforeAutospacing="0" w:after="0" w:afterAutospacing="0"/>
        <w:rPr>
          <w:rFonts w:hint="eastAsia" w:ascii="仿宋" w:hAnsi="仿宋" w:eastAsia="仿宋" w:cs="仿宋"/>
          <w:color w:val="auto"/>
          <w:sz w:val="28"/>
          <w:szCs w:val="28"/>
          <w:highlight w:val="none"/>
        </w:rPr>
      </w:pPr>
    </w:p>
    <w:p w14:paraId="26987670">
      <w:pPr>
        <w:pStyle w:val="19"/>
        <w:widowControl/>
        <w:spacing w:before="0" w:beforeAutospacing="0" w:after="0" w:afterAutospacing="0"/>
        <w:rPr>
          <w:rFonts w:hint="eastAsia" w:ascii="仿宋" w:hAnsi="仿宋" w:eastAsia="仿宋" w:cs="仿宋"/>
          <w:color w:val="auto"/>
          <w:sz w:val="28"/>
          <w:szCs w:val="28"/>
          <w:highlight w:val="none"/>
        </w:rPr>
      </w:pPr>
    </w:p>
    <w:p w14:paraId="0D8CA74E">
      <w:pPr>
        <w:pStyle w:val="19"/>
        <w:widowControl/>
        <w:spacing w:before="0" w:beforeAutospacing="0" w:after="0" w:afterAutospacing="0" w:line="360" w:lineRule="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致：（采购人名称）</w:t>
      </w:r>
    </w:p>
    <w:p w14:paraId="363F25D6">
      <w:pPr>
        <w:pStyle w:val="19"/>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我公司</w:t>
      </w:r>
      <w:r>
        <w:rPr>
          <w:rFonts w:hint="eastAsia" w:ascii="仿宋" w:hAnsi="仿宋" w:eastAsia="仿宋" w:cs="仿宋"/>
          <w:color w:val="auto"/>
          <w:sz w:val="28"/>
          <w:szCs w:val="28"/>
          <w:highlight w:val="none"/>
          <w:u w:val="single"/>
        </w:rPr>
        <w:t xml:space="preserve"> （投标人名称）</w:t>
      </w:r>
      <w:r>
        <w:rPr>
          <w:rFonts w:hint="eastAsia" w:ascii="仿宋" w:hAnsi="仿宋" w:eastAsia="仿宋" w:cs="仿宋"/>
          <w:color w:val="auto"/>
          <w:sz w:val="28"/>
          <w:szCs w:val="28"/>
          <w:highlight w:val="none"/>
        </w:rPr>
        <w:t>作为</w:t>
      </w:r>
      <w:r>
        <w:rPr>
          <w:rFonts w:hint="eastAsia" w:ascii="仿宋" w:hAnsi="仿宋" w:eastAsia="仿宋" w:cs="仿宋"/>
          <w:color w:val="auto"/>
          <w:sz w:val="28"/>
          <w:szCs w:val="28"/>
          <w:highlight w:val="none"/>
          <w:u w:val="single"/>
        </w:rPr>
        <w:t xml:space="preserve"> （项目名称、项目编号）</w:t>
      </w:r>
      <w:r>
        <w:rPr>
          <w:rFonts w:hint="eastAsia" w:ascii="仿宋" w:hAnsi="仿宋" w:eastAsia="仿宋" w:cs="仿宋"/>
          <w:color w:val="auto"/>
          <w:sz w:val="28"/>
          <w:szCs w:val="28"/>
          <w:highlight w:val="none"/>
        </w:rPr>
        <w:t>（以下简称“本项目”）的投标人在此郑重承诺∶</w:t>
      </w:r>
    </w:p>
    <w:p w14:paraId="3CCBCE05">
      <w:pPr>
        <w:pStyle w:val="19"/>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公司承诺我方没有违反现行法律、法规及有关规定而被限制投标情形或者没有被有关行政监督部门限制或取消投标资格情形；否则，仍然投标的行为将纳入政府采购诚信评价予以扣分；若中标也自愿接受取消中标资格的处罚。</w:t>
      </w:r>
    </w:p>
    <w:p w14:paraId="5D1A3B18">
      <w:pPr>
        <w:pStyle w:val="19"/>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p>
    <w:p w14:paraId="12B24C77">
      <w:pPr>
        <w:pStyle w:val="19"/>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特此承诺！</w:t>
      </w:r>
    </w:p>
    <w:p w14:paraId="363231B3">
      <w:pPr>
        <w:pStyle w:val="19"/>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p>
    <w:p w14:paraId="7B2022EA">
      <w:pPr>
        <w:pStyle w:val="19"/>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投标人名称（加盖公章）：</w:t>
      </w:r>
      <w:r>
        <w:rPr>
          <w:rFonts w:hint="eastAsia" w:ascii="仿宋" w:hAnsi="仿宋" w:eastAsia="仿宋" w:cs="仿宋"/>
          <w:color w:val="auto"/>
          <w:sz w:val="28"/>
          <w:szCs w:val="28"/>
          <w:highlight w:val="none"/>
          <w:u w:val="single"/>
        </w:rPr>
        <w:t xml:space="preserve">                    </w:t>
      </w:r>
    </w:p>
    <w:p w14:paraId="2DA0AA53">
      <w:pPr>
        <w:pStyle w:val="19"/>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法定代表人（签字盖章）：</w:t>
      </w:r>
      <w:r>
        <w:rPr>
          <w:rFonts w:hint="eastAsia" w:ascii="仿宋" w:hAnsi="仿宋" w:eastAsia="仿宋" w:cs="仿宋"/>
          <w:color w:val="auto"/>
          <w:sz w:val="28"/>
          <w:szCs w:val="28"/>
          <w:highlight w:val="none"/>
          <w:u w:val="single"/>
        </w:rPr>
        <w:t xml:space="preserve">                    </w:t>
      </w:r>
    </w:p>
    <w:p w14:paraId="05F374E3">
      <w:pPr>
        <w:pStyle w:val="19"/>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授权代表（签字）：</w:t>
      </w:r>
      <w:r>
        <w:rPr>
          <w:rFonts w:hint="eastAsia" w:ascii="仿宋" w:hAnsi="仿宋" w:eastAsia="仿宋" w:cs="仿宋"/>
          <w:color w:val="auto"/>
          <w:sz w:val="28"/>
          <w:szCs w:val="28"/>
          <w:highlight w:val="none"/>
          <w:u w:val="single"/>
        </w:rPr>
        <w:t xml:space="preserve">                    </w:t>
      </w:r>
    </w:p>
    <w:p w14:paraId="678A3A98">
      <w:pPr>
        <w:pStyle w:val="19"/>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签署日期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14:paraId="7A224799">
      <w:pPr>
        <w:pStyle w:val="19"/>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p>
    <w:p w14:paraId="4459940F">
      <w:pPr>
        <w:pStyle w:val="19"/>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p>
    <w:p w14:paraId="793699DC">
      <w:pPr>
        <w:pStyle w:val="19"/>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p>
    <w:p w14:paraId="3FB94119">
      <w:pPr>
        <w:pStyle w:val="19"/>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p>
    <w:p w14:paraId="332889F4">
      <w:pPr>
        <w:pStyle w:val="6"/>
        <w:spacing w:before="0" w:after="0" w:line="240" w:lineRule="atLeast"/>
        <w:jc w:val="center"/>
        <w:outlineLvl w:val="2"/>
        <w:rPr>
          <w:rFonts w:hint="eastAsia" w:ascii="仿宋" w:hAnsi="仿宋" w:eastAsia="仿宋" w:cs="仿宋"/>
          <w:color w:val="auto"/>
          <w:sz w:val="28"/>
          <w:szCs w:val="28"/>
          <w:highlight w:val="none"/>
          <w:u w:val="none"/>
          <w:lang w:val="en-US" w:eastAsia="zh-CN"/>
        </w:rPr>
      </w:pPr>
      <w:bookmarkStart w:id="677" w:name="_Toc2378"/>
      <w:bookmarkStart w:id="678" w:name="_Toc18334"/>
      <w:bookmarkStart w:id="679" w:name="_Toc15877"/>
      <w:bookmarkStart w:id="680" w:name="_Toc30266"/>
      <w:bookmarkStart w:id="681" w:name="_Toc2217"/>
      <w:r>
        <w:rPr>
          <w:rFonts w:hint="eastAsia" w:ascii="仿宋" w:hAnsi="仿宋" w:eastAsia="仿宋" w:cs="仿宋"/>
          <w:color w:val="auto"/>
          <w:sz w:val="28"/>
          <w:szCs w:val="28"/>
          <w:highlight w:val="none"/>
          <w:u w:val="none"/>
          <w:lang w:val="en-US" w:eastAsia="zh-CN"/>
        </w:rPr>
        <w:t>11 投标人需要补充的其他文件和说明。</w:t>
      </w:r>
      <w:bookmarkEnd w:id="677"/>
      <w:bookmarkEnd w:id="678"/>
      <w:bookmarkEnd w:id="679"/>
      <w:bookmarkEnd w:id="680"/>
      <w:bookmarkEnd w:id="681"/>
    </w:p>
    <w:p w14:paraId="0840E89F">
      <w:pPr>
        <w:spacing w:line="240" w:lineRule="atLeast"/>
        <w:ind w:left="1080" w:leftChars="257" w:hanging="540"/>
        <w:jc w:val="center"/>
        <w:rPr>
          <w:rFonts w:hint="eastAsia" w:ascii="仿宋" w:hAnsi="仿宋" w:eastAsia="仿宋" w:cs="仿宋"/>
          <w:color w:val="auto"/>
          <w:sz w:val="24"/>
          <w:highlight w:val="none"/>
        </w:rPr>
      </w:pPr>
    </w:p>
    <w:p w14:paraId="14ABF382">
      <w:pPr>
        <w:widowControl w:val="0"/>
        <w:spacing w:line="360" w:lineRule="auto"/>
        <w:ind w:firstLine="480" w:firstLineChars="20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sz w:val="24"/>
          <w:highlight w:val="none"/>
        </w:rPr>
        <w:br w:type="page"/>
      </w:r>
    </w:p>
    <w:p w14:paraId="1FBCACA1">
      <w:pPr>
        <w:widowControl w:val="0"/>
        <w:autoSpaceDE w:val="0"/>
        <w:autoSpaceDN w:val="0"/>
        <w:adjustRightInd w:val="0"/>
        <w:ind w:firstLine="420"/>
        <w:jc w:val="left"/>
        <w:rPr>
          <w:rFonts w:hint="eastAsia" w:ascii="仿宋" w:hAnsi="仿宋" w:eastAsia="仿宋" w:cs="仿宋"/>
          <w:kern w:val="0"/>
          <w:sz w:val="24"/>
          <w:szCs w:val="20"/>
          <w:highlight w:val="none"/>
          <w:lang w:val="en-US" w:eastAsia="zh-CN" w:bidi="ar-SA"/>
        </w:rPr>
      </w:pPr>
    </w:p>
    <w:p w14:paraId="73B819C9">
      <w:pPr>
        <w:widowControl w:val="0"/>
        <w:autoSpaceDE w:val="0"/>
        <w:autoSpaceDN w:val="0"/>
        <w:adjustRightInd w:val="0"/>
        <w:ind w:firstLine="420"/>
        <w:jc w:val="left"/>
        <w:rPr>
          <w:rFonts w:hint="eastAsia" w:ascii="仿宋" w:hAnsi="仿宋" w:eastAsia="仿宋" w:cs="仿宋"/>
          <w:kern w:val="0"/>
          <w:sz w:val="24"/>
          <w:szCs w:val="20"/>
          <w:highlight w:val="none"/>
          <w:lang w:val="en-US" w:eastAsia="zh-CN" w:bidi="ar-SA"/>
        </w:rPr>
      </w:pPr>
    </w:p>
    <w:p w14:paraId="160DC83C">
      <w:pPr>
        <w:widowControl w:val="0"/>
        <w:autoSpaceDE w:val="0"/>
        <w:autoSpaceDN w:val="0"/>
        <w:adjustRightInd w:val="0"/>
        <w:ind w:firstLine="420"/>
        <w:jc w:val="left"/>
        <w:rPr>
          <w:rFonts w:hint="eastAsia" w:ascii="仿宋" w:hAnsi="仿宋" w:eastAsia="仿宋" w:cs="仿宋"/>
          <w:kern w:val="0"/>
          <w:sz w:val="24"/>
          <w:szCs w:val="20"/>
          <w:highlight w:val="none"/>
          <w:lang w:val="en-US" w:eastAsia="zh-CN" w:bidi="ar-SA"/>
        </w:rPr>
      </w:pPr>
    </w:p>
    <w:p w14:paraId="68128581">
      <w:pPr>
        <w:widowControl w:val="0"/>
        <w:autoSpaceDE w:val="0"/>
        <w:autoSpaceDN w:val="0"/>
        <w:adjustRightInd w:val="0"/>
        <w:ind w:firstLine="420"/>
        <w:jc w:val="left"/>
        <w:rPr>
          <w:rFonts w:hint="eastAsia" w:ascii="仿宋" w:hAnsi="仿宋" w:eastAsia="仿宋" w:cs="仿宋"/>
          <w:kern w:val="0"/>
          <w:sz w:val="24"/>
          <w:szCs w:val="20"/>
          <w:highlight w:val="none"/>
          <w:lang w:val="en-US" w:eastAsia="zh-CN" w:bidi="ar-SA"/>
        </w:rPr>
      </w:pPr>
    </w:p>
    <w:p w14:paraId="3E7E217C">
      <w:pPr>
        <w:widowControl w:val="0"/>
        <w:autoSpaceDE w:val="0"/>
        <w:autoSpaceDN w:val="0"/>
        <w:adjustRightInd w:val="0"/>
        <w:ind w:firstLine="420"/>
        <w:jc w:val="left"/>
        <w:rPr>
          <w:rFonts w:hint="eastAsia" w:ascii="仿宋" w:hAnsi="仿宋" w:eastAsia="仿宋" w:cs="仿宋"/>
          <w:kern w:val="0"/>
          <w:sz w:val="24"/>
          <w:szCs w:val="20"/>
          <w:highlight w:val="none"/>
          <w:lang w:val="en-US" w:eastAsia="zh-CN" w:bidi="ar-SA"/>
        </w:rPr>
      </w:pPr>
    </w:p>
    <w:p w14:paraId="5CE757AA">
      <w:pPr>
        <w:widowControl w:val="0"/>
        <w:autoSpaceDE w:val="0"/>
        <w:autoSpaceDN w:val="0"/>
        <w:adjustRightInd w:val="0"/>
        <w:ind w:firstLine="420"/>
        <w:jc w:val="left"/>
        <w:outlineLvl w:val="9"/>
        <w:rPr>
          <w:rFonts w:hint="eastAsia" w:ascii="仿宋" w:hAnsi="仿宋" w:eastAsia="仿宋" w:cs="仿宋"/>
          <w:kern w:val="0"/>
          <w:sz w:val="24"/>
          <w:szCs w:val="20"/>
          <w:highlight w:val="none"/>
          <w:lang w:val="en-US" w:eastAsia="zh-CN" w:bidi="ar-SA"/>
        </w:rPr>
      </w:pPr>
    </w:p>
    <w:p w14:paraId="12B7EE52">
      <w:pPr>
        <w:widowControl w:val="0"/>
        <w:autoSpaceDE w:val="0"/>
        <w:autoSpaceDN w:val="0"/>
        <w:adjustRightInd w:val="0"/>
        <w:ind w:firstLine="420"/>
        <w:jc w:val="left"/>
        <w:outlineLvl w:val="9"/>
        <w:rPr>
          <w:rFonts w:hint="eastAsia" w:ascii="仿宋" w:hAnsi="仿宋" w:eastAsia="仿宋" w:cs="仿宋"/>
          <w:kern w:val="0"/>
          <w:sz w:val="24"/>
          <w:szCs w:val="20"/>
          <w:highlight w:val="none"/>
          <w:lang w:val="en-US" w:eastAsia="zh-CN" w:bidi="ar-SA"/>
        </w:rPr>
      </w:pPr>
    </w:p>
    <w:p w14:paraId="3527DA31">
      <w:pPr>
        <w:spacing w:line="240" w:lineRule="atLeast"/>
        <w:jc w:val="center"/>
        <w:outlineLvl w:val="9"/>
        <w:rPr>
          <w:rFonts w:hint="eastAsia" w:ascii="仿宋" w:hAnsi="仿宋" w:eastAsia="仿宋" w:cs="仿宋"/>
          <w:bCs/>
          <w:color w:val="auto"/>
          <w:sz w:val="56"/>
          <w:szCs w:val="56"/>
          <w:highlight w:val="none"/>
          <w:lang w:eastAsia="zh-CN"/>
        </w:rPr>
      </w:pPr>
    </w:p>
    <w:p w14:paraId="7C6AC128">
      <w:pPr>
        <w:spacing w:line="240" w:lineRule="atLeast"/>
        <w:jc w:val="center"/>
        <w:outlineLvl w:val="9"/>
        <w:rPr>
          <w:rFonts w:hint="eastAsia" w:ascii="仿宋" w:hAnsi="仿宋" w:eastAsia="仿宋" w:cs="仿宋"/>
          <w:b/>
          <w:color w:val="auto"/>
          <w:sz w:val="48"/>
          <w:szCs w:val="48"/>
          <w:highlight w:val="none"/>
        </w:rPr>
      </w:pPr>
      <w:r>
        <w:rPr>
          <w:rFonts w:hint="eastAsia" w:ascii="仿宋" w:hAnsi="仿宋" w:eastAsia="仿宋" w:cs="仿宋"/>
          <w:b/>
          <w:bCs w:val="0"/>
          <w:color w:val="auto"/>
          <w:sz w:val="52"/>
          <w:szCs w:val="52"/>
          <w:highlight w:val="none"/>
          <w:lang w:eastAsia="zh-CN"/>
        </w:rPr>
        <w:t>叶城县2025年宗朗乡产业园区鲜食玉米加工设备采购项目</w:t>
      </w:r>
      <w:r>
        <w:rPr>
          <w:rFonts w:hint="eastAsia" w:ascii="仿宋" w:hAnsi="仿宋" w:eastAsia="仿宋" w:cs="仿宋"/>
          <w:b/>
          <w:color w:val="auto"/>
          <w:sz w:val="48"/>
          <w:szCs w:val="48"/>
          <w:highlight w:val="none"/>
        </w:rPr>
        <w:t>第</w:t>
      </w:r>
      <w:r>
        <w:rPr>
          <w:rFonts w:hint="eastAsia" w:ascii="仿宋" w:hAnsi="仿宋" w:eastAsia="仿宋" w:cs="仿宋"/>
          <w:b/>
          <w:color w:val="auto"/>
          <w:sz w:val="48"/>
          <w:szCs w:val="48"/>
          <w:highlight w:val="none"/>
          <w:lang w:val="en-US" w:eastAsia="zh-CN"/>
        </w:rPr>
        <w:t>二</w:t>
      </w:r>
      <w:r>
        <w:rPr>
          <w:rFonts w:hint="eastAsia" w:ascii="仿宋" w:hAnsi="仿宋" w:eastAsia="仿宋" w:cs="仿宋"/>
          <w:b/>
          <w:color w:val="auto"/>
          <w:sz w:val="48"/>
          <w:szCs w:val="48"/>
          <w:highlight w:val="none"/>
        </w:rPr>
        <w:t>册</w:t>
      </w:r>
    </w:p>
    <w:p w14:paraId="1BC57311">
      <w:pPr>
        <w:spacing w:line="240" w:lineRule="atLeast"/>
        <w:jc w:val="center"/>
        <w:outlineLvl w:val="9"/>
        <w:rPr>
          <w:rFonts w:hint="eastAsia" w:ascii="仿宋" w:hAnsi="仿宋" w:eastAsia="仿宋" w:cs="仿宋"/>
          <w:b/>
          <w:bCs w:val="0"/>
          <w:color w:val="auto"/>
          <w:sz w:val="72"/>
          <w:szCs w:val="72"/>
          <w:highlight w:val="none"/>
        </w:rPr>
      </w:pPr>
    </w:p>
    <w:p w14:paraId="248A73E4">
      <w:pPr>
        <w:spacing w:line="240" w:lineRule="atLeast"/>
        <w:jc w:val="center"/>
        <w:outlineLvl w:val="9"/>
        <w:rPr>
          <w:rFonts w:hint="eastAsia" w:ascii="仿宋" w:hAnsi="仿宋" w:eastAsia="仿宋" w:cs="仿宋"/>
          <w:bCs/>
          <w:color w:val="auto"/>
          <w:sz w:val="72"/>
          <w:szCs w:val="72"/>
          <w:highlight w:val="none"/>
        </w:rPr>
      </w:pPr>
      <w:r>
        <w:rPr>
          <w:rFonts w:hint="eastAsia" w:ascii="仿宋" w:hAnsi="仿宋" w:eastAsia="仿宋" w:cs="仿宋"/>
          <w:b/>
          <w:bCs w:val="0"/>
          <w:color w:val="auto"/>
          <w:sz w:val="72"/>
          <w:szCs w:val="72"/>
          <w:highlight w:val="none"/>
        </w:rPr>
        <w:t>招标文件</w:t>
      </w:r>
    </w:p>
    <w:p w14:paraId="70F730D4">
      <w:pPr>
        <w:spacing w:line="240" w:lineRule="atLeast"/>
        <w:ind w:left="1080" w:leftChars="257" w:hanging="540"/>
        <w:jc w:val="both"/>
        <w:outlineLvl w:val="9"/>
        <w:rPr>
          <w:rFonts w:hint="eastAsia" w:ascii="仿宋" w:hAnsi="仿宋" w:eastAsia="仿宋" w:cs="仿宋"/>
          <w:b/>
          <w:color w:val="auto"/>
          <w:sz w:val="28"/>
          <w:highlight w:val="none"/>
          <w:lang w:val="en-US" w:eastAsia="zh-CN"/>
        </w:rPr>
      </w:pPr>
      <w:r>
        <w:rPr>
          <w:rFonts w:hint="eastAsia" w:ascii="仿宋" w:hAnsi="仿宋" w:eastAsia="仿宋" w:cs="仿宋"/>
          <w:b/>
          <w:color w:val="auto"/>
          <w:sz w:val="28"/>
          <w:highlight w:val="none"/>
          <w:lang w:val="en-US" w:eastAsia="zh-CN"/>
        </w:rPr>
        <w:t xml:space="preserve"> </w:t>
      </w:r>
    </w:p>
    <w:p w14:paraId="36C7D623">
      <w:pPr>
        <w:spacing w:line="240" w:lineRule="atLeast"/>
        <w:ind w:left="-1"/>
        <w:jc w:val="left"/>
        <w:rPr>
          <w:rFonts w:hint="eastAsia" w:ascii="仿宋" w:hAnsi="仿宋" w:eastAsia="仿宋" w:cs="仿宋"/>
          <w:b/>
          <w:color w:val="auto"/>
          <w:sz w:val="40"/>
          <w:szCs w:val="40"/>
          <w:highlight w:val="none"/>
        </w:rPr>
      </w:pPr>
    </w:p>
    <w:p w14:paraId="40196490">
      <w:pPr>
        <w:spacing w:line="240" w:lineRule="atLeast"/>
        <w:ind w:left="1080" w:leftChars="257" w:hanging="540"/>
        <w:jc w:val="center"/>
        <w:rPr>
          <w:rFonts w:hint="eastAsia" w:ascii="仿宋" w:hAnsi="仿宋" w:eastAsia="仿宋" w:cs="仿宋"/>
          <w:b/>
          <w:color w:val="auto"/>
          <w:sz w:val="52"/>
          <w:highlight w:val="none"/>
        </w:rPr>
      </w:pPr>
    </w:p>
    <w:p w14:paraId="4017CAC7">
      <w:pPr>
        <w:pStyle w:val="2"/>
        <w:tabs>
          <w:tab w:val="left" w:pos="0"/>
        </w:tabs>
        <w:spacing w:before="0" w:after="0" w:line="240" w:lineRule="atLeast"/>
        <w:rPr>
          <w:rFonts w:hint="eastAsia" w:ascii="仿宋" w:hAnsi="仿宋" w:eastAsia="仿宋" w:cs="仿宋"/>
          <w:color w:val="auto"/>
          <w:kern w:val="0"/>
          <w:sz w:val="36"/>
          <w:szCs w:val="22"/>
          <w:highlight w:val="none"/>
        </w:rPr>
      </w:pPr>
      <w:r>
        <w:rPr>
          <w:rFonts w:hint="eastAsia" w:ascii="仿宋" w:hAnsi="仿宋" w:eastAsia="仿宋" w:cs="仿宋"/>
          <w:b w:val="0"/>
          <w:color w:val="auto"/>
          <w:sz w:val="52"/>
          <w:highlight w:val="none"/>
        </w:rPr>
        <w:br w:type="page"/>
      </w:r>
      <w:bookmarkStart w:id="682" w:name="_Toc2994"/>
      <w:bookmarkStart w:id="683" w:name="_Toc3887"/>
      <w:bookmarkStart w:id="684" w:name="_Toc518923124"/>
      <w:bookmarkStart w:id="685" w:name="_Toc216582822"/>
      <w:bookmarkStart w:id="686" w:name="_Toc20639"/>
      <w:bookmarkStart w:id="687" w:name="_Toc9913"/>
      <w:bookmarkStart w:id="688" w:name="_Toc219175634"/>
      <w:bookmarkStart w:id="689" w:name="_Toc29669"/>
      <w:bookmarkStart w:id="690" w:name="_Toc218935350"/>
      <w:bookmarkStart w:id="691" w:name="_Toc21497"/>
      <w:bookmarkStart w:id="692" w:name="_Toc507399902"/>
      <w:r>
        <w:rPr>
          <w:rFonts w:hint="eastAsia" w:ascii="仿宋" w:hAnsi="仿宋" w:eastAsia="仿宋" w:cs="仿宋"/>
          <w:color w:val="auto"/>
          <w:kern w:val="0"/>
          <w:sz w:val="36"/>
          <w:szCs w:val="22"/>
          <w:highlight w:val="none"/>
        </w:rPr>
        <w:t>第三章  投标邀请</w:t>
      </w:r>
      <w:bookmarkEnd w:id="682"/>
      <w:bookmarkEnd w:id="683"/>
      <w:bookmarkEnd w:id="684"/>
      <w:bookmarkEnd w:id="685"/>
      <w:bookmarkEnd w:id="686"/>
      <w:bookmarkEnd w:id="687"/>
      <w:bookmarkEnd w:id="688"/>
      <w:bookmarkEnd w:id="689"/>
      <w:bookmarkEnd w:id="690"/>
      <w:bookmarkEnd w:id="691"/>
      <w:bookmarkEnd w:id="692"/>
    </w:p>
    <w:p w14:paraId="00ADB861">
      <w:pPr>
        <w:pageBreakBefore w:val="0"/>
        <w:kinsoku/>
        <w:wordWrap/>
        <w:overflowPunct/>
        <w:topLinePunct w:val="0"/>
        <w:bidi w:val="0"/>
        <w:snapToGrid/>
        <w:spacing w:line="440" w:lineRule="exact"/>
        <w:jc w:val="center"/>
        <w:textAlignment w:val="auto"/>
        <w:outlineLvl w:val="9"/>
        <w:rPr>
          <w:rFonts w:hint="eastAsia" w:ascii="仿宋" w:hAnsi="仿宋" w:eastAsia="仿宋" w:cs="仿宋"/>
          <w:b/>
          <w:color w:val="auto"/>
          <w:kern w:val="0"/>
          <w:sz w:val="32"/>
          <w:szCs w:val="32"/>
          <w:highlight w:val="none"/>
          <w:lang w:val="en-US" w:eastAsia="zh-CN" w:bidi="ar-SA"/>
        </w:rPr>
      </w:pPr>
      <w:bookmarkStart w:id="693" w:name="_Toc35393789"/>
      <w:bookmarkStart w:id="694" w:name="_Toc28359001"/>
      <w:bookmarkStart w:id="695" w:name="_Toc28359082"/>
      <w:bookmarkStart w:id="696" w:name="_Toc28359005"/>
      <w:bookmarkStart w:id="697" w:name="_Toc35393793"/>
      <w:bookmarkStart w:id="698" w:name="_Toc35393624"/>
      <w:r>
        <w:rPr>
          <w:rFonts w:hint="eastAsia" w:ascii="仿宋" w:hAnsi="仿宋" w:eastAsia="仿宋" w:cs="仿宋"/>
          <w:b/>
          <w:color w:val="auto"/>
          <w:kern w:val="0"/>
          <w:sz w:val="32"/>
          <w:szCs w:val="32"/>
          <w:highlight w:val="none"/>
          <w:lang w:val="en-US" w:eastAsia="zh-CN" w:bidi="ar-SA"/>
        </w:rPr>
        <w:t>叶城县2025年宗朗乡产业园区鲜食玉米加工设备采购项目</w:t>
      </w:r>
    </w:p>
    <w:p w14:paraId="244D2620">
      <w:pPr>
        <w:pageBreakBefore w:val="0"/>
        <w:kinsoku/>
        <w:wordWrap/>
        <w:overflowPunct/>
        <w:topLinePunct w:val="0"/>
        <w:bidi w:val="0"/>
        <w:snapToGrid/>
        <w:spacing w:line="440" w:lineRule="exact"/>
        <w:jc w:val="center"/>
        <w:textAlignment w:val="auto"/>
        <w:outlineLvl w:val="9"/>
        <w:rPr>
          <w:rFonts w:hint="eastAsia" w:ascii="仿宋" w:hAnsi="仿宋" w:eastAsia="仿宋" w:cs="仿宋"/>
          <w:b/>
          <w:color w:val="auto"/>
          <w:kern w:val="0"/>
          <w:sz w:val="32"/>
          <w:szCs w:val="32"/>
          <w:highlight w:val="none"/>
          <w:lang w:val="en-US" w:eastAsia="zh-CN" w:bidi="ar-SA"/>
        </w:rPr>
      </w:pPr>
      <w:r>
        <w:rPr>
          <w:rFonts w:hint="eastAsia" w:ascii="仿宋" w:hAnsi="仿宋" w:eastAsia="仿宋" w:cs="仿宋"/>
          <w:b/>
          <w:color w:val="auto"/>
          <w:kern w:val="0"/>
          <w:sz w:val="32"/>
          <w:szCs w:val="32"/>
          <w:highlight w:val="none"/>
          <w:lang w:val="en-US" w:eastAsia="zh-CN" w:bidi="ar-SA"/>
        </w:rPr>
        <w:t>公开招标公告</w:t>
      </w:r>
      <w:bookmarkEnd w:id="693"/>
      <w:bookmarkEnd w:id="694"/>
    </w:p>
    <w:p w14:paraId="21C565F4">
      <w:pPr>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440" w:lineRule="exact"/>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项目概况</w:t>
      </w:r>
    </w:p>
    <w:p w14:paraId="7B36B586">
      <w:pPr>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lang w:val="en-US" w:eastAsia="zh-CN"/>
        </w:rPr>
        <w:t>叶城县2025年宗朗乡产业园区鲜食玉米加工设备采购项目</w:t>
      </w:r>
      <w:r>
        <w:rPr>
          <w:rFonts w:hint="eastAsia" w:ascii="仿宋" w:hAnsi="仿宋" w:eastAsia="仿宋" w:cs="仿宋"/>
          <w:color w:val="auto"/>
          <w:sz w:val="28"/>
          <w:szCs w:val="28"/>
          <w:highlight w:val="none"/>
        </w:rPr>
        <w:t>招标项目的潜在投标人应在</w:t>
      </w:r>
      <w:r>
        <w:rPr>
          <w:rFonts w:hint="eastAsia" w:ascii="仿宋" w:hAnsi="仿宋" w:eastAsia="仿宋" w:cs="仿宋"/>
          <w:color w:val="auto"/>
          <w:sz w:val="28"/>
          <w:szCs w:val="28"/>
          <w:highlight w:val="none"/>
          <w:u w:val="single"/>
        </w:rPr>
        <w:t>新疆政府采购网上</w:t>
      </w:r>
      <w:r>
        <w:rPr>
          <w:rFonts w:hint="eastAsia" w:ascii="仿宋" w:hAnsi="仿宋" w:eastAsia="仿宋" w:cs="仿宋"/>
          <w:color w:val="auto"/>
          <w:sz w:val="28"/>
          <w:szCs w:val="28"/>
          <w:highlight w:val="none"/>
        </w:rPr>
        <w:t>获取招标文件，并于</w:t>
      </w:r>
      <w:r>
        <w:rPr>
          <w:rFonts w:hint="eastAsia" w:ascii="仿宋" w:hAnsi="仿宋" w:eastAsia="仿宋" w:cs="仿宋"/>
          <w:color w:val="auto"/>
          <w:sz w:val="28"/>
          <w:szCs w:val="28"/>
          <w:highlight w:val="none"/>
          <w:u w:val="single"/>
          <w:lang w:eastAsia="zh-CN"/>
        </w:rPr>
        <w:t>202</w:t>
      </w:r>
      <w:r>
        <w:rPr>
          <w:rFonts w:hint="eastAsia" w:ascii="仿宋" w:hAnsi="仿宋" w:eastAsia="仿宋" w:cs="仿宋"/>
          <w:color w:val="auto"/>
          <w:sz w:val="28"/>
          <w:szCs w:val="28"/>
          <w:highlight w:val="none"/>
          <w:u w:val="single"/>
          <w:lang w:val="en-US" w:eastAsia="zh-CN"/>
        </w:rPr>
        <w:t>5</w:t>
      </w:r>
      <w:r>
        <w:rPr>
          <w:rFonts w:hint="eastAsia" w:ascii="仿宋" w:hAnsi="仿宋" w:eastAsia="仿宋" w:cs="仿宋"/>
          <w:color w:val="auto"/>
          <w:sz w:val="28"/>
          <w:szCs w:val="28"/>
          <w:highlight w:val="none"/>
          <w:u w:val="single"/>
          <w:lang w:eastAsia="zh-CN"/>
        </w:rPr>
        <w:t>年</w:t>
      </w:r>
      <w:r>
        <w:rPr>
          <w:rFonts w:hint="eastAsia" w:ascii="仿宋" w:hAnsi="仿宋" w:eastAsia="仿宋" w:cs="仿宋"/>
          <w:color w:val="auto"/>
          <w:sz w:val="28"/>
          <w:szCs w:val="28"/>
          <w:highlight w:val="none"/>
          <w:u w:val="single"/>
          <w:lang w:val="en-US" w:eastAsia="zh-CN"/>
        </w:rPr>
        <w:t>7</w:t>
      </w:r>
      <w:r>
        <w:rPr>
          <w:rFonts w:hint="eastAsia" w:ascii="仿宋" w:hAnsi="仿宋" w:eastAsia="仿宋" w:cs="仿宋"/>
          <w:color w:val="auto"/>
          <w:sz w:val="28"/>
          <w:szCs w:val="28"/>
          <w:highlight w:val="none"/>
          <w:u w:val="single"/>
          <w:lang w:eastAsia="zh-CN"/>
        </w:rPr>
        <w:t>月</w:t>
      </w:r>
      <w:r>
        <w:rPr>
          <w:rFonts w:hint="eastAsia" w:ascii="仿宋" w:hAnsi="仿宋" w:eastAsia="仿宋" w:cs="仿宋"/>
          <w:color w:val="auto"/>
          <w:sz w:val="28"/>
          <w:szCs w:val="28"/>
          <w:highlight w:val="none"/>
          <w:u w:val="single"/>
          <w:lang w:val="en-US" w:eastAsia="zh-CN"/>
        </w:rPr>
        <w:t>14</w:t>
      </w:r>
      <w:r>
        <w:rPr>
          <w:rFonts w:hint="eastAsia" w:ascii="仿宋" w:hAnsi="仿宋" w:eastAsia="仿宋" w:cs="仿宋"/>
          <w:color w:val="auto"/>
          <w:sz w:val="28"/>
          <w:szCs w:val="28"/>
          <w:highlight w:val="none"/>
          <w:u w:val="single"/>
          <w:lang w:eastAsia="zh-CN"/>
        </w:rPr>
        <w:t>日1</w:t>
      </w:r>
      <w:r>
        <w:rPr>
          <w:rFonts w:hint="eastAsia" w:ascii="仿宋" w:hAnsi="仿宋" w:eastAsia="仿宋" w:cs="仿宋"/>
          <w:color w:val="auto"/>
          <w:sz w:val="28"/>
          <w:szCs w:val="28"/>
          <w:highlight w:val="none"/>
          <w:u w:val="single"/>
          <w:lang w:val="en-US" w:eastAsia="zh-CN"/>
        </w:rPr>
        <w:t>1</w:t>
      </w:r>
      <w:r>
        <w:rPr>
          <w:rFonts w:hint="eastAsia" w:ascii="仿宋" w:hAnsi="仿宋" w:eastAsia="仿宋" w:cs="仿宋"/>
          <w:color w:val="auto"/>
          <w:sz w:val="28"/>
          <w:szCs w:val="28"/>
          <w:highlight w:val="none"/>
          <w:u w:val="single"/>
          <w:lang w:eastAsia="zh-CN"/>
        </w:rPr>
        <w:t>:00</w:t>
      </w:r>
      <w:r>
        <w:rPr>
          <w:rFonts w:hint="eastAsia" w:ascii="仿宋" w:hAnsi="仿宋" w:eastAsia="仿宋" w:cs="仿宋"/>
          <w:bCs/>
          <w:color w:val="auto"/>
          <w:sz w:val="28"/>
          <w:szCs w:val="28"/>
          <w:highlight w:val="none"/>
          <w:u w:val="single"/>
        </w:rPr>
        <w:t>（</w:t>
      </w:r>
      <w:r>
        <w:rPr>
          <w:rFonts w:hint="eastAsia" w:ascii="仿宋" w:hAnsi="仿宋" w:eastAsia="仿宋" w:cs="仿宋"/>
          <w:bCs/>
          <w:color w:val="auto"/>
          <w:sz w:val="28"/>
          <w:szCs w:val="28"/>
          <w:highlight w:val="none"/>
        </w:rPr>
        <w:t>北京时间）前递交投标文件</w:t>
      </w:r>
      <w:r>
        <w:rPr>
          <w:rFonts w:hint="eastAsia" w:ascii="仿宋" w:hAnsi="仿宋" w:eastAsia="仿宋" w:cs="仿宋"/>
          <w:color w:val="auto"/>
          <w:sz w:val="28"/>
          <w:szCs w:val="28"/>
          <w:highlight w:val="none"/>
        </w:rPr>
        <w:t>。</w:t>
      </w:r>
    </w:p>
    <w:p w14:paraId="79A30680">
      <w:pPr>
        <w:pageBreakBefore w:val="0"/>
        <w:kinsoku/>
        <w:wordWrap/>
        <w:overflowPunct/>
        <w:topLinePunct w:val="0"/>
        <w:bidi w:val="0"/>
        <w:snapToGrid/>
        <w:spacing w:before="0" w:line="440" w:lineRule="exact"/>
        <w:jc w:val="left"/>
        <w:textAlignment w:val="auto"/>
        <w:outlineLvl w:val="9"/>
        <w:rPr>
          <w:rFonts w:hint="eastAsia" w:ascii="仿宋" w:hAnsi="仿宋" w:eastAsia="仿宋" w:cs="仿宋"/>
          <w:color w:val="auto"/>
          <w:sz w:val="28"/>
          <w:szCs w:val="28"/>
          <w:highlight w:val="none"/>
        </w:rPr>
      </w:pPr>
      <w:bookmarkStart w:id="699" w:name="_Toc28359002"/>
      <w:bookmarkStart w:id="700" w:name="_Toc28359079"/>
      <w:bookmarkStart w:id="701" w:name="_Toc26432"/>
      <w:bookmarkStart w:id="702" w:name="_Toc13532"/>
      <w:bookmarkStart w:id="703" w:name="_Toc32040"/>
      <w:bookmarkStart w:id="704" w:name="_Toc35393790"/>
      <w:bookmarkStart w:id="705" w:name="_Toc35393621"/>
      <w:bookmarkStart w:id="706" w:name="_Hlk24379207"/>
      <w:r>
        <w:rPr>
          <w:rFonts w:hint="eastAsia" w:ascii="仿宋" w:hAnsi="仿宋" w:eastAsia="仿宋" w:cs="仿宋"/>
          <w:color w:val="auto"/>
          <w:sz w:val="28"/>
          <w:szCs w:val="28"/>
          <w:highlight w:val="none"/>
        </w:rPr>
        <w:t>一、项目基本情况</w:t>
      </w:r>
      <w:bookmarkEnd w:id="699"/>
      <w:bookmarkEnd w:id="700"/>
      <w:bookmarkEnd w:id="701"/>
      <w:bookmarkEnd w:id="702"/>
      <w:bookmarkEnd w:id="703"/>
      <w:bookmarkEnd w:id="704"/>
      <w:bookmarkEnd w:id="705"/>
    </w:p>
    <w:p w14:paraId="095782FB">
      <w:pPr>
        <w:pageBreakBefore w:val="0"/>
        <w:shd w:val="clear" w:color="auto"/>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lang w:eastAsia="zh-CN"/>
        </w:rPr>
      </w:pPr>
      <w:bookmarkStart w:id="707" w:name="_Toc21821"/>
      <w:r>
        <w:rPr>
          <w:rFonts w:hint="eastAsia" w:ascii="仿宋" w:hAnsi="仿宋" w:eastAsia="仿宋" w:cs="仿宋"/>
          <w:color w:val="auto"/>
          <w:sz w:val="28"/>
          <w:szCs w:val="28"/>
          <w:highlight w:val="none"/>
        </w:rPr>
        <w:t>项目编号：</w:t>
      </w:r>
      <w:bookmarkEnd w:id="706"/>
      <w:bookmarkEnd w:id="707"/>
      <w:r>
        <w:rPr>
          <w:rFonts w:hint="eastAsia" w:ascii="仿宋" w:hAnsi="仿宋" w:eastAsia="仿宋" w:cs="仿宋"/>
          <w:color w:val="auto"/>
          <w:sz w:val="28"/>
          <w:szCs w:val="28"/>
          <w:highlight w:val="none"/>
          <w:lang w:eastAsia="zh-CN"/>
        </w:rPr>
        <w:t>KSZJ</w:t>
      </w:r>
      <w:r>
        <w:rPr>
          <w:rFonts w:hint="eastAsia" w:ascii="仿宋" w:hAnsi="仿宋" w:eastAsia="仿宋" w:cs="仿宋"/>
          <w:color w:val="auto"/>
          <w:sz w:val="28"/>
          <w:szCs w:val="28"/>
          <w:highlight w:val="none"/>
          <w:lang w:val="en-US" w:eastAsia="zh-CN"/>
        </w:rPr>
        <w:t>YCX</w:t>
      </w:r>
      <w:r>
        <w:rPr>
          <w:rFonts w:hint="eastAsia" w:ascii="仿宋" w:hAnsi="仿宋" w:eastAsia="仿宋" w:cs="仿宋"/>
          <w:color w:val="auto"/>
          <w:sz w:val="28"/>
          <w:szCs w:val="28"/>
          <w:highlight w:val="none"/>
          <w:lang w:eastAsia="zh-CN"/>
        </w:rPr>
        <w:t>-DHGK-2025-1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号</w:t>
      </w:r>
    </w:p>
    <w:p w14:paraId="376E41BE">
      <w:pPr>
        <w:pageBreakBefore w:val="0"/>
        <w:shd w:val="clear" w:color="auto"/>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项目名称：</w:t>
      </w:r>
      <w:r>
        <w:rPr>
          <w:rFonts w:hint="eastAsia" w:ascii="仿宋" w:hAnsi="仿宋" w:eastAsia="仿宋" w:cs="仿宋"/>
          <w:color w:val="auto"/>
          <w:sz w:val="28"/>
          <w:szCs w:val="28"/>
          <w:highlight w:val="none"/>
          <w:lang w:eastAsia="zh-CN"/>
        </w:rPr>
        <w:t>叶城县2025年宗朗乡产业园区鲜食玉米加工设备采购项目</w:t>
      </w:r>
      <w:r>
        <w:rPr>
          <w:rFonts w:hint="eastAsia" w:ascii="仿宋" w:hAnsi="仿宋" w:eastAsia="仿宋" w:cs="仿宋"/>
          <w:color w:val="auto"/>
          <w:sz w:val="28"/>
          <w:szCs w:val="28"/>
          <w:highlight w:val="none"/>
          <w:lang w:val="en-US" w:eastAsia="zh-CN"/>
        </w:rPr>
        <w:t>采购方式：公开招标</w:t>
      </w:r>
    </w:p>
    <w:p w14:paraId="45F2E210">
      <w:pPr>
        <w:pageBreakBefore w:val="0"/>
        <w:shd w:val="clear" w:color="auto"/>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预算金额（元）：</w:t>
      </w:r>
      <w:r>
        <w:rPr>
          <w:rFonts w:hint="eastAsia" w:ascii="仿宋" w:hAnsi="仿宋" w:eastAsia="仿宋" w:cs="仿宋"/>
          <w:color w:val="auto"/>
          <w:sz w:val="28"/>
          <w:szCs w:val="28"/>
          <w:highlight w:val="none"/>
          <w:lang w:val="en-US" w:eastAsia="zh-CN"/>
        </w:rPr>
        <w:t>3950000.00</w:t>
      </w:r>
      <w:r>
        <w:rPr>
          <w:rFonts w:hint="eastAsia" w:ascii="仿宋" w:hAnsi="仿宋" w:eastAsia="仿宋" w:cs="仿宋"/>
          <w:color w:val="auto"/>
          <w:sz w:val="28"/>
          <w:szCs w:val="28"/>
          <w:highlight w:val="none"/>
          <w:lang w:eastAsia="zh-CN"/>
        </w:rPr>
        <w:t>元</w:t>
      </w:r>
    </w:p>
    <w:p w14:paraId="4A22FFD8">
      <w:pPr>
        <w:pageBreakBefore w:val="0"/>
        <w:shd w:val="clear" w:color="auto"/>
        <w:kinsoku/>
        <w:wordWrap/>
        <w:overflowPunct/>
        <w:topLinePunct w:val="0"/>
        <w:bidi w:val="0"/>
        <w:snapToGrid/>
        <w:spacing w:line="440" w:lineRule="exact"/>
        <w:ind w:firstLine="560" w:firstLineChars="200"/>
        <w:textAlignment w:val="auto"/>
        <w:outlineLvl w:val="9"/>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最高限价（元）：3950000.00元</w:t>
      </w:r>
    </w:p>
    <w:p w14:paraId="78CDB657">
      <w:pPr>
        <w:pageBreakBefore w:val="0"/>
        <w:shd w:val="clear" w:color="auto"/>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采购需求：采购一批气吹剥皮机、挑选输送机、自动滚杠清洗机、龙门提升漂烫机、玉米自动杀菌锅、翻转除水机等鲜食玉米加工设备。</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详见招标需求</w:t>
      </w:r>
      <w:r>
        <w:rPr>
          <w:rFonts w:hint="eastAsia" w:ascii="仿宋" w:hAnsi="仿宋" w:eastAsia="仿宋" w:cs="仿宋"/>
          <w:color w:val="auto"/>
          <w:sz w:val="28"/>
          <w:szCs w:val="28"/>
          <w:highlight w:val="none"/>
          <w:lang w:eastAsia="zh-CN"/>
        </w:rPr>
        <w:t>）</w:t>
      </w:r>
    </w:p>
    <w:p w14:paraId="0530E9FD">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合同履行期限：合同签订完成，履约保证金手续履行完毕，接到委托方供货通知</w:t>
      </w:r>
      <w:r>
        <w:rPr>
          <w:rFonts w:hint="eastAsia" w:ascii="仿宋" w:hAnsi="仿宋" w:eastAsia="仿宋" w:cs="仿宋"/>
          <w:color w:val="000000" w:themeColor="text1"/>
          <w:sz w:val="28"/>
          <w:szCs w:val="28"/>
          <w:highlight w:val="none"/>
          <w:lang w:val="en-US" w:eastAsia="zh-CN"/>
          <w14:textFill>
            <w14:solidFill>
              <w14:schemeClr w14:val="tx1"/>
            </w14:solidFill>
          </w14:textFill>
        </w:rPr>
        <w:t>后90日内</w:t>
      </w:r>
      <w:r>
        <w:rPr>
          <w:rFonts w:hint="eastAsia" w:ascii="仿宋" w:hAnsi="仿宋" w:eastAsia="仿宋" w:cs="仿宋"/>
          <w:color w:val="auto"/>
          <w:sz w:val="28"/>
          <w:szCs w:val="28"/>
          <w:highlight w:val="none"/>
          <w:lang w:val="en-US" w:eastAsia="zh-CN"/>
        </w:rPr>
        <w:t>完成供货。</w:t>
      </w:r>
    </w:p>
    <w:p w14:paraId="4D7F7C88">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本项目（否）接受联合体投标。</w:t>
      </w:r>
    </w:p>
    <w:p w14:paraId="4060BE09">
      <w:pPr>
        <w:pageBreakBefore w:val="0"/>
        <w:kinsoku/>
        <w:wordWrap/>
        <w:overflowPunct/>
        <w:topLinePunct w:val="0"/>
        <w:bidi w:val="0"/>
        <w:snapToGrid/>
        <w:spacing w:before="0" w:line="440" w:lineRule="exact"/>
        <w:jc w:val="left"/>
        <w:textAlignment w:val="auto"/>
        <w:outlineLvl w:val="9"/>
        <w:rPr>
          <w:rFonts w:hint="eastAsia" w:ascii="仿宋" w:hAnsi="仿宋" w:eastAsia="仿宋" w:cs="仿宋"/>
          <w:color w:val="auto"/>
          <w:sz w:val="28"/>
          <w:szCs w:val="28"/>
          <w:highlight w:val="none"/>
        </w:rPr>
      </w:pPr>
      <w:bookmarkStart w:id="708" w:name="_Toc31643"/>
      <w:bookmarkStart w:id="709" w:name="_Toc15151"/>
      <w:bookmarkStart w:id="710" w:name="_Toc35393622"/>
      <w:bookmarkStart w:id="711" w:name="_Toc28359080"/>
      <w:bookmarkStart w:id="712" w:name="_Toc2383"/>
      <w:bookmarkStart w:id="713" w:name="_Toc35393791"/>
      <w:bookmarkStart w:id="714" w:name="_Toc28359003"/>
      <w:r>
        <w:rPr>
          <w:rFonts w:hint="eastAsia" w:ascii="仿宋" w:hAnsi="仿宋" w:eastAsia="仿宋" w:cs="仿宋"/>
          <w:color w:val="auto"/>
          <w:sz w:val="28"/>
          <w:szCs w:val="28"/>
          <w:highlight w:val="none"/>
        </w:rPr>
        <w:t>二、申请人的资格要求：</w:t>
      </w:r>
      <w:bookmarkEnd w:id="708"/>
      <w:bookmarkEnd w:id="709"/>
      <w:bookmarkEnd w:id="710"/>
      <w:bookmarkEnd w:id="711"/>
      <w:bookmarkEnd w:id="712"/>
      <w:bookmarkEnd w:id="713"/>
      <w:bookmarkEnd w:id="714"/>
    </w:p>
    <w:p w14:paraId="77316F3D">
      <w:pPr>
        <w:pageBreakBefore w:val="0"/>
        <w:kinsoku/>
        <w:wordWrap/>
        <w:overflowPunct/>
        <w:topLinePunct w:val="0"/>
        <w:bidi w:val="0"/>
        <w:snapToGrid/>
        <w:spacing w:line="440" w:lineRule="exact"/>
        <w:textAlignment w:val="auto"/>
        <w:outlineLvl w:val="9"/>
        <w:rPr>
          <w:rFonts w:hint="eastAsia" w:ascii="仿宋" w:hAnsi="仿宋" w:eastAsia="仿宋" w:cs="仿宋"/>
          <w:color w:val="auto"/>
          <w:sz w:val="28"/>
          <w:szCs w:val="28"/>
          <w:highlight w:val="none"/>
          <w:lang w:eastAsia="zh-CN"/>
        </w:rPr>
      </w:pPr>
      <w:bookmarkStart w:id="715" w:name="_Toc28359081"/>
      <w:bookmarkStart w:id="716" w:name="_Toc28359004"/>
      <w:bookmarkStart w:id="717" w:name="_Toc25942"/>
      <w:bookmarkStart w:id="718" w:name="_Toc14826"/>
      <w:bookmarkStart w:id="719" w:name="_Toc35393792"/>
      <w:bookmarkStart w:id="720" w:name="_Toc1301"/>
      <w:bookmarkStart w:id="721" w:name="_Toc35393623"/>
      <w:r>
        <w:rPr>
          <w:rFonts w:hint="eastAsia" w:ascii="仿宋" w:hAnsi="仿宋" w:eastAsia="仿宋" w:cs="仿宋"/>
          <w:color w:val="auto"/>
          <w:sz w:val="28"/>
          <w:szCs w:val="28"/>
          <w:highlight w:val="none"/>
        </w:rPr>
        <w:t>1.符合《中华人民共和国政府采购法》第二十二条的规定</w:t>
      </w:r>
      <w:r>
        <w:rPr>
          <w:rFonts w:hint="eastAsia" w:ascii="仿宋" w:hAnsi="仿宋" w:eastAsia="仿宋" w:cs="仿宋"/>
          <w:color w:val="auto"/>
          <w:sz w:val="28"/>
          <w:szCs w:val="28"/>
          <w:highlight w:val="none"/>
          <w:lang w:eastAsia="zh-CN"/>
        </w:rPr>
        <w:t>；</w:t>
      </w:r>
    </w:p>
    <w:p w14:paraId="4DEB8E06">
      <w:pPr>
        <w:pageBreakBefore w:val="0"/>
        <w:kinsoku/>
        <w:wordWrap/>
        <w:overflowPunct/>
        <w:topLinePunct w:val="0"/>
        <w:bidi w:val="0"/>
        <w:snapToGrid/>
        <w:spacing w:line="440" w:lineRule="exact"/>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2.落实政府采购政策需满足的资格要求:</w:t>
      </w:r>
      <w:r>
        <w:rPr>
          <w:rFonts w:hint="eastAsia" w:ascii="仿宋" w:hAnsi="仿宋" w:eastAsia="仿宋" w:cs="仿宋"/>
          <w:b/>
          <w:bCs/>
          <w:color w:val="auto"/>
          <w:sz w:val="28"/>
          <w:szCs w:val="28"/>
          <w:highlight w:val="none"/>
          <w:lang w:eastAsia="zh-CN"/>
        </w:rPr>
        <w:t>本项目</w:t>
      </w:r>
      <w:r>
        <w:rPr>
          <w:rFonts w:hint="eastAsia" w:ascii="仿宋" w:hAnsi="仿宋" w:eastAsia="仿宋" w:cs="仿宋"/>
          <w:b/>
          <w:bCs/>
          <w:color w:val="auto"/>
          <w:sz w:val="28"/>
          <w:szCs w:val="28"/>
          <w:highlight w:val="none"/>
        </w:rPr>
        <w:t>专门面向中小企业</w:t>
      </w:r>
      <w:r>
        <w:rPr>
          <w:rFonts w:hint="eastAsia" w:ascii="仿宋" w:hAnsi="仿宋" w:eastAsia="仿宋" w:cs="仿宋"/>
          <w:color w:val="auto"/>
          <w:sz w:val="28"/>
          <w:szCs w:val="28"/>
          <w:highlight w:val="none"/>
          <w:lang w:eastAsia="zh-CN"/>
        </w:rPr>
        <w:t>；</w:t>
      </w:r>
    </w:p>
    <w:p w14:paraId="48F9408D">
      <w:pPr>
        <w:pageBreakBefore w:val="0"/>
        <w:kinsoku/>
        <w:wordWrap/>
        <w:overflowPunct/>
        <w:topLinePunct w:val="0"/>
        <w:bidi w:val="0"/>
        <w:snapToGrid/>
        <w:spacing w:line="440" w:lineRule="exact"/>
        <w:textAlignment w:val="auto"/>
        <w:outlineLvl w:val="9"/>
        <w:rPr>
          <w:rFonts w:hint="eastAsia" w:ascii="仿宋" w:hAnsi="仿宋" w:eastAsia="仿宋" w:cs="仿宋"/>
          <w:b/>
          <w:bCs/>
          <w:color w:val="auto"/>
          <w:sz w:val="28"/>
          <w:szCs w:val="28"/>
          <w:highlight w:val="none"/>
          <w:lang w:val="en-US" w:eastAsia="zh-CN"/>
        </w:rPr>
      </w:pPr>
    </w:p>
    <w:p w14:paraId="70A111E0">
      <w:pPr>
        <w:pageBreakBefore w:val="0"/>
        <w:kinsoku/>
        <w:wordWrap/>
        <w:overflowPunct/>
        <w:topLinePunct w:val="0"/>
        <w:bidi w:val="0"/>
        <w:snapToGrid/>
        <w:spacing w:before="0" w:line="440" w:lineRule="exact"/>
        <w:jc w:val="left"/>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三、获取招标文件</w:t>
      </w:r>
      <w:bookmarkEnd w:id="715"/>
      <w:bookmarkEnd w:id="716"/>
      <w:bookmarkEnd w:id="717"/>
      <w:bookmarkEnd w:id="718"/>
      <w:bookmarkEnd w:id="719"/>
      <w:bookmarkEnd w:id="720"/>
      <w:bookmarkEnd w:id="721"/>
    </w:p>
    <w:p w14:paraId="36EB3D76">
      <w:pPr>
        <w:pageBreakBefore w:val="0"/>
        <w:kinsoku/>
        <w:wordWrap/>
        <w:overflowPunct/>
        <w:topLinePunct w:val="0"/>
        <w:bidi w:val="0"/>
        <w:snapToGrid/>
        <w:spacing w:line="440" w:lineRule="exact"/>
        <w:ind w:firstLine="54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时间：</w:t>
      </w:r>
      <w:r>
        <w:rPr>
          <w:rFonts w:hint="eastAsia" w:ascii="仿宋" w:hAnsi="仿宋" w:eastAsia="仿宋" w:cs="仿宋"/>
          <w:color w:val="auto"/>
          <w:sz w:val="28"/>
          <w:szCs w:val="28"/>
          <w:highlight w:val="none"/>
          <w:u w:val="single"/>
          <w:lang w:eastAsia="zh-CN"/>
        </w:rPr>
        <w:t>202</w:t>
      </w:r>
      <w:r>
        <w:rPr>
          <w:rFonts w:hint="eastAsia" w:ascii="仿宋" w:hAnsi="仿宋" w:eastAsia="仿宋" w:cs="仿宋"/>
          <w:color w:val="auto"/>
          <w:sz w:val="28"/>
          <w:szCs w:val="28"/>
          <w:highlight w:val="none"/>
          <w:u w:val="single"/>
          <w:lang w:val="en-US" w:eastAsia="zh-CN"/>
        </w:rPr>
        <w:t>5</w:t>
      </w:r>
      <w:r>
        <w:rPr>
          <w:rFonts w:hint="eastAsia" w:ascii="仿宋" w:hAnsi="仿宋" w:eastAsia="仿宋" w:cs="仿宋"/>
          <w:color w:val="auto"/>
          <w:sz w:val="28"/>
          <w:szCs w:val="28"/>
          <w:highlight w:val="none"/>
          <w:u w:val="single"/>
          <w:lang w:eastAsia="zh-CN"/>
        </w:rPr>
        <w:t>年</w:t>
      </w:r>
      <w:r>
        <w:rPr>
          <w:rFonts w:hint="eastAsia" w:ascii="仿宋" w:hAnsi="仿宋" w:eastAsia="仿宋" w:cs="仿宋"/>
          <w:color w:val="auto"/>
          <w:sz w:val="28"/>
          <w:szCs w:val="28"/>
          <w:highlight w:val="none"/>
          <w:u w:val="single"/>
          <w:lang w:val="en-US" w:eastAsia="zh-CN"/>
        </w:rPr>
        <w:t>6月23</w:t>
      </w:r>
      <w:r>
        <w:rPr>
          <w:rFonts w:hint="eastAsia" w:ascii="仿宋" w:hAnsi="仿宋" w:eastAsia="仿宋" w:cs="仿宋"/>
          <w:color w:val="auto"/>
          <w:sz w:val="28"/>
          <w:szCs w:val="28"/>
          <w:highlight w:val="none"/>
          <w:u w:val="single"/>
          <w:lang w:eastAsia="zh-CN"/>
        </w:rPr>
        <w:t>日</w:t>
      </w:r>
      <w:r>
        <w:rPr>
          <w:rFonts w:hint="eastAsia" w:ascii="仿宋" w:hAnsi="仿宋" w:eastAsia="仿宋" w:cs="仿宋"/>
          <w:color w:val="auto"/>
          <w:sz w:val="28"/>
          <w:szCs w:val="28"/>
          <w:highlight w:val="none"/>
        </w:rPr>
        <w:t>至</w:t>
      </w:r>
      <w:r>
        <w:rPr>
          <w:rFonts w:hint="eastAsia" w:ascii="仿宋" w:hAnsi="仿宋" w:eastAsia="仿宋" w:cs="仿宋"/>
          <w:color w:val="auto"/>
          <w:sz w:val="28"/>
          <w:szCs w:val="28"/>
          <w:highlight w:val="none"/>
          <w:u w:val="single"/>
          <w:lang w:eastAsia="zh-CN"/>
        </w:rPr>
        <w:t>202</w:t>
      </w:r>
      <w:r>
        <w:rPr>
          <w:rFonts w:hint="eastAsia" w:ascii="仿宋" w:hAnsi="仿宋" w:eastAsia="仿宋" w:cs="仿宋"/>
          <w:color w:val="auto"/>
          <w:sz w:val="28"/>
          <w:szCs w:val="28"/>
          <w:highlight w:val="none"/>
          <w:u w:val="single"/>
          <w:lang w:val="en-US" w:eastAsia="zh-CN"/>
        </w:rPr>
        <w:t>5</w:t>
      </w:r>
      <w:r>
        <w:rPr>
          <w:rFonts w:hint="eastAsia" w:ascii="仿宋" w:hAnsi="仿宋" w:eastAsia="仿宋" w:cs="仿宋"/>
          <w:color w:val="auto"/>
          <w:sz w:val="28"/>
          <w:szCs w:val="28"/>
          <w:highlight w:val="none"/>
          <w:u w:val="single"/>
          <w:lang w:eastAsia="zh-CN"/>
        </w:rPr>
        <w:t>年</w:t>
      </w:r>
      <w:r>
        <w:rPr>
          <w:rFonts w:hint="eastAsia" w:ascii="仿宋" w:hAnsi="仿宋" w:eastAsia="仿宋" w:cs="仿宋"/>
          <w:color w:val="auto"/>
          <w:sz w:val="28"/>
          <w:szCs w:val="28"/>
          <w:highlight w:val="none"/>
          <w:u w:val="single"/>
          <w:lang w:val="en-US" w:eastAsia="zh-CN"/>
        </w:rPr>
        <w:t>6</w:t>
      </w:r>
      <w:r>
        <w:rPr>
          <w:rFonts w:hint="eastAsia" w:ascii="仿宋" w:hAnsi="仿宋" w:eastAsia="仿宋" w:cs="仿宋"/>
          <w:color w:val="auto"/>
          <w:sz w:val="28"/>
          <w:szCs w:val="28"/>
          <w:highlight w:val="none"/>
          <w:u w:val="single"/>
          <w:lang w:eastAsia="zh-CN"/>
        </w:rPr>
        <w:t>月</w:t>
      </w:r>
      <w:r>
        <w:rPr>
          <w:rFonts w:hint="eastAsia" w:ascii="仿宋" w:hAnsi="仿宋" w:eastAsia="仿宋" w:cs="仿宋"/>
          <w:color w:val="auto"/>
          <w:sz w:val="28"/>
          <w:szCs w:val="28"/>
          <w:highlight w:val="none"/>
          <w:u w:val="single"/>
          <w:lang w:val="en-US" w:eastAsia="zh-CN"/>
        </w:rPr>
        <w:t>30</w:t>
      </w:r>
      <w:r>
        <w:rPr>
          <w:rFonts w:hint="eastAsia" w:ascii="仿宋" w:hAnsi="仿宋" w:eastAsia="仿宋" w:cs="仿宋"/>
          <w:color w:val="auto"/>
          <w:sz w:val="28"/>
          <w:szCs w:val="28"/>
          <w:highlight w:val="none"/>
          <w:u w:val="single"/>
          <w:lang w:eastAsia="zh-CN"/>
        </w:rPr>
        <w:t>日</w:t>
      </w:r>
      <w:r>
        <w:rPr>
          <w:rFonts w:hint="eastAsia" w:ascii="仿宋" w:hAnsi="仿宋" w:eastAsia="仿宋" w:cs="仿宋"/>
          <w:iCs/>
          <w:color w:val="auto"/>
          <w:sz w:val="28"/>
          <w:szCs w:val="28"/>
          <w:highlight w:val="none"/>
          <w:u w:val="single"/>
        </w:rPr>
        <w:t>（</w:t>
      </w:r>
      <w:r>
        <w:rPr>
          <w:rFonts w:hint="eastAsia" w:ascii="仿宋" w:hAnsi="仿宋" w:eastAsia="仿宋" w:cs="仿宋"/>
          <w:i/>
          <w:color w:val="auto"/>
          <w:sz w:val="28"/>
          <w:szCs w:val="28"/>
          <w:highlight w:val="none"/>
          <w:u w:val="single"/>
        </w:rPr>
        <w:t>提供期限自本公告发布之日起不得少于5个工作日</w:t>
      </w:r>
      <w:r>
        <w:rPr>
          <w:rFonts w:hint="eastAsia" w:ascii="仿宋" w:hAnsi="仿宋" w:eastAsia="仿宋" w:cs="仿宋"/>
          <w:iCs/>
          <w:color w:val="auto"/>
          <w:sz w:val="28"/>
          <w:szCs w:val="28"/>
          <w:highlight w:val="none"/>
          <w:u w:val="single"/>
        </w:rPr>
        <w:t>）</w:t>
      </w:r>
      <w:r>
        <w:rPr>
          <w:rFonts w:hint="eastAsia" w:ascii="仿宋" w:hAnsi="仿宋" w:eastAsia="仿宋" w:cs="仿宋"/>
          <w:color w:val="auto"/>
          <w:sz w:val="28"/>
          <w:szCs w:val="28"/>
          <w:highlight w:val="none"/>
        </w:rPr>
        <w:t>，每天上午</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u w:val="single"/>
        </w:rPr>
        <w:t>0:00</w:t>
      </w:r>
      <w:r>
        <w:rPr>
          <w:rFonts w:hint="eastAsia" w:ascii="仿宋" w:hAnsi="仿宋" w:eastAsia="仿宋" w:cs="仿宋"/>
          <w:color w:val="auto"/>
          <w:sz w:val="28"/>
          <w:szCs w:val="28"/>
          <w:highlight w:val="none"/>
        </w:rPr>
        <w:t>至</w:t>
      </w:r>
      <w:r>
        <w:rPr>
          <w:rFonts w:hint="eastAsia" w:ascii="仿宋" w:hAnsi="仿宋" w:eastAsia="仿宋" w:cs="仿宋"/>
          <w:color w:val="auto"/>
          <w:sz w:val="28"/>
          <w:szCs w:val="28"/>
          <w:highlight w:val="none"/>
          <w:u w:val="single"/>
        </w:rPr>
        <w:t>14:00</w:t>
      </w:r>
      <w:r>
        <w:rPr>
          <w:rFonts w:hint="eastAsia" w:ascii="仿宋" w:hAnsi="仿宋" w:eastAsia="仿宋" w:cs="仿宋"/>
          <w:color w:val="auto"/>
          <w:sz w:val="28"/>
          <w:szCs w:val="28"/>
          <w:highlight w:val="none"/>
        </w:rPr>
        <w:t>，下午</w:t>
      </w:r>
      <w:r>
        <w:rPr>
          <w:rFonts w:hint="eastAsia" w:ascii="仿宋" w:hAnsi="仿宋" w:eastAsia="仿宋" w:cs="仿宋"/>
          <w:color w:val="auto"/>
          <w:sz w:val="28"/>
          <w:szCs w:val="28"/>
          <w:highlight w:val="none"/>
          <w:u w:val="single"/>
        </w:rPr>
        <w:t>1</w:t>
      </w:r>
      <w:r>
        <w:rPr>
          <w:rFonts w:hint="eastAsia" w:ascii="仿宋" w:hAnsi="仿宋" w:eastAsia="仿宋" w:cs="仿宋"/>
          <w:color w:val="auto"/>
          <w:sz w:val="28"/>
          <w:szCs w:val="28"/>
          <w:highlight w:val="none"/>
          <w:u w:val="single"/>
          <w:lang w:val="en-US" w:eastAsia="zh-CN"/>
        </w:rPr>
        <w:t>4</w:t>
      </w:r>
      <w:r>
        <w:rPr>
          <w:rFonts w:hint="eastAsia" w:ascii="仿宋" w:hAnsi="仿宋" w:eastAsia="仿宋" w:cs="仿宋"/>
          <w:color w:val="auto"/>
          <w:sz w:val="28"/>
          <w:szCs w:val="28"/>
          <w:highlight w:val="none"/>
          <w:u w:val="single"/>
        </w:rPr>
        <w:t>:</w:t>
      </w:r>
      <w:r>
        <w:rPr>
          <w:rFonts w:hint="eastAsia" w:ascii="仿宋" w:hAnsi="仿宋" w:eastAsia="仿宋" w:cs="仿宋"/>
          <w:color w:val="auto"/>
          <w:sz w:val="28"/>
          <w:szCs w:val="28"/>
          <w:highlight w:val="none"/>
          <w:u w:val="single"/>
          <w:lang w:val="en-US" w:eastAsia="zh-CN"/>
        </w:rPr>
        <w:t>0</w:t>
      </w:r>
      <w:r>
        <w:rPr>
          <w:rFonts w:hint="eastAsia" w:ascii="仿宋" w:hAnsi="仿宋" w:eastAsia="仿宋" w:cs="仿宋"/>
          <w:color w:val="auto"/>
          <w:sz w:val="28"/>
          <w:szCs w:val="28"/>
          <w:highlight w:val="none"/>
          <w:u w:val="single"/>
        </w:rPr>
        <w:t>0</w:t>
      </w:r>
      <w:r>
        <w:rPr>
          <w:rFonts w:hint="eastAsia" w:ascii="仿宋" w:hAnsi="仿宋" w:eastAsia="仿宋" w:cs="仿宋"/>
          <w:color w:val="auto"/>
          <w:sz w:val="28"/>
          <w:szCs w:val="28"/>
          <w:highlight w:val="none"/>
        </w:rPr>
        <w:t>至</w:t>
      </w:r>
      <w:r>
        <w:rPr>
          <w:rFonts w:hint="eastAsia" w:ascii="仿宋" w:hAnsi="仿宋" w:eastAsia="仿宋" w:cs="仿宋"/>
          <w:color w:val="auto"/>
          <w:sz w:val="28"/>
          <w:szCs w:val="28"/>
          <w:highlight w:val="none"/>
          <w:u w:val="single"/>
          <w:lang w:val="en-US" w:eastAsia="zh-CN"/>
        </w:rPr>
        <w:t>23</w:t>
      </w:r>
      <w:r>
        <w:rPr>
          <w:rFonts w:hint="eastAsia" w:ascii="仿宋" w:hAnsi="仿宋" w:eastAsia="仿宋" w:cs="仿宋"/>
          <w:color w:val="auto"/>
          <w:sz w:val="28"/>
          <w:szCs w:val="28"/>
          <w:highlight w:val="none"/>
          <w:u w:val="single"/>
        </w:rPr>
        <w:t>:</w:t>
      </w:r>
      <w:r>
        <w:rPr>
          <w:rFonts w:hint="eastAsia" w:ascii="仿宋" w:hAnsi="仿宋" w:eastAsia="仿宋" w:cs="仿宋"/>
          <w:color w:val="auto"/>
          <w:sz w:val="28"/>
          <w:szCs w:val="28"/>
          <w:highlight w:val="none"/>
          <w:u w:val="single"/>
          <w:lang w:val="en-US" w:eastAsia="zh-CN"/>
        </w:rPr>
        <w:t>59</w:t>
      </w:r>
      <w:r>
        <w:rPr>
          <w:rFonts w:hint="eastAsia" w:ascii="仿宋" w:hAnsi="仿宋" w:eastAsia="仿宋" w:cs="仿宋"/>
          <w:color w:val="auto"/>
          <w:sz w:val="28"/>
          <w:szCs w:val="28"/>
          <w:highlight w:val="none"/>
        </w:rPr>
        <w:t>（北京时间，法定节假日除外）</w:t>
      </w:r>
    </w:p>
    <w:p w14:paraId="1F58B011">
      <w:pPr>
        <w:pageBreakBefore w:val="0"/>
        <w:kinsoku/>
        <w:wordWrap/>
        <w:overflowPunct/>
        <w:topLinePunct w:val="0"/>
        <w:bidi w:val="0"/>
        <w:snapToGrid/>
        <w:spacing w:line="440" w:lineRule="exact"/>
        <w:ind w:firstLine="560" w:firstLineChars="200"/>
        <w:jc w:val="left"/>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地点：新疆政府采购网政采云平</w:t>
      </w:r>
      <w:r>
        <w:rPr>
          <w:rFonts w:hint="eastAsia" w:ascii="仿宋" w:hAnsi="仿宋" w:eastAsia="仿宋" w:cs="仿宋"/>
          <w:color w:val="auto"/>
          <w:sz w:val="28"/>
          <w:szCs w:val="28"/>
          <w:highlight w:val="none"/>
          <w:lang w:val="en-US" w:eastAsia="zh-CN"/>
        </w:rPr>
        <w:t>台（http://www.ccgp-xinjiang.gov.cn/）</w:t>
      </w:r>
    </w:p>
    <w:p w14:paraId="359AC2D3">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方式：供应商登录政采云平台https://www.zcygov.cn/在线申请获取采购文件（进入“项目采购”应用，在获取采购文件菜单中选择项目，申请获取采购文件）</w:t>
      </w:r>
    </w:p>
    <w:p w14:paraId="2461425D">
      <w:pPr>
        <w:pageBreakBefore w:val="0"/>
        <w:kinsoku/>
        <w:wordWrap/>
        <w:overflowPunct/>
        <w:topLinePunct w:val="0"/>
        <w:bidi w:val="0"/>
        <w:snapToGrid/>
        <w:spacing w:line="440" w:lineRule="exact"/>
        <w:ind w:firstLine="54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售价：0.00元</w:t>
      </w:r>
    </w:p>
    <w:p w14:paraId="763A89D5">
      <w:pPr>
        <w:pageBreakBefore w:val="0"/>
        <w:tabs>
          <w:tab w:val="left" w:pos="7505"/>
        </w:tabs>
        <w:kinsoku/>
        <w:wordWrap/>
        <w:overflowPunct/>
        <w:topLinePunct w:val="0"/>
        <w:bidi w:val="0"/>
        <w:snapToGrid/>
        <w:spacing w:before="0" w:line="440" w:lineRule="exact"/>
        <w:jc w:val="left"/>
        <w:textAlignment w:val="auto"/>
        <w:outlineLvl w:val="9"/>
        <w:rPr>
          <w:rFonts w:hint="eastAsia" w:ascii="仿宋" w:hAnsi="仿宋" w:eastAsia="仿宋" w:cs="仿宋"/>
          <w:color w:val="auto"/>
          <w:sz w:val="28"/>
          <w:szCs w:val="28"/>
          <w:highlight w:val="none"/>
          <w:lang w:eastAsia="zh-CN"/>
        </w:rPr>
      </w:pPr>
      <w:bookmarkStart w:id="722" w:name="_Toc31490"/>
      <w:bookmarkStart w:id="723" w:name="_Toc9495"/>
      <w:bookmarkStart w:id="724" w:name="_Toc16520"/>
      <w:r>
        <w:rPr>
          <w:rFonts w:hint="eastAsia" w:ascii="仿宋" w:hAnsi="仿宋" w:eastAsia="仿宋" w:cs="仿宋"/>
          <w:color w:val="auto"/>
          <w:sz w:val="28"/>
          <w:szCs w:val="28"/>
          <w:highlight w:val="none"/>
        </w:rPr>
        <w:t>四、提交投标文件</w:t>
      </w:r>
      <w:bookmarkEnd w:id="695"/>
      <w:bookmarkEnd w:id="696"/>
      <w:r>
        <w:rPr>
          <w:rFonts w:hint="eastAsia" w:ascii="仿宋" w:hAnsi="仿宋" w:eastAsia="仿宋" w:cs="仿宋"/>
          <w:color w:val="auto"/>
          <w:sz w:val="28"/>
          <w:szCs w:val="28"/>
          <w:highlight w:val="none"/>
        </w:rPr>
        <w:t>截止时间、开标时间和地点</w:t>
      </w:r>
      <w:bookmarkEnd w:id="697"/>
      <w:bookmarkEnd w:id="698"/>
      <w:bookmarkEnd w:id="722"/>
      <w:bookmarkEnd w:id="723"/>
      <w:bookmarkEnd w:id="724"/>
      <w:r>
        <w:rPr>
          <w:rFonts w:hint="eastAsia" w:ascii="仿宋" w:hAnsi="仿宋" w:eastAsia="仿宋" w:cs="仿宋"/>
          <w:color w:val="auto"/>
          <w:sz w:val="28"/>
          <w:szCs w:val="28"/>
          <w:highlight w:val="none"/>
          <w:lang w:eastAsia="zh-CN"/>
        </w:rPr>
        <w:tab/>
      </w:r>
    </w:p>
    <w:p w14:paraId="397F0F9D">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bookmarkStart w:id="725" w:name="_Toc28359084"/>
      <w:bookmarkStart w:id="726" w:name="_Toc28359007"/>
      <w:bookmarkStart w:id="727" w:name="_Toc23511"/>
      <w:bookmarkStart w:id="728" w:name="_Toc9854"/>
      <w:bookmarkStart w:id="729" w:name="_Toc35393794"/>
      <w:bookmarkStart w:id="730" w:name="_Toc35393625"/>
      <w:bookmarkStart w:id="731" w:name="_Toc10851"/>
      <w:r>
        <w:rPr>
          <w:rFonts w:hint="eastAsia" w:ascii="仿宋" w:hAnsi="仿宋" w:eastAsia="仿宋" w:cs="仿宋"/>
          <w:color w:val="auto"/>
          <w:sz w:val="28"/>
          <w:szCs w:val="28"/>
          <w:highlight w:val="none"/>
        </w:rPr>
        <w:t>提交投标文件截止时间：</w:t>
      </w:r>
      <w:r>
        <w:rPr>
          <w:rFonts w:hint="eastAsia" w:ascii="仿宋" w:hAnsi="仿宋" w:eastAsia="仿宋" w:cs="仿宋"/>
          <w:color w:val="auto"/>
          <w:sz w:val="28"/>
          <w:szCs w:val="28"/>
          <w:highlight w:val="none"/>
          <w:lang w:eastAsia="zh-CN"/>
        </w:rPr>
        <w:t>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lang w:val="en-US" w:eastAsia="zh-CN"/>
        </w:rPr>
        <w:t>14</w:t>
      </w:r>
      <w:r>
        <w:rPr>
          <w:rFonts w:hint="eastAsia" w:ascii="仿宋" w:hAnsi="仿宋" w:eastAsia="仿宋" w:cs="仿宋"/>
          <w:color w:val="auto"/>
          <w:sz w:val="28"/>
          <w:szCs w:val="28"/>
          <w:highlight w:val="none"/>
          <w:lang w:eastAsia="zh-CN"/>
        </w:rPr>
        <w:t>日</w:t>
      </w:r>
      <w:r>
        <w:rPr>
          <w:rFonts w:hint="eastAsia" w:ascii="仿宋" w:hAnsi="仿宋" w:eastAsia="仿宋" w:cs="仿宋"/>
          <w:color w:val="auto"/>
          <w:sz w:val="28"/>
          <w:szCs w:val="28"/>
          <w:highlight w:val="none"/>
          <w:lang w:val="en-US" w:eastAsia="zh-CN"/>
        </w:rPr>
        <w:t>11</w:t>
      </w:r>
      <w:r>
        <w:rPr>
          <w:rFonts w:hint="eastAsia" w:ascii="仿宋" w:hAnsi="仿宋" w:eastAsia="仿宋" w:cs="仿宋"/>
          <w:color w:val="auto"/>
          <w:sz w:val="28"/>
          <w:szCs w:val="28"/>
          <w:highlight w:val="none"/>
          <w:lang w:eastAsia="zh-CN"/>
        </w:rPr>
        <w:t>:00</w:t>
      </w:r>
      <w:r>
        <w:rPr>
          <w:rFonts w:hint="eastAsia" w:ascii="仿宋" w:hAnsi="仿宋" w:eastAsia="仿宋" w:cs="仿宋"/>
          <w:color w:val="auto"/>
          <w:sz w:val="28"/>
          <w:szCs w:val="28"/>
          <w:highlight w:val="none"/>
        </w:rPr>
        <w:t>（北京时间）</w:t>
      </w:r>
    </w:p>
    <w:p w14:paraId="3C33FF31">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投标地点：请登录政采云投标客户端投标</w:t>
      </w:r>
    </w:p>
    <w:p w14:paraId="54616FB6">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开标时间：</w:t>
      </w:r>
      <w:r>
        <w:rPr>
          <w:rFonts w:hint="eastAsia" w:ascii="仿宋" w:hAnsi="仿宋" w:eastAsia="仿宋" w:cs="仿宋"/>
          <w:color w:val="auto"/>
          <w:sz w:val="28"/>
          <w:szCs w:val="28"/>
          <w:highlight w:val="none"/>
          <w:lang w:eastAsia="zh-CN"/>
        </w:rPr>
        <w:t>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lang w:val="en-US" w:eastAsia="zh-CN"/>
        </w:rPr>
        <w:t>14</w:t>
      </w:r>
      <w:r>
        <w:rPr>
          <w:rFonts w:hint="eastAsia" w:ascii="仿宋" w:hAnsi="仿宋" w:eastAsia="仿宋" w:cs="仿宋"/>
          <w:color w:val="auto"/>
          <w:sz w:val="28"/>
          <w:szCs w:val="28"/>
          <w:highlight w:val="none"/>
          <w:lang w:eastAsia="zh-CN"/>
        </w:rPr>
        <w:t>日1</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:00</w:t>
      </w:r>
      <w:r>
        <w:rPr>
          <w:rFonts w:hint="eastAsia" w:ascii="仿宋" w:hAnsi="仿宋" w:eastAsia="仿宋" w:cs="仿宋"/>
          <w:color w:val="auto"/>
          <w:sz w:val="28"/>
          <w:szCs w:val="28"/>
          <w:highlight w:val="none"/>
        </w:rPr>
        <w:t>（（北京时间）</w:t>
      </w:r>
    </w:p>
    <w:p w14:paraId="58BD12F9">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开标地点：投标人登录政采云平台https://www.zcygov.cn/，进入“项目采购-开标评标-右边选择对应项目点击“进入项目”进入开标大厅。</w:t>
      </w:r>
    </w:p>
    <w:p w14:paraId="0F0891C4">
      <w:pPr>
        <w:pageBreakBefore w:val="0"/>
        <w:kinsoku/>
        <w:wordWrap/>
        <w:overflowPunct/>
        <w:topLinePunct w:val="0"/>
        <w:bidi w:val="0"/>
        <w:snapToGrid/>
        <w:spacing w:before="0" w:line="440" w:lineRule="exact"/>
        <w:jc w:val="left"/>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五、公告期限</w:t>
      </w:r>
      <w:bookmarkEnd w:id="725"/>
      <w:bookmarkEnd w:id="726"/>
      <w:bookmarkEnd w:id="727"/>
      <w:bookmarkEnd w:id="728"/>
      <w:bookmarkEnd w:id="729"/>
      <w:bookmarkEnd w:id="730"/>
      <w:bookmarkEnd w:id="731"/>
    </w:p>
    <w:p w14:paraId="7BFEF96D">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自本公告发布之日起5个工作日。</w:t>
      </w:r>
    </w:p>
    <w:p w14:paraId="16F8E70E">
      <w:pPr>
        <w:pageBreakBefore w:val="0"/>
        <w:kinsoku/>
        <w:wordWrap/>
        <w:overflowPunct/>
        <w:topLinePunct w:val="0"/>
        <w:bidi w:val="0"/>
        <w:snapToGrid/>
        <w:spacing w:before="0" w:line="440" w:lineRule="exact"/>
        <w:jc w:val="left"/>
        <w:textAlignment w:val="auto"/>
        <w:outlineLvl w:val="9"/>
        <w:rPr>
          <w:rFonts w:hint="eastAsia" w:ascii="仿宋" w:hAnsi="仿宋" w:eastAsia="仿宋" w:cs="仿宋"/>
          <w:color w:val="auto"/>
          <w:sz w:val="28"/>
          <w:szCs w:val="28"/>
          <w:highlight w:val="none"/>
        </w:rPr>
      </w:pPr>
      <w:bookmarkStart w:id="732" w:name="_Toc35393626"/>
      <w:bookmarkStart w:id="733" w:name="_Toc3910"/>
      <w:bookmarkStart w:id="734" w:name="_Toc35393795"/>
      <w:bookmarkStart w:id="735" w:name="_Toc15366"/>
      <w:bookmarkStart w:id="736" w:name="_Toc2420"/>
      <w:r>
        <w:rPr>
          <w:rFonts w:hint="eastAsia" w:ascii="仿宋" w:hAnsi="仿宋" w:eastAsia="仿宋" w:cs="仿宋"/>
          <w:color w:val="auto"/>
          <w:sz w:val="28"/>
          <w:szCs w:val="28"/>
          <w:highlight w:val="none"/>
        </w:rPr>
        <w:t>六、其他补充事宜</w:t>
      </w:r>
      <w:bookmarkEnd w:id="732"/>
      <w:bookmarkEnd w:id="733"/>
      <w:bookmarkEnd w:id="734"/>
      <w:bookmarkEnd w:id="735"/>
      <w:bookmarkEnd w:id="736"/>
    </w:p>
    <w:p w14:paraId="5B2EEFD3">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投标供应商需要使用CA加密设备，凡参加本项目供应商可通过新疆数字证书认证中心官网（https://www.xjca.com.cn/）或下载“新疆政务通”APP自行进行申领。申请政采云平台可使用的CA设备，如原有兵团或公共资源使用的CA，可与新疆CA联系，申请增加电子证书即可，无需重复申领。</w:t>
      </w:r>
    </w:p>
    <w:p w14:paraId="12931EEF">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2.本项目实行网上投标，采用电子投标文件(供应商须使用CA加密设备通过政采云电子投标客户端制作投标文件)。若供应商参与投标，自行承担投标一切费用。</w:t>
      </w:r>
    </w:p>
    <w:p w14:paraId="12BFCC67">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14:paraId="2A7DC3B7">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14:paraId="42ECC00B">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5.供应商在开标时须使用制作加密电子投标文件所使用的CA锁及电脑，电脑须提前配置好浏览器（建议使用360浏览器或谷歌浏览器），以便开标时解锁。</w:t>
      </w:r>
    </w:p>
    <w:p w14:paraId="2EC1943F">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二十</w:t>
      </w:r>
      <w:r>
        <w:rPr>
          <w:rFonts w:hint="eastAsia" w:ascii="仿宋" w:hAnsi="仿宋" w:eastAsia="仿宋" w:cs="仿宋"/>
          <w:color w:val="auto"/>
          <w:sz w:val="28"/>
          <w:szCs w:val="28"/>
          <w:highlight w:val="none"/>
        </w:rPr>
        <w:t>个群联动直播），钉钉工具软件具有回放功能，直播培训结束后可在钉钉群中回放观看学习。</w:t>
      </w:r>
    </w:p>
    <w:p w14:paraId="2C329814">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7.为了保证开评标顺利进行，政采云线上开标功能完全实现，供应商开标所使用的电脑设备须具有视频及语音功能。</w:t>
      </w:r>
    </w:p>
    <w:p w14:paraId="5555A252">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.投标保证金缴纳及确认时间：凡拟参加本次招标项目的供应商，必须在开标前将投标保证金汇入指定账户。投标保证金汇款凭证上用途栏应注明:招标项目名称+投标保证金。否则，届时其投标将被拒绝。</w:t>
      </w:r>
    </w:p>
    <w:p w14:paraId="1275F167">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p>
    <w:p w14:paraId="6599CB76">
      <w:pPr>
        <w:pageBreakBefore w:val="0"/>
        <w:kinsoku/>
        <w:wordWrap/>
        <w:overflowPunct/>
        <w:topLinePunct w:val="0"/>
        <w:bidi w:val="0"/>
        <w:snapToGrid/>
        <w:spacing w:before="0" w:line="440" w:lineRule="exact"/>
        <w:jc w:val="left"/>
        <w:textAlignment w:val="auto"/>
        <w:outlineLvl w:val="9"/>
        <w:rPr>
          <w:rFonts w:hint="eastAsia" w:ascii="仿宋" w:hAnsi="仿宋" w:eastAsia="仿宋" w:cs="仿宋"/>
          <w:color w:val="auto"/>
          <w:sz w:val="28"/>
          <w:szCs w:val="28"/>
          <w:highlight w:val="none"/>
        </w:rPr>
      </w:pPr>
      <w:bookmarkStart w:id="737" w:name="_Toc28359085"/>
      <w:bookmarkStart w:id="738" w:name="_Toc18623"/>
      <w:bookmarkStart w:id="739" w:name="_Toc35393627"/>
      <w:bookmarkStart w:id="740" w:name="_Toc31481"/>
      <w:bookmarkStart w:id="741" w:name="_Toc28359008"/>
      <w:bookmarkStart w:id="742" w:name="_Toc35393796"/>
      <w:bookmarkStart w:id="743" w:name="_Toc14594"/>
      <w:r>
        <w:rPr>
          <w:rFonts w:hint="eastAsia" w:ascii="仿宋" w:hAnsi="仿宋" w:eastAsia="仿宋" w:cs="仿宋"/>
          <w:color w:val="auto"/>
          <w:sz w:val="28"/>
          <w:szCs w:val="28"/>
          <w:highlight w:val="none"/>
        </w:rPr>
        <w:t>七、对本次招标提出询问，请按以下方式联系</w:t>
      </w:r>
      <w:bookmarkEnd w:id="737"/>
      <w:bookmarkEnd w:id="738"/>
      <w:bookmarkEnd w:id="739"/>
      <w:bookmarkEnd w:id="740"/>
      <w:bookmarkEnd w:id="741"/>
      <w:bookmarkEnd w:id="742"/>
      <w:bookmarkEnd w:id="743"/>
    </w:p>
    <w:p w14:paraId="7DF038EF">
      <w:pPr>
        <w:pageBreakBefore w:val="0"/>
        <w:widowControl/>
        <w:kinsoku/>
        <w:wordWrap/>
        <w:overflowPunct/>
        <w:topLinePunct w:val="0"/>
        <w:bidi w:val="0"/>
        <w:snapToGrid/>
        <w:spacing w:line="440" w:lineRule="exact"/>
        <w:jc w:val="left"/>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w:t>
      </w:r>
      <w:bookmarkStart w:id="744" w:name="_Toc18694"/>
      <w:r>
        <w:rPr>
          <w:rFonts w:hint="eastAsia" w:ascii="仿宋" w:hAnsi="仿宋" w:eastAsia="仿宋" w:cs="仿宋"/>
          <w:color w:val="auto"/>
          <w:sz w:val="28"/>
          <w:szCs w:val="28"/>
          <w:highlight w:val="none"/>
        </w:rPr>
        <w:t>1.采购人信息</w:t>
      </w:r>
      <w:bookmarkEnd w:id="744"/>
    </w:p>
    <w:p w14:paraId="09264700">
      <w:pPr>
        <w:pageBreakBefore w:val="0"/>
        <w:kinsoku/>
        <w:wordWrap/>
        <w:overflowPunct/>
        <w:topLinePunct w:val="0"/>
        <w:bidi w:val="0"/>
        <w:snapToGrid/>
        <w:spacing w:line="440" w:lineRule="exact"/>
        <w:ind w:left="1129" w:leftChars="371" w:hanging="350" w:hangingChars="125"/>
        <w:jc w:val="left"/>
        <w:textAlignment w:val="auto"/>
        <w:outlineLvl w:val="9"/>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rPr>
        <w:t>名 称：</w:t>
      </w:r>
      <w:r>
        <w:rPr>
          <w:rFonts w:hint="eastAsia" w:ascii="仿宋" w:hAnsi="仿宋" w:eastAsia="仿宋" w:cs="仿宋"/>
          <w:color w:val="auto"/>
          <w:sz w:val="28"/>
          <w:szCs w:val="28"/>
          <w:highlight w:val="none"/>
          <w:u w:val="single"/>
          <w:lang w:eastAsia="zh-CN"/>
        </w:rPr>
        <w:t>叶城县宗朗乡人民政府</w:t>
      </w:r>
    </w:p>
    <w:p w14:paraId="36374237">
      <w:pPr>
        <w:pageBreakBefore w:val="0"/>
        <w:kinsoku/>
        <w:wordWrap/>
        <w:overflowPunct/>
        <w:topLinePunct w:val="0"/>
        <w:bidi w:val="0"/>
        <w:snapToGrid/>
        <w:spacing w:line="440" w:lineRule="exact"/>
        <w:ind w:left="1129" w:leftChars="371" w:hanging="350" w:hangingChars="125"/>
        <w:jc w:val="left"/>
        <w:textAlignment w:val="auto"/>
        <w:outlineLvl w:val="9"/>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rPr>
        <w:t>地 址：</w:t>
      </w:r>
      <w:r>
        <w:rPr>
          <w:rFonts w:hint="eastAsia" w:ascii="仿宋" w:hAnsi="仿宋" w:eastAsia="仿宋" w:cs="仿宋"/>
          <w:color w:val="auto"/>
          <w:sz w:val="28"/>
          <w:szCs w:val="28"/>
          <w:highlight w:val="none"/>
          <w:u w:val="single"/>
          <w:lang w:eastAsia="zh-CN"/>
        </w:rPr>
        <w:t>叶城县宗朗乡人民政府</w:t>
      </w:r>
    </w:p>
    <w:p w14:paraId="24DEAAA5">
      <w:pPr>
        <w:pageBreakBefore w:val="0"/>
        <w:kinsoku/>
        <w:wordWrap/>
        <w:overflowPunct/>
        <w:topLinePunct w:val="0"/>
        <w:bidi w:val="0"/>
        <w:snapToGrid/>
        <w:spacing w:line="440" w:lineRule="exact"/>
        <w:ind w:left="1129" w:leftChars="371" w:hanging="350" w:hangingChars="125"/>
        <w:jc w:val="left"/>
        <w:textAlignment w:val="auto"/>
        <w:outlineLvl w:val="9"/>
        <w:rPr>
          <w:rFonts w:hint="default"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联系方式：</w:t>
      </w:r>
      <w:bookmarkStart w:id="745" w:name="OLE_LINK1"/>
      <w:bookmarkStart w:id="746" w:name="_Toc28359086"/>
      <w:bookmarkStart w:id="747" w:name="_Toc28359009"/>
      <w:bookmarkStart w:id="748" w:name="_Toc27055"/>
      <w:r>
        <w:rPr>
          <w:rFonts w:hint="eastAsia" w:ascii="仿宋" w:hAnsi="仿宋" w:eastAsia="仿宋" w:cs="仿宋"/>
          <w:color w:val="auto"/>
          <w:sz w:val="28"/>
          <w:szCs w:val="28"/>
          <w:highlight w:val="none"/>
          <w:u w:val="single"/>
          <w:lang w:val="en-US" w:eastAsia="zh-CN"/>
        </w:rPr>
        <w:t>18323632868</w:t>
      </w:r>
    </w:p>
    <w:bookmarkEnd w:id="745"/>
    <w:p w14:paraId="4FE3F509">
      <w:pPr>
        <w:pageBreakBefore w:val="0"/>
        <w:kinsoku/>
        <w:wordWrap/>
        <w:overflowPunct/>
        <w:topLinePunct w:val="0"/>
        <w:bidi w:val="0"/>
        <w:snapToGrid/>
        <w:spacing w:line="440" w:lineRule="exact"/>
        <w:ind w:left="1129" w:leftChars="371" w:hanging="350" w:hangingChars="125"/>
        <w:jc w:val="left"/>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2.采购代理机构信息</w:t>
      </w:r>
      <w:bookmarkEnd w:id="746"/>
      <w:bookmarkEnd w:id="747"/>
      <w:bookmarkEnd w:id="748"/>
      <w:r>
        <w:rPr>
          <w:rFonts w:hint="eastAsia" w:ascii="仿宋" w:hAnsi="仿宋" w:eastAsia="仿宋" w:cs="仿宋"/>
          <w:color w:val="auto"/>
          <w:sz w:val="28"/>
          <w:szCs w:val="28"/>
          <w:highlight w:val="none"/>
        </w:rPr>
        <w:t xml:space="preserve"> </w:t>
      </w:r>
    </w:p>
    <w:p w14:paraId="53707C03">
      <w:pPr>
        <w:pageBreakBefore w:val="0"/>
        <w:kinsoku/>
        <w:wordWrap/>
        <w:overflowPunct/>
        <w:topLinePunct w:val="0"/>
        <w:bidi w:val="0"/>
        <w:snapToGrid/>
        <w:spacing w:line="440" w:lineRule="exact"/>
        <w:ind w:left="1129" w:leftChars="371" w:hanging="350" w:hangingChars="125"/>
        <w:jc w:val="left"/>
        <w:textAlignment w:val="auto"/>
        <w:outlineLvl w:val="9"/>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rPr>
        <w:t>名 称：</w:t>
      </w:r>
      <w:r>
        <w:rPr>
          <w:rFonts w:hint="eastAsia" w:ascii="仿宋" w:hAnsi="仿宋" w:eastAsia="仿宋" w:cs="仿宋"/>
          <w:color w:val="auto"/>
          <w:sz w:val="28"/>
          <w:szCs w:val="28"/>
          <w:highlight w:val="none"/>
          <w:u w:val="single"/>
          <w:lang w:eastAsia="zh-CN"/>
        </w:rPr>
        <w:t>新疆中京工程项目管理有限公司</w:t>
      </w:r>
    </w:p>
    <w:p w14:paraId="6C93D1AF">
      <w:pPr>
        <w:pageBreakBefore w:val="0"/>
        <w:kinsoku/>
        <w:wordWrap/>
        <w:overflowPunct/>
        <w:topLinePunct w:val="0"/>
        <w:bidi w:val="0"/>
        <w:snapToGrid/>
        <w:spacing w:line="440" w:lineRule="exact"/>
        <w:ind w:firstLine="840" w:firstLineChars="300"/>
        <w:textAlignment w:val="auto"/>
        <w:outlineLvl w:val="9"/>
        <w:rPr>
          <w:rFonts w:hint="eastAsia" w:ascii="仿宋" w:hAnsi="仿宋" w:eastAsia="仿宋" w:cs="仿宋"/>
          <w:color w:val="E54C5E" w:themeColor="accent6"/>
          <w:sz w:val="28"/>
          <w:szCs w:val="28"/>
          <w:highlight w:val="none"/>
          <w:lang w:val="en-US" w:eastAsia="zh-CN"/>
          <w14:textFill>
            <w14:solidFill>
              <w14:schemeClr w14:val="accent6"/>
            </w14:solidFill>
          </w14:textFill>
        </w:rPr>
      </w:pPr>
      <w:r>
        <w:rPr>
          <w:rFonts w:hint="eastAsia" w:ascii="仿宋" w:hAnsi="仿宋" w:eastAsia="仿宋" w:cs="仿宋"/>
          <w:color w:val="000000" w:themeColor="text1"/>
          <w:sz w:val="28"/>
          <w:szCs w:val="28"/>
          <w:highlight w:val="none"/>
          <w14:textFill>
            <w14:solidFill>
              <w14:schemeClr w14:val="tx1"/>
            </w14:solidFill>
          </w14:textFill>
        </w:rPr>
        <w:t>地　址：</w:t>
      </w:r>
      <w:r>
        <w:rPr>
          <w:rFonts w:hint="eastAsia" w:ascii="仿宋" w:hAnsi="仿宋" w:eastAsia="仿宋" w:cs="仿宋"/>
          <w:color w:val="000000" w:themeColor="text1"/>
          <w:sz w:val="28"/>
          <w:szCs w:val="28"/>
          <w:highlight w:val="none"/>
          <w:lang w:val="en-US" w:eastAsia="zh-CN"/>
          <w14:textFill>
            <w14:solidFill>
              <w14:schemeClr w14:val="tx1"/>
            </w14:solidFill>
          </w14:textFill>
        </w:rPr>
        <w:t>新疆喀什地区喀什市多来提巴格乡29村世纪大道南路66号中亚商贸第一城11幢4层34号</w:t>
      </w:r>
    </w:p>
    <w:p w14:paraId="4D07CAFF">
      <w:pPr>
        <w:pageBreakBefore w:val="0"/>
        <w:kinsoku/>
        <w:wordWrap/>
        <w:overflowPunct/>
        <w:topLinePunct w:val="0"/>
        <w:bidi w:val="0"/>
        <w:snapToGrid/>
        <w:spacing w:line="440" w:lineRule="exact"/>
        <w:ind w:firstLine="840" w:firstLineChars="300"/>
        <w:textAlignment w:val="auto"/>
        <w:outlineLvl w:val="9"/>
        <w:rPr>
          <w:rFonts w:hint="eastAsia"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u w:val="none"/>
          <w:lang w:val="en-US" w:eastAsia="zh-CN"/>
        </w:rPr>
        <w:t>联系方式：</w:t>
      </w:r>
      <w:r>
        <w:rPr>
          <w:rFonts w:hint="eastAsia" w:ascii="仿宋" w:hAnsi="仿宋" w:eastAsia="仿宋" w:cs="仿宋"/>
          <w:color w:val="auto"/>
          <w:kern w:val="0"/>
          <w:sz w:val="28"/>
          <w:szCs w:val="28"/>
          <w:highlight w:val="none"/>
          <w:u w:val="single"/>
          <w:lang w:val="en-US" w:eastAsia="zh-CN" w:bidi="ar-SA"/>
        </w:rPr>
        <w:t>17767558393</w:t>
      </w:r>
    </w:p>
    <w:p w14:paraId="71F0A805">
      <w:pPr>
        <w:rPr>
          <w:highlight w:val="none"/>
        </w:rPr>
      </w:pPr>
    </w:p>
    <w:p w14:paraId="2F935F9A">
      <w:pPr>
        <w:pageBreakBefore w:val="0"/>
        <w:kinsoku/>
        <w:wordWrap/>
        <w:overflowPunct/>
        <w:topLinePunct w:val="0"/>
        <w:bidi w:val="0"/>
        <w:snapToGrid/>
        <w:spacing w:line="440" w:lineRule="exact"/>
        <w:ind w:firstLine="840" w:firstLineChars="300"/>
        <w:textAlignment w:val="auto"/>
        <w:outlineLvl w:val="9"/>
        <w:rPr>
          <w:rFonts w:hint="eastAsia" w:ascii="仿宋" w:hAnsi="仿宋" w:eastAsia="仿宋" w:cs="仿宋"/>
          <w:color w:val="auto"/>
          <w:sz w:val="28"/>
          <w:szCs w:val="28"/>
          <w:highlight w:val="none"/>
          <w:u w:val="single"/>
          <w:lang w:val="en-US" w:eastAsia="zh-CN"/>
        </w:rPr>
      </w:pPr>
    </w:p>
    <w:p w14:paraId="67FDBED2">
      <w:pPr>
        <w:pStyle w:val="2"/>
        <w:tabs>
          <w:tab w:val="left" w:pos="0"/>
        </w:tabs>
        <w:spacing w:before="0" w:after="0" w:line="240" w:lineRule="atLeast"/>
        <w:rPr>
          <w:rFonts w:hint="eastAsia" w:ascii="仿宋" w:hAnsi="仿宋" w:eastAsia="仿宋" w:cs="仿宋"/>
          <w:color w:val="auto"/>
          <w:kern w:val="0"/>
          <w:sz w:val="36"/>
          <w:szCs w:val="22"/>
          <w:highlight w:val="none"/>
        </w:rPr>
      </w:pPr>
      <w:r>
        <w:rPr>
          <w:rFonts w:hint="eastAsia" w:ascii="仿宋" w:hAnsi="仿宋" w:eastAsia="仿宋" w:cs="仿宋"/>
          <w:color w:val="auto"/>
          <w:kern w:val="0"/>
          <w:szCs w:val="21"/>
          <w:highlight w:val="none"/>
        </w:rPr>
        <w:br w:type="page"/>
      </w:r>
      <w:bookmarkEnd w:id="0"/>
      <w:bookmarkEnd w:id="1"/>
      <w:bookmarkEnd w:id="2"/>
      <w:bookmarkEnd w:id="3"/>
      <w:bookmarkEnd w:id="4"/>
      <w:bookmarkEnd w:id="5"/>
      <w:bookmarkEnd w:id="6"/>
      <w:bookmarkEnd w:id="7"/>
      <w:bookmarkEnd w:id="8"/>
      <w:bookmarkStart w:id="749" w:name="_Toc15069"/>
      <w:bookmarkStart w:id="750" w:name="_Toc7112"/>
      <w:bookmarkStart w:id="751" w:name="_Toc219175638"/>
      <w:bookmarkStart w:id="752" w:name="_Toc26511"/>
      <w:bookmarkStart w:id="753" w:name="_Toc26758"/>
      <w:bookmarkStart w:id="754" w:name="_Toc507399906"/>
      <w:bookmarkStart w:id="755" w:name="_Toc518923126"/>
      <w:bookmarkStart w:id="756" w:name="_Toc512937852"/>
      <w:bookmarkStart w:id="757" w:name="_Toc4497"/>
      <w:bookmarkStart w:id="758" w:name="_Toc218935354"/>
      <w:bookmarkStart w:id="759" w:name="_Toc216582825"/>
      <w:bookmarkStart w:id="760" w:name="_Toc2680"/>
      <w:r>
        <w:rPr>
          <w:rFonts w:hint="eastAsia" w:ascii="仿宋" w:hAnsi="仿宋" w:eastAsia="仿宋" w:cs="仿宋"/>
          <w:color w:val="auto"/>
          <w:kern w:val="0"/>
          <w:sz w:val="36"/>
          <w:szCs w:val="22"/>
          <w:highlight w:val="none"/>
        </w:rPr>
        <w:t>第四章  投标人须知资料表</w:t>
      </w:r>
      <w:bookmarkEnd w:id="749"/>
    </w:p>
    <w:p w14:paraId="354BC2CF">
      <w:pPr>
        <w:spacing w:line="240" w:lineRule="atLeast"/>
        <w:ind w:left="1080" w:leftChars="257" w:hanging="540"/>
        <w:rPr>
          <w:rFonts w:hint="eastAsia" w:ascii="仿宋" w:hAnsi="仿宋" w:eastAsia="仿宋" w:cs="仿宋"/>
          <w:color w:val="auto"/>
          <w:sz w:val="24"/>
          <w:highlight w:val="none"/>
        </w:rPr>
      </w:pPr>
    </w:p>
    <w:p w14:paraId="61793E92">
      <w:pPr>
        <w:spacing w:line="240" w:lineRule="atLeast"/>
        <w:ind w:firstLine="360" w:firstLineChars="150"/>
        <w:rPr>
          <w:rFonts w:hint="eastAsia" w:ascii="仿宋" w:hAnsi="仿宋" w:eastAsia="仿宋" w:cs="仿宋"/>
          <w:color w:val="auto"/>
          <w:sz w:val="28"/>
          <w:szCs w:val="28"/>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8"/>
          <w:szCs w:val="28"/>
          <w:highlight w:val="none"/>
        </w:rPr>
        <w:t>本表是本招标项目的具体资料，是对投标人须知的具体补充和修改，如有矛盾，应</w:t>
      </w:r>
      <w:r>
        <w:rPr>
          <w:rFonts w:hint="eastAsia" w:ascii="仿宋" w:hAnsi="仿宋" w:eastAsia="仿宋" w:cs="仿宋"/>
          <w:b/>
          <w:color w:val="auto"/>
          <w:sz w:val="28"/>
          <w:szCs w:val="28"/>
          <w:highlight w:val="none"/>
        </w:rPr>
        <w:t>以本资料表为准</w:t>
      </w:r>
      <w:r>
        <w:rPr>
          <w:rFonts w:hint="eastAsia" w:ascii="仿宋" w:hAnsi="仿宋" w:eastAsia="仿宋" w:cs="仿宋"/>
          <w:color w:val="auto"/>
          <w:sz w:val="28"/>
          <w:szCs w:val="28"/>
          <w:highlight w:val="none"/>
        </w:rPr>
        <w:t>。</w:t>
      </w:r>
    </w:p>
    <w:tbl>
      <w:tblPr>
        <w:tblStyle w:val="20"/>
        <w:tblW w:w="937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608"/>
        <w:gridCol w:w="197"/>
        <w:gridCol w:w="7572"/>
      </w:tblGrid>
      <w:tr w14:paraId="69B7D0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00" w:hRule="atLeast"/>
        </w:trPr>
        <w:tc>
          <w:tcPr>
            <w:tcW w:w="1608" w:type="dxa"/>
            <w:noWrap w:val="0"/>
            <w:vAlign w:val="center"/>
          </w:tcPr>
          <w:p w14:paraId="69182EA4">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条款号</w:t>
            </w:r>
          </w:p>
        </w:tc>
        <w:tc>
          <w:tcPr>
            <w:tcW w:w="7769" w:type="dxa"/>
            <w:gridSpan w:val="2"/>
            <w:noWrap w:val="0"/>
            <w:vAlign w:val="center"/>
          </w:tcPr>
          <w:p w14:paraId="5877D574">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内      容</w:t>
            </w:r>
          </w:p>
        </w:tc>
      </w:tr>
      <w:tr w14:paraId="2A7C85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trPr>
        <w:tc>
          <w:tcPr>
            <w:tcW w:w="1608" w:type="dxa"/>
            <w:noWrap w:val="0"/>
            <w:vAlign w:val="center"/>
          </w:tcPr>
          <w:p w14:paraId="5A834437">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w:t>
            </w:r>
          </w:p>
        </w:tc>
        <w:tc>
          <w:tcPr>
            <w:tcW w:w="7769" w:type="dxa"/>
            <w:gridSpan w:val="2"/>
            <w:noWrap w:val="0"/>
            <w:vAlign w:val="center"/>
          </w:tcPr>
          <w:p w14:paraId="27EA0C55">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lang w:eastAsia="zh-CN"/>
              </w:rPr>
            </w:pPr>
            <w:r>
              <w:rPr>
                <w:rFonts w:hint="eastAsia" w:ascii="仿宋" w:hAnsi="仿宋" w:eastAsia="仿宋" w:cs="仿宋"/>
                <w:color w:val="auto"/>
                <w:kern w:val="0"/>
                <w:sz w:val="28"/>
                <w:szCs w:val="28"/>
                <w:highlight w:val="none"/>
              </w:rPr>
              <w:t>采购人</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叶城县宗朗乡人民政府</w:t>
            </w:r>
          </w:p>
          <w:p w14:paraId="18C039A6">
            <w:pPr>
              <w:keepNext w:val="0"/>
              <w:keepLines w:val="0"/>
              <w:suppressLineNumbers w:val="0"/>
              <w:spacing w:before="0" w:beforeAutospacing="0" w:after="0" w:afterAutospacing="0" w:line="240" w:lineRule="atLeast"/>
              <w:ind w:left="0" w:right="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联系人：周江瑜</w:t>
            </w:r>
          </w:p>
          <w:p w14:paraId="42B57C62">
            <w:pPr>
              <w:pStyle w:val="4"/>
              <w:keepNext w:val="0"/>
              <w:keepLines w:val="0"/>
              <w:suppressLineNumbers w:val="0"/>
              <w:spacing w:before="0" w:beforeAutospacing="0" w:after="0" w:afterAutospacing="0"/>
              <w:ind w:left="0" w:right="0" w:firstLine="0"/>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rPr>
              <w:t>地  址：</w:t>
            </w:r>
            <w:r>
              <w:rPr>
                <w:rFonts w:hint="eastAsia" w:ascii="仿宋" w:hAnsi="仿宋" w:eastAsia="仿宋" w:cs="仿宋"/>
                <w:color w:val="auto"/>
                <w:kern w:val="0"/>
                <w:sz w:val="28"/>
                <w:szCs w:val="28"/>
                <w:highlight w:val="none"/>
                <w:lang w:eastAsia="zh-CN"/>
              </w:rPr>
              <w:t>叶城县宗朗乡人民政府</w:t>
            </w:r>
          </w:p>
          <w:p w14:paraId="7516886A">
            <w:pPr>
              <w:pStyle w:val="4"/>
              <w:keepNext w:val="0"/>
              <w:keepLines w:val="0"/>
              <w:suppressLineNumbers w:val="0"/>
              <w:spacing w:before="0" w:beforeAutospacing="0" w:after="0" w:afterAutospacing="0"/>
              <w:ind w:left="0" w:right="0" w:firstLine="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电  话</w:t>
            </w:r>
            <w:r>
              <w:rPr>
                <w:rFonts w:hint="eastAsia" w:ascii="仿宋" w:hAnsi="仿宋" w:eastAsia="仿宋" w:cs="仿宋"/>
                <w:color w:val="auto"/>
                <w:kern w:val="2"/>
                <w:sz w:val="28"/>
                <w:szCs w:val="28"/>
                <w:highlight w:val="none"/>
              </w:rPr>
              <w:t>：</w:t>
            </w:r>
            <w:r>
              <w:rPr>
                <w:rFonts w:hint="eastAsia" w:ascii="仿宋" w:hAnsi="仿宋" w:eastAsia="仿宋" w:cs="仿宋"/>
                <w:color w:val="auto"/>
                <w:sz w:val="28"/>
                <w:szCs w:val="28"/>
                <w:highlight w:val="none"/>
                <w:u w:val="single"/>
                <w:lang w:val="en-US" w:eastAsia="zh-CN"/>
              </w:rPr>
              <w:t>18323632868</w:t>
            </w:r>
          </w:p>
        </w:tc>
      </w:tr>
      <w:tr w14:paraId="1C5D36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08" w:type="dxa"/>
            <w:noWrap w:val="0"/>
            <w:vAlign w:val="center"/>
          </w:tcPr>
          <w:p w14:paraId="39DB4A8D">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w:t>
            </w:r>
          </w:p>
        </w:tc>
        <w:tc>
          <w:tcPr>
            <w:tcW w:w="7769" w:type="dxa"/>
            <w:gridSpan w:val="2"/>
            <w:noWrap w:val="0"/>
            <w:vAlign w:val="center"/>
          </w:tcPr>
          <w:p w14:paraId="7F96A376">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采购代理机构：</w:t>
            </w:r>
            <w:r>
              <w:rPr>
                <w:rFonts w:hint="eastAsia" w:ascii="仿宋" w:hAnsi="仿宋" w:eastAsia="仿宋" w:cs="仿宋"/>
                <w:color w:val="auto"/>
                <w:sz w:val="28"/>
                <w:szCs w:val="28"/>
                <w:highlight w:val="none"/>
                <w:u w:val="single"/>
                <w:lang w:eastAsia="zh-CN"/>
              </w:rPr>
              <w:t>新疆中京工程项目管理有限公司</w:t>
            </w:r>
            <w:r>
              <w:rPr>
                <w:rFonts w:hint="eastAsia" w:ascii="仿宋" w:hAnsi="仿宋" w:eastAsia="仿宋" w:cs="仿宋"/>
                <w:color w:val="auto"/>
                <w:sz w:val="28"/>
                <w:szCs w:val="28"/>
                <w:highlight w:val="none"/>
                <w:u w:val="single"/>
              </w:rPr>
              <w:t xml:space="preserve">       </w:t>
            </w:r>
          </w:p>
          <w:p w14:paraId="00151774">
            <w:pPr>
              <w:keepNext w:val="0"/>
              <w:keepLines w:val="0"/>
              <w:suppressLineNumbers w:val="0"/>
              <w:spacing w:before="0" w:beforeAutospacing="0" w:after="0" w:afterAutospacing="0" w:line="240" w:lineRule="atLeast"/>
              <w:ind w:left="0" w:right="0"/>
              <w:rPr>
                <w:rFonts w:hint="eastAsia" w:ascii="仿宋" w:hAnsi="仿宋" w:eastAsia="仿宋" w:cs="仿宋"/>
                <w:color w:val="E54C5E" w:themeColor="accent6"/>
                <w:sz w:val="28"/>
                <w:szCs w:val="28"/>
                <w:highlight w:val="none"/>
                <w:lang w:val="en-US" w:eastAsia="zh-CN"/>
                <w14:textFill>
                  <w14:solidFill>
                    <w14:schemeClr w14:val="accent6"/>
                  </w14:solidFill>
                </w14:textFill>
              </w:rPr>
            </w:pPr>
            <w:r>
              <w:rPr>
                <w:rFonts w:hint="eastAsia" w:ascii="仿宋" w:hAnsi="仿宋" w:eastAsia="仿宋" w:cs="仿宋"/>
                <w:color w:val="000000" w:themeColor="text1"/>
                <w:sz w:val="28"/>
                <w:szCs w:val="28"/>
                <w:highlight w:val="none"/>
                <w14:textFill>
                  <w14:solidFill>
                    <w14:schemeClr w14:val="tx1"/>
                  </w14:solidFill>
                </w14:textFill>
              </w:rPr>
              <w:t>地址：</w:t>
            </w:r>
            <w:r>
              <w:rPr>
                <w:rFonts w:hint="eastAsia" w:ascii="仿宋" w:hAnsi="仿宋" w:eastAsia="仿宋" w:cs="仿宋"/>
                <w:color w:val="000000" w:themeColor="text1"/>
                <w:sz w:val="28"/>
                <w:szCs w:val="28"/>
                <w:highlight w:val="none"/>
                <w:lang w:val="en-US" w:eastAsia="zh-CN"/>
                <w14:textFill>
                  <w14:solidFill>
                    <w14:schemeClr w14:val="tx1"/>
                  </w14:solidFill>
                </w14:textFill>
              </w:rPr>
              <w:t>新疆喀什地区喀什市多来提巴格乡29村世纪大道南路66号中亚商贸第一城11幢4层34号</w:t>
            </w:r>
          </w:p>
          <w:p w14:paraId="2B269EAE">
            <w:pPr>
              <w:keepNext w:val="0"/>
              <w:keepLines w:val="0"/>
              <w:suppressLineNumbers w:val="0"/>
              <w:spacing w:before="0" w:beforeAutospacing="0" w:after="0" w:afterAutospacing="0" w:line="240" w:lineRule="atLeast"/>
              <w:ind w:left="0" w:right="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电话：</w:t>
            </w:r>
            <w:r>
              <w:rPr>
                <w:rFonts w:hint="eastAsia" w:ascii="仿宋" w:hAnsi="仿宋" w:eastAsia="仿宋" w:cs="仿宋"/>
                <w:color w:val="auto"/>
                <w:kern w:val="0"/>
                <w:sz w:val="28"/>
                <w:szCs w:val="28"/>
                <w:highlight w:val="none"/>
                <w:u w:val="single"/>
                <w:lang w:val="en-US" w:eastAsia="zh-CN" w:bidi="ar-SA"/>
              </w:rPr>
              <w:t>17767558393</w:t>
            </w:r>
          </w:p>
        </w:tc>
      </w:tr>
      <w:tr w14:paraId="383FA4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08" w:type="dxa"/>
            <w:noWrap w:val="0"/>
            <w:vAlign w:val="center"/>
          </w:tcPr>
          <w:p w14:paraId="18C1FEFC">
            <w:pPr>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w:t>
            </w:r>
          </w:p>
        </w:tc>
        <w:tc>
          <w:tcPr>
            <w:tcW w:w="7769" w:type="dxa"/>
            <w:gridSpan w:val="2"/>
            <w:noWrap w:val="0"/>
            <w:vAlign w:val="center"/>
          </w:tcPr>
          <w:p w14:paraId="21D1F596">
            <w:pPr>
              <w:keepNext w:val="0"/>
              <w:keepLines w:val="0"/>
              <w:suppressLineNumbers w:val="0"/>
              <w:shd w:val="clear"/>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合格投标人的资格要求：</w:t>
            </w:r>
          </w:p>
          <w:p w14:paraId="1E7C079C">
            <w:pPr>
              <w:keepNext w:val="0"/>
              <w:keepLines w:val="0"/>
              <w:suppressLineNumbers w:val="0"/>
              <w:shd w:val="clear"/>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1.符合《中华人民共和国政府采购法》第二十二条的规定,</w:t>
            </w:r>
          </w:p>
          <w:p w14:paraId="3A303E5B">
            <w:pPr>
              <w:keepNext w:val="0"/>
              <w:keepLines w:val="0"/>
              <w:suppressLineNumbers w:val="0"/>
              <w:shd w:val="clear"/>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2.落实政府采购政策需满足的资格要求:</w:t>
            </w:r>
            <w:r>
              <w:rPr>
                <w:rFonts w:hint="eastAsia" w:ascii="仿宋" w:hAnsi="仿宋" w:eastAsia="仿宋" w:cs="仿宋"/>
                <w:b/>
                <w:bCs/>
                <w:color w:val="auto"/>
                <w:sz w:val="28"/>
                <w:szCs w:val="28"/>
                <w:highlight w:val="none"/>
                <w:lang w:eastAsia="zh-CN"/>
              </w:rPr>
              <w:t>本项目</w:t>
            </w:r>
            <w:r>
              <w:rPr>
                <w:rFonts w:hint="eastAsia" w:ascii="仿宋" w:hAnsi="仿宋" w:eastAsia="仿宋" w:cs="仿宋"/>
                <w:b/>
                <w:bCs/>
                <w:color w:val="auto"/>
                <w:sz w:val="28"/>
                <w:szCs w:val="28"/>
                <w:highlight w:val="none"/>
              </w:rPr>
              <w:t>专门面向中小企业</w:t>
            </w:r>
            <w:r>
              <w:rPr>
                <w:rFonts w:hint="eastAsia" w:ascii="仿宋" w:hAnsi="仿宋" w:eastAsia="仿宋" w:cs="仿宋"/>
                <w:color w:val="auto"/>
                <w:sz w:val="28"/>
                <w:szCs w:val="28"/>
                <w:highlight w:val="none"/>
              </w:rPr>
              <w:t>;</w:t>
            </w:r>
          </w:p>
          <w:p w14:paraId="31E1CBB1">
            <w:pPr>
              <w:keepNext w:val="0"/>
              <w:keepLines w:val="0"/>
              <w:suppressLineNumbers w:val="0"/>
              <w:shd w:val="clear"/>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3.本项目的资格要求:</w:t>
            </w:r>
          </w:p>
          <w:p w14:paraId="2BFC96E8">
            <w:pPr>
              <w:keepNext w:val="0"/>
              <w:keepLines w:val="0"/>
              <w:suppressLineNumbers w:val="0"/>
              <w:shd w:val="clear"/>
              <w:spacing w:before="0" w:beforeAutospacing="0" w:after="0" w:afterAutospacing="0" w:line="240" w:lineRule="atLeast"/>
              <w:ind w:left="0" w:right="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(1)合格有效的法人或者非法人组织营业执照;</w:t>
            </w:r>
          </w:p>
          <w:p w14:paraId="1D5C8384">
            <w:pPr>
              <w:keepNext w:val="0"/>
              <w:keepLines w:val="0"/>
              <w:suppressLineNumbers w:val="0"/>
              <w:shd w:val="clear"/>
              <w:spacing w:before="0" w:beforeAutospacing="0" w:after="0" w:afterAutospacing="0" w:line="240" w:lineRule="atLeast"/>
              <w:ind w:left="0" w:right="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(2)法定代表人授权书及被委托人身份证（法定代表人投标提供法定代表人身份证明及身份证）</w:t>
            </w:r>
          </w:p>
          <w:p w14:paraId="49AF9D1A">
            <w:pPr>
              <w:keepNext w:val="0"/>
              <w:keepLines w:val="0"/>
              <w:suppressLineNumbers w:val="0"/>
              <w:spacing w:before="0" w:beforeAutospacing="0" w:after="0" w:afterAutospacing="0" w:line="240" w:lineRule="atLeast"/>
              <w:ind w:left="0" w:right="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(3)参与政府采购活动前3年内未被列入失信、重大税收违法案件、财政部门禁止参加政府采购活动的承诺书；</w:t>
            </w:r>
          </w:p>
          <w:p w14:paraId="5F8BCFD4">
            <w:pPr>
              <w:keepNext w:val="0"/>
              <w:keepLines w:val="0"/>
              <w:suppressLineNumbers w:val="0"/>
              <w:spacing w:before="0" w:beforeAutospacing="0" w:after="0" w:afterAutospacing="0" w:line="240" w:lineRule="atLeast"/>
              <w:ind w:left="0" w:right="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(4)</w:t>
            </w:r>
            <w:r>
              <w:rPr>
                <w:rFonts w:hint="eastAsia" w:ascii="仿宋" w:hAnsi="仿宋" w:eastAsia="仿宋" w:cs="仿宋"/>
                <w:color w:val="auto"/>
                <w:sz w:val="28"/>
                <w:szCs w:val="28"/>
                <w:highlight w:val="none"/>
              </w:rPr>
              <w:t xml:space="preserve"> </w:t>
            </w:r>
            <w:r>
              <w:rPr>
                <w:rFonts w:hint="eastAsia" w:ascii="仿宋" w:hAnsi="仿宋" w:eastAsia="仿宋" w:cs="仿宋"/>
                <w:b/>
                <w:bCs/>
                <w:color w:val="auto"/>
                <w:sz w:val="28"/>
                <w:szCs w:val="28"/>
                <w:highlight w:val="none"/>
              </w:rPr>
              <w:t>有依法缴纳税收和社会保障资金的良好记录；（投标单位需提供202</w:t>
            </w:r>
            <w:r>
              <w:rPr>
                <w:rFonts w:hint="eastAsia" w:ascii="仿宋" w:hAnsi="仿宋" w:eastAsia="仿宋" w:cs="仿宋"/>
                <w:b/>
                <w:bCs/>
                <w:color w:val="auto"/>
                <w:sz w:val="28"/>
                <w:szCs w:val="28"/>
                <w:highlight w:val="none"/>
                <w:lang w:val="en-US" w:eastAsia="zh-CN"/>
              </w:rPr>
              <w:t>5</w:t>
            </w:r>
            <w:r>
              <w:rPr>
                <w:rFonts w:hint="eastAsia" w:ascii="仿宋" w:hAnsi="仿宋" w:eastAsia="仿宋" w:cs="仿宋"/>
                <w:b/>
                <w:bCs/>
                <w:color w:val="auto"/>
                <w:sz w:val="28"/>
                <w:szCs w:val="28"/>
                <w:highlight w:val="none"/>
              </w:rPr>
              <w:t>年</w:t>
            </w:r>
            <w:r>
              <w:rPr>
                <w:rFonts w:hint="eastAsia" w:ascii="仿宋" w:hAnsi="仿宋" w:eastAsia="仿宋" w:cs="仿宋"/>
                <w:b/>
                <w:bCs/>
                <w:color w:val="auto"/>
                <w:sz w:val="28"/>
                <w:szCs w:val="28"/>
                <w:highlight w:val="none"/>
                <w:lang w:val="en-US" w:eastAsia="zh-CN"/>
              </w:rPr>
              <w:t>3</w:t>
            </w:r>
            <w:r>
              <w:rPr>
                <w:rFonts w:hint="eastAsia" w:ascii="仿宋" w:hAnsi="仿宋" w:eastAsia="仿宋" w:cs="仿宋"/>
                <w:b/>
                <w:bCs/>
                <w:color w:val="auto"/>
                <w:sz w:val="28"/>
                <w:szCs w:val="28"/>
                <w:highlight w:val="none"/>
              </w:rPr>
              <w:t>月</w:t>
            </w:r>
            <w:r>
              <w:rPr>
                <w:rFonts w:hint="eastAsia" w:ascii="仿宋" w:hAnsi="仿宋" w:eastAsia="仿宋" w:cs="仿宋"/>
                <w:b/>
                <w:bCs/>
                <w:color w:val="auto"/>
                <w:sz w:val="28"/>
                <w:szCs w:val="28"/>
                <w:highlight w:val="none"/>
                <w:lang w:eastAsia="zh-CN"/>
              </w:rPr>
              <w:t>至今任意一月的</w:t>
            </w:r>
            <w:r>
              <w:rPr>
                <w:rFonts w:hint="eastAsia" w:ascii="仿宋" w:hAnsi="仿宋" w:eastAsia="仿宋" w:cs="仿宋"/>
                <w:b/>
                <w:bCs/>
                <w:color w:val="auto"/>
                <w:sz w:val="28"/>
                <w:szCs w:val="28"/>
                <w:highlight w:val="none"/>
              </w:rPr>
              <w:t>税收和社保缴纳记录；税收可提供由投标单位所在地税务部门出具的“0”申报证明或无欠税证明。（原件、复印件、影印件均可，留存复印件或影印件）</w:t>
            </w:r>
          </w:p>
          <w:p w14:paraId="47210DC6">
            <w:pPr>
              <w:keepNext w:val="0"/>
              <w:keepLines w:val="0"/>
              <w:suppressLineNumbers w:val="0"/>
              <w:spacing w:before="0" w:beforeAutospacing="0" w:after="0" w:afterAutospacing="0" w:line="240" w:lineRule="atLeast"/>
              <w:ind w:left="0" w:right="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(5)提供20</w:t>
            </w:r>
            <w:r>
              <w:rPr>
                <w:rFonts w:hint="eastAsia" w:ascii="仿宋" w:hAnsi="仿宋" w:eastAsia="仿宋" w:cs="仿宋"/>
                <w:b/>
                <w:bCs/>
                <w:color w:val="auto"/>
                <w:sz w:val="28"/>
                <w:szCs w:val="28"/>
                <w:highlight w:val="none"/>
                <w:lang w:val="en-US" w:eastAsia="zh-CN"/>
              </w:rPr>
              <w:t>24</w:t>
            </w:r>
            <w:r>
              <w:rPr>
                <w:rFonts w:hint="eastAsia" w:ascii="仿宋" w:hAnsi="仿宋" w:eastAsia="仿宋" w:cs="仿宋"/>
                <w:b/>
                <w:bCs/>
                <w:color w:val="auto"/>
                <w:sz w:val="28"/>
                <w:szCs w:val="28"/>
                <w:highlight w:val="none"/>
              </w:rPr>
              <w:t>年度的财务审计报告(成立不满一年的提供开标前一个月内有效银行资信证明）；</w:t>
            </w:r>
          </w:p>
          <w:p w14:paraId="5DA3CCD6">
            <w:pPr>
              <w:keepNext w:val="0"/>
              <w:keepLines w:val="0"/>
              <w:suppressLineNumbers w:val="0"/>
              <w:spacing w:before="0" w:beforeAutospacing="0" w:after="0" w:afterAutospacing="0" w:line="240" w:lineRule="atLeast"/>
              <w:ind w:left="0" w:right="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(6)投标单位（供应商）其法人参加本次采购活动前三年内，在经营活动中没有重大违法记录的声明及对本次项目《反商业贿赂承诺书》；</w:t>
            </w:r>
          </w:p>
          <w:p w14:paraId="4B3CD879">
            <w:pPr>
              <w:keepNext w:val="0"/>
              <w:keepLines w:val="0"/>
              <w:suppressLineNumbers w:val="0"/>
              <w:spacing w:before="0" w:beforeAutospacing="0" w:after="0" w:afterAutospacing="0" w:line="240" w:lineRule="atLeast"/>
              <w:ind w:left="0" w:right="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(7)在信用中国、中国政府采购网被列入失信被执行人、企业经营异常名录、重大税收违法案件当事人名单、列入严重违法失信企业名单(黑名单)信息、政府采购严重违法失信名单(自本公告发出之时起尚在处罚期内的或限制其参加政府采购活动的企业)将拒绝其参加本次政府采购活动;</w:t>
            </w:r>
          </w:p>
          <w:p w14:paraId="13562099">
            <w:pPr>
              <w:keepNext w:val="0"/>
              <w:keepLines w:val="0"/>
              <w:suppressLineNumbers w:val="0"/>
              <w:spacing w:before="0" w:beforeAutospacing="0" w:after="0" w:afterAutospacing="0" w:line="240" w:lineRule="atLeast"/>
              <w:ind w:left="0" w:right="0"/>
              <w:rPr>
                <w:rFonts w:hint="default"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rPr>
              <w:t>(8)</w:t>
            </w:r>
            <w:r>
              <w:rPr>
                <w:rFonts w:hint="eastAsia" w:ascii="仿宋" w:hAnsi="仿宋" w:eastAsia="仿宋" w:cs="仿宋"/>
                <w:b/>
                <w:bCs/>
                <w:color w:val="auto"/>
                <w:sz w:val="28"/>
                <w:szCs w:val="28"/>
                <w:highlight w:val="none"/>
                <w:lang w:val="en-US" w:eastAsia="zh-CN"/>
              </w:rPr>
              <w:t>中小企业声明函</w:t>
            </w:r>
            <w:bookmarkStart w:id="847" w:name="_GoBack"/>
            <w:bookmarkEnd w:id="847"/>
          </w:p>
          <w:p w14:paraId="5E38EAB6">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供应商应对其提交的资格审查资料的真实性、有效性、清晰度负责，因上述原因导致资格审查不通过的，由供应商自行承担责任。</w:t>
            </w:r>
          </w:p>
        </w:tc>
      </w:tr>
      <w:tr w14:paraId="1301A4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608" w:type="dxa"/>
            <w:noWrap w:val="0"/>
            <w:vAlign w:val="center"/>
          </w:tcPr>
          <w:p w14:paraId="16E84C30">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1.3.5</w:t>
            </w:r>
          </w:p>
        </w:tc>
        <w:tc>
          <w:tcPr>
            <w:tcW w:w="7769" w:type="dxa"/>
            <w:gridSpan w:val="2"/>
            <w:noWrap w:val="0"/>
            <w:vAlign w:val="center"/>
          </w:tcPr>
          <w:p w14:paraId="70D9FD11">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是否允许采购</w:t>
            </w:r>
            <w:r>
              <w:rPr>
                <w:rFonts w:hint="eastAsia" w:ascii="仿宋" w:hAnsi="仿宋" w:eastAsia="仿宋" w:cs="仿宋"/>
                <w:color w:val="auto"/>
                <w:sz w:val="28"/>
                <w:szCs w:val="28"/>
                <w:highlight w:val="none"/>
                <w:lang w:val="en-US" w:eastAsia="zh-CN"/>
              </w:rPr>
              <w:t>进口</w:t>
            </w:r>
            <w:r>
              <w:rPr>
                <w:rFonts w:hint="eastAsia" w:ascii="仿宋" w:hAnsi="仿宋" w:eastAsia="仿宋" w:cs="仿宋"/>
                <w:color w:val="auto"/>
                <w:sz w:val="28"/>
                <w:szCs w:val="28"/>
                <w:highlight w:val="none"/>
              </w:rPr>
              <w:t>产品：</w:t>
            </w:r>
            <w:r>
              <w:rPr>
                <w:rFonts w:hint="eastAsia" w:ascii="仿宋" w:hAnsi="仿宋" w:eastAsia="仿宋" w:cs="仿宋"/>
                <w:color w:val="auto"/>
                <w:sz w:val="28"/>
                <w:szCs w:val="28"/>
                <w:highlight w:val="none"/>
                <w:u w:val="single"/>
              </w:rPr>
              <w:t xml:space="preserve">  否  </w:t>
            </w:r>
            <w:r>
              <w:rPr>
                <w:rFonts w:hint="eastAsia" w:ascii="仿宋" w:hAnsi="仿宋" w:eastAsia="仿宋" w:cs="仿宋"/>
                <w:i/>
                <w:color w:val="auto"/>
                <w:sz w:val="28"/>
                <w:szCs w:val="28"/>
                <w:highlight w:val="none"/>
              </w:rPr>
              <w:t>（是、否）</w:t>
            </w:r>
          </w:p>
        </w:tc>
      </w:tr>
      <w:tr w14:paraId="293C16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608" w:type="dxa"/>
            <w:noWrap w:val="0"/>
            <w:vAlign w:val="center"/>
          </w:tcPr>
          <w:p w14:paraId="584C67D9">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1.3.6</w:t>
            </w:r>
          </w:p>
        </w:tc>
        <w:tc>
          <w:tcPr>
            <w:tcW w:w="7769" w:type="dxa"/>
            <w:gridSpan w:val="2"/>
            <w:noWrap w:val="0"/>
            <w:vAlign w:val="center"/>
          </w:tcPr>
          <w:p w14:paraId="68441615">
            <w:pPr>
              <w:keepNext w:val="0"/>
              <w:keepLines w:val="0"/>
              <w:suppressLineNumbers w:val="0"/>
              <w:spacing w:before="0" w:beforeAutospacing="0" w:after="0" w:afterAutospacing="0" w:line="240" w:lineRule="atLeast"/>
              <w:ind w:left="0" w:right="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是否为专门面向中小企业采购：</w:t>
            </w:r>
            <w:r>
              <w:rPr>
                <w:rFonts w:hint="eastAsia" w:ascii="仿宋" w:hAnsi="仿宋" w:eastAsia="仿宋" w:cs="仿宋"/>
                <w:b/>
                <w:bCs/>
                <w:color w:val="auto"/>
                <w:sz w:val="28"/>
                <w:szCs w:val="28"/>
                <w:highlight w:val="none"/>
                <w:u w:val="single"/>
              </w:rPr>
              <w:t xml:space="preserve"> </w:t>
            </w:r>
            <w:r>
              <w:rPr>
                <w:rFonts w:hint="eastAsia" w:ascii="仿宋" w:hAnsi="仿宋" w:eastAsia="仿宋" w:cs="仿宋"/>
                <w:b/>
                <w:bCs/>
                <w:color w:val="auto"/>
                <w:sz w:val="28"/>
                <w:szCs w:val="28"/>
                <w:highlight w:val="none"/>
                <w:u w:val="single"/>
                <w:lang w:val="en-US" w:eastAsia="zh-CN"/>
              </w:rPr>
              <w:t>是</w:t>
            </w:r>
            <w:r>
              <w:rPr>
                <w:rFonts w:hint="eastAsia" w:ascii="仿宋" w:hAnsi="仿宋" w:eastAsia="仿宋" w:cs="仿宋"/>
                <w:b/>
                <w:bCs/>
                <w:color w:val="auto"/>
                <w:sz w:val="28"/>
                <w:szCs w:val="28"/>
                <w:highlight w:val="none"/>
                <w:u w:val="single"/>
              </w:rPr>
              <w:t xml:space="preserve">  </w:t>
            </w:r>
            <w:r>
              <w:rPr>
                <w:rFonts w:hint="eastAsia" w:ascii="仿宋" w:hAnsi="仿宋" w:eastAsia="仿宋" w:cs="仿宋"/>
                <w:b/>
                <w:bCs/>
                <w:i/>
                <w:color w:val="auto"/>
                <w:sz w:val="28"/>
                <w:szCs w:val="28"/>
                <w:highlight w:val="none"/>
              </w:rPr>
              <w:t>（是、否）</w:t>
            </w:r>
          </w:p>
        </w:tc>
      </w:tr>
      <w:tr w14:paraId="2BE9BE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608" w:type="dxa"/>
            <w:noWrap w:val="0"/>
            <w:vAlign w:val="center"/>
          </w:tcPr>
          <w:p w14:paraId="186AC532">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w:t>
            </w:r>
          </w:p>
        </w:tc>
        <w:tc>
          <w:tcPr>
            <w:tcW w:w="7769" w:type="dxa"/>
            <w:gridSpan w:val="2"/>
            <w:noWrap w:val="0"/>
            <w:vAlign w:val="center"/>
          </w:tcPr>
          <w:p w14:paraId="096AFD5F">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是否允许联合体投标：</w:t>
            </w:r>
            <w:r>
              <w:rPr>
                <w:rFonts w:hint="eastAsia" w:ascii="仿宋" w:hAnsi="仿宋" w:eastAsia="仿宋" w:cs="仿宋"/>
                <w:color w:val="auto"/>
                <w:sz w:val="28"/>
                <w:szCs w:val="28"/>
                <w:highlight w:val="none"/>
                <w:u w:val="single"/>
              </w:rPr>
              <w:t xml:space="preserve"> </w:t>
            </w:r>
            <w:r>
              <w:rPr>
                <w:rFonts w:hint="eastAsia" w:ascii="仿宋" w:hAnsi="仿宋" w:eastAsia="仿宋" w:cs="仿宋"/>
                <w:i/>
                <w:color w:val="auto"/>
                <w:sz w:val="28"/>
                <w:szCs w:val="28"/>
                <w:highlight w:val="none"/>
                <w:u w:val="single"/>
              </w:rPr>
              <w:t>否</w:t>
            </w:r>
            <w:r>
              <w:rPr>
                <w:rFonts w:hint="eastAsia" w:ascii="仿宋" w:hAnsi="仿宋" w:eastAsia="仿宋" w:cs="仿宋"/>
                <w:color w:val="auto"/>
                <w:sz w:val="28"/>
                <w:szCs w:val="28"/>
                <w:highlight w:val="none"/>
                <w:u w:val="single"/>
              </w:rPr>
              <w:t xml:space="preserve"> </w:t>
            </w:r>
            <w:r>
              <w:rPr>
                <w:rFonts w:hint="eastAsia" w:ascii="仿宋" w:hAnsi="仿宋" w:eastAsia="仿宋" w:cs="仿宋"/>
                <w:i/>
                <w:color w:val="auto"/>
                <w:sz w:val="28"/>
                <w:szCs w:val="28"/>
                <w:highlight w:val="none"/>
              </w:rPr>
              <w:t>（是、否）</w:t>
            </w:r>
          </w:p>
        </w:tc>
      </w:tr>
      <w:tr w14:paraId="3DDB5E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608" w:type="dxa"/>
            <w:noWrap w:val="0"/>
            <w:vAlign w:val="center"/>
          </w:tcPr>
          <w:p w14:paraId="341B67F2">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1.4.8</w:t>
            </w:r>
          </w:p>
        </w:tc>
        <w:tc>
          <w:tcPr>
            <w:tcW w:w="7769" w:type="dxa"/>
            <w:gridSpan w:val="2"/>
            <w:noWrap w:val="0"/>
            <w:vAlign w:val="center"/>
          </w:tcPr>
          <w:p w14:paraId="52834622">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联合体的其他资格要求：</w:t>
            </w:r>
            <w:r>
              <w:rPr>
                <w:rFonts w:hint="eastAsia" w:ascii="仿宋" w:hAnsi="仿宋" w:eastAsia="仿宋" w:cs="仿宋"/>
                <w:b/>
                <w:bCs/>
                <w:color w:val="auto"/>
                <w:sz w:val="28"/>
                <w:szCs w:val="28"/>
                <w:highlight w:val="none"/>
                <w:u w:val="single"/>
              </w:rPr>
              <w:t>本项目不接受联合体投标</w:t>
            </w:r>
          </w:p>
        </w:tc>
      </w:tr>
      <w:tr w14:paraId="2F3DF2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608" w:type="dxa"/>
            <w:noWrap w:val="0"/>
            <w:vAlign w:val="center"/>
          </w:tcPr>
          <w:p w14:paraId="5554314C">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2.1</w:t>
            </w:r>
          </w:p>
        </w:tc>
        <w:tc>
          <w:tcPr>
            <w:tcW w:w="7769" w:type="dxa"/>
            <w:gridSpan w:val="2"/>
            <w:noWrap w:val="0"/>
            <w:vAlign w:val="center"/>
          </w:tcPr>
          <w:p w14:paraId="244FD3E4">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资金来源：财政</w:t>
            </w:r>
          </w:p>
        </w:tc>
      </w:tr>
      <w:tr w14:paraId="4F6690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608" w:type="dxa"/>
            <w:noWrap w:val="0"/>
            <w:vAlign w:val="center"/>
          </w:tcPr>
          <w:p w14:paraId="40F7A9A9">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w:t>
            </w:r>
          </w:p>
        </w:tc>
        <w:tc>
          <w:tcPr>
            <w:tcW w:w="7769" w:type="dxa"/>
            <w:gridSpan w:val="2"/>
            <w:noWrap w:val="0"/>
            <w:vAlign w:val="center"/>
          </w:tcPr>
          <w:p w14:paraId="5717A4DF">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val="en-US" w:eastAsia="zh-CN"/>
              </w:rPr>
              <w:t>本</w:t>
            </w:r>
            <w:r>
              <w:rPr>
                <w:rFonts w:hint="eastAsia" w:ascii="仿宋" w:hAnsi="仿宋" w:eastAsia="仿宋" w:cs="仿宋"/>
                <w:b/>
                <w:bCs/>
                <w:color w:val="auto"/>
                <w:sz w:val="28"/>
                <w:szCs w:val="28"/>
                <w:highlight w:val="none"/>
              </w:rPr>
              <w:t>项目</w:t>
            </w:r>
            <w:r>
              <w:rPr>
                <w:rFonts w:hint="eastAsia" w:ascii="仿宋" w:hAnsi="仿宋" w:eastAsia="仿宋" w:cs="仿宋"/>
                <w:b/>
                <w:bCs/>
                <w:color w:val="auto"/>
                <w:sz w:val="28"/>
                <w:szCs w:val="28"/>
                <w:highlight w:val="none"/>
                <w:lang w:val="en-US" w:eastAsia="zh-CN"/>
              </w:rPr>
              <w:t>总</w:t>
            </w:r>
            <w:r>
              <w:rPr>
                <w:rFonts w:hint="eastAsia" w:ascii="仿宋" w:hAnsi="仿宋" w:eastAsia="仿宋" w:cs="仿宋"/>
                <w:b/>
                <w:bCs/>
                <w:color w:val="auto"/>
                <w:sz w:val="28"/>
                <w:szCs w:val="28"/>
                <w:highlight w:val="none"/>
              </w:rPr>
              <w:t>预算金额：</w:t>
            </w:r>
            <w:r>
              <w:rPr>
                <w:rFonts w:hint="eastAsia" w:ascii="仿宋" w:hAnsi="仿宋" w:eastAsia="仿宋" w:cs="仿宋"/>
                <w:b/>
                <w:bCs/>
                <w:color w:val="auto"/>
                <w:sz w:val="28"/>
                <w:szCs w:val="28"/>
                <w:highlight w:val="none"/>
                <w:lang w:val="en-US" w:eastAsia="zh-CN"/>
              </w:rPr>
              <w:t>3950000.00</w:t>
            </w:r>
            <w:r>
              <w:rPr>
                <w:rFonts w:hint="eastAsia" w:ascii="仿宋" w:hAnsi="仿宋" w:eastAsia="仿宋" w:cs="仿宋"/>
                <w:b/>
                <w:bCs/>
                <w:color w:val="auto"/>
                <w:sz w:val="28"/>
                <w:szCs w:val="28"/>
                <w:highlight w:val="none"/>
                <w:lang w:eastAsia="zh-CN"/>
              </w:rPr>
              <w:t>元。</w:t>
            </w:r>
          </w:p>
        </w:tc>
      </w:tr>
      <w:tr w14:paraId="74666B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2" w:hRule="atLeast"/>
        </w:trPr>
        <w:tc>
          <w:tcPr>
            <w:tcW w:w="1608" w:type="dxa"/>
            <w:noWrap w:val="0"/>
            <w:vAlign w:val="center"/>
          </w:tcPr>
          <w:p w14:paraId="3FC21B79">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8.1</w:t>
            </w:r>
          </w:p>
        </w:tc>
        <w:tc>
          <w:tcPr>
            <w:tcW w:w="7769" w:type="dxa"/>
            <w:gridSpan w:val="2"/>
            <w:noWrap w:val="0"/>
            <w:vAlign w:val="center"/>
          </w:tcPr>
          <w:p w14:paraId="044D2896">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w:t>
            </w:r>
          </w:p>
        </w:tc>
      </w:tr>
      <w:tr w14:paraId="797DED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08" w:type="dxa"/>
            <w:noWrap w:val="0"/>
            <w:vAlign w:val="center"/>
          </w:tcPr>
          <w:p w14:paraId="30D7239C">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w:t>
            </w:r>
          </w:p>
        </w:tc>
        <w:tc>
          <w:tcPr>
            <w:tcW w:w="7769" w:type="dxa"/>
            <w:gridSpan w:val="2"/>
            <w:noWrap w:val="0"/>
            <w:vAlign w:val="center"/>
          </w:tcPr>
          <w:p w14:paraId="3501AAAE">
            <w:pPr>
              <w:keepNext w:val="0"/>
              <w:keepLines w:val="0"/>
              <w:suppressLineNumbers w:val="0"/>
              <w:spacing w:before="0" w:beforeAutospacing="0" w:after="0" w:afterAutospacing="0" w:line="240" w:lineRule="auto"/>
              <w:ind w:left="0" w:right="0"/>
              <w:rPr>
                <w:rFonts w:hint="eastAsia" w:ascii="仿宋" w:hAnsi="仿宋" w:eastAsia="仿宋" w:cs="仿宋"/>
                <w:b/>
                <w:bCs/>
                <w:i w:val="0"/>
                <w:iCs w:val="0"/>
                <w:color w:val="auto"/>
                <w:sz w:val="28"/>
                <w:szCs w:val="28"/>
                <w:highlight w:val="none"/>
                <w:u w:val="single"/>
              </w:rPr>
            </w:pPr>
            <w:r>
              <w:rPr>
                <w:rFonts w:hint="eastAsia" w:ascii="仿宋" w:hAnsi="仿宋" w:eastAsia="仿宋" w:cs="仿宋"/>
                <w:b/>
                <w:bCs/>
                <w:i w:val="0"/>
                <w:iCs w:val="0"/>
                <w:color w:val="auto"/>
                <w:sz w:val="28"/>
                <w:szCs w:val="28"/>
                <w:highlight w:val="none"/>
                <w:u w:val="single"/>
              </w:rPr>
              <w:t>保证金形式： 电汇、</w:t>
            </w:r>
            <w:r>
              <w:rPr>
                <w:rFonts w:hint="eastAsia" w:ascii="仿宋" w:hAnsi="仿宋" w:eastAsia="仿宋" w:cs="仿宋"/>
                <w:b/>
                <w:bCs/>
                <w:i w:val="0"/>
                <w:iCs w:val="0"/>
                <w:color w:val="auto"/>
                <w:sz w:val="28"/>
                <w:szCs w:val="28"/>
                <w:highlight w:val="none"/>
                <w:u w:val="single"/>
                <w:lang w:eastAsia="zh-CN"/>
              </w:rPr>
              <w:t>网银</w:t>
            </w:r>
            <w:r>
              <w:rPr>
                <w:rFonts w:hint="eastAsia" w:ascii="仿宋" w:hAnsi="仿宋" w:eastAsia="仿宋" w:cs="仿宋"/>
                <w:b/>
                <w:bCs/>
                <w:i w:val="0"/>
                <w:iCs w:val="0"/>
                <w:color w:val="auto"/>
                <w:sz w:val="28"/>
                <w:szCs w:val="28"/>
                <w:highlight w:val="none"/>
                <w:u w:val="single"/>
              </w:rPr>
              <w:t>转账</w:t>
            </w:r>
            <w:r>
              <w:rPr>
                <w:rFonts w:hint="eastAsia" w:ascii="仿宋" w:hAnsi="仿宋" w:eastAsia="仿宋" w:cs="仿宋"/>
                <w:b/>
                <w:bCs/>
                <w:i w:val="0"/>
                <w:iCs w:val="0"/>
                <w:color w:val="auto"/>
                <w:sz w:val="28"/>
                <w:szCs w:val="28"/>
                <w:highlight w:val="none"/>
                <w:u w:val="single"/>
                <w:lang w:eastAsia="zh-CN"/>
              </w:rPr>
              <w:t>、</w:t>
            </w:r>
            <w:r>
              <w:rPr>
                <w:rFonts w:hint="eastAsia" w:ascii="仿宋" w:hAnsi="仿宋" w:eastAsia="仿宋" w:cs="仿宋"/>
                <w:b/>
                <w:bCs/>
                <w:i w:val="0"/>
                <w:iCs w:val="0"/>
                <w:color w:val="auto"/>
                <w:sz w:val="28"/>
                <w:szCs w:val="28"/>
                <w:highlight w:val="none"/>
                <w:u w:val="single"/>
              </w:rPr>
              <w:t>支票、汇票、本票或者金融机构、担保机构出具的保函等</w:t>
            </w:r>
          </w:p>
          <w:p w14:paraId="577ED10E">
            <w:pPr>
              <w:keepNext w:val="0"/>
              <w:keepLines w:val="0"/>
              <w:suppressLineNumbers w:val="0"/>
              <w:spacing w:before="0" w:beforeAutospacing="0" w:after="0" w:afterAutospacing="0" w:line="240" w:lineRule="atLeast"/>
              <w:ind w:left="0" w:right="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保证金数额：</w:t>
            </w:r>
          </w:p>
          <w:p w14:paraId="136F7C68">
            <w:pPr>
              <w:keepNext w:val="0"/>
              <w:keepLines w:val="0"/>
              <w:suppressLineNumbers w:val="0"/>
              <w:spacing w:before="0" w:beforeAutospacing="0" w:after="0" w:afterAutospacing="0" w:line="240" w:lineRule="atLeast"/>
              <w:ind w:left="0" w:right="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50000.00元（大写：伍万元整）</w:t>
            </w:r>
          </w:p>
          <w:p w14:paraId="091618CE">
            <w:pPr>
              <w:keepNext w:val="0"/>
              <w:keepLines w:val="0"/>
              <w:suppressLineNumbers w:val="0"/>
              <w:spacing w:before="0" w:beforeAutospacing="0" w:after="0" w:afterAutospacing="0" w:line="240" w:lineRule="atLeast"/>
              <w:ind w:left="0" w:right="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保证金收款人：</w:t>
            </w:r>
          </w:p>
          <w:p w14:paraId="599C940C">
            <w:pPr>
              <w:keepNext w:val="0"/>
              <w:keepLines w:val="0"/>
              <w:suppressLineNumbers w:val="0"/>
              <w:spacing w:before="0" w:beforeAutospacing="0" w:after="0" w:afterAutospacing="0" w:line="240" w:lineRule="atLeast"/>
              <w:ind w:left="0" w:right="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公司名称：新疆中京工程项目管理有限公司</w:t>
            </w:r>
          </w:p>
          <w:p w14:paraId="78E1D752">
            <w:pPr>
              <w:keepNext w:val="0"/>
              <w:keepLines w:val="0"/>
              <w:suppressLineNumbers w:val="0"/>
              <w:spacing w:before="0" w:beforeAutospacing="0" w:after="0" w:afterAutospacing="0" w:line="240" w:lineRule="atLeast"/>
              <w:ind w:left="0" w:right="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开户银行：新疆喀什农村商业银行股份有限公司天南路支行</w:t>
            </w:r>
          </w:p>
          <w:p w14:paraId="0E9C5BC7">
            <w:pPr>
              <w:keepNext w:val="0"/>
              <w:keepLines w:val="0"/>
              <w:suppressLineNumbers w:val="0"/>
              <w:spacing w:before="0" w:beforeAutospacing="0" w:after="0" w:afterAutospacing="0" w:line="240" w:lineRule="atLeast"/>
              <w:ind w:left="0" w:right="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银行账号：860060212010107002718</w:t>
            </w:r>
          </w:p>
          <w:p w14:paraId="6985228A">
            <w:pPr>
              <w:keepNext w:val="0"/>
              <w:keepLines w:val="0"/>
              <w:suppressLineNumbers w:val="0"/>
              <w:spacing w:before="0" w:beforeAutospacing="0" w:after="0" w:afterAutospacing="0" w:line="240" w:lineRule="atLeast"/>
              <w:ind w:left="0" w:right="0"/>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备注：</w:t>
            </w:r>
          </w:p>
          <w:p w14:paraId="5313A234">
            <w:pPr>
              <w:pStyle w:val="19"/>
              <w:keepNext w:val="0"/>
              <w:keepLines w:val="0"/>
              <w:widowControl/>
              <w:suppressLineNumbers w:val="0"/>
              <w:spacing w:before="0" w:beforeAutospacing="0" w:after="0" w:afterAutospacing="0"/>
              <w:rPr>
                <w:rFonts w:hint="eastAsia" w:ascii="仿宋" w:hAnsi="仿宋" w:eastAsia="仿宋" w:cs="仿宋"/>
                <w:b/>
                <w:bCs/>
                <w:color w:val="auto"/>
                <w:sz w:val="28"/>
                <w:szCs w:val="28"/>
                <w:highlight w:val="none"/>
                <w:u w:val="single"/>
              </w:rPr>
            </w:pPr>
            <w:r>
              <w:rPr>
                <w:rFonts w:hint="eastAsia" w:ascii="仿宋" w:hAnsi="仿宋" w:eastAsia="仿宋" w:cs="仿宋"/>
                <w:b/>
                <w:bCs/>
                <w:color w:val="auto"/>
                <w:sz w:val="28"/>
                <w:szCs w:val="28"/>
                <w:highlight w:val="none"/>
                <w:u w:val="single"/>
              </w:rPr>
              <w:t>1、投标保证金应在递交投标文件截止时间前汇（必须从投标人基本账户转出）至招标人指定账户（以实际到账时间为准），投标人须自行评估因异地、跨行、公休日等因素造成的投标保证金到账延迟风险，并承担相应责任。并以交款凭证及基本账户开户许可证或基本存款账户开户信息作为投标保证金交纳证明。未按规定时间交纳投标保证金将视为自动放弃投标。投标保证金交纳时需注明项目名称，否则按无效证明处理。不接受现金、支票、分公司及任何个人汇款。投标人未按招标文件规定缴纳投标保证金的,投标文件将被拒绝评审。</w:t>
            </w:r>
          </w:p>
          <w:p w14:paraId="144AA36B">
            <w:pPr>
              <w:keepNext w:val="0"/>
              <w:keepLines w:val="0"/>
              <w:suppressLineNumbers w:val="0"/>
              <w:spacing w:before="0" w:beforeAutospacing="0" w:after="0" w:afterAutospacing="0"/>
              <w:ind w:left="0" w:right="0"/>
              <w:rPr>
                <w:rFonts w:hint="eastAsia" w:ascii="仿宋" w:hAnsi="仿宋" w:eastAsia="仿宋" w:cs="仿宋"/>
                <w:i/>
                <w:color w:val="auto"/>
                <w:sz w:val="28"/>
                <w:szCs w:val="28"/>
                <w:highlight w:val="none"/>
              </w:rPr>
            </w:pPr>
            <w:r>
              <w:rPr>
                <w:rFonts w:hint="eastAsia" w:ascii="仿宋" w:hAnsi="仿宋" w:eastAsia="仿宋" w:cs="仿宋"/>
                <w:b/>
                <w:bCs/>
                <w:color w:val="auto"/>
                <w:sz w:val="28"/>
                <w:szCs w:val="28"/>
                <w:highlight w:val="none"/>
                <w:u w:val="single"/>
              </w:rPr>
              <w:t>2、投标保证金转账汇款凭证应放入投标文件中，否则视为不响应招标文件。</w:t>
            </w:r>
          </w:p>
        </w:tc>
      </w:tr>
      <w:tr w14:paraId="4903C5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4" w:hRule="atLeast"/>
        </w:trPr>
        <w:tc>
          <w:tcPr>
            <w:tcW w:w="1608" w:type="dxa"/>
            <w:noWrap w:val="0"/>
            <w:vAlign w:val="center"/>
          </w:tcPr>
          <w:p w14:paraId="1C086492">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13.1</w:t>
            </w:r>
          </w:p>
        </w:tc>
        <w:tc>
          <w:tcPr>
            <w:tcW w:w="7769" w:type="dxa"/>
            <w:gridSpan w:val="2"/>
            <w:noWrap w:val="0"/>
            <w:vAlign w:val="center"/>
          </w:tcPr>
          <w:p w14:paraId="059D916B">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投标有效期：</w:t>
            </w:r>
            <w:r>
              <w:rPr>
                <w:rFonts w:hint="eastAsia" w:ascii="仿宋" w:hAnsi="仿宋" w:eastAsia="仿宋" w:cs="仿宋"/>
                <w:b/>
                <w:bCs/>
                <w:color w:val="auto"/>
                <w:sz w:val="28"/>
                <w:szCs w:val="28"/>
                <w:highlight w:val="none"/>
                <w:u w:val="single"/>
              </w:rPr>
              <w:t xml:space="preserve"> 90 </w:t>
            </w:r>
            <w:r>
              <w:rPr>
                <w:rFonts w:hint="eastAsia" w:ascii="仿宋" w:hAnsi="仿宋" w:eastAsia="仿宋" w:cs="仿宋"/>
                <w:color w:val="auto"/>
                <w:sz w:val="28"/>
                <w:szCs w:val="28"/>
                <w:highlight w:val="none"/>
              </w:rPr>
              <w:t>日历日</w:t>
            </w:r>
          </w:p>
        </w:tc>
      </w:tr>
      <w:tr w14:paraId="2CACA1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608" w:type="dxa"/>
            <w:noWrap w:val="0"/>
            <w:vAlign w:val="center"/>
          </w:tcPr>
          <w:p w14:paraId="16797326">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14.1</w:t>
            </w:r>
          </w:p>
        </w:tc>
        <w:tc>
          <w:tcPr>
            <w:tcW w:w="7769" w:type="dxa"/>
            <w:gridSpan w:val="2"/>
            <w:noWrap w:val="0"/>
            <w:vAlign w:val="center"/>
          </w:tcPr>
          <w:p w14:paraId="4DF001EE">
            <w:pPr>
              <w:keepNext w:val="0"/>
              <w:keepLines w:val="0"/>
              <w:suppressLineNumbers w:val="0"/>
              <w:spacing w:before="0" w:beforeAutospacing="0" w:after="0" w:afterAutospacing="0" w:line="400" w:lineRule="exact"/>
              <w:ind w:left="0" w:right="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（1）本项目为电子招投标，供应商需要使用 CA 加密设备，凡参加本项目必须可自主通过新疆 CA 申领渠道“新疆政务通”申请政采云平台可使用的 CA 设备，如原有兵团或公共资源使用的 CA，可与新疆 CA 联系，申请增加电子证书即可，无需重复申领。</w:t>
            </w:r>
          </w:p>
          <w:p w14:paraId="5CA3C0ED">
            <w:pPr>
              <w:keepNext w:val="0"/>
              <w:keepLines w:val="0"/>
              <w:suppressLineNumbers w:val="0"/>
              <w:spacing w:before="0" w:beforeAutospacing="0" w:after="0" w:afterAutospacing="0" w:line="400" w:lineRule="exact"/>
              <w:ind w:left="0" w:right="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（2）本项目实行网上投标，采用电子投标文件(供应商须使用 CA 加密设备通过政采云电子投标客户端制作投标文件)。若供应商参与投标，自行承担投标一切费用。</w:t>
            </w:r>
          </w:p>
          <w:p w14:paraId="7B5D6B81">
            <w:pPr>
              <w:keepNext w:val="0"/>
              <w:keepLines w:val="0"/>
              <w:suppressLineNumbers w:val="0"/>
              <w:spacing w:before="0" w:beforeAutospacing="0" w:after="0" w:afterAutospacing="0" w:line="400" w:lineRule="exact"/>
              <w:ind w:left="0" w:right="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（3）各供应商应在开标前应确保成为新疆政府采购网正式注册入库供应商，并完成 CA 数字证书申领。因未注册入库、未办理 CA 数字证书等原因造成无法投标或投标失败等后果由供应商自行承担。</w:t>
            </w:r>
          </w:p>
          <w:p w14:paraId="4A3C514A">
            <w:pPr>
              <w:keepNext w:val="0"/>
              <w:keepLines w:val="0"/>
              <w:suppressLineNumbers w:val="0"/>
              <w:spacing w:before="0" w:beforeAutospacing="0" w:after="0" w:afterAutospacing="0" w:line="400" w:lineRule="exact"/>
              <w:ind w:left="0" w:right="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（4）供应商将政采云电子交易客户端下载、安装完成后，可通过账号密码或CA 登录客户端进行投标文件制作。在使用政采云投标客户端时，建议使用 </w:t>
            </w:r>
            <w:r>
              <w:rPr>
                <w:rFonts w:hint="eastAsia" w:ascii="仿宋" w:hAnsi="仿宋" w:eastAsia="仿宋" w:cs="仿宋"/>
                <w:b/>
                <w:bCs/>
                <w:color w:val="auto"/>
                <w:sz w:val="28"/>
                <w:szCs w:val="28"/>
                <w:highlight w:val="none"/>
                <w:lang w:eastAsia="zh-CN"/>
              </w:rPr>
              <w:t>windows7</w:t>
            </w:r>
            <w:r>
              <w:rPr>
                <w:rFonts w:hint="eastAsia" w:ascii="仿宋" w:hAnsi="仿宋" w:eastAsia="仿宋" w:cs="仿宋"/>
                <w:b/>
                <w:bCs/>
                <w:color w:val="auto"/>
                <w:sz w:val="28"/>
                <w:szCs w:val="28"/>
                <w:highlight w:val="none"/>
                <w:lang w:val="en-US" w:eastAsia="zh-CN"/>
              </w:rPr>
              <w:t>+64位</w:t>
            </w:r>
            <w:r>
              <w:rPr>
                <w:rFonts w:hint="eastAsia" w:ascii="仿宋" w:hAnsi="仿宋" w:eastAsia="仿宋" w:cs="仿宋"/>
                <w:b/>
                <w:bCs/>
                <w:color w:val="auto"/>
                <w:sz w:val="28"/>
                <w:szCs w:val="28"/>
                <w:highlight w:val="none"/>
              </w:rPr>
              <w:t>及以上操作系统</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如有问题可拨打政采云客户服务热线95763进行咨询。</w:t>
            </w:r>
          </w:p>
          <w:p w14:paraId="6642B6BD">
            <w:pPr>
              <w:keepNext w:val="0"/>
              <w:keepLines w:val="0"/>
              <w:suppressLineNumbers w:val="0"/>
              <w:spacing w:before="0" w:beforeAutospacing="0" w:after="0" w:afterAutospacing="0" w:line="400" w:lineRule="exact"/>
              <w:ind w:left="0" w:right="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（5）供应商在开标时须使用制作加密电子投标文件所使用的 CA 锁及电脑，电脑须提前配置好浏览器（建议使用360浏览器或谷歌浏览器），以便开标时解锁。</w:t>
            </w:r>
          </w:p>
          <w:p w14:paraId="4009912D">
            <w:pPr>
              <w:keepNext w:val="0"/>
              <w:keepLines w:val="0"/>
              <w:suppressLineNumbers w:val="0"/>
              <w:spacing w:before="0" w:beforeAutospacing="0" w:after="0" w:afterAutospacing="0" w:line="400" w:lineRule="exact"/>
              <w:ind w:left="0" w:right="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（6）投标保证金缴纳及确认时间：凡拟参加本次招标项目的供应商，必须在开标前将投标保证金汇入指定账户。投标保证金汇款凭证上用途栏应注明。否则，届时其投标将被拒绝。</w:t>
            </w:r>
          </w:p>
          <w:p w14:paraId="3DDC8716">
            <w:pPr>
              <w:keepNext w:val="0"/>
              <w:keepLines w:val="0"/>
              <w:suppressLineNumbers w:val="0"/>
              <w:spacing w:before="0" w:beforeAutospacing="0" w:after="0" w:afterAutospacing="0" w:line="400" w:lineRule="exact"/>
              <w:ind w:left="0" w:right="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（7）供应商对不见面开评标系统的技术操作咨询，可通过：https://edu.zcygov.cn/luban/xinjiang-e-biding 自助查询，也可在政采云帮助中心常见问题解答和操作流程讲解视频中自助查询，网址为 ：https://service.zcygov.cn/#/help，“项目采购”—“操作流程-电子招投标”—“政府采购项目电子交易管理操作指南-供应商”版面获取操作指南，同时对自助查询无法解决的问题可通过政采云在线客服获取服务支持。 </w:t>
            </w:r>
          </w:p>
          <w:p w14:paraId="04078A5F">
            <w:pPr>
              <w:keepNext w:val="0"/>
              <w:keepLines w:val="0"/>
              <w:suppressLineNumbers w:val="0"/>
              <w:spacing w:before="0" w:beforeAutospacing="0" w:after="0" w:afterAutospacing="0" w:line="400" w:lineRule="exact"/>
              <w:ind w:left="0" w:right="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8）各供应商须在投标截止时间前完成在系统上递交电子招标文件。供应商的电子投标文件是经过CA证书加密后上传提交的，任何单位或个人均无法在投标截止时间(即开标时间)之前查看或篡改，不存在泄密风险。（严格按照政采云电子投标流程制作并上传电子投标文件）</w:t>
            </w:r>
          </w:p>
          <w:p w14:paraId="6ECCDD42">
            <w:pPr>
              <w:keepNext w:val="0"/>
              <w:keepLines w:val="0"/>
              <w:suppressLineNumbers w:val="0"/>
              <w:spacing w:before="0" w:beforeAutospacing="0" w:after="0" w:afterAutospacing="0" w:line="400" w:lineRule="exact"/>
              <w:ind w:left="0" w:right="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9）各供应商在投标截止时间前将“投标文件”上传至政采云平台。投标文件包括“报价一览表及资格证明文件”与“商务及技术文件”两部分合并成一册。投标文件应按照招标文件规定的格式填写、签署和盖章，并以.jmbs格式上传至政采云开评标平台（投标文件为正本扫描件）。</w:t>
            </w:r>
          </w:p>
          <w:p w14:paraId="36495A45">
            <w:pPr>
              <w:keepNext w:val="0"/>
              <w:keepLines w:val="0"/>
              <w:suppressLineNumbers w:val="0"/>
              <w:spacing w:before="0" w:beforeAutospacing="0" w:after="0" w:afterAutospacing="0" w:line="400" w:lineRule="exact"/>
              <w:ind w:left="0" w:right="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（10）所有供应商应在中标公告公示期结束后2个工作日内将纸质版投标文件邮寄至</w:t>
            </w:r>
            <w:r>
              <w:rPr>
                <w:rFonts w:hint="eastAsia" w:ascii="仿宋" w:hAnsi="仿宋" w:eastAsia="仿宋" w:cs="仿宋"/>
                <w:b/>
                <w:bCs/>
                <w:color w:val="auto"/>
                <w:sz w:val="28"/>
                <w:szCs w:val="28"/>
                <w:highlight w:val="none"/>
                <w:lang w:val="en-US" w:eastAsia="zh-CN"/>
              </w:rPr>
              <w:t>指定</w:t>
            </w:r>
            <w:r>
              <w:rPr>
                <w:rFonts w:hint="eastAsia" w:ascii="仿宋" w:hAnsi="仿宋" w:eastAsia="仿宋" w:cs="仿宋"/>
                <w:b/>
                <w:bCs/>
                <w:color w:val="auto"/>
                <w:sz w:val="28"/>
                <w:szCs w:val="28"/>
                <w:highlight w:val="none"/>
              </w:rPr>
              <w:t>机构备案，纸质版投标文件包括“报价一览表及资格证明文件”和“商务及技术文件”两部分，两部分合订成一册递交。(邮寄标书事项会影响退还投标保证金)</w:t>
            </w:r>
          </w:p>
          <w:p w14:paraId="6EB1554B">
            <w:pPr>
              <w:keepNext w:val="0"/>
              <w:keepLines w:val="0"/>
              <w:suppressLineNumbers w:val="0"/>
              <w:spacing w:before="0" w:beforeAutospacing="0" w:after="0" w:afterAutospacing="0" w:line="400" w:lineRule="exact"/>
              <w:ind w:left="0" w:right="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（11）递交数量：正本：壹份、副本：</w:t>
            </w:r>
            <w:r>
              <w:rPr>
                <w:rFonts w:hint="eastAsia" w:ascii="仿宋" w:hAnsi="仿宋" w:eastAsia="仿宋" w:cs="仿宋"/>
                <w:b/>
                <w:bCs/>
                <w:color w:val="auto"/>
                <w:sz w:val="28"/>
                <w:szCs w:val="28"/>
                <w:highlight w:val="none"/>
                <w:lang w:val="en-US" w:eastAsia="zh-CN"/>
              </w:rPr>
              <w:t>1</w:t>
            </w:r>
            <w:r>
              <w:rPr>
                <w:rFonts w:hint="eastAsia" w:ascii="仿宋" w:hAnsi="仿宋" w:eastAsia="仿宋" w:cs="仿宋"/>
                <w:b/>
                <w:bCs/>
                <w:color w:val="auto"/>
                <w:sz w:val="28"/>
                <w:szCs w:val="28"/>
                <w:highlight w:val="none"/>
              </w:rPr>
              <w:t>份；电子文档1份（以正本为准，副本可以是正本的复印件）</w:t>
            </w:r>
          </w:p>
          <w:p w14:paraId="37AE2832">
            <w:pPr>
              <w:keepNext w:val="0"/>
              <w:keepLines w:val="0"/>
              <w:suppressLineNumbers w:val="0"/>
              <w:spacing w:before="0" w:beforeAutospacing="0" w:after="0" w:afterAutospacing="0" w:line="400" w:lineRule="exact"/>
              <w:ind w:left="0" w:right="0"/>
              <w:jc w:val="left"/>
              <w:rPr>
                <w:rFonts w:hint="eastAsia" w:ascii="仿宋" w:hAnsi="仿宋" w:eastAsia="仿宋" w:cs="仿宋"/>
                <w:b/>
                <w:bCs/>
                <w:color w:val="auto"/>
                <w:sz w:val="28"/>
                <w:szCs w:val="28"/>
                <w:highlight w:val="none"/>
              </w:rPr>
            </w:pPr>
            <w:bookmarkStart w:id="761" w:name="_Toc14647"/>
            <w:r>
              <w:rPr>
                <w:rFonts w:hint="eastAsia" w:ascii="仿宋" w:hAnsi="仿宋" w:eastAsia="仿宋" w:cs="仿宋"/>
                <w:b/>
                <w:bCs/>
                <w:color w:val="auto"/>
                <w:sz w:val="28"/>
                <w:szCs w:val="28"/>
                <w:highlight w:val="none"/>
              </w:rPr>
              <w:t>纸质投标文件的签署及规定：</w:t>
            </w:r>
            <w:bookmarkEnd w:id="761"/>
            <w:r>
              <w:rPr>
                <w:rFonts w:hint="eastAsia" w:ascii="仿宋" w:hAnsi="仿宋" w:eastAsia="仿宋" w:cs="仿宋"/>
                <w:b/>
                <w:bCs/>
                <w:color w:val="auto"/>
                <w:sz w:val="28"/>
                <w:szCs w:val="28"/>
                <w:highlight w:val="none"/>
              </w:rPr>
              <w:t>投标文件的正副本需打印或用不褪色墨水书写，并由供应商的法定代表人或经其正式</w:t>
            </w:r>
            <w:r>
              <w:rPr>
                <w:rFonts w:hint="eastAsia" w:ascii="仿宋" w:hAnsi="仿宋" w:eastAsia="仿宋" w:cs="仿宋"/>
                <w:b/>
                <w:bCs/>
                <w:color w:val="auto"/>
                <w:sz w:val="28"/>
                <w:szCs w:val="28"/>
                <w:highlight w:val="none"/>
                <w:lang w:val="en-US" w:eastAsia="zh-CN"/>
              </w:rPr>
              <w:t>授权</w:t>
            </w:r>
            <w:r>
              <w:rPr>
                <w:rFonts w:hint="eastAsia" w:ascii="仿宋" w:hAnsi="仿宋" w:eastAsia="仿宋" w:cs="仿宋"/>
                <w:b/>
                <w:bCs/>
                <w:color w:val="auto"/>
                <w:sz w:val="28"/>
                <w:szCs w:val="28"/>
                <w:highlight w:val="none"/>
              </w:rPr>
              <w:t>委托代理人按招标文件规定在投标文件上签字或盖章，并加盖单位印章。</w:t>
            </w:r>
          </w:p>
          <w:p w14:paraId="12D7B9BA">
            <w:pPr>
              <w:keepNext w:val="0"/>
              <w:keepLines w:val="0"/>
              <w:suppressLineNumbers w:val="0"/>
              <w:spacing w:before="0" w:beforeAutospacing="0" w:after="0" w:afterAutospacing="0" w:line="400" w:lineRule="exact"/>
              <w:ind w:left="0" w:right="0"/>
              <w:jc w:val="left"/>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（12）投标文件解密时长（分钟）为30分钟。</w:t>
            </w:r>
          </w:p>
        </w:tc>
      </w:tr>
      <w:tr w14:paraId="3901B4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1608" w:type="dxa"/>
            <w:noWrap w:val="0"/>
            <w:vAlign w:val="center"/>
          </w:tcPr>
          <w:p w14:paraId="0771C191">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16．1</w:t>
            </w:r>
          </w:p>
        </w:tc>
        <w:tc>
          <w:tcPr>
            <w:tcW w:w="7769" w:type="dxa"/>
            <w:gridSpan w:val="2"/>
            <w:noWrap w:val="0"/>
            <w:vAlign w:val="center"/>
          </w:tcPr>
          <w:p w14:paraId="101C4873">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投标截止时间：</w:t>
            </w:r>
            <w:r>
              <w:rPr>
                <w:rFonts w:ascii="仿宋" w:hAnsi="仿宋" w:eastAsia="仿宋" w:cs="仿宋"/>
                <w:spacing w:val="-7"/>
                <w:sz w:val="28"/>
                <w:szCs w:val="28"/>
                <w:highlight w:val="none"/>
                <w:lang w:eastAsia="zh-CN"/>
              </w:rPr>
              <w:t>202</w:t>
            </w:r>
            <w:r>
              <w:rPr>
                <w:rFonts w:hint="eastAsia" w:ascii="仿宋" w:hAnsi="仿宋" w:eastAsia="仿宋" w:cs="仿宋"/>
                <w:spacing w:val="-7"/>
                <w:sz w:val="28"/>
                <w:szCs w:val="28"/>
                <w:highlight w:val="none"/>
                <w:lang w:val="en-US" w:eastAsia="zh-CN"/>
              </w:rPr>
              <w:t>5</w:t>
            </w:r>
            <w:r>
              <w:rPr>
                <w:rFonts w:ascii="仿宋" w:hAnsi="仿宋" w:eastAsia="仿宋" w:cs="仿宋"/>
                <w:spacing w:val="-34"/>
                <w:sz w:val="28"/>
                <w:szCs w:val="28"/>
                <w:highlight w:val="none"/>
                <w:lang w:eastAsia="zh-CN"/>
              </w:rPr>
              <w:t xml:space="preserve"> </w:t>
            </w:r>
            <w:r>
              <w:rPr>
                <w:rFonts w:ascii="仿宋" w:hAnsi="仿宋" w:eastAsia="仿宋" w:cs="仿宋"/>
                <w:spacing w:val="-7"/>
                <w:sz w:val="28"/>
                <w:szCs w:val="28"/>
                <w:highlight w:val="none"/>
                <w:lang w:eastAsia="zh-CN"/>
              </w:rPr>
              <w:t>年</w:t>
            </w:r>
            <w:r>
              <w:rPr>
                <w:rFonts w:hint="eastAsia" w:ascii="仿宋" w:hAnsi="仿宋" w:eastAsia="仿宋" w:cs="仿宋"/>
                <w:spacing w:val="-7"/>
                <w:sz w:val="28"/>
                <w:szCs w:val="28"/>
                <w:highlight w:val="none"/>
                <w:lang w:val="en-US" w:eastAsia="zh-CN"/>
              </w:rPr>
              <w:t>7</w:t>
            </w:r>
            <w:r>
              <w:rPr>
                <w:rFonts w:ascii="仿宋" w:hAnsi="仿宋" w:eastAsia="仿宋" w:cs="仿宋"/>
                <w:spacing w:val="-7"/>
                <w:sz w:val="28"/>
                <w:szCs w:val="28"/>
                <w:highlight w:val="none"/>
                <w:lang w:eastAsia="zh-CN"/>
              </w:rPr>
              <w:t>月</w:t>
            </w:r>
            <w:r>
              <w:rPr>
                <w:rFonts w:hint="eastAsia" w:ascii="仿宋" w:hAnsi="仿宋" w:eastAsia="仿宋" w:cs="仿宋"/>
                <w:spacing w:val="-58"/>
                <w:sz w:val="28"/>
                <w:szCs w:val="28"/>
                <w:highlight w:val="none"/>
                <w:lang w:val="en-US" w:eastAsia="zh-CN"/>
              </w:rPr>
              <w:t>14</w:t>
            </w:r>
            <w:r>
              <w:rPr>
                <w:rFonts w:ascii="仿宋" w:hAnsi="仿宋" w:eastAsia="仿宋" w:cs="仿宋"/>
                <w:spacing w:val="-7"/>
                <w:sz w:val="28"/>
                <w:szCs w:val="28"/>
                <w:highlight w:val="none"/>
                <w:lang w:eastAsia="zh-CN"/>
              </w:rPr>
              <w:t>日</w:t>
            </w:r>
            <w:r>
              <w:rPr>
                <w:rFonts w:ascii="仿宋" w:hAnsi="仿宋" w:eastAsia="仿宋" w:cs="仿宋"/>
                <w:spacing w:val="-42"/>
                <w:sz w:val="28"/>
                <w:szCs w:val="28"/>
                <w:highlight w:val="none"/>
                <w:lang w:eastAsia="zh-CN"/>
              </w:rPr>
              <w:t xml:space="preserve"> </w:t>
            </w:r>
            <w:r>
              <w:rPr>
                <w:rFonts w:ascii="仿宋" w:hAnsi="仿宋" w:eastAsia="仿宋" w:cs="仿宋"/>
                <w:spacing w:val="-7"/>
                <w:sz w:val="28"/>
                <w:szCs w:val="28"/>
                <w:highlight w:val="none"/>
                <w:lang w:eastAsia="zh-CN"/>
              </w:rPr>
              <w:t>1</w:t>
            </w:r>
            <w:r>
              <w:rPr>
                <w:rFonts w:hint="eastAsia" w:ascii="仿宋" w:hAnsi="仿宋" w:eastAsia="仿宋" w:cs="仿宋"/>
                <w:spacing w:val="-7"/>
                <w:sz w:val="28"/>
                <w:szCs w:val="28"/>
                <w:highlight w:val="none"/>
                <w:lang w:val="en-US" w:eastAsia="zh-CN"/>
              </w:rPr>
              <w:t>1</w:t>
            </w:r>
            <w:r>
              <w:rPr>
                <w:rFonts w:ascii="仿宋" w:hAnsi="仿宋" w:eastAsia="仿宋" w:cs="仿宋"/>
                <w:spacing w:val="-7"/>
                <w:sz w:val="28"/>
                <w:szCs w:val="28"/>
                <w:highlight w:val="none"/>
                <w:lang w:eastAsia="zh-CN"/>
              </w:rPr>
              <w:t>:00（北京时间）</w:t>
            </w:r>
          </w:p>
        </w:tc>
      </w:tr>
      <w:tr w14:paraId="0678DB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1608" w:type="dxa"/>
            <w:noWrap w:val="0"/>
            <w:vAlign w:val="center"/>
          </w:tcPr>
          <w:p w14:paraId="5AB12C82">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18.1</w:t>
            </w:r>
          </w:p>
        </w:tc>
        <w:tc>
          <w:tcPr>
            <w:tcW w:w="7769" w:type="dxa"/>
            <w:gridSpan w:val="2"/>
            <w:noWrap w:val="0"/>
            <w:vAlign w:val="center"/>
          </w:tcPr>
          <w:p w14:paraId="28231318">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开标时间：</w:t>
            </w:r>
            <w:r>
              <w:rPr>
                <w:rFonts w:ascii="仿宋" w:hAnsi="仿宋" w:eastAsia="仿宋" w:cs="仿宋"/>
                <w:spacing w:val="-7"/>
                <w:sz w:val="28"/>
                <w:szCs w:val="28"/>
                <w:highlight w:val="none"/>
                <w:lang w:eastAsia="zh-CN"/>
              </w:rPr>
              <w:t>202</w:t>
            </w:r>
            <w:r>
              <w:rPr>
                <w:rFonts w:hint="eastAsia" w:ascii="仿宋" w:hAnsi="仿宋" w:eastAsia="仿宋" w:cs="仿宋"/>
                <w:spacing w:val="-7"/>
                <w:sz w:val="28"/>
                <w:szCs w:val="28"/>
                <w:highlight w:val="none"/>
                <w:lang w:val="en-US" w:eastAsia="zh-CN"/>
              </w:rPr>
              <w:t>5</w:t>
            </w:r>
            <w:r>
              <w:rPr>
                <w:rFonts w:ascii="仿宋" w:hAnsi="仿宋" w:eastAsia="仿宋" w:cs="仿宋"/>
                <w:spacing w:val="-34"/>
                <w:sz w:val="28"/>
                <w:szCs w:val="28"/>
                <w:highlight w:val="none"/>
                <w:lang w:eastAsia="zh-CN"/>
              </w:rPr>
              <w:t xml:space="preserve"> </w:t>
            </w:r>
            <w:r>
              <w:rPr>
                <w:rFonts w:ascii="仿宋" w:hAnsi="仿宋" w:eastAsia="仿宋" w:cs="仿宋"/>
                <w:spacing w:val="-7"/>
                <w:sz w:val="28"/>
                <w:szCs w:val="28"/>
                <w:highlight w:val="none"/>
                <w:lang w:eastAsia="zh-CN"/>
              </w:rPr>
              <w:t>年</w:t>
            </w:r>
            <w:r>
              <w:rPr>
                <w:rFonts w:ascii="仿宋" w:hAnsi="仿宋" w:eastAsia="仿宋" w:cs="仿宋"/>
                <w:spacing w:val="-62"/>
                <w:sz w:val="28"/>
                <w:szCs w:val="28"/>
                <w:highlight w:val="none"/>
                <w:lang w:eastAsia="zh-CN"/>
              </w:rPr>
              <w:t xml:space="preserve"> </w:t>
            </w:r>
            <w:r>
              <w:rPr>
                <w:rFonts w:hint="eastAsia" w:ascii="仿宋" w:hAnsi="仿宋" w:eastAsia="仿宋" w:cs="仿宋"/>
                <w:spacing w:val="-62"/>
                <w:sz w:val="28"/>
                <w:szCs w:val="28"/>
                <w:highlight w:val="none"/>
                <w:lang w:val="en-US" w:eastAsia="zh-CN"/>
              </w:rPr>
              <w:t>7</w:t>
            </w:r>
            <w:r>
              <w:rPr>
                <w:rFonts w:ascii="仿宋" w:hAnsi="仿宋" w:eastAsia="仿宋" w:cs="仿宋"/>
                <w:spacing w:val="-7"/>
                <w:sz w:val="28"/>
                <w:szCs w:val="28"/>
                <w:highlight w:val="none"/>
                <w:lang w:eastAsia="zh-CN"/>
              </w:rPr>
              <w:t>月</w:t>
            </w:r>
            <w:r>
              <w:rPr>
                <w:rFonts w:ascii="仿宋" w:hAnsi="仿宋" w:eastAsia="仿宋" w:cs="仿宋"/>
                <w:spacing w:val="-58"/>
                <w:sz w:val="28"/>
                <w:szCs w:val="28"/>
                <w:highlight w:val="none"/>
                <w:lang w:eastAsia="zh-CN"/>
              </w:rPr>
              <w:t xml:space="preserve"> </w:t>
            </w:r>
            <w:r>
              <w:rPr>
                <w:rFonts w:hint="eastAsia" w:ascii="仿宋" w:hAnsi="仿宋" w:eastAsia="仿宋" w:cs="仿宋"/>
                <w:spacing w:val="-58"/>
                <w:sz w:val="28"/>
                <w:szCs w:val="28"/>
                <w:highlight w:val="none"/>
                <w:lang w:val="en-US" w:eastAsia="zh-CN"/>
              </w:rPr>
              <w:t>14</w:t>
            </w:r>
            <w:r>
              <w:rPr>
                <w:rFonts w:ascii="仿宋" w:hAnsi="仿宋" w:eastAsia="仿宋" w:cs="仿宋"/>
                <w:spacing w:val="-7"/>
                <w:sz w:val="28"/>
                <w:szCs w:val="28"/>
                <w:highlight w:val="none"/>
                <w:lang w:eastAsia="zh-CN"/>
              </w:rPr>
              <w:t>日</w:t>
            </w:r>
            <w:r>
              <w:rPr>
                <w:rFonts w:ascii="仿宋" w:hAnsi="仿宋" w:eastAsia="仿宋" w:cs="仿宋"/>
                <w:spacing w:val="-42"/>
                <w:sz w:val="28"/>
                <w:szCs w:val="28"/>
                <w:highlight w:val="none"/>
                <w:lang w:eastAsia="zh-CN"/>
              </w:rPr>
              <w:t xml:space="preserve"> </w:t>
            </w:r>
            <w:r>
              <w:rPr>
                <w:rFonts w:ascii="仿宋" w:hAnsi="仿宋" w:eastAsia="仿宋" w:cs="仿宋"/>
                <w:spacing w:val="-7"/>
                <w:sz w:val="28"/>
                <w:szCs w:val="28"/>
                <w:highlight w:val="none"/>
                <w:lang w:eastAsia="zh-CN"/>
              </w:rPr>
              <w:t>1</w:t>
            </w:r>
            <w:r>
              <w:rPr>
                <w:rFonts w:hint="eastAsia" w:ascii="仿宋" w:hAnsi="仿宋" w:eastAsia="仿宋" w:cs="仿宋"/>
                <w:spacing w:val="-7"/>
                <w:sz w:val="28"/>
                <w:szCs w:val="28"/>
                <w:highlight w:val="none"/>
                <w:lang w:val="en-US" w:eastAsia="zh-CN"/>
              </w:rPr>
              <w:t>1</w:t>
            </w:r>
            <w:r>
              <w:rPr>
                <w:rFonts w:ascii="仿宋" w:hAnsi="仿宋" w:eastAsia="仿宋" w:cs="仿宋"/>
                <w:spacing w:val="-7"/>
                <w:sz w:val="28"/>
                <w:szCs w:val="28"/>
                <w:highlight w:val="none"/>
                <w:lang w:eastAsia="zh-CN"/>
              </w:rPr>
              <w:t>:00（北京时间）</w:t>
            </w:r>
          </w:p>
          <w:p w14:paraId="46D60AC2">
            <w:pPr>
              <w:keepNext w:val="0"/>
              <w:keepLines w:val="0"/>
              <w:suppressLineNumbers w:val="0"/>
              <w:spacing w:before="0" w:beforeAutospacing="0" w:after="0" w:afterAutospacing="0" w:line="240" w:lineRule="atLeast"/>
              <w:ind w:left="0" w:right="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开标地点：政采云平台（https://login.zcygov.cn/user-login/#/login）</w:t>
            </w:r>
          </w:p>
        </w:tc>
      </w:tr>
      <w:tr w14:paraId="12E5B4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trPr>
        <w:tc>
          <w:tcPr>
            <w:tcW w:w="1608" w:type="dxa"/>
            <w:noWrap w:val="0"/>
            <w:vAlign w:val="center"/>
          </w:tcPr>
          <w:p w14:paraId="08D7E179">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23.2</w:t>
            </w:r>
          </w:p>
        </w:tc>
        <w:tc>
          <w:tcPr>
            <w:tcW w:w="7769" w:type="dxa"/>
            <w:gridSpan w:val="2"/>
            <w:noWrap w:val="0"/>
            <w:vAlign w:val="center"/>
          </w:tcPr>
          <w:p w14:paraId="4EE8AE97">
            <w:pPr>
              <w:keepNext w:val="0"/>
              <w:keepLines w:val="0"/>
              <w:suppressLineNumbers w:val="0"/>
              <w:spacing w:before="0" w:beforeAutospacing="0" w:after="0" w:afterAutospacing="0" w:line="240" w:lineRule="atLeast"/>
              <w:ind w:left="0" w:right="0"/>
              <w:rPr>
                <w:rFonts w:hint="eastAsia" w:ascii="仿宋" w:hAnsi="仿宋" w:eastAsia="仿宋" w:cs="仿宋"/>
                <w:i/>
                <w:color w:val="auto"/>
                <w:sz w:val="28"/>
                <w:szCs w:val="28"/>
                <w:highlight w:val="none"/>
              </w:rPr>
            </w:pPr>
            <w:r>
              <w:rPr>
                <w:rFonts w:hint="eastAsia" w:ascii="仿宋" w:hAnsi="仿宋" w:eastAsia="仿宋" w:cs="仿宋"/>
                <w:color w:val="auto"/>
                <w:sz w:val="28"/>
                <w:szCs w:val="28"/>
                <w:highlight w:val="none"/>
              </w:rPr>
              <w:t>本项目评审方法：适用</w:t>
            </w:r>
            <w:r>
              <w:rPr>
                <w:rFonts w:hint="eastAsia" w:ascii="仿宋" w:hAnsi="仿宋" w:eastAsia="仿宋" w:cs="仿宋"/>
                <w:b/>
                <w:bCs/>
                <w:color w:val="auto"/>
                <w:sz w:val="28"/>
                <w:szCs w:val="28"/>
                <w:highlight w:val="none"/>
                <w:u w:val="single"/>
              </w:rPr>
              <w:t>综合评分法</w:t>
            </w:r>
            <w:r>
              <w:rPr>
                <w:rFonts w:hint="eastAsia" w:ascii="仿宋" w:hAnsi="仿宋" w:eastAsia="仿宋" w:cs="仿宋"/>
                <w:color w:val="auto"/>
                <w:sz w:val="28"/>
                <w:szCs w:val="28"/>
                <w:highlight w:val="none"/>
                <w:u w:val="single"/>
              </w:rPr>
              <w:t>。</w:t>
            </w:r>
          </w:p>
        </w:tc>
      </w:tr>
      <w:tr w14:paraId="28D044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1608" w:type="dxa"/>
            <w:noWrap w:val="0"/>
            <w:vAlign w:val="center"/>
          </w:tcPr>
          <w:p w14:paraId="2380A739">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27</w:t>
            </w:r>
          </w:p>
        </w:tc>
        <w:tc>
          <w:tcPr>
            <w:tcW w:w="7769" w:type="dxa"/>
            <w:gridSpan w:val="2"/>
            <w:noWrap w:val="0"/>
            <w:vAlign w:val="center"/>
          </w:tcPr>
          <w:p w14:paraId="1149EF09">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每包</w:t>
            </w:r>
            <w:r>
              <w:rPr>
                <w:rFonts w:hint="eastAsia" w:ascii="仿宋" w:hAnsi="仿宋" w:eastAsia="仿宋" w:cs="仿宋"/>
                <w:color w:val="auto"/>
                <w:sz w:val="28"/>
                <w:szCs w:val="28"/>
                <w:highlight w:val="none"/>
              </w:rPr>
              <w:t>推荐中标候选供应商的数量：</w:t>
            </w:r>
            <w:r>
              <w:rPr>
                <w:rFonts w:hint="eastAsia" w:ascii="仿宋" w:hAnsi="仿宋" w:eastAsia="仿宋" w:cs="仿宋"/>
                <w:color w:val="auto"/>
                <w:sz w:val="28"/>
                <w:szCs w:val="28"/>
                <w:highlight w:val="none"/>
                <w:u w:val="single"/>
              </w:rPr>
              <w:t xml:space="preserve"> 3家 。</w:t>
            </w:r>
          </w:p>
        </w:tc>
      </w:tr>
      <w:tr w14:paraId="58E459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1608" w:type="dxa"/>
            <w:noWrap w:val="0"/>
            <w:vAlign w:val="center"/>
          </w:tcPr>
          <w:p w14:paraId="6C0ABC21">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27</w:t>
            </w:r>
          </w:p>
        </w:tc>
        <w:tc>
          <w:tcPr>
            <w:tcW w:w="7769" w:type="dxa"/>
            <w:gridSpan w:val="2"/>
            <w:noWrap w:val="0"/>
            <w:vAlign w:val="center"/>
          </w:tcPr>
          <w:p w14:paraId="10A567A6">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招标人是否委托评标委员会直接确定中标人：</w:t>
            </w:r>
            <w:r>
              <w:rPr>
                <w:rFonts w:hint="eastAsia" w:ascii="仿宋" w:hAnsi="仿宋" w:eastAsia="仿宋" w:cs="仿宋"/>
                <w:color w:val="auto"/>
                <w:sz w:val="28"/>
                <w:szCs w:val="28"/>
                <w:highlight w:val="none"/>
                <w:u w:val="single"/>
              </w:rPr>
              <w:t xml:space="preserve"> </w:t>
            </w:r>
            <w:r>
              <w:rPr>
                <w:rFonts w:hint="eastAsia" w:ascii="仿宋" w:hAnsi="仿宋" w:eastAsia="仿宋" w:cs="仿宋"/>
                <w:i/>
                <w:color w:val="auto"/>
                <w:sz w:val="28"/>
                <w:szCs w:val="28"/>
                <w:highlight w:val="none"/>
                <w:u w:val="single"/>
              </w:rPr>
              <w:t>否</w:t>
            </w:r>
            <w:r>
              <w:rPr>
                <w:rFonts w:hint="eastAsia" w:ascii="仿宋" w:hAnsi="仿宋" w:eastAsia="仿宋" w:cs="仿宋"/>
                <w:color w:val="auto"/>
                <w:sz w:val="28"/>
                <w:szCs w:val="28"/>
                <w:highlight w:val="none"/>
                <w:u w:val="single"/>
              </w:rPr>
              <w:t xml:space="preserve"> </w:t>
            </w:r>
            <w:r>
              <w:rPr>
                <w:rFonts w:hint="eastAsia" w:ascii="仿宋" w:hAnsi="仿宋" w:eastAsia="仿宋" w:cs="仿宋"/>
                <w:i/>
                <w:color w:val="auto"/>
                <w:sz w:val="28"/>
                <w:szCs w:val="28"/>
                <w:highlight w:val="none"/>
              </w:rPr>
              <w:t>（是、否）</w:t>
            </w:r>
          </w:p>
        </w:tc>
      </w:tr>
      <w:tr w14:paraId="0CD2BB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08" w:type="dxa"/>
            <w:noWrap w:val="0"/>
            <w:vAlign w:val="center"/>
          </w:tcPr>
          <w:p w14:paraId="002F07B5">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31.1</w:t>
            </w:r>
          </w:p>
        </w:tc>
        <w:tc>
          <w:tcPr>
            <w:tcW w:w="7769" w:type="dxa"/>
            <w:gridSpan w:val="2"/>
            <w:noWrap w:val="0"/>
            <w:vAlign w:val="center"/>
          </w:tcPr>
          <w:p w14:paraId="5F4AED23">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履约保证金金额：合同总价</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 （</w:t>
            </w:r>
            <w:r>
              <w:rPr>
                <w:rFonts w:hint="eastAsia" w:ascii="仿宋" w:hAnsi="仿宋" w:eastAsia="仿宋" w:cs="仿宋"/>
                <w:color w:val="auto"/>
                <w:sz w:val="28"/>
                <w:szCs w:val="28"/>
                <w:highlight w:val="none"/>
              </w:rPr>
              <w:t>不得超过政府采购合同金额的10%）</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提供履约保函</w:t>
            </w:r>
            <w:r>
              <w:rPr>
                <w:rFonts w:hint="eastAsia" w:ascii="仿宋" w:hAnsi="仿宋" w:eastAsia="仿宋" w:cs="仿宋"/>
                <w:color w:val="auto"/>
                <w:sz w:val="28"/>
                <w:szCs w:val="28"/>
                <w:highlight w:val="none"/>
                <w:lang w:eastAsia="zh-CN"/>
              </w:rPr>
              <w:t>）</w:t>
            </w:r>
          </w:p>
        </w:tc>
      </w:tr>
      <w:tr w14:paraId="7714B9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608" w:type="dxa"/>
            <w:noWrap w:val="0"/>
            <w:vAlign w:val="center"/>
          </w:tcPr>
          <w:p w14:paraId="0F7A38F0">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32</w:t>
            </w:r>
          </w:p>
        </w:tc>
        <w:tc>
          <w:tcPr>
            <w:tcW w:w="7769" w:type="dxa"/>
            <w:gridSpan w:val="2"/>
            <w:noWrap w:val="0"/>
            <w:vAlign w:val="center"/>
          </w:tcPr>
          <w:p w14:paraId="72665051">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lang w:val="zh-TW" w:eastAsia="zh-TW"/>
              </w:rPr>
            </w:pPr>
            <w:r>
              <w:rPr>
                <w:rFonts w:hint="eastAsia" w:ascii="仿宋" w:hAnsi="仿宋" w:eastAsia="仿宋" w:cs="仿宋"/>
                <w:color w:val="auto"/>
                <w:sz w:val="28"/>
                <w:szCs w:val="28"/>
                <w:highlight w:val="none"/>
              </w:rPr>
              <w:t>中标服务费：根据发改价格[2015]299号文</w:t>
            </w:r>
            <w:r>
              <w:rPr>
                <w:rFonts w:hint="eastAsia" w:ascii="仿宋" w:hAnsi="仿宋" w:eastAsia="仿宋" w:cs="仿宋"/>
                <w:color w:val="auto"/>
                <w:sz w:val="28"/>
                <w:szCs w:val="28"/>
                <w:highlight w:val="none"/>
                <w:lang w:eastAsia="zh-CN"/>
              </w:rPr>
              <w:t>计取</w:t>
            </w:r>
            <w:r>
              <w:rPr>
                <w:rFonts w:hint="eastAsia" w:ascii="仿宋" w:hAnsi="仿宋" w:eastAsia="仿宋" w:cs="仿宋"/>
                <w:color w:val="auto"/>
                <w:sz w:val="28"/>
                <w:szCs w:val="28"/>
                <w:highlight w:val="none"/>
                <w:lang w:val="zh-TW" w:eastAsia="zh-TW"/>
              </w:rPr>
              <w:t>，</w:t>
            </w:r>
            <w:r>
              <w:rPr>
                <w:rFonts w:hint="eastAsia" w:ascii="仿宋" w:hAnsi="仿宋" w:eastAsia="仿宋" w:cs="仿宋"/>
                <w:color w:val="auto"/>
                <w:sz w:val="28"/>
                <w:szCs w:val="28"/>
                <w:highlight w:val="none"/>
                <w:lang w:val="en-US" w:eastAsia="zh-CN"/>
              </w:rPr>
              <w:t>中标人</w:t>
            </w:r>
            <w:r>
              <w:rPr>
                <w:rFonts w:hint="eastAsia" w:ascii="仿宋" w:hAnsi="仿宋" w:eastAsia="仿宋" w:cs="仿宋"/>
                <w:color w:val="auto"/>
                <w:sz w:val="28"/>
                <w:szCs w:val="28"/>
                <w:highlight w:val="none"/>
                <w:lang w:val="zh-TW" w:eastAsia="zh-TW"/>
              </w:rPr>
              <w:t>向招标代理机构支付</w:t>
            </w:r>
            <w:r>
              <w:rPr>
                <w:rFonts w:hint="eastAsia" w:ascii="仿宋" w:hAnsi="仿宋" w:eastAsia="仿宋" w:cs="仿宋"/>
                <w:color w:val="auto"/>
                <w:sz w:val="28"/>
                <w:szCs w:val="28"/>
                <w:highlight w:val="none"/>
                <w:lang w:val="zh-TW" w:eastAsia="zh-CN"/>
              </w:rPr>
              <w:t>本</w:t>
            </w:r>
            <w:r>
              <w:rPr>
                <w:rFonts w:hint="eastAsia" w:ascii="仿宋" w:hAnsi="仿宋" w:eastAsia="仿宋" w:cs="仿宋"/>
                <w:color w:val="auto"/>
                <w:sz w:val="28"/>
                <w:szCs w:val="28"/>
                <w:highlight w:val="none"/>
                <w:lang w:val="zh-TW" w:eastAsia="zh-TW"/>
              </w:rPr>
              <w:t>采购项目代理费。</w:t>
            </w:r>
          </w:p>
          <w:tbl>
            <w:tblPr>
              <w:tblStyle w:val="20"/>
              <w:tblW w:w="709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 w:type="dxa"/>
                <w:bottom w:w="0" w:type="dxa"/>
                <w:right w:w="10" w:type="dxa"/>
              </w:tblCellMar>
            </w:tblPr>
            <w:tblGrid>
              <w:gridCol w:w="2552"/>
              <w:gridCol w:w="1493"/>
              <w:gridCol w:w="1302"/>
              <w:gridCol w:w="1751"/>
            </w:tblGrid>
            <w:tr w14:paraId="2366A1E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882" w:hRule="atLeast"/>
              </w:trPr>
              <w:tc>
                <w:tcPr>
                  <w:tcW w:w="25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EFEB7AB">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zh-TW" w:eastAsia="zh-TW"/>
                    </w:rPr>
                    <w:t>费率</w:t>
                  </w:r>
                </w:p>
                <w:p w14:paraId="7A13E8D1">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zh-TW" w:eastAsia="zh-TW"/>
                    </w:rPr>
                    <w:t>中标金额</w:t>
                  </w: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FF29CA8">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zh-TW" w:eastAsia="zh-TW"/>
                    </w:rPr>
                    <w:t>货物招标</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FDE9A85">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zh-TW" w:eastAsia="zh-TW"/>
                    </w:rPr>
                    <w:t>服务招标</w:t>
                  </w:r>
                </w:p>
              </w:tc>
              <w:tc>
                <w:tcPr>
                  <w:tcW w:w="17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825FF37">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zh-TW" w:eastAsia="zh-TW"/>
                    </w:rPr>
                    <w:t>工程招标</w:t>
                  </w:r>
                </w:p>
              </w:tc>
            </w:tr>
            <w:tr w14:paraId="1C660CB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525" w:hRule="atLeast"/>
              </w:trPr>
              <w:tc>
                <w:tcPr>
                  <w:tcW w:w="25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F436575">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100</w:t>
                  </w:r>
                  <w:r>
                    <w:rPr>
                      <w:rFonts w:hint="eastAsia" w:ascii="仿宋" w:hAnsi="仿宋" w:eastAsia="仿宋" w:cs="仿宋"/>
                      <w:color w:val="auto"/>
                      <w:sz w:val="28"/>
                      <w:szCs w:val="28"/>
                      <w:highlight w:val="none"/>
                      <w:lang w:val="zh-TW" w:eastAsia="zh-TW"/>
                    </w:rPr>
                    <w:t>万元以下</w:t>
                  </w: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2C79A89">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37B126B">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w:t>
                  </w:r>
                </w:p>
              </w:tc>
              <w:tc>
                <w:tcPr>
                  <w:tcW w:w="17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0271F07">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w:t>
                  </w:r>
                </w:p>
              </w:tc>
            </w:tr>
            <w:tr w14:paraId="14CA102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57" w:hRule="atLeast"/>
              </w:trPr>
              <w:tc>
                <w:tcPr>
                  <w:tcW w:w="25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48227F1">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100</w:t>
                  </w:r>
                  <w:r>
                    <w:rPr>
                      <w:rFonts w:hint="eastAsia" w:ascii="仿宋" w:hAnsi="仿宋" w:eastAsia="仿宋" w:cs="仿宋"/>
                      <w:color w:val="auto"/>
                      <w:sz w:val="28"/>
                      <w:szCs w:val="28"/>
                      <w:highlight w:val="none"/>
                      <w:lang w:val="zh-TW" w:eastAsia="zh-TW"/>
                    </w:rPr>
                    <w:t>～</w:t>
                  </w:r>
                  <w:r>
                    <w:rPr>
                      <w:rFonts w:hint="eastAsia" w:ascii="仿宋" w:hAnsi="仿宋" w:eastAsia="仿宋" w:cs="仿宋"/>
                      <w:color w:val="auto"/>
                      <w:sz w:val="28"/>
                      <w:szCs w:val="28"/>
                      <w:highlight w:val="none"/>
                    </w:rPr>
                    <w:t>500</w:t>
                  </w:r>
                  <w:r>
                    <w:rPr>
                      <w:rFonts w:hint="eastAsia" w:ascii="仿宋" w:hAnsi="仿宋" w:eastAsia="仿宋" w:cs="仿宋"/>
                      <w:color w:val="auto"/>
                      <w:sz w:val="28"/>
                      <w:szCs w:val="28"/>
                      <w:highlight w:val="none"/>
                      <w:lang w:val="zh-TW" w:eastAsia="zh-TW"/>
                    </w:rPr>
                    <w:t>万元</w:t>
                  </w: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A255B1B">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129687A">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0.8%</w:t>
                  </w:r>
                </w:p>
              </w:tc>
              <w:tc>
                <w:tcPr>
                  <w:tcW w:w="17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966271C">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0.8%</w:t>
                  </w:r>
                </w:p>
              </w:tc>
            </w:tr>
            <w:tr w14:paraId="29C21F3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25" w:hRule="atLeast"/>
              </w:trPr>
              <w:tc>
                <w:tcPr>
                  <w:tcW w:w="25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9062E34">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500</w:t>
                  </w:r>
                  <w:r>
                    <w:rPr>
                      <w:rFonts w:hint="eastAsia" w:ascii="仿宋" w:hAnsi="仿宋" w:eastAsia="仿宋" w:cs="仿宋"/>
                      <w:color w:val="auto"/>
                      <w:sz w:val="28"/>
                      <w:szCs w:val="28"/>
                      <w:highlight w:val="none"/>
                      <w:lang w:val="zh-TW" w:eastAsia="zh-TW"/>
                    </w:rPr>
                    <w:t>～</w:t>
                  </w:r>
                  <w:r>
                    <w:rPr>
                      <w:rFonts w:hint="eastAsia" w:ascii="仿宋" w:hAnsi="仿宋" w:eastAsia="仿宋" w:cs="仿宋"/>
                      <w:color w:val="auto"/>
                      <w:sz w:val="28"/>
                      <w:szCs w:val="28"/>
                      <w:highlight w:val="none"/>
                    </w:rPr>
                    <w:t>1000</w:t>
                  </w:r>
                  <w:r>
                    <w:rPr>
                      <w:rFonts w:hint="eastAsia" w:ascii="仿宋" w:hAnsi="仿宋" w:eastAsia="仿宋" w:cs="仿宋"/>
                      <w:color w:val="auto"/>
                      <w:sz w:val="28"/>
                      <w:szCs w:val="28"/>
                      <w:highlight w:val="none"/>
                      <w:lang w:val="zh-TW" w:eastAsia="zh-TW"/>
                    </w:rPr>
                    <w:t>万元</w:t>
                  </w: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190F3D2">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0.8%</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2FE4E14">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0.45%</w:t>
                  </w:r>
                </w:p>
              </w:tc>
              <w:tc>
                <w:tcPr>
                  <w:tcW w:w="17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72495D5">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0.55%</w:t>
                  </w:r>
                </w:p>
              </w:tc>
            </w:tr>
            <w:tr w14:paraId="5AD727F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576" w:hRule="atLeast"/>
              </w:trPr>
              <w:tc>
                <w:tcPr>
                  <w:tcW w:w="25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B96A96D">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1000</w:t>
                  </w:r>
                  <w:r>
                    <w:rPr>
                      <w:rFonts w:hint="eastAsia" w:ascii="仿宋" w:hAnsi="仿宋" w:eastAsia="仿宋" w:cs="仿宋"/>
                      <w:color w:val="auto"/>
                      <w:sz w:val="28"/>
                      <w:szCs w:val="28"/>
                      <w:highlight w:val="none"/>
                      <w:lang w:val="zh-TW" w:eastAsia="zh-TW"/>
                    </w:rPr>
                    <w:t>～</w:t>
                  </w:r>
                  <w:r>
                    <w:rPr>
                      <w:rFonts w:hint="eastAsia" w:ascii="仿宋" w:hAnsi="仿宋" w:eastAsia="仿宋" w:cs="仿宋"/>
                      <w:color w:val="auto"/>
                      <w:sz w:val="28"/>
                      <w:szCs w:val="28"/>
                      <w:highlight w:val="none"/>
                    </w:rPr>
                    <w:t>5000</w:t>
                  </w:r>
                  <w:r>
                    <w:rPr>
                      <w:rFonts w:hint="eastAsia" w:ascii="仿宋" w:hAnsi="仿宋" w:eastAsia="仿宋" w:cs="仿宋"/>
                      <w:color w:val="auto"/>
                      <w:sz w:val="28"/>
                      <w:szCs w:val="28"/>
                      <w:highlight w:val="none"/>
                      <w:lang w:val="zh-TW" w:eastAsia="zh-TW"/>
                    </w:rPr>
                    <w:t>万元</w:t>
                  </w: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ACF168C">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0.5%</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FEB84A5">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0.25%</w:t>
                  </w:r>
                </w:p>
              </w:tc>
              <w:tc>
                <w:tcPr>
                  <w:tcW w:w="17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1CEC461">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0.35%</w:t>
                  </w:r>
                </w:p>
              </w:tc>
            </w:tr>
          </w:tbl>
          <w:p w14:paraId="7F1B210C">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支付形式：  对公转账  </w:t>
            </w:r>
          </w:p>
          <w:p w14:paraId="6A5A3A6B">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支付时间： </w:t>
            </w:r>
            <w:r>
              <w:rPr>
                <w:rFonts w:hint="eastAsia" w:ascii="仿宋" w:hAnsi="仿宋" w:eastAsia="仿宋" w:cs="仿宋"/>
                <w:color w:val="auto"/>
                <w:sz w:val="28"/>
                <w:szCs w:val="28"/>
                <w:highlight w:val="none"/>
                <w:lang w:eastAsia="zh-CN"/>
              </w:rPr>
              <w:t>领取中标通知书时支付代理服务费</w:t>
            </w:r>
          </w:p>
        </w:tc>
      </w:tr>
      <w:tr w14:paraId="1F412F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608" w:type="dxa"/>
            <w:noWrap w:val="0"/>
            <w:vAlign w:val="center"/>
          </w:tcPr>
          <w:p w14:paraId="7885034B">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33.1</w:t>
            </w:r>
          </w:p>
        </w:tc>
        <w:tc>
          <w:tcPr>
            <w:tcW w:w="7769" w:type="dxa"/>
            <w:gridSpan w:val="2"/>
            <w:noWrap w:val="0"/>
            <w:vAlign w:val="center"/>
          </w:tcPr>
          <w:p w14:paraId="6F6E3EED">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本项目是否属于信用担保试点范围：</w:t>
            </w:r>
            <w:r>
              <w:rPr>
                <w:rFonts w:hint="eastAsia" w:ascii="仿宋" w:hAnsi="仿宋" w:eastAsia="仿宋" w:cs="仿宋"/>
                <w:color w:val="auto"/>
                <w:sz w:val="28"/>
                <w:szCs w:val="28"/>
                <w:highlight w:val="none"/>
                <w:u w:val="single"/>
              </w:rPr>
              <w:t xml:space="preserve"> </w:t>
            </w:r>
            <w:r>
              <w:rPr>
                <w:rFonts w:hint="eastAsia" w:ascii="仿宋" w:hAnsi="仿宋" w:eastAsia="仿宋" w:cs="仿宋"/>
                <w:b/>
                <w:bCs/>
                <w:i w:val="0"/>
                <w:iCs/>
                <w:color w:val="auto"/>
                <w:sz w:val="28"/>
                <w:szCs w:val="28"/>
                <w:highlight w:val="none"/>
                <w:u w:val="single"/>
                <w:lang w:val="en-US" w:eastAsia="zh-CN"/>
              </w:rPr>
              <w:t>是</w:t>
            </w:r>
            <w:r>
              <w:rPr>
                <w:rFonts w:hint="eastAsia" w:ascii="仿宋" w:hAnsi="仿宋" w:eastAsia="仿宋" w:cs="仿宋"/>
                <w:color w:val="auto"/>
                <w:sz w:val="28"/>
                <w:szCs w:val="28"/>
                <w:highlight w:val="none"/>
                <w:u w:val="single"/>
              </w:rPr>
              <w:t xml:space="preserve"> </w:t>
            </w:r>
            <w:r>
              <w:rPr>
                <w:rFonts w:hint="eastAsia" w:ascii="仿宋" w:hAnsi="仿宋" w:eastAsia="仿宋" w:cs="仿宋"/>
                <w:i/>
                <w:color w:val="auto"/>
                <w:sz w:val="28"/>
                <w:szCs w:val="28"/>
                <w:highlight w:val="none"/>
              </w:rPr>
              <w:t>（是、否）</w:t>
            </w:r>
          </w:p>
        </w:tc>
      </w:tr>
      <w:tr w14:paraId="246F7B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608" w:type="dxa"/>
            <w:noWrap w:val="0"/>
            <w:vAlign w:val="center"/>
          </w:tcPr>
          <w:p w14:paraId="60D105A3">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33.2</w:t>
            </w:r>
          </w:p>
        </w:tc>
        <w:tc>
          <w:tcPr>
            <w:tcW w:w="7769" w:type="dxa"/>
            <w:gridSpan w:val="2"/>
            <w:noWrap w:val="0"/>
            <w:vAlign w:val="center"/>
          </w:tcPr>
          <w:p w14:paraId="55D1D9D9">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1.政府采购信用担保机构：</w:t>
            </w:r>
          </w:p>
          <w:p w14:paraId="06CFA87D">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所有政府采购项目的信用担保专业的担保机构</w:t>
            </w:r>
          </w:p>
          <w:p w14:paraId="11D7C67E">
            <w:pPr>
              <w:keepNext w:val="0"/>
              <w:keepLines w:val="0"/>
              <w:suppressLineNumbers w:val="0"/>
              <w:spacing w:before="0" w:beforeAutospacing="0" w:after="0" w:afterAutospacing="0" w:line="240" w:lineRule="atLeast"/>
              <w:ind w:left="-48" w:leftChars="-23" w:right="0" w:firstLine="56" w:firstLineChars="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可承接政府采购项目的信用担保专业的担保机构出具的保函</w:t>
            </w:r>
          </w:p>
          <w:p w14:paraId="42815B26">
            <w:pPr>
              <w:keepNext w:val="0"/>
              <w:keepLines w:val="0"/>
              <w:suppressLineNumbers w:val="0"/>
              <w:spacing w:before="0" w:beforeAutospacing="0" w:after="0" w:afterAutospacing="0" w:line="240" w:lineRule="atLeast"/>
              <w:ind w:left="-48" w:leftChars="-23" w:right="0" w:firstLine="56" w:firstLineChars="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 本项目采购人本级和上级财政部门政府采购有关规定增加的担保机构：</w:t>
            </w:r>
          </w:p>
        </w:tc>
      </w:tr>
      <w:tr w14:paraId="6D6D07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1" w:hRule="atLeast"/>
        </w:trPr>
        <w:tc>
          <w:tcPr>
            <w:tcW w:w="9377" w:type="dxa"/>
            <w:gridSpan w:val="3"/>
            <w:tcBorders>
              <w:top w:val="single" w:color="auto" w:sz="12" w:space="0"/>
              <w:left w:val="single" w:color="auto" w:sz="12" w:space="0"/>
              <w:bottom w:val="single" w:color="auto" w:sz="12" w:space="0"/>
              <w:right w:val="single" w:color="auto" w:sz="12" w:space="0"/>
            </w:tcBorders>
            <w:noWrap w:val="0"/>
            <w:vAlign w:val="center"/>
          </w:tcPr>
          <w:p w14:paraId="4DAD6A71">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适用于本投标人须知的额外增加的变动：</w:t>
            </w:r>
          </w:p>
        </w:tc>
      </w:tr>
      <w:tr w14:paraId="58D701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805" w:type="dxa"/>
            <w:gridSpan w:val="2"/>
            <w:noWrap w:val="0"/>
            <w:vAlign w:val="center"/>
          </w:tcPr>
          <w:p w14:paraId="60242B0C">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7572" w:type="dxa"/>
            <w:noWrap w:val="0"/>
            <w:vAlign w:val="center"/>
          </w:tcPr>
          <w:p w14:paraId="74B2ADEF">
            <w:pPr>
              <w:keepNext w:val="0"/>
              <w:keepLines w:val="0"/>
              <w:suppressLineNumbers w:val="0"/>
              <w:tabs>
                <w:tab w:val="left" w:pos="5580"/>
              </w:tabs>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提供20</w:t>
            </w:r>
            <w:r>
              <w:rPr>
                <w:rFonts w:hint="eastAsia" w:ascii="仿宋" w:hAnsi="仿宋" w:eastAsia="仿宋" w:cs="仿宋"/>
                <w:color w:val="auto"/>
                <w:sz w:val="28"/>
                <w:szCs w:val="28"/>
                <w:highlight w:val="none"/>
                <w:lang w:val="en-US" w:eastAsia="zh-CN"/>
              </w:rPr>
              <w:t>24</w:t>
            </w:r>
            <w:r>
              <w:rPr>
                <w:rFonts w:hint="eastAsia" w:ascii="仿宋" w:hAnsi="仿宋" w:eastAsia="仿宋" w:cs="仿宋"/>
                <w:color w:val="auto"/>
                <w:sz w:val="28"/>
                <w:szCs w:val="28"/>
                <w:highlight w:val="none"/>
              </w:rPr>
              <w:t>年度的财务审计报告(成立不满一年的提供开标前一个月内有效银行资信证明）；</w:t>
            </w:r>
          </w:p>
        </w:tc>
      </w:tr>
      <w:tr w14:paraId="6F1F2F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805" w:type="dxa"/>
            <w:gridSpan w:val="2"/>
            <w:noWrap w:val="0"/>
            <w:vAlign w:val="center"/>
          </w:tcPr>
          <w:p w14:paraId="33C657BF">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7572" w:type="dxa"/>
            <w:noWrap w:val="0"/>
            <w:vAlign w:val="center"/>
          </w:tcPr>
          <w:p w14:paraId="49D779A2">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投标单位需提供202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eastAsia="zh-CN"/>
              </w:rPr>
              <w:t>至今任意一月的</w:t>
            </w:r>
            <w:r>
              <w:rPr>
                <w:rFonts w:hint="eastAsia" w:ascii="仿宋" w:hAnsi="仿宋" w:eastAsia="仿宋" w:cs="仿宋"/>
                <w:color w:val="auto"/>
                <w:sz w:val="28"/>
                <w:szCs w:val="28"/>
                <w:highlight w:val="none"/>
              </w:rPr>
              <w:t>税收和社保缴纳记录；</w:t>
            </w:r>
          </w:p>
        </w:tc>
      </w:tr>
      <w:tr w14:paraId="7BE800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805" w:type="dxa"/>
            <w:gridSpan w:val="2"/>
            <w:noWrap w:val="0"/>
            <w:vAlign w:val="center"/>
          </w:tcPr>
          <w:p w14:paraId="08FED91A">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p>
        </w:tc>
        <w:tc>
          <w:tcPr>
            <w:tcW w:w="7572" w:type="dxa"/>
            <w:noWrap w:val="0"/>
            <w:vAlign w:val="center"/>
          </w:tcPr>
          <w:p w14:paraId="47786A6F">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产品制造商授权等是否作为资格要求：</w:t>
            </w:r>
            <w:r>
              <w:rPr>
                <w:rFonts w:hint="eastAsia" w:ascii="仿宋" w:hAnsi="仿宋" w:eastAsia="仿宋" w:cs="仿宋"/>
                <w:color w:val="auto"/>
                <w:sz w:val="28"/>
                <w:szCs w:val="28"/>
                <w:highlight w:val="none"/>
                <w:u w:val="single"/>
              </w:rPr>
              <w:t xml:space="preserve">  否  </w:t>
            </w:r>
            <w:r>
              <w:rPr>
                <w:rFonts w:hint="eastAsia" w:ascii="仿宋" w:hAnsi="仿宋" w:eastAsia="仿宋" w:cs="仿宋"/>
                <w:i/>
                <w:color w:val="auto"/>
                <w:sz w:val="28"/>
                <w:szCs w:val="28"/>
                <w:highlight w:val="none"/>
              </w:rPr>
              <w:t>（是、否）</w:t>
            </w:r>
          </w:p>
        </w:tc>
      </w:tr>
      <w:tr w14:paraId="29E0CD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805" w:type="dxa"/>
            <w:gridSpan w:val="2"/>
            <w:noWrap w:val="0"/>
            <w:vAlign w:val="center"/>
          </w:tcPr>
          <w:p w14:paraId="031A0F3F">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p>
        </w:tc>
        <w:tc>
          <w:tcPr>
            <w:tcW w:w="7572" w:type="dxa"/>
            <w:noWrap w:val="0"/>
            <w:vAlign w:val="center"/>
          </w:tcPr>
          <w:p w14:paraId="55A8FF9E">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lang w:eastAsia="zh-CN"/>
              </w:rPr>
            </w:pPr>
            <w:r>
              <w:rPr>
                <w:rFonts w:hint="eastAsia" w:ascii="仿宋" w:hAnsi="仿宋" w:eastAsia="仿宋" w:cs="仿宋"/>
                <w:b/>
                <w:bCs/>
                <w:color w:val="auto"/>
                <w:sz w:val="28"/>
                <w:szCs w:val="28"/>
                <w:highlight w:val="none"/>
              </w:rPr>
              <w:t>本项目制造所属行业：</w:t>
            </w:r>
            <w:r>
              <w:rPr>
                <w:rFonts w:hint="eastAsia" w:ascii="仿宋" w:hAnsi="仿宋" w:eastAsia="仿宋" w:cs="仿宋"/>
                <w:b/>
                <w:bCs/>
                <w:color w:val="auto"/>
                <w:sz w:val="28"/>
                <w:szCs w:val="28"/>
                <w:highlight w:val="none"/>
                <w:u w:val="single"/>
                <w:lang w:val="en-US" w:eastAsia="zh-CN"/>
              </w:rPr>
              <w:t>工业</w:t>
            </w:r>
          </w:p>
        </w:tc>
      </w:tr>
      <w:tr w14:paraId="0ED5BF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805" w:type="dxa"/>
            <w:gridSpan w:val="2"/>
            <w:noWrap w:val="0"/>
            <w:vAlign w:val="center"/>
          </w:tcPr>
          <w:p w14:paraId="63A48CD9">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p>
        </w:tc>
        <w:tc>
          <w:tcPr>
            <w:tcW w:w="7572" w:type="dxa"/>
            <w:noWrap w:val="0"/>
            <w:vAlign w:val="center"/>
          </w:tcPr>
          <w:p w14:paraId="09BF2800">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注：为保证本项目货物质量，最低报价不作为中标的唯一依据。</w:t>
            </w:r>
          </w:p>
        </w:tc>
      </w:tr>
      <w:tr w14:paraId="6F13B0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805" w:type="dxa"/>
            <w:gridSpan w:val="2"/>
            <w:noWrap w:val="0"/>
            <w:vAlign w:val="center"/>
          </w:tcPr>
          <w:p w14:paraId="6654BBCF">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6</w:t>
            </w:r>
          </w:p>
        </w:tc>
        <w:tc>
          <w:tcPr>
            <w:tcW w:w="7572" w:type="dxa"/>
            <w:noWrap w:val="0"/>
            <w:vAlign w:val="center"/>
          </w:tcPr>
          <w:p w14:paraId="3D4C6A40">
            <w:pPr>
              <w:keepNext w:val="0"/>
              <w:keepLines w:val="0"/>
              <w:suppressLineNumbers w:val="0"/>
              <w:spacing w:before="0" w:beforeAutospacing="0" w:after="0" w:afterAutospacing="0" w:line="240" w:lineRule="atLeast"/>
              <w:ind w:left="0" w:right="0"/>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rPr>
              <w:t>本项目实行电子招投标，供应商需要使用CA加密设备，凡参加本项目须自行购买与政采云平台完成对接的CA设备，如需购买新疆CA可访问新疆数字证书认证中心官方网站（</w:t>
            </w:r>
            <w:r>
              <w:rPr>
                <w:rFonts w:hint="eastAsia" w:ascii="仿宋" w:hAnsi="仿宋" w:eastAsia="仿宋" w:cs="仿宋"/>
                <w:b/>
                <w:bCs/>
                <w:color w:val="auto"/>
                <w:sz w:val="28"/>
                <w:szCs w:val="28"/>
                <w:highlight w:val="none"/>
              </w:rPr>
              <w:drawing>
                <wp:inline distT="0" distB="0" distL="114300" distR="114300">
                  <wp:extent cx="190500" cy="142875"/>
                  <wp:effectExtent l="0" t="0" r="762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26"/>
                          <a:stretch>
                            <a:fillRect/>
                          </a:stretch>
                        </pic:blipFill>
                        <pic:spPr>
                          <a:xfrm>
                            <a:off x="0" y="0"/>
                            <a:ext cx="190500" cy="142875"/>
                          </a:xfrm>
                          <a:prstGeom prst="rect">
                            <a:avLst/>
                          </a:prstGeom>
                          <a:noFill/>
                          <a:ln>
                            <a:noFill/>
                          </a:ln>
                        </pic:spPr>
                      </pic:pic>
                    </a:graphicData>
                  </a:graphic>
                </wp:inline>
              </w:drawing>
            </w:r>
            <w:r>
              <w:rPr>
                <w:rFonts w:hint="eastAsia" w:ascii="仿宋" w:hAnsi="仿宋" w:eastAsia="仿宋" w:cs="仿宋"/>
                <w:b/>
                <w:bCs/>
                <w:color w:val="auto"/>
                <w:sz w:val="28"/>
                <w:szCs w:val="28"/>
                <w:highlight w:val="none"/>
              </w:rPr>
              <w:t>https://www.xjca.com.cn/）或下载“新疆政务通”APP自行进行申领，也可以到其全疆各服务机构现场办理。</w:t>
            </w:r>
          </w:p>
          <w:p w14:paraId="0575A7F4">
            <w:pPr>
              <w:keepNext w:val="0"/>
              <w:keepLines w:val="0"/>
              <w:suppressLineNumbers w:val="0"/>
              <w:spacing w:before="0" w:beforeAutospacing="0" w:after="0" w:afterAutospacing="0" w:line="240" w:lineRule="atLeast"/>
              <w:ind w:left="0" w:right="0"/>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rPr>
              <w:t>（1）各供应商应在开标前确保成为新疆维吾尔自治区政府采购网正式注册入库供应商，并完成CA数字证书申领。因未注册入库、未办理CA数字证书等原因造成无法投标或投标失败等后果由供应商自行承担。</w:t>
            </w:r>
          </w:p>
          <w:p w14:paraId="04D499EA">
            <w:pPr>
              <w:keepNext w:val="0"/>
              <w:keepLines w:val="0"/>
              <w:suppressLineNumbers w:val="0"/>
              <w:spacing w:before="0" w:beforeAutospacing="0" w:after="0" w:afterAutospacing="0" w:line="240" w:lineRule="atLeast"/>
              <w:ind w:left="0" w:right="0"/>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rPr>
              <w:t>（2）供应商须登录政采云平台申请获取招标文件，提前下载并安装政采云投标客户端、CA驱动程序后，通过政采云电子投标客户端制作投标文件，同时自行承担与投标有关的一切费用。</w:t>
            </w:r>
          </w:p>
          <w:p w14:paraId="1030DBFC">
            <w:pPr>
              <w:keepNext w:val="0"/>
              <w:keepLines w:val="0"/>
              <w:suppressLineNumbers w:val="0"/>
              <w:spacing w:before="0" w:beforeAutospacing="0" w:after="0" w:afterAutospacing="0" w:line="240" w:lineRule="atLeast"/>
              <w:ind w:left="0" w:right="0"/>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rPr>
              <w:t>（3）供应商在使用政采云投标客户端时，建议使用</w:t>
            </w:r>
            <w:r>
              <w:rPr>
                <w:rFonts w:hint="eastAsia" w:ascii="仿宋" w:hAnsi="仿宋" w:eastAsia="仿宋" w:cs="仿宋"/>
                <w:b/>
                <w:bCs/>
                <w:color w:val="auto"/>
                <w:sz w:val="28"/>
                <w:szCs w:val="28"/>
                <w:highlight w:val="none"/>
                <w:lang w:eastAsia="zh-CN"/>
              </w:rPr>
              <w:t>windows7</w:t>
            </w:r>
            <w:r>
              <w:rPr>
                <w:rFonts w:hint="eastAsia" w:ascii="仿宋" w:hAnsi="仿宋" w:eastAsia="仿宋" w:cs="仿宋"/>
                <w:b/>
                <w:bCs/>
                <w:color w:val="auto"/>
                <w:sz w:val="28"/>
                <w:szCs w:val="28"/>
                <w:highlight w:val="none"/>
              </w:rPr>
              <w:t>（64位）及以上操作系统。客户端和驱动程序请至新疆政府采购网（</w:t>
            </w:r>
            <w:r>
              <w:rPr>
                <w:rFonts w:hint="eastAsia" w:ascii="仿宋" w:hAnsi="仿宋" w:eastAsia="仿宋" w:cs="仿宋"/>
                <w:b/>
                <w:bCs/>
                <w:color w:val="auto"/>
                <w:sz w:val="28"/>
                <w:szCs w:val="28"/>
                <w:highlight w:val="none"/>
              </w:rPr>
              <w:drawing>
                <wp:inline distT="0" distB="0" distL="114300" distR="114300">
                  <wp:extent cx="190500" cy="142875"/>
                  <wp:effectExtent l="0" t="0" r="7620" b="952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26"/>
                          <a:stretch>
                            <a:fillRect/>
                          </a:stretch>
                        </pic:blipFill>
                        <pic:spPr>
                          <a:xfrm>
                            <a:off x="0" y="0"/>
                            <a:ext cx="190500" cy="142875"/>
                          </a:xfrm>
                          <a:prstGeom prst="rect">
                            <a:avLst/>
                          </a:prstGeom>
                          <a:noFill/>
                          <a:ln>
                            <a:noFill/>
                          </a:ln>
                        </pic:spPr>
                      </pic:pic>
                    </a:graphicData>
                  </a:graphic>
                </wp:inline>
              </w:drawing>
            </w:r>
            <w:r>
              <w:rPr>
                <w:rFonts w:hint="eastAsia" w:ascii="仿宋" w:hAnsi="仿宋" w:eastAsia="仿宋" w:cs="仿宋"/>
                <w:b/>
                <w:bCs/>
                <w:color w:val="auto"/>
                <w:sz w:val="28"/>
                <w:szCs w:val="28"/>
                <w:highlight w:val="none"/>
              </w:rPr>
              <w:t>http://www.ccgp-xinjiang.gov.cn/）下载专区查看，如有问题可拨打政采云客户服务热线95763进行咨询。如因供应商自身原因导致在规定时间内无法正常解密的（如：浏览器故障、未安装客户端和相关驱动、网络故障、加密CA与解密CA不一致等），采购中心/代理机构不予异常处理，视为供应商自动弃标。</w:t>
            </w:r>
          </w:p>
          <w:p w14:paraId="37F93356">
            <w:pPr>
              <w:keepNext w:val="0"/>
              <w:keepLines w:val="0"/>
              <w:suppressLineNumbers w:val="0"/>
              <w:spacing w:before="0" w:beforeAutospacing="0" w:after="0" w:afterAutospacing="0" w:line="240" w:lineRule="atLeast"/>
              <w:ind w:left="0" w:right="0"/>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rPr>
              <w:t>（4）本项目采用不见面开标，供应商须在投标截止时间前通过CA在政采云平台上传加密的电子投标文件。备注：供应商对不见面开评标系统的技术操作咨询，可通过https://edu.zcygov.cn/luban/xinjiang-e-biding自助查询，也可在政采云帮助中心常见问题解答和操作流程讲解视频中自助查询，网址为：</w:t>
            </w:r>
            <w:r>
              <w:rPr>
                <w:rFonts w:hint="eastAsia" w:ascii="仿宋" w:hAnsi="仿宋" w:eastAsia="仿宋" w:cs="仿宋"/>
                <w:b/>
                <w:bCs/>
                <w:color w:val="auto"/>
                <w:sz w:val="28"/>
                <w:szCs w:val="28"/>
                <w:highlight w:val="none"/>
              </w:rPr>
              <w:drawing>
                <wp:inline distT="0" distB="0" distL="114300" distR="114300">
                  <wp:extent cx="190500" cy="142875"/>
                  <wp:effectExtent l="0" t="0" r="7620" b="9525"/>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26"/>
                          <a:stretch>
                            <a:fillRect/>
                          </a:stretch>
                        </pic:blipFill>
                        <pic:spPr>
                          <a:xfrm>
                            <a:off x="0" y="0"/>
                            <a:ext cx="190500" cy="142875"/>
                          </a:xfrm>
                          <a:prstGeom prst="rect">
                            <a:avLst/>
                          </a:prstGeom>
                          <a:noFill/>
                          <a:ln>
                            <a:noFill/>
                          </a:ln>
                        </pic:spPr>
                      </pic:pic>
                    </a:graphicData>
                  </a:graphic>
                </wp:inline>
              </w:drawing>
            </w:r>
            <w:r>
              <w:rPr>
                <w:rFonts w:hint="eastAsia" w:ascii="仿宋" w:hAnsi="仿宋" w:eastAsia="仿宋" w:cs="仿宋"/>
                <w:b/>
                <w:bCs/>
                <w:color w:val="auto"/>
                <w:sz w:val="28"/>
                <w:szCs w:val="28"/>
                <w:highlight w:val="none"/>
              </w:rPr>
              <w:t>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w:t>
            </w:r>
          </w:p>
          <w:p w14:paraId="0E34AC9B">
            <w:pPr>
              <w:keepNext w:val="0"/>
              <w:keepLines w:val="0"/>
              <w:suppressLineNumbers w:val="0"/>
              <w:spacing w:before="0" w:beforeAutospacing="0" w:after="0" w:afterAutospacing="0" w:line="240" w:lineRule="atLeast"/>
              <w:ind w:left="0" w:right="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5）供应商在开标前须提前配置好电脑浏览器（建议使用360浏览器或谷歌浏览器），开标时请使用制作加密电子投标文件的CA锁进行解密及报价确认。本项目投标文件解密时间定为30分钟，如因自身原因导致无法正常解密，后果由供应商自行承担。</w:t>
            </w:r>
          </w:p>
          <w:p w14:paraId="785DAC14">
            <w:pPr>
              <w:keepNext w:val="0"/>
              <w:keepLines w:val="0"/>
              <w:suppressLineNumbers w:val="0"/>
              <w:spacing w:before="0" w:beforeAutospacing="0" w:after="0" w:afterAutospacing="0" w:line="240" w:lineRule="atLeast"/>
              <w:ind w:left="0" w:right="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6）交易系统出现重大故障（例如软硬件、供电、线路等故障)或交易系统被入侵以及不可抗力，致使交易系统不能正常运行的或继续交易违反政府采购的公平竞争原则、公正原则的，采购人和代理机构可以采取中止采购、重新采购等措施，供应商各自承担因此造成的损失。</w:t>
            </w:r>
          </w:p>
          <w:p w14:paraId="085E62B6">
            <w:pPr>
              <w:keepNext w:val="0"/>
              <w:keepLines w:val="0"/>
              <w:suppressLineNumbers w:val="0"/>
              <w:spacing w:before="0" w:beforeAutospacing="0" w:after="0" w:afterAutospacing="0"/>
              <w:ind w:left="0" w:right="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u w:val="double"/>
              </w:rPr>
              <w:t>因政采云平台电子招投标中，我单位对供应商客户端没有</w:t>
            </w:r>
            <w:r>
              <w:rPr>
                <w:rFonts w:hint="eastAsia" w:ascii="仿宋" w:hAnsi="仿宋" w:eastAsia="仿宋" w:cs="仿宋"/>
                <w:b/>
                <w:bCs/>
                <w:color w:val="auto"/>
                <w:sz w:val="28"/>
                <w:szCs w:val="28"/>
                <w:highlight w:val="none"/>
                <w:u w:val="double"/>
                <w:lang w:val="en-US" w:eastAsia="zh-CN"/>
              </w:rPr>
              <w:t>经常</w:t>
            </w:r>
            <w:r>
              <w:rPr>
                <w:rFonts w:hint="eastAsia" w:ascii="仿宋" w:hAnsi="仿宋" w:eastAsia="仿宋" w:cs="仿宋"/>
                <w:b/>
                <w:bCs/>
                <w:color w:val="auto"/>
                <w:sz w:val="28"/>
                <w:szCs w:val="28"/>
                <w:highlight w:val="none"/>
                <w:u w:val="double"/>
              </w:rPr>
              <w:t>使用，对具体的菜单栏名词可能会有错误，但整体不影响招投标流程,还望供应商予以理解。</w:t>
            </w:r>
          </w:p>
        </w:tc>
      </w:tr>
      <w:tr w14:paraId="2989AD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805" w:type="dxa"/>
            <w:gridSpan w:val="2"/>
            <w:noWrap w:val="0"/>
            <w:vAlign w:val="center"/>
          </w:tcPr>
          <w:p w14:paraId="7389E726">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lang w:val="en-US" w:eastAsia="zh-CN"/>
              </w:rPr>
            </w:pPr>
          </w:p>
        </w:tc>
        <w:tc>
          <w:tcPr>
            <w:tcW w:w="7572" w:type="dxa"/>
            <w:noWrap w:val="0"/>
            <w:vAlign w:val="center"/>
          </w:tcPr>
          <w:p w14:paraId="5BFC5494">
            <w:pPr>
              <w:keepNext w:val="0"/>
              <w:keepLines w:val="0"/>
              <w:suppressLineNumbers w:val="0"/>
              <w:spacing w:before="0" w:beforeAutospacing="0" w:after="0" w:afterAutospacing="0"/>
              <w:ind w:left="0" w:right="0"/>
              <w:rPr>
                <w:rFonts w:hint="default" w:ascii="仿宋" w:hAnsi="仿宋" w:eastAsia="仿宋" w:cs="仿宋"/>
                <w:b/>
                <w:bCs/>
                <w:color w:val="auto"/>
                <w:sz w:val="28"/>
                <w:szCs w:val="28"/>
                <w:highlight w:val="none"/>
                <w:u w:val="double"/>
                <w:lang w:val="en-US" w:eastAsia="zh-CN"/>
              </w:rPr>
            </w:pPr>
            <w:r>
              <w:rPr>
                <w:rFonts w:hint="eastAsia" w:ascii="仿宋" w:hAnsi="仿宋" w:eastAsia="仿宋" w:cs="仿宋"/>
                <w:b/>
                <w:bCs/>
                <w:color w:val="auto"/>
                <w:sz w:val="28"/>
                <w:szCs w:val="28"/>
                <w:highlight w:val="none"/>
                <w:u w:val="double"/>
                <w:lang w:val="en-US" w:eastAsia="zh-CN"/>
              </w:rPr>
              <w:t>核心产品：</w:t>
            </w:r>
            <w:r>
              <w:rPr>
                <w:rFonts w:hint="eastAsia" w:ascii="仿宋" w:hAnsi="仿宋" w:eastAsia="仿宋" w:cs="仿宋"/>
                <w:b/>
                <w:bCs/>
                <w:color w:val="E54C5E" w:themeColor="accent6"/>
                <w:sz w:val="28"/>
                <w:szCs w:val="28"/>
                <w:highlight w:val="none"/>
                <w:u w:val="double"/>
                <w:lang w:val="en-US" w:eastAsia="zh-CN"/>
                <w14:textFill>
                  <w14:solidFill>
                    <w14:schemeClr w14:val="accent6"/>
                  </w14:solidFill>
                </w14:textFill>
              </w:rPr>
              <w:t>乳腺融诊诊断仪</w:t>
            </w:r>
          </w:p>
        </w:tc>
      </w:tr>
      <w:tr w14:paraId="24FCBD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805" w:type="dxa"/>
            <w:gridSpan w:val="2"/>
            <w:noWrap w:val="0"/>
            <w:vAlign w:val="center"/>
          </w:tcPr>
          <w:p w14:paraId="7D9935A3">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lang w:val="en-US" w:eastAsia="zh-CN"/>
              </w:rPr>
            </w:pPr>
          </w:p>
        </w:tc>
        <w:tc>
          <w:tcPr>
            <w:tcW w:w="7572" w:type="dxa"/>
            <w:noWrap w:val="0"/>
            <w:vAlign w:val="center"/>
          </w:tcPr>
          <w:p w14:paraId="563E6F3E">
            <w:pPr>
              <w:keepNext w:val="0"/>
              <w:keepLines w:val="0"/>
              <w:suppressLineNumbers w:val="0"/>
              <w:spacing w:before="0" w:beforeAutospacing="0" w:after="0" w:afterAutospacing="0"/>
              <w:ind w:left="0" w:right="0"/>
              <w:rPr>
                <w:rFonts w:hint="eastAsia" w:ascii="仿宋" w:hAnsi="仿宋" w:eastAsia="仿宋" w:cs="仿宋"/>
                <w:b/>
                <w:bCs/>
                <w:color w:val="auto"/>
                <w:sz w:val="28"/>
                <w:szCs w:val="28"/>
                <w:highlight w:val="none"/>
                <w:u w:val="double"/>
                <w:lang w:val="en-US" w:eastAsia="zh-CN"/>
              </w:rPr>
            </w:pPr>
            <w:r>
              <w:rPr>
                <w:rFonts w:hint="eastAsia" w:ascii="仿宋" w:hAnsi="仿宋" w:eastAsia="仿宋" w:cs="仿宋"/>
                <w:b/>
                <w:bCs/>
                <w:color w:val="auto"/>
                <w:sz w:val="28"/>
                <w:szCs w:val="28"/>
                <w:highlight w:val="none"/>
                <w:u w:val="double"/>
                <w:lang w:val="en-US" w:eastAsia="zh-CN"/>
              </w:rPr>
              <w:t>评标委员会认为投标人的报价明显低于其他通过符合性审查投标人的报价，有可能影响</w:t>
            </w:r>
            <w:r>
              <w:rPr>
                <w:rFonts w:hint="eastAsia" w:ascii="仿宋" w:hAnsi="仿宋" w:eastAsia="仿宋" w:cs="仿宋"/>
                <w:b/>
                <w:bCs/>
                <w:color w:val="auto"/>
                <w:sz w:val="28"/>
                <w:szCs w:val="28"/>
                <w:highlight w:val="none"/>
                <w:u w:val="double"/>
                <w:lang w:val="en-US" w:eastAsia="zh-CN"/>
              </w:rPr>
              <w:fldChar w:fldCharType="begin"/>
            </w:r>
            <w:r>
              <w:rPr>
                <w:rFonts w:hint="eastAsia" w:ascii="仿宋" w:hAnsi="仿宋" w:eastAsia="仿宋" w:cs="仿宋"/>
                <w:b/>
                <w:bCs/>
                <w:color w:val="auto"/>
                <w:sz w:val="28"/>
                <w:szCs w:val="28"/>
                <w:highlight w:val="none"/>
                <w:u w:val="double"/>
                <w:lang w:val="en-US" w:eastAsia="zh-CN"/>
              </w:rPr>
              <w:instrText xml:space="preserve"> HYPERLINK "https://baike.baidu.com/item/%E4%BA%A7%E5%93%81%E8%B4%A8%E9%87%8F/2920642?fromModule=lemma_inlink" \t "https://baike.baidu.com/item/%E6%94%BF%E5%BA%9C%E9%87%87%E8%B4%AD%E8%B4%A7%E7%89%A9%E5%92%8C%E6%9C%8D%E5%8A%A1%E6%8B%9B%E6%A0%87%E6%8A%95%E6%A0%87%E7%AE%A1%E7%90%86%E5%8A%9E%E6%B3%95/_blank" </w:instrText>
            </w:r>
            <w:r>
              <w:rPr>
                <w:rFonts w:hint="eastAsia" w:ascii="仿宋" w:hAnsi="仿宋" w:eastAsia="仿宋" w:cs="仿宋"/>
                <w:b/>
                <w:bCs/>
                <w:color w:val="auto"/>
                <w:sz w:val="28"/>
                <w:szCs w:val="28"/>
                <w:highlight w:val="none"/>
                <w:u w:val="double"/>
                <w:lang w:val="en-US" w:eastAsia="zh-CN"/>
              </w:rPr>
              <w:fldChar w:fldCharType="separate"/>
            </w:r>
            <w:r>
              <w:rPr>
                <w:rFonts w:hint="eastAsia" w:ascii="仿宋" w:hAnsi="仿宋" w:eastAsia="仿宋" w:cs="仿宋"/>
                <w:b/>
                <w:bCs/>
                <w:color w:val="auto"/>
                <w:sz w:val="28"/>
                <w:szCs w:val="28"/>
                <w:highlight w:val="none"/>
                <w:u w:val="double"/>
                <w:lang w:val="en-US" w:eastAsia="zh-CN"/>
              </w:rPr>
              <w:t>产品质量</w:t>
            </w:r>
            <w:r>
              <w:rPr>
                <w:rFonts w:hint="eastAsia" w:ascii="仿宋" w:hAnsi="仿宋" w:eastAsia="仿宋" w:cs="仿宋"/>
                <w:b/>
                <w:bCs/>
                <w:color w:val="auto"/>
                <w:sz w:val="28"/>
                <w:szCs w:val="28"/>
                <w:highlight w:val="none"/>
                <w:u w:val="double"/>
                <w:lang w:val="en-US" w:eastAsia="zh-CN"/>
              </w:rPr>
              <w:fldChar w:fldCharType="end"/>
            </w:r>
            <w:r>
              <w:rPr>
                <w:rFonts w:hint="eastAsia" w:ascii="仿宋" w:hAnsi="仿宋" w:eastAsia="仿宋" w:cs="仿宋"/>
                <w:b/>
                <w:bCs/>
                <w:color w:val="auto"/>
                <w:sz w:val="28"/>
                <w:szCs w:val="28"/>
                <w:highlight w:val="none"/>
                <w:u w:val="double"/>
                <w:lang w:val="en-US" w:eastAsia="zh-CN"/>
              </w:rPr>
              <w:t>或者不能诚信履约的，须投标单位在30分钟内提供书面说明，并提交相关证明材料；投标人不能证明其报价</w:t>
            </w:r>
            <w:r>
              <w:rPr>
                <w:rFonts w:hint="eastAsia" w:ascii="仿宋" w:hAnsi="仿宋" w:eastAsia="仿宋" w:cs="仿宋"/>
                <w:b/>
                <w:bCs/>
                <w:color w:val="auto"/>
                <w:sz w:val="28"/>
                <w:szCs w:val="28"/>
                <w:highlight w:val="none"/>
                <w:u w:val="double"/>
                <w:lang w:val="en-US" w:eastAsia="zh-CN"/>
              </w:rPr>
              <w:fldChar w:fldCharType="begin"/>
            </w:r>
            <w:r>
              <w:rPr>
                <w:rFonts w:hint="eastAsia" w:ascii="仿宋" w:hAnsi="仿宋" w:eastAsia="仿宋" w:cs="仿宋"/>
                <w:b/>
                <w:bCs/>
                <w:color w:val="auto"/>
                <w:sz w:val="28"/>
                <w:szCs w:val="28"/>
                <w:highlight w:val="none"/>
                <w:u w:val="double"/>
                <w:lang w:val="en-US" w:eastAsia="zh-CN"/>
              </w:rPr>
              <w:instrText xml:space="preserve"> HYPERLINK "https://baike.baidu.com/item/%E5%90%88%E7%90%86%E6%80%A7/5077543?fromModule=lemma_inlink" \t "https://baike.baidu.com/item/%E6%94%BF%E5%BA%9C%E9%87%87%E8%B4%AD%E8%B4%A7%E7%89%A9%E5%92%8C%E6%9C%8D%E5%8A%A1%E6%8B%9B%E6%A0%87%E6%8A%95%E6%A0%87%E7%AE%A1%E7%90%86%E5%8A%9E%E6%B3%95/_blank" </w:instrText>
            </w:r>
            <w:r>
              <w:rPr>
                <w:rFonts w:hint="eastAsia" w:ascii="仿宋" w:hAnsi="仿宋" w:eastAsia="仿宋" w:cs="仿宋"/>
                <w:b/>
                <w:bCs/>
                <w:color w:val="auto"/>
                <w:sz w:val="28"/>
                <w:szCs w:val="28"/>
                <w:highlight w:val="none"/>
                <w:u w:val="double"/>
                <w:lang w:val="en-US" w:eastAsia="zh-CN"/>
              </w:rPr>
              <w:fldChar w:fldCharType="separate"/>
            </w:r>
            <w:r>
              <w:rPr>
                <w:rFonts w:hint="eastAsia" w:ascii="仿宋" w:hAnsi="仿宋" w:eastAsia="仿宋" w:cs="仿宋"/>
                <w:b/>
                <w:bCs/>
                <w:color w:val="auto"/>
                <w:sz w:val="28"/>
                <w:szCs w:val="28"/>
                <w:highlight w:val="none"/>
                <w:u w:val="double"/>
                <w:lang w:val="en-US" w:eastAsia="zh-CN"/>
              </w:rPr>
              <w:t>合理性</w:t>
            </w:r>
            <w:r>
              <w:rPr>
                <w:rFonts w:hint="eastAsia" w:ascii="仿宋" w:hAnsi="仿宋" w:eastAsia="仿宋" w:cs="仿宋"/>
                <w:b/>
                <w:bCs/>
                <w:color w:val="auto"/>
                <w:sz w:val="28"/>
                <w:szCs w:val="28"/>
                <w:highlight w:val="none"/>
                <w:u w:val="double"/>
                <w:lang w:val="en-US" w:eastAsia="zh-CN"/>
              </w:rPr>
              <w:fldChar w:fldCharType="end"/>
            </w:r>
            <w:r>
              <w:rPr>
                <w:rFonts w:hint="eastAsia" w:ascii="仿宋" w:hAnsi="仿宋" w:eastAsia="仿宋" w:cs="仿宋"/>
                <w:b/>
                <w:bCs/>
                <w:color w:val="auto"/>
                <w:sz w:val="28"/>
                <w:szCs w:val="28"/>
                <w:highlight w:val="none"/>
                <w:u w:val="double"/>
                <w:lang w:val="en-US" w:eastAsia="zh-CN"/>
              </w:rPr>
              <w:t>的，评标委员会应当将其作为</w:t>
            </w:r>
            <w:r>
              <w:rPr>
                <w:rFonts w:hint="eastAsia" w:ascii="仿宋" w:hAnsi="仿宋" w:eastAsia="仿宋" w:cs="仿宋"/>
                <w:b/>
                <w:bCs/>
                <w:color w:val="auto"/>
                <w:sz w:val="28"/>
                <w:szCs w:val="28"/>
                <w:highlight w:val="none"/>
                <w:u w:val="double"/>
                <w:lang w:val="en-US" w:eastAsia="zh-CN"/>
              </w:rPr>
              <w:fldChar w:fldCharType="begin"/>
            </w:r>
            <w:r>
              <w:rPr>
                <w:rFonts w:hint="eastAsia" w:ascii="仿宋" w:hAnsi="仿宋" w:eastAsia="仿宋" w:cs="仿宋"/>
                <w:b/>
                <w:bCs/>
                <w:color w:val="auto"/>
                <w:sz w:val="28"/>
                <w:szCs w:val="28"/>
                <w:highlight w:val="none"/>
                <w:u w:val="double"/>
                <w:lang w:val="en-US" w:eastAsia="zh-CN"/>
              </w:rPr>
              <w:instrText xml:space="preserve"> HYPERLINK "https://baike.baidu.com/item/%E6%97%A0%E6%95%88%E6%8A%95%E6%A0%87/6970526?fromModule=lemma_inlink" \t "https://baike.baidu.com/item/%E6%94%BF%E5%BA%9C%E9%87%87%E8%B4%AD%E8%B4%A7%E7%89%A9%E5%92%8C%E6%9C%8D%E5%8A%A1%E6%8B%9B%E6%A0%87%E6%8A%95%E6%A0%87%E7%AE%A1%E7%90%86%E5%8A%9E%E6%B3%95/_blank" </w:instrText>
            </w:r>
            <w:r>
              <w:rPr>
                <w:rFonts w:hint="eastAsia" w:ascii="仿宋" w:hAnsi="仿宋" w:eastAsia="仿宋" w:cs="仿宋"/>
                <w:b/>
                <w:bCs/>
                <w:color w:val="auto"/>
                <w:sz w:val="28"/>
                <w:szCs w:val="28"/>
                <w:highlight w:val="none"/>
                <w:u w:val="double"/>
                <w:lang w:val="en-US" w:eastAsia="zh-CN"/>
              </w:rPr>
              <w:fldChar w:fldCharType="separate"/>
            </w:r>
            <w:r>
              <w:rPr>
                <w:rFonts w:hint="eastAsia" w:ascii="仿宋" w:hAnsi="仿宋" w:eastAsia="仿宋" w:cs="仿宋"/>
                <w:b/>
                <w:bCs/>
                <w:color w:val="auto"/>
                <w:sz w:val="28"/>
                <w:szCs w:val="28"/>
                <w:highlight w:val="none"/>
                <w:u w:val="double"/>
                <w:lang w:val="en-US" w:eastAsia="zh-CN"/>
              </w:rPr>
              <w:t>无效投标</w:t>
            </w:r>
            <w:r>
              <w:rPr>
                <w:rFonts w:hint="eastAsia" w:ascii="仿宋" w:hAnsi="仿宋" w:eastAsia="仿宋" w:cs="仿宋"/>
                <w:b/>
                <w:bCs/>
                <w:color w:val="auto"/>
                <w:sz w:val="28"/>
                <w:szCs w:val="28"/>
                <w:highlight w:val="none"/>
                <w:u w:val="double"/>
                <w:lang w:val="en-US" w:eastAsia="zh-CN"/>
              </w:rPr>
              <w:fldChar w:fldCharType="end"/>
            </w:r>
            <w:r>
              <w:rPr>
                <w:rFonts w:hint="eastAsia" w:ascii="仿宋" w:hAnsi="仿宋" w:eastAsia="仿宋" w:cs="仿宋"/>
                <w:b/>
                <w:bCs/>
                <w:color w:val="auto"/>
                <w:sz w:val="28"/>
                <w:szCs w:val="28"/>
                <w:highlight w:val="none"/>
                <w:u w:val="double"/>
                <w:lang w:val="en-US" w:eastAsia="zh-CN"/>
              </w:rPr>
              <w:t>处理。</w:t>
            </w:r>
          </w:p>
        </w:tc>
      </w:tr>
    </w:tbl>
    <w:p w14:paraId="62373B54">
      <w:pPr>
        <w:spacing w:line="240" w:lineRule="atLeast"/>
        <w:ind w:left="1080" w:leftChars="257" w:hanging="540"/>
        <w:rPr>
          <w:rFonts w:hint="eastAsia" w:ascii="仿宋" w:hAnsi="仿宋" w:eastAsia="仿宋" w:cs="仿宋"/>
          <w:color w:val="auto"/>
          <w:sz w:val="24"/>
          <w:highlight w:val="none"/>
        </w:rPr>
        <w:sectPr>
          <w:pgSz w:w="11906" w:h="16838"/>
          <w:pgMar w:top="1417" w:right="1417" w:bottom="1417" w:left="1417" w:header="851" w:footer="992" w:gutter="0"/>
          <w:pgNumType w:fmt="decimal"/>
          <w:cols w:space="720" w:num="1"/>
          <w:docGrid w:linePitch="312" w:charSpace="0"/>
        </w:sectPr>
      </w:pPr>
    </w:p>
    <w:p w14:paraId="06A5747B">
      <w:pPr>
        <w:widowControl/>
        <w:jc w:val="center"/>
        <w:outlineLvl w:val="1"/>
        <w:rPr>
          <w:rFonts w:hint="eastAsia" w:ascii="仿宋" w:hAnsi="仿宋" w:eastAsia="仿宋" w:cs="仿宋"/>
          <w:b/>
          <w:color w:val="auto"/>
          <w:kern w:val="0"/>
          <w:sz w:val="32"/>
          <w:szCs w:val="32"/>
          <w:highlight w:val="none"/>
          <w:lang w:val="en-US" w:eastAsia="zh-CN" w:bidi="ar-SA"/>
        </w:rPr>
      </w:pPr>
      <w:bookmarkStart w:id="762" w:name="_Toc7453"/>
      <w:bookmarkStart w:id="763" w:name="_Toc24573"/>
      <w:bookmarkStart w:id="764" w:name="_Toc26201"/>
      <w:bookmarkStart w:id="765" w:name="_Toc32395"/>
      <w:bookmarkStart w:id="766" w:name="_Toc18981"/>
      <w:bookmarkStart w:id="767" w:name="_Toc219175635"/>
      <w:bookmarkStart w:id="768" w:name="_Toc218935351"/>
      <w:bookmarkStart w:id="769" w:name="_Toc216513787"/>
      <w:bookmarkStart w:id="770" w:name="_Toc216582811"/>
      <w:r>
        <w:rPr>
          <w:rFonts w:hint="eastAsia" w:ascii="仿宋" w:hAnsi="仿宋" w:eastAsia="仿宋" w:cs="仿宋"/>
          <w:b/>
          <w:color w:val="auto"/>
          <w:kern w:val="0"/>
          <w:sz w:val="32"/>
          <w:szCs w:val="32"/>
          <w:highlight w:val="none"/>
          <w:lang w:val="en-US" w:eastAsia="zh-CN" w:bidi="ar-SA"/>
        </w:rPr>
        <w:t>资格审查表</w:t>
      </w:r>
      <w:bookmarkEnd w:id="762"/>
      <w:bookmarkEnd w:id="763"/>
      <w:bookmarkEnd w:id="764"/>
      <w:bookmarkEnd w:id="765"/>
      <w:bookmarkEnd w:id="766"/>
    </w:p>
    <w:p w14:paraId="29BE5A16">
      <w:pPr>
        <w:rPr>
          <w:rFonts w:hint="eastAsia" w:ascii="仿宋" w:hAnsi="仿宋" w:eastAsia="仿宋" w:cs="仿宋"/>
          <w:color w:val="auto"/>
          <w:sz w:val="24"/>
          <w:highlight w:val="none"/>
        </w:rPr>
      </w:pPr>
    </w:p>
    <w:tbl>
      <w:tblPr>
        <w:tblStyle w:val="20"/>
        <w:tblW w:w="13745" w:type="dxa"/>
        <w:tblInd w:w="0" w:type="dxa"/>
        <w:tblLayout w:type="fixed"/>
        <w:tblCellMar>
          <w:top w:w="0" w:type="dxa"/>
          <w:left w:w="108" w:type="dxa"/>
          <w:bottom w:w="0" w:type="dxa"/>
          <w:right w:w="108" w:type="dxa"/>
        </w:tblCellMar>
      </w:tblPr>
      <w:tblGrid>
        <w:gridCol w:w="832"/>
        <w:gridCol w:w="805"/>
        <w:gridCol w:w="954"/>
        <w:gridCol w:w="1364"/>
        <w:gridCol w:w="1785"/>
        <w:gridCol w:w="1148"/>
        <w:gridCol w:w="1509"/>
        <w:gridCol w:w="2571"/>
        <w:gridCol w:w="1423"/>
        <w:gridCol w:w="1354"/>
      </w:tblGrid>
      <w:tr w14:paraId="39B706C5">
        <w:tblPrEx>
          <w:tblCellMar>
            <w:top w:w="0" w:type="dxa"/>
            <w:left w:w="108" w:type="dxa"/>
            <w:bottom w:w="0" w:type="dxa"/>
            <w:right w:w="108" w:type="dxa"/>
          </w:tblCellMar>
        </w:tblPrEx>
        <w:trPr>
          <w:trHeight w:val="563" w:hRule="atLeast"/>
        </w:trPr>
        <w:tc>
          <w:tcPr>
            <w:tcW w:w="832" w:type="dxa"/>
            <w:vMerge w:val="restart"/>
            <w:tcBorders>
              <w:top w:val="single" w:color="auto" w:sz="4" w:space="0"/>
              <w:left w:val="single" w:color="auto" w:sz="4" w:space="0"/>
              <w:bottom w:val="single" w:color="auto" w:sz="4" w:space="0"/>
              <w:right w:val="single" w:color="auto" w:sz="4" w:space="0"/>
            </w:tcBorders>
            <w:noWrap w:val="0"/>
            <w:vAlign w:val="center"/>
          </w:tcPr>
          <w:p w14:paraId="124BD1F4">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投标人名称</w:t>
            </w:r>
          </w:p>
        </w:tc>
        <w:tc>
          <w:tcPr>
            <w:tcW w:w="11559" w:type="dxa"/>
            <w:gridSpan w:val="8"/>
            <w:tcBorders>
              <w:top w:val="single" w:color="auto" w:sz="4" w:space="0"/>
              <w:left w:val="nil"/>
              <w:bottom w:val="single" w:color="auto" w:sz="4" w:space="0"/>
              <w:right w:val="single" w:color="auto" w:sz="4" w:space="0"/>
            </w:tcBorders>
            <w:noWrap w:val="0"/>
            <w:vAlign w:val="center"/>
          </w:tcPr>
          <w:p w14:paraId="14E026EE">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审查项目</w:t>
            </w:r>
          </w:p>
        </w:tc>
        <w:tc>
          <w:tcPr>
            <w:tcW w:w="1354" w:type="dxa"/>
            <w:tcBorders>
              <w:top w:val="single" w:color="auto" w:sz="4" w:space="0"/>
              <w:left w:val="nil"/>
              <w:bottom w:val="single" w:color="auto" w:sz="4" w:space="0"/>
              <w:right w:val="single" w:color="auto" w:sz="4" w:space="0"/>
            </w:tcBorders>
            <w:noWrap w:val="0"/>
            <w:vAlign w:val="center"/>
          </w:tcPr>
          <w:p w14:paraId="662FB509">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结论</w:t>
            </w:r>
          </w:p>
        </w:tc>
      </w:tr>
      <w:tr w14:paraId="509F0E61">
        <w:tblPrEx>
          <w:tblCellMar>
            <w:top w:w="0" w:type="dxa"/>
            <w:left w:w="108" w:type="dxa"/>
            <w:bottom w:w="0" w:type="dxa"/>
            <w:right w:w="108" w:type="dxa"/>
          </w:tblCellMar>
        </w:tblPrEx>
        <w:trPr>
          <w:trHeight w:val="1447" w:hRule="atLeast"/>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14:paraId="01E9722C">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8"/>
                <w:szCs w:val="28"/>
                <w:highlight w:val="none"/>
              </w:rPr>
            </w:pPr>
          </w:p>
        </w:tc>
        <w:tc>
          <w:tcPr>
            <w:tcW w:w="805" w:type="dxa"/>
            <w:tcBorders>
              <w:top w:val="nil"/>
              <w:left w:val="nil"/>
              <w:bottom w:val="nil"/>
              <w:right w:val="single" w:color="auto" w:sz="4" w:space="0"/>
            </w:tcBorders>
            <w:noWrap w:val="0"/>
            <w:vAlign w:val="center"/>
          </w:tcPr>
          <w:p w14:paraId="3EAEE58E">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合格有效的法人或者非法人组织营业执照;</w:t>
            </w:r>
          </w:p>
        </w:tc>
        <w:tc>
          <w:tcPr>
            <w:tcW w:w="954" w:type="dxa"/>
            <w:tcBorders>
              <w:top w:val="nil"/>
              <w:left w:val="nil"/>
              <w:bottom w:val="nil"/>
              <w:right w:val="single" w:color="auto" w:sz="4" w:space="0"/>
            </w:tcBorders>
            <w:noWrap w:val="0"/>
            <w:vAlign w:val="center"/>
          </w:tcPr>
          <w:p w14:paraId="1C060F26">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法定代表人授权书及被委托人身份证（法定代表人投标提供法定代表人身份证明及身份证）</w:t>
            </w:r>
          </w:p>
        </w:tc>
        <w:tc>
          <w:tcPr>
            <w:tcW w:w="1364" w:type="dxa"/>
            <w:tcBorders>
              <w:top w:val="nil"/>
              <w:left w:val="nil"/>
              <w:bottom w:val="nil"/>
              <w:right w:val="single" w:color="auto" w:sz="4" w:space="0"/>
            </w:tcBorders>
            <w:noWrap w:val="0"/>
            <w:vAlign w:val="center"/>
          </w:tcPr>
          <w:p w14:paraId="2A7F3EAD">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参与政府采购活动前3年内未被列入失信、重大税收违法案件、财政部门禁止参加政府采购活动的承诺书；</w:t>
            </w:r>
          </w:p>
        </w:tc>
        <w:tc>
          <w:tcPr>
            <w:tcW w:w="1785" w:type="dxa"/>
            <w:tcBorders>
              <w:top w:val="nil"/>
              <w:left w:val="nil"/>
              <w:bottom w:val="nil"/>
              <w:right w:val="single" w:color="auto" w:sz="4" w:space="0"/>
            </w:tcBorders>
            <w:noWrap w:val="0"/>
            <w:vAlign w:val="center"/>
          </w:tcPr>
          <w:p w14:paraId="237F4073">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投标单位需提供202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eastAsia="zh-CN"/>
              </w:rPr>
              <w:t>至今任意一月的</w:t>
            </w:r>
            <w:r>
              <w:rPr>
                <w:rFonts w:hint="eastAsia" w:ascii="仿宋" w:hAnsi="仿宋" w:eastAsia="仿宋" w:cs="仿宋"/>
                <w:color w:val="auto"/>
                <w:sz w:val="28"/>
                <w:szCs w:val="28"/>
                <w:highlight w:val="none"/>
              </w:rPr>
              <w:t>税收和社保缴纳记录；税收可提供由投标单位所在地税务部门出具的“0”申报证明或无欠税证明。（原件、复印件、影印件均可，留存复印件或影印件</w:t>
            </w:r>
          </w:p>
        </w:tc>
        <w:tc>
          <w:tcPr>
            <w:tcW w:w="1148" w:type="dxa"/>
            <w:tcBorders>
              <w:top w:val="nil"/>
              <w:left w:val="nil"/>
              <w:bottom w:val="nil"/>
              <w:right w:val="single" w:color="auto" w:sz="4" w:space="0"/>
            </w:tcBorders>
            <w:noWrap w:val="0"/>
            <w:vAlign w:val="center"/>
          </w:tcPr>
          <w:p w14:paraId="5C91EF19">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提供20</w:t>
            </w:r>
            <w:r>
              <w:rPr>
                <w:rFonts w:hint="eastAsia" w:ascii="仿宋" w:hAnsi="仿宋" w:eastAsia="仿宋" w:cs="仿宋"/>
                <w:color w:val="auto"/>
                <w:sz w:val="28"/>
                <w:szCs w:val="28"/>
                <w:highlight w:val="none"/>
                <w:lang w:val="en-US" w:eastAsia="zh-CN"/>
              </w:rPr>
              <w:t>24</w:t>
            </w:r>
            <w:r>
              <w:rPr>
                <w:rFonts w:hint="eastAsia" w:ascii="仿宋" w:hAnsi="仿宋" w:eastAsia="仿宋" w:cs="仿宋"/>
                <w:color w:val="auto"/>
                <w:sz w:val="28"/>
                <w:szCs w:val="28"/>
                <w:highlight w:val="none"/>
              </w:rPr>
              <w:t>年度的财务审计报告(成立不满一年的提供开标前一个月内有效银行资信证明）；</w:t>
            </w:r>
          </w:p>
        </w:tc>
        <w:tc>
          <w:tcPr>
            <w:tcW w:w="1509" w:type="dxa"/>
            <w:tcBorders>
              <w:top w:val="nil"/>
              <w:left w:val="nil"/>
              <w:bottom w:val="nil"/>
              <w:right w:val="single" w:color="auto" w:sz="4" w:space="0"/>
            </w:tcBorders>
            <w:noWrap w:val="0"/>
            <w:vAlign w:val="center"/>
          </w:tcPr>
          <w:p w14:paraId="1A8FEA4F">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投标单位（供应商）其法人参加本次采购活动前三年内，在经营活动中没有重大违法记录的声明及对本次项目《反商业贿赂承诺书》；</w:t>
            </w:r>
          </w:p>
        </w:tc>
        <w:tc>
          <w:tcPr>
            <w:tcW w:w="2571" w:type="dxa"/>
            <w:tcBorders>
              <w:top w:val="nil"/>
              <w:left w:val="nil"/>
              <w:bottom w:val="nil"/>
              <w:right w:val="single" w:color="auto" w:sz="4" w:space="0"/>
            </w:tcBorders>
            <w:noWrap w:val="0"/>
            <w:vAlign w:val="center"/>
          </w:tcPr>
          <w:p w14:paraId="01B2017D">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在信用中国、中国政府采购网被列入失信被执行人、企业经营异常名录、重大税收违法案件当事人名单、列入严重违法失信企业名单(黑名单)信息、政府采购严重违法失信名单(自本公告发出之时起尚在处罚期内的或限制其参加政府采购活动的企业)将拒绝其参加本次政府采购活动;</w:t>
            </w:r>
          </w:p>
        </w:tc>
        <w:tc>
          <w:tcPr>
            <w:tcW w:w="1423" w:type="dxa"/>
            <w:tcBorders>
              <w:top w:val="nil"/>
              <w:left w:val="nil"/>
              <w:bottom w:val="nil"/>
              <w:right w:val="single" w:color="auto" w:sz="4" w:space="0"/>
            </w:tcBorders>
            <w:noWrap w:val="0"/>
            <w:vAlign w:val="center"/>
          </w:tcPr>
          <w:p w14:paraId="369E10E0">
            <w:pPr>
              <w:keepNext w:val="0"/>
              <w:keepLines w:val="0"/>
              <w:widowControl/>
              <w:suppressLineNumbers w:val="0"/>
              <w:spacing w:before="0" w:beforeAutospacing="0" w:after="0" w:afterAutospacing="0"/>
              <w:ind w:left="0" w:right="0"/>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中小企业声明函</w:t>
            </w:r>
          </w:p>
        </w:tc>
        <w:tc>
          <w:tcPr>
            <w:tcW w:w="1354" w:type="dxa"/>
            <w:tcBorders>
              <w:top w:val="nil"/>
              <w:left w:val="nil"/>
              <w:bottom w:val="nil"/>
              <w:right w:val="single" w:color="auto" w:sz="4" w:space="0"/>
            </w:tcBorders>
            <w:noWrap w:val="0"/>
            <w:vAlign w:val="center"/>
          </w:tcPr>
          <w:p w14:paraId="6C77221F">
            <w:pPr>
              <w:keepNext w:val="0"/>
              <w:keepLines w:val="0"/>
              <w:widowControl/>
              <w:suppressLineNumbers w:val="0"/>
              <w:spacing w:before="0" w:beforeAutospacing="0" w:after="0" w:afterAutospacing="0"/>
              <w:ind w:left="0" w:right="0"/>
              <w:jc w:val="center"/>
              <w:rPr>
                <w:rFonts w:hint="eastAsia" w:ascii="仿宋" w:hAnsi="仿宋" w:eastAsia="仿宋" w:cs="仿宋"/>
                <w:i/>
                <w:iCs/>
                <w:color w:val="auto"/>
                <w:kern w:val="0"/>
                <w:sz w:val="28"/>
                <w:szCs w:val="28"/>
                <w:highlight w:val="none"/>
              </w:rPr>
            </w:pPr>
          </w:p>
        </w:tc>
      </w:tr>
    </w:tbl>
    <w:p w14:paraId="2333B6B8">
      <w:pPr>
        <w:pStyle w:val="5"/>
        <w:rPr>
          <w:rFonts w:hint="eastAsia"/>
          <w:highlight w:val="none"/>
        </w:rPr>
        <w:sectPr>
          <w:pgSz w:w="16838" w:h="11906" w:orient="landscape"/>
          <w:pgMar w:top="1417" w:right="1417" w:bottom="1417" w:left="1417" w:header="851" w:footer="992" w:gutter="0"/>
          <w:pgNumType w:fmt="decimal"/>
          <w:cols w:space="720" w:num="1"/>
          <w:docGrid w:linePitch="312" w:charSpace="0"/>
        </w:sectPr>
      </w:pPr>
    </w:p>
    <w:p w14:paraId="30596B42">
      <w:pPr>
        <w:pStyle w:val="2"/>
        <w:tabs>
          <w:tab w:val="left" w:pos="0"/>
        </w:tabs>
        <w:spacing w:before="0" w:after="0" w:line="240" w:lineRule="atLeast"/>
        <w:outlineLvl w:val="0"/>
        <w:rPr>
          <w:rFonts w:hint="eastAsia" w:ascii="仿宋" w:hAnsi="仿宋" w:eastAsia="仿宋" w:cs="仿宋"/>
          <w:color w:val="auto"/>
          <w:kern w:val="0"/>
          <w:sz w:val="36"/>
          <w:szCs w:val="22"/>
          <w:highlight w:val="none"/>
        </w:rPr>
      </w:pPr>
      <w:r>
        <w:rPr>
          <w:rFonts w:hint="eastAsia" w:ascii="仿宋" w:hAnsi="仿宋" w:eastAsia="仿宋" w:cs="仿宋"/>
          <w:color w:val="auto"/>
          <w:kern w:val="0"/>
          <w:sz w:val="36"/>
          <w:szCs w:val="22"/>
          <w:highlight w:val="none"/>
        </w:rPr>
        <w:t>第五章  货物需求一览表及技术规格</w:t>
      </w:r>
    </w:p>
    <w:p w14:paraId="0DACBC0A">
      <w:pPr>
        <w:spacing w:line="240" w:lineRule="atLeast"/>
        <w:ind w:left="1080" w:leftChars="257" w:hanging="540"/>
        <w:jc w:val="center"/>
        <w:rPr>
          <w:rFonts w:hint="eastAsia" w:ascii="仿宋" w:hAnsi="仿宋" w:eastAsia="仿宋" w:cs="仿宋"/>
          <w:b/>
          <w:color w:val="auto"/>
          <w:sz w:val="24"/>
          <w:highlight w:val="none"/>
        </w:rPr>
      </w:pPr>
    </w:p>
    <w:p w14:paraId="646280B6">
      <w:pPr>
        <w:widowControl/>
        <w:numPr>
          <w:ilvl w:val="0"/>
          <w:numId w:val="0"/>
        </w:numPr>
        <w:jc w:val="center"/>
        <w:outlineLvl w:val="1"/>
        <w:rPr>
          <w:rFonts w:hint="eastAsia"/>
          <w:b/>
          <w:bCs/>
          <w:sz w:val="44"/>
          <w:szCs w:val="44"/>
          <w:highlight w:val="none"/>
          <w:lang w:val="en-US" w:eastAsia="zh-CN"/>
        </w:rPr>
      </w:pPr>
    </w:p>
    <w:p w14:paraId="38C3F920">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1.1 本章条款仅限于叶城县2025年宗朗乡产业园区鲜食玉米加工设备采购项目</w:t>
      </w:r>
      <w:r>
        <w:rPr>
          <w:rFonts w:hint="eastAsia" w:ascii="仿宋" w:hAnsi="仿宋" w:eastAsia="仿宋" w:cs="仿宋"/>
          <w:color w:val="auto"/>
          <w:sz w:val="28"/>
          <w:szCs w:val="28"/>
          <w:highlight w:val="none"/>
          <w:lang w:eastAsia="zh-CN"/>
        </w:rPr>
        <w:t>。</w:t>
      </w:r>
    </w:p>
    <w:p w14:paraId="2440C072">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 投标人须对所投标项的采购标的进行整体投标，任何只对所投标项采购标 的其中一部分内容、数量进行的投标都被视为无效投标。</w:t>
      </w:r>
    </w:p>
    <w:p w14:paraId="19BBA873">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 本章条款提出的是最低限度的技术要求，并未对一切技术细节做出规定， 也未引述有关规范条文，投标人不得以本文件未提出要求为理由而规避国家和行 业强制规范、标准的规定，投标人应保证提供符合本章条款和相关标准的合同货 物。本项目必须遵循国家规范和标准并应按最新版本执行，若标准、规范出现矛 盾时， 以最新、最高标准规范执行。</w:t>
      </w:r>
    </w:p>
    <w:p w14:paraId="11BA92F8">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 如果供应商没有以书面形式对本章条款提出异议，采购人就可以认为投标 人提供的成果符合本章条款的要求。</w:t>
      </w:r>
    </w:p>
    <w:p w14:paraId="333A0BDA">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 在签订合同之后，采购人有权提出因规范标准有变化而产生的一些补充要 求。</w:t>
      </w:r>
    </w:p>
    <w:p w14:paraId="2B9F8EAD">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1.6 本章条款使用标准如与投标人所执行标准发生矛盾时，按较高标准执行。</w:t>
      </w:r>
    </w:p>
    <w:p w14:paraId="28BEDC62">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二、执行的规范和标准</w:t>
      </w:r>
    </w:p>
    <w:p w14:paraId="34DEE2EF">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凡技术参数指标执行的国家相关标准、行业标准、地方标准或者其他标准、规 范。投标人需要提供投标产品经国家认可的质量检测机构出具的有效检测报告佐 证投标产品是否响应项目规格参数要求，如投标人技术响应与检测报告不一致， 将以检测报告为准；投标人未按要求提供所投产品检测报告将被认定为投标无效。</w:t>
      </w:r>
    </w:p>
    <w:p w14:paraId="12A75998">
      <w:pPr>
        <w:widowControl/>
        <w:numPr>
          <w:ilvl w:val="0"/>
          <w:numId w:val="0"/>
        </w:numPr>
        <w:jc w:val="both"/>
        <w:outlineLvl w:val="1"/>
        <w:rPr>
          <w:rFonts w:hint="eastAsia"/>
          <w:b/>
          <w:bCs/>
          <w:sz w:val="44"/>
          <w:szCs w:val="44"/>
          <w:highlight w:val="none"/>
          <w:lang w:val="en-US" w:eastAsia="zh-CN"/>
        </w:rPr>
      </w:pPr>
    </w:p>
    <w:p w14:paraId="4E8BEEB6">
      <w:pPr>
        <w:widowControl/>
        <w:numPr>
          <w:ilvl w:val="0"/>
          <w:numId w:val="0"/>
        </w:numPr>
        <w:jc w:val="center"/>
        <w:outlineLvl w:val="1"/>
        <w:rPr>
          <w:rFonts w:hint="eastAsia" w:ascii="仿宋" w:hAnsi="仿宋" w:eastAsia="仿宋" w:cs="仿宋"/>
          <w:b/>
          <w:color w:val="auto"/>
          <w:kern w:val="0"/>
          <w:sz w:val="32"/>
          <w:szCs w:val="32"/>
          <w:highlight w:val="none"/>
          <w:lang w:val="en-US" w:eastAsia="zh-CN" w:bidi="ar-SA"/>
        </w:rPr>
      </w:pPr>
    </w:p>
    <w:p w14:paraId="17E28D90">
      <w:pPr>
        <w:widowControl/>
        <w:numPr>
          <w:ilvl w:val="0"/>
          <w:numId w:val="0"/>
        </w:numPr>
        <w:jc w:val="center"/>
        <w:outlineLvl w:val="1"/>
        <w:rPr>
          <w:rFonts w:hint="eastAsia"/>
          <w:b/>
          <w:bCs/>
          <w:sz w:val="44"/>
          <w:szCs w:val="44"/>
          <w:highlight w:val="none"/>
          <w:lang w:val="en-US" w:eastAsia="zh-CN"/>
        </w:rPr>
      </w:pPr>
      <w:r>
        <w:rPr>
          <w:rFonts w:hint="eastAsia" w:ascii="仿宋" w:hAnsi="仿宋" w:eastAsia="仿宋" w:cs="仿宋"/>
          <w:b/>
          <w:color w:val="auto"/>
          <w:kern w:val="0"/>
          <w:sz w:val="32"/>
          <w:szCs w:val="32"/>
          <w:highlight w:val="none"/>
          <w:lang w:val="en-US" w:eastAsia="zh-CN" w:bidi="ar-SA"/>
        </w:rPr>
        <w:t>采购需求参数：</w:t>
      </w:r>
    </w:p>
    <w:p w14:paraId="305BBDB3">
      <w:pPr>
        <w:widowControl/>
        <w:numPr>
          <w:ilvl w:val="0"/>
          <w:numId w:val="0"/>
        </w:numPr>
        <w:jc w:val="both"/>
        <w:outlineLvl w:val="1"/>
        <w:rPr>
          <w:rFonts w:hint="default"/>
          <w:b/>
          <w:bCs/>
          <w:sz w:val="44"/>
          <w:szCs w:val="44"/>
          <w:highlight w:val="none"/>
          <w:lang w:val="en-US" w:eastAsia="zh-CN"/>
        </w:rPr>
      </w:pPr>
      <w:r>
        <w:rPr>
          <w:rFonts w:hint="eastAsia"/>
          <w:b/>
          <w:bCs/>
          <w:sz w:val="44"/>
          <w:szCs w:val="44"/>
          <w:highlight w:val="none"/>
          <w:lang w:val="en-US" w:eastAsia="zh-CN"/>
        </w:rPr>
        <w:t xml:space="preserve"> </w:t>
      </w:r>
    </w:p>
    <w:tbl>
      <w:tblPr>
        <w:tblStyle w:val="20"/>
        <w:tblW w:w="14391" w:type="dxa"/>
        <w:tblInd w:w="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108" w:type="dxa"/>
          <w:bottom w:w="57" w:type="dxa"/>
          <w:right w:w="108" w:type="dxa"/>
        </w:tblCellMar>
      </w:tblPr>
      <w:tblGrid>
        <w:gridCol w:w="542"/>
        <w:gridCol w:w="2226"/>
        <w:gridCol w:w="2075"/>
        <w:gridCol w:w="9548"/>
      </w:tblGrid>
      <w:tr w14:paraId="092EB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767" w:hRule="atLeast"/>
        </w:trPr>
        <w:tc>
          <w:tcPr>
            <w:tcW w:w="542" w:type="dxa"/>
            <w:vAlign w:val="center"/>
          </w:tcPr>
          <w:p w14:paraId="1B946D2B">
            <w:pPr>
              <w:jc w:val="center"/>
              <w:rPr>
                <w:szCs w:val="21"/>
                <w:highlight w:val="none"/>
              </w:rPr>
            </w:pPr>
            <w:r>
              <w:rPr>
                <w:rFonts w:hint="eastAsia"/>
                <w:szCs w:val="21"/>
                <w:highlight w:val="none"/>
              </w:rPr>
              <w:t>序号</w:t>
            </w:r>
          </w:p>
        </w:tc>
        <w:tc>
          <w:tcPr>
            <w:tcW w:w="2226" w:type="dxa"/>
            <w:vAlign w:val="center"/>
          </w:tcPr>
          <w:p w14:paraId="576B1AB6">
            <w:pPr>
              <w:jc w:val="center"/>
              <w:rPr>
                <w:szCs w:val="21"/>
                <w:highlight w:val="none"/>
              </w:rPr>
            </w:pPr>
            <w:r>
              <w:rPr>
                <w:rFonts w:hint="eastAsia"/>
                <w:szCs w:val="21"/>
                <w:highlight w:val="none"/>
              </w:rPr>
              <w:t>设备名称</w:t>
            </w:r>
          </w:p>
        </w:tc>
        <w:tc>
          <w:tcPr>
            <w:tcW w:w="2075" w:type="dxa"/>
            <w:vAlign w:val="center"/>
          </w:tcPr>
          <w:p w14:paraId="0F2D0B94">
            <w:pPr>
              <w:jc w:val="center"/>
              <w:rPr>
                <w:szCs w:val="21"/>
                <w:highlight w:val="none"/>
              </w:rPr>
            </w:pPr>
            <w:r>
              <w:rPr>
                <w:rFonts w:hint="eastAsia"/>
                <w:szCs w:val="21"/>
                <w:highlight w:val="none"/>
              </w:rPr>
              <w:t>数量</w:t>
            </w:r>
          </w:p>
        </w:tc>
        <w:tc>
          <w:tcPr>
            <w:tcW w:w="9548" w:type="dxa"/>
            <w:vAlign w:val="center"/>
          </w:tcPr>
          <w:p w14:paraId="61D01D4B">
            <w:pPr>
              <w:jc w:val="center"/>
              <w:rPr>
                <w:szCs w:val="21"/>
                <w:highlight w:val="none"/>
              </w:rPr>
            </w:pPr>
            <w:r>
              <w:rPr>
                <w:rFonts w:hint="eastAsia"/>
                <w:szCs w:val="21"/>
                <w:highlight w:val="none"/>
              </w:rPr>
              <w:t>备注（参数）</w:t>
            </w:r>
          </w:p>
        </w:tc>
      </w:tr>
      <w:tr w14:paraId="507BC4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2889" w:hRule="atLeast"/>
        </w:trPr>
        <w:tc>
          <w:tcPr>
            <w:tcW w:w="542" w:type="dxa"/>
            <w:vAlign w:val="center"/>
          </w:tcPr>
          <w:p w14:paraId="2814D327">
            <w:pPr>
              <w:jc w:val="center"/>
              <w:rPr>
                <w:rFonts w:hint="eastAsia" w:eastAsia="宋体"/>
                <w:sz w:val="22"/>
                <w:szCs w:val="22"/>
                <w:highlight w:val="none"/>
                <w:lang w:val="en-US" w:eastAsia="zh-CN"/>
              </w:rPr>
            </w:pPr>
            <w:r>
              <w:rPr>
                <w:rFonts w:hint="eastAsia"/>
                <w:sz w:val="22"/>
                <w:szCs w:val="22"/>
                <w:highlight w:val="none"/>
                <w:lang w:val="en-US" w:eastAsia="zh-CN"/>
              </w:rPr>
              <w:t>1</w:t>
            </w:r>
          </w:p>
        </w:tc>
        <w:tc>
          <w:tcPr>
            <w:tcW w:w="2226" w:type="dxa"/>
            <w:vAlign w:val="center"/>
          </w:tcPr>
          <w:p w14:paraId="31F19CE2">
            <w:pPr>
              <w:jc w:val="center"/>
              <w:rPr>
                <w:szCs w:val="21"/>
                <w:highlight w:val="none"/>
              </w:rPr>
            </w:pPr>
            <w:r>
              <w:rPr>
                <w:rFonts w:hint="eastAsia"/>
                <w:szCs w:val="21"/>
                <w:highlight w:val="none"/>
              </w:rPr>
              <w:t>气</w:t>
            </w:r>
            <w:r>
              <w:rPr>
                <w:rFonts w:hint="eastAsia"/>
                <w:szCs w:val="21"/>
                <w:highlight w:val="none"/>
                <w:lang w:val="en-US" w:eastAsia="zh-CN"/>
              </w:rPr>
              <w:t>吹式扒</w:t>
            </w:r>
            <w:r>
              <w:rPr>
                <w:rFonts w:hint="eastAsia"/>
                <w:szCs w:val="21"/>
                <w:highlight w:val="none"/>
              </w:rPr>
              <w:t>皮机</w:t>
            </w:r>
          </w:p>
        </w:tc>
        <w:tc>
          <w:tcPr>
            <w:tcW w:w="2075" w:type="dxa"/>
            <w:vAlign w:val="center"/>
          </w:tcPr>
          <w:p w14:paraId="777621B2">
            <w:pPr>
              <w:jc w:val="center"/>
              <w:rPr>
                <w:rFonts w:hint="default" w:eastAsia="宋体"/>
                <w:szCs w:val="21"/>
                <w:highlight w:val="none"/>
                <w:lang w:val="en-US" w:eastAsia="zh-CN"/>
              </w:rPr>
            </w:pPr>
            <w:r>
              <w:rPr>
                <w:rFonts w:hint="eastAsia"/>
                <w:szCs w:val="21"/>
                <w:highlight w:val="none"/>
                <w:lang w:val="en-US" w:eastAsia="zh-CN"/>
              </w:rPr>
              <w:t>1台</w:t>
            </w:r>
          </w:p>
        </w:tc>
        <w:tc>
          <w:tcPr>
            <w:tcW w:w="9548" w:type="dxa"/>
            <w:vAlign w:val="center"/>
          </w:tcPr>
          <w:p w14:paraId="1F2949BB">
            <w:pPr>
              <w:pStyle w:val="36"/>
              <w:spacing w:before="41" w:line="220" w:lineRule="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1"/>
                <w:sz w:val="24"/>
                <w:szCs w:val="24"/>
                <w:highlight w:val="none"/>
                <w:lang w:val="en-US" w:eastAsia="zh-CN"/>
              </w:rPr>
              <w:t>1.</w:t>
            </w:r>
            <w:r>
              <w:rPr>
                <w:rFonts w:hint="eastAsia" w:asciiTheme="minorEastAsia" w:hAnsiTheme="minorEastAsia" w:eastAsiaTheme="minorEastAsia" w:cstheme="minorEastAsia"/>
                <w:spacing w:val="-1"/>
                <w:sz w:val="24"/>
                <w:szCs w:val="24"/>
                <w:highlight w:val="none"/>
              </w:rPr>
              <w:t>设备总功率：</w:t>
            </w:r>
            <w:r>
              <w:rPr>
                <w:rFonts w:hint="eastAsia" w:asciiTheme="minorEastAsia" w:hAnsiTheme="minorEastAsia" w:eastAsiaTheme="minorEastAsia" w:cstheme="minorEastAsia"/>
                <w:spacing w:val="-1"/>
                <w:sz w:val="24"/>
                <w:szCs w:val="24"/>
                <w:highlight w:val="none"/>
                <w:lang w:val="en-US" w:eastAsia="zh-CN"/>
              </w:rPr>
              <w:t>19-23</w:t>
            </w:r>
            <w:r>
              <w:rPr>
                <w:rFonts w:hint="eastAsia" w:asciiTheme="minorEastAsia" w:hAnsiTheme="minorEastAsia" w:eastAsiaTheme="minorEastAsia" w:cstheme="minorEastAsia"/>
                <w:spacing w:val="-1"/>
                <w:sz w:val="24"/>
                <w:szCs w:val="24"/>
                <w:highlight w:val="none"/>
              </w:rPr>
              <w:t>KW</w:t>
            </w:r>
            <w:r>
              <w:rPr>
                <w:rFonts w:hint="eastAsia" w:asciiTheme="minorEastAsia" w:hAnsiTheme="minorEastAsia" w:eastAsiaTheme="minorEastAsia" w:cstheme="minorEastAsia"/>
                <w:spacing w:val="-1"/>
                <w:sz w:val="24"/>
                <w:szCs w:val="24"/>
                <w:highlight w:val="none"/>
                <w:lang w:eastAsia="zh-CN"/>
              </w:rPr>
              <w:t>；</w:t>
            </w:r>
          </w:p>
          <w:p w14:paraId="0D6BCDCA">
            <w:pPr>
              <w:pStyle w:val="36"/>
              <w:spacing w:before="29" w:line="231" w:lineRule="auto"/>
              <w:ind w:right="37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lang w:val="en-US" w:eastAsia="zh-CN"/>
              </w:rPr>
              <w:t>2.</w:t>
            </w:r>
            <w:r>
              <w:rPr>
                <w:rFonts w:hint="eastAsia" w:asciiTheme="minorEastAsia" w:hAnsiTheme="minorEastAsia" w:eastAsiaTheme="minorEastAsia" w:cstheme="minorEastAsia"/>
                <w:spacing w:val="2"/>
                <w:sz w:val="24"/>
                <w:szCs w:val="24"/>
                <w:highlight w:val="none"/>
              </w:rPr>
              <w:t>设备尺寸</w:t>
            </w:r>
            <w:r>
              <w:rPr>
                <w:rFonts w:hint="eastAsia" w:asciiTheme="minorEastAsia" w:hAnsiTheme="minorEastAsia" w:eastAsiaTheme="minorEastAsia" w:cstheme="minorEastAsia"/>
                <w:spacing w:val="-19"/>
                <w:sz w:val="24"/>
                <w:szCs w:val="24"/>
                <w:highlight w:val="none"/>
              </w:rPr>
              <w:t>：</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2"/>
                <w:sz w:val="24"/>
                <w:szCs w:val="24"/>
                <w:highlight w:val="none"/>
              </w:rPr>
              <w:t>1</w:t>
            </w:r>
            <w:r>
              <w:rPr>
                <w:rFonts w:hint="eastAsia" w:asciiTheme="minorEastAsia" w:hAnsiTheme="minorEastAsia" w:eastAsiaTheme="minorEastAsia" w:cstheme="minorEastAsia"/>
                <w:spacing w:val="-2"/>
                <w:sz w:val="24"/>
                <w:szCs w:val="24"/>
                <w:highlight w:val="none"/>
                <w:lang w:val="en-US" w:eastAsia="zh-CN"/>
              </w:rPr>
              <w:t>10</w:t>
            </w:r>
            <w:r>
              <w:rPr>
                <w:rFonts w:hint="eastAsia" w:asciiTheme="minorEastAsia" w:hAnsiTheme="minorEastAsia" w:eastAsiaTheme="minorEastAsia" w:cstheme="minorEastAsia"/>
                <w:spacing w:val="-2"/>
                <w:sz w:val="24"/>
                <w:szCs w:val="24"/>
                <w:highlight w:val="none"/>
              </w:rPr>
              <w:t>00</w:t>
            </w:r>
            <w:r>
              <w:rPr>
                <w:rFonts w:hint="eastAsia" w:asciiTheme="minorEastAsia" w:hAnsiTheme="minorEastAsia" w:eastAsiaTheme="minorEastAsia" w:cstheme="minorEastAsia"/>
                <w:spacing w:val="-2"/>
                <w:sz w:val="24"/>
                <w:szCs w:val="24"/>
                <w:highlight w:val="none"/>
                <w:lang w:val="en-US" w:eastAsia="zh-CN"/>
              </w:rPr>
              <w:t>*172</w:t>
            </w:r>
            <w:r>
              <w:rPr>
                <w:rFonts w:hint="eastAsia" w:asciiTheme="minorEastAsia" w:hAnsiTheme="minorEastAsia" w:eastAsiaTheme="minorEastAsia" w:cstheme="minorEastAsia"/>
                <w:spacing w:val="-2"/>
                <w:sz w:val="24"/>
                <w:szCs w:val="24"/>
                <w:highlight w:val="none"/>
              </w:rPr>
              <w:t>0</w:t>
            </w:r>
            <w:r>
              <w:rPr>
                <w:rFonts w:hint="eastAsia" w:asciiTheme="minorEastAsia" w:hAnsiTheme="minorEastAsia" w:eastAsiaTheme="minorEastAsia" w:cstheme="minorEastAsia"/>
                <w:spacing w:val="-2"/>
                <w:sz w:val="24"/>
                <w:szCs w:val="24"/>
                <w:highlight w:val="none"/>
                <w:lang w:val="en-US" w:eastAsia="zh-CN"/>
              </w:rPr>
              <w:t>*192</w:t>
            </w:r>
            <w:r>
              <w:rPr>
                <w:rFonts w:hint="eastAsia" w:asciiTheme="minorEastAsia" w:hAnsiTheme="minorEastAsia" w:eastAsiaTheme="minorEastAsia" w:cstheme="minorEastAsia"/>
                <w:spacing w:val="-2"/>
                <w:sz w:val="24"/>
                <w:szCs w:val="24"/>
                <w:highlight w:val="none"/>
              </w:rPr>
              <w:t>0mm；</w:t>
            </w:r>
          </w:p>
          <w:p w14:paraId="5D136C66">
            <w:pPr>
              <w:pStyle w:val="36"/>
              <w:spacing w:before="25" w:line="220" w:lineRule="auto"/>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lang w:val="en-US" w:eastAsia="zh-CN"/>
              </w:rPr>
              <w:t>3.</w:t>
            </w:r>
            <w:r>
              <w:rPr>
                <w:rFonts w:hint="eastAsia" w:asciiTheme="minorEastAsia" w:hAnsiTheme="minorEastAsia" w:eastAsiaTheme="minorEastAsia" w:cstheme="minorEastAsia"/>
                <w:spacing w:val="-2"/>
                <w:sz w:val="24"/>
                <w:szCs w:val="24"/>
                <w:highlight w:val="none"/>
              </w:rPr>
              <w:t>润滑方式：循环润滑</w:t>
            </w:r>
            <w:r>
              <w:rPr>
                <w:rFonts w:hint="eastAsia" w:asciiTheme="minorEastAsia" w:hAnsiTheme="minorEastAsia" w:eastAsiaTheme="minorEastAsia" w:cstheme="minorEastAsia"/>
                <w:i w:val="0"/>
                <w:iCs w:val="0"/>
                <w:color w:val="auto"/>
                <w:sz w:val="24"/>
                <w:szCs w:val="24"/>
                <w:highlight w:val="none"/>
                <w:u w:val="none"/>
                <w:lang w:val="en-US" w:eastAsia="zh-CN"/>
              </w:rPr>
              <w:t>油泵自动定时润滑主副链条；</w:t>
            </w:r>
          </w:p>
          <w:p w14:paraId="2206EA9F">
            <w:pPr>
              <w:pStyle w:val="36"/>
              <w:spacing w:before="25" w:line="220" w:lineRule="auto"/>
              <w:rPr>
                <w:rFonts w:hint="eastAsia"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4.</w:t>
            </w:r>
            <w:r>
              <w:rPr>
                <w:rFonts w:hint="eastAsia" w:asciiTheme="minorEastAsia" w:hAnsiTheme="minorEastAsia" w:eastAsiaTheme="minorEastAsia" w:cstheme="minorEastAsia"/>
                <w:spacing w:val="-1"/>
                <w:sz w:val="24"/>
                <w:szCs w:val="24"/>
                <w:highlight w:val="none"/>
              </w:rPr>
              <w:t>剥皮效率：</w:t>
            </w:r>
            <w:r>
              <w:rPr>
                <w:rFonts w:hint="eastAsia" w:asciiTheme="minorEastAsia" w:hAnsiTheme="minorEastAsia" w:eastAsiaTheme="minorEastAsia" w:cstheme="minorEastAsia"/>
                <w:spacing w:val="-1"/>
                <w:sz w:val="24"/>
                <w:szCs w:val="24"/>
                <w:highlight w:val="none"/>
                <w:lang w:val="en-US" w:eastAsia="zh-CN"/>
              </w:rPr>
              <w:t>100</w:t>
            </w:r>
            <w:r>
              <w:rPr>
                <w:rFonts w:hint="eastAsia" w:asciiTheme="minorEastAsia" w:hAnsiTheme="minorEastAsia" w:eastAsiaTheme="minorEastAsia" w:cstheme="minorEastAsia"/>
                <w:spacing w:val="-1"/>
                <w:sz w:val="24"/>
                <w:szCs w:val="24"/>
                <w:highlight w:val="none"/>
              </w:rPr>
              <w:t>00-1</w:t>
            </w:r>
            <w:r>
              <w:rPr>
                <w:rFonts w:hint="eastAsia" w:asciiTheme="minorEastAsia" w:hAnsiTheme="minorEastAsia" w:eastAsiaTheme="minorEastAsia" w:cstheme="minorEastAsia"/>
                <w:spacing w:val="-1"/>
                <w:sz w:val="24"/>
                <w:szCs w:val="24"/>
                <w:highlight w:val="none"/>
                <w:lang w:val="en-US" w:eastAsia="zh-CN"/>
              </w:rPr>
              <w:t>3</w:t>
            </w:r>
            <w:r>
              <w:rPr>
                <w:rFonts w:hint="eastAsia" w:asciiTheme="minorEastAsia" w:hAnsiTheme="minorEastAsia" w:eastAsiaTheme="minorEastAsia" w:cstheme="minorEastAsia"/>
                <w:spacing w:val="-1"/>
                <w:sz w:val="24"/>
                <w:szCs w:val="24"/>
                <w:highlight w:val="none"/>
              </w:rPr>
              <w:t>000穂/小时</w:t>
            </w:r>
            <w:r>
              <w:rPr>
                <w:rFonts w:hint="eastAsia" w:asciiTheme="minorEastAsia" w:hAnsiTheme="minorEastAsia" w:eastAsiaTheme="minorEastAsia" w:cstheme="minorEastAsia"/>
                <w:spacing w:val="-1"/>
                <w:sz w:val="24"/>
                <w:szCs w:val="24"/>
                <w:highlight w:val="none"/>
                <w:lang w:eastAsia="zh-CN"/>
              </w:rPr>
              <w:t>；</w:t>
            </w:r>
          </w:p>
          <w:p w14:paraId="0DD39EFD">
            <w:pPr>
              <w:pStyle w:val="36"/>
              <w:spacing w:before="25" w:line="220" w:lineRule="auto"/>
              <w:rPr>
                <w:rFonts w:hint="eastAsia"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5.整体重量;5000kg±500；</w:t>
            </w:r>
          </w:p>
          <w:p w14:paraId="48F7F94C">
            <w:pPr>
              <w:pStyle w:val="36"/>
              <w:spacing w:before="25" w:line="220" w:lineRule="auto"/>
              <w:rPr>
                <w:rFonts w:hint="eastAsia"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6.设备材质：优质不锈钢；</w:t>
            </w:r>
          </w:p>
          <w:p w14:paraId="7CB7BE3E">
            <w:pPr>
              <w:pStyle w:val="36"/>
              <w:spacing w:before="25" w:line="220" w:lineRule="auto"/>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spacing w:val="-1"/>
                <w:sz w:val="24"/>
                <w:szCs w:val="24"/>
                <w:highlight w:val="none"/>
                <w:lang w:val="en-US" w:eastAsia="zh-CN"/>
              </w:rPr>
              <w:t>7.</w:t>
            </w:r>
            <w:r>
              <w:rPr>
                <w:rFonts w:hint="eastAsia" w:asciiTheme="minorEastAsia" w:hAnsiTheme="minorEastAsia" w:eastAsiaTheme="minorEastAsia" w:cstheme="minorEastAsia"/>
                <w:i w:val="0"/>
                <w:iCs w:val="0"/>
                <w:color w:val="auto"/>
                <w:sz w:val="24"/>
                <w:szCs w:val="24"/>
                <w:highlight w:val="none"/>
                <w:u w:val="none"/>
                <w:lang w:val="en-US" w:eastAsia="zh-CN"/>
              </w:rPr>
              <w:t>玉米托盘、尖部套、根部套：选用增强尼龙加热水处理；</w:t>
            </w:r>
          </w:p>
          <w:p w14:paraId="51A91ACB">
            <w:pPr>
              <w:pStyle w:val="36"/>
              <w:spacing w:before="25" w:line="220" w:lineRule="auto"/>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8.设备板材厚度：2-5mm；</w:t>
            </w:r>
          </w:p>
          <w:p w14:paraId="21B71833">
            <w:pPr>
              <w:pStyle w:val="36"/>
              <w:spacing w:before="25" w:line="220" w:lineRule="auto"/>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9.架体方管厚度：2-4mm；</w:t>
            </w:r>
          </w:p>
        </w:tc>
      </w:tr>
      <w:tr w14:paraId="5A7113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2830" w:hRule="atLeast"/>
        </w:trPr>
        <w:tc>
          <w:tcPr>
            <w:tcW w:w="542" w:type="dxa"/>
            <w:vAlign w:val="center"/>
          </w:tcPr>
          <w:p w14:paraId="6F3A21FE">
            <w:pPr>
              <w:jc w:val="center"/>
              <w:rPr>
                <w:rFonts w:hint="eastAsia" w:eastAsia="宋体"/>
                <w:sz w:val="22"/>
                <w:szCs w:val="22"/>
                <w:highlight w:val="none"/>
                <w:lang w:val="en-US" w:eastAsia="zh-CN"/>
              </w:rPr>
            </w:pPr>
            <w:r>
              <w:rPr>
                <w:rFonts w:hint="eastAsia"/>
                <w:sz w:val="22"/>
                <w:szCs w:val="22"/>
                <w:highlight w:val="none"/>
                <w:lang w:val="en-US" w:eastAsia="zh-CN"/>
              </w:rPr>
              <w:t>2</w:t>
            </w:r>
          </w:p>
        </w:tc>
        <w:tc>
          <w:tcPr>
            <w:tcW w:w="2226" w:type="dxa"/>
            <w:vAlign w:val="center"/>
          </w:tcPr>
          <w:p w14:paraId="54AAB355">
            <w:pPr>
              <w:jc w:val="center"/>
              <w:rPr>
                <w:szCs w:val="21"/>
                <w:highlight w:val="none"/>
              </w:rPr>
            </w:pPr>
            <w:r>
              <w:rPr>
                <w:rFonts w:hint="eastAsia"/>
                <w:szCs w:val="21"/>
                <w:highlight w:val="none"/>
                <w:lang w:val="en-US" w:eastAsia="zh-CN"/>
              </w:rPr>
              <w:t>挑选</w:t>
            </w:r>
            <w:r>
              <w:rPr>
                <w:rFonts w:hint="eastAsia"/>
                <w:szCs w:val="21"/>
                <w:highlight w:val="none"/>
              </w:rPr>
              <w:t>输送机</w:t>
            </w:r>
          </w:p>
        </w:tc>
        <w:tc>
          <w:tcPr>
            <w:tcW w:w="2075" w:type="dxa"/>
            <w:vAlign w:val="center"/>
          </w:tcPr>
          <w:p w14:paraId="5271AE2D">
            <w:pPr>
              <w:jc w:val="center"/>
              <w:rPr>
                <w:rFonts w:hint="default" w:eastAsia="宋体"/>
                <w:szCs w:val="21"/>
                <w:highlight w:val="none"/>
                <w:lang w:val="en-US" w:eastAsia="zh-CN"/>
              </w:rPr>
            </w:pPr>
            <w:r>
              <w:rPr>
                <w:rFonts w:hint="eastAsia"/>
                <w:szCs w:val="21"/>
                <w:highlight w:val="none"/>
                <w:lang w:val="en-US" w:eastAsia="zh-CN"/>
              </w:rPr>
              <w:t>1台</w:t>
            </w:r>
          </w:p>
        </w:tc>
        <w:tc>
          <w:tcPr>
            <w:tcW w:w="9548" w:type="dxa"/>
            <w:vAlign w:val="center"/>
          </w:tcPr>
          <w:p w14:paraId="2CE40B2A">
            <w:pPr>
              <w:pStyle w:val="36"/>
              <w:spacing w:before="42" w:line="220"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3"/>
                <w:sz w:val="24"/>
                <w:szCs w:val="24"/>
                <w:highlight w:val="none"/>
              </w:rPr>
              <w:t>1</w:t>
            </w:r>
            <w:r>
              <w:rPr>
                <w:rFonts w:hint="eastAsia" w:asciiTheme="minorEastAsia" w:hAnsiTheme="minorEastAsia" w:eastAsiaTheme="minorEastAsia" w:cstheme="minorEastAsia"/>
                <w:spacing w:val="-3"/>
                <w:sz w:val="24"/>
                <w:szCs w:val="24"/>
                <w:highlight w:val="none"/>
                <w:lang w:val="en-US" w:eastAsia="zh-CN"/>
              </w:rPr>
              <w:t>.</w:t>
            </w:r>
            <w:r>
              <w:rPr>
                <w:rFonts w:hint="eastAsia" w:asciiTheme="minorEastAsia" w:hAnsiTheme="minorEastAsia" w:eastAsiaTheme="minorEastAsia" w:cstheme="minorEastAsia"/>
                <w:spacing w:val="-3"/>
                <w:sz w:val="24"/>
                <w:szCs w:val="24"/>
                <w:highlight w:val="none"/>
              </w:rPr>
              <w:t>皮带有效宽度为</w:t>
            </w:r>
            <w:r>
              <w:rPr>
                <w:rFonts w:hint="eastAsia" w:asciiTheme="minorEastAsia" w:hAnsiTheme="minorEastAsia" w:eastAsiaTheme="minorEastAsia" w:cstheme="minorEastAsia"/>
                <w:spacing w:val="-3"/>
                <w:sz w:val="24"/>
                <w:szCs w:val="24"/>
                <w:highlight w:val="none"/>
                <w:lang w:eastAsia="zh-CN"/>
              </w:rPr>
              <w:t>：</w:t>
            </w:r>
            <w:r>
              <w:rPr>
                <w:rFonts w:hint="eastAsia" w:asciiTheme="minorEastAsia" w:hAnsiTheme="minorEastAsia" w:eastAsiaTheme="minorEastAsia" w:cstheme="minorEastAsia"/>
                <w:spacing w:val="-3"/>
                <w:sz w:val="24"/>
                <w:szCs w:val="24"/>
                <w:highlight w:val="none"/>
                <w:lang w:val="en-US" w:eastAsia="zh-CN"/>
              </w:rPr>
              <w:t>6</w:t>
            </w:r>
            <w:r>
              <w:rPr>
                <w:rFonts w:hint="eastAsia" w:asciiTheme="minorEastAsia" w:hAnsiTheme="minorEastAsia" w:eastAsiaTheme="minorEastAsia" w:cstheme="minorEastAsia"/>
                <w:spacing w:val="-3"/>
                <w:sz w:val="24"/>
                <w:szCs w:val="24"/>
                <w:highlight w:val="none"/>
              </w:rPr>
              <w:t>00</w:t>
            </w:r>
            <w:r>
              <w:rPr>
                <w:rFonts w:hint="eastAsia" w:asciiTheme="minorEastAsia" w:hAnsiTheme="minorEastAsia" w:eastAsiaTheme="minorEastAsia" w:cstheme="minorEastAsia"/>
                <w:spacing w:val="-3"/>
                <w:sz w:val="24"/>
                <w:szCs w:val="24"/>
                <w:highlight w:val="none"/>
                <w:lang w:val="en-US" w:eastAsia="zh-CN"/>
              </w:rPr>
              <w:t>mm；</w:t>
            </w:r>
          </w:p>
          <w:p w14:paraId="20C21D11">
            <w:pPr>
              <w:pStyle w:val="36"/>
              <w:spacing w:before="28" w:line="220" w:lineRule="auto"/>
              <w:rPr>
                <w:rFonts w:hint="eastAsia" w:asciiTheme="minorEastAsia" w:hAnsiTheme="minorEastAsia" w:eastAsiaTheme="minorEastAsia" w:cstheme="minorEastAsia"/>
                <w:spacing w:val="-1"/>
                <w:sz w:val="24"/>
                <w:szCs w:val="24"/>
                <w:highlight w:val="none"/>
                <w:lang w:eastAsia="zh-CN"/>
              </w:rPr>
            </w:pPr>
            <w:r>
              <w:rPr>
                <w:rFonts w:hint="eastAsia" w:asciiTheme="minorEastAsia" w:hAnsiTheme="minorEastAsia" w:eastAsiaTheme="minorEastAsia" w:cstheme="minorEastAsia"/>
                <w:spacing w:val="-1"/>
                <w:sz w:val="24"/>
                <w:szCs w:val="24"/>
                <w:highlight w:val="none"/>
              </w:rPr>
              <w:t>2</w:t>
            </w:r>
            <w:r>
              <w:rPr>
                <w:rFonts w:hint="eastAsia" w:asciiTheme="minorEastAsia" w:hAnsiTheme="minorEastAsia" w:eastAsiaTheme="minorEastAsia" w:cstheme="minorEastAsia"/>
                <w:spacing w:val="-1"/>
                <w:sz w:val="24"/>
                <w:szCs w:val="24"/>
                <w:highlight w:val="none"/>
                <w:lang w:val="en-US" w:eastAsia="zh-CN"/>
              </w:rPr>
              <w:t>.</w:t>
            </w:r>
            <w:r>
              <w:rPr>
                <w:rFonts w:hint="eastAsia" w:asciiTheme="minorEastAsia" w:hAnsiTheme="minorEastAsia" w:eastAsiaTheme="minorEastAsia" w:cstheme="minorEastAsia"/>
                <w:spacing w:val="-1"/>
                <w:sz w:val="24"/>
                <w:szCs w:val="24"/>
                <w:highlight w:val="none"/>
              </w:rPr>
              <w:t>皮带厚度：</w:t>
            </w:r>
            <w:r>
              <w:rPr>
                <w:rFonts w:hint="eastAsia" w:asciiTheme="minorEastAsia" w:hAnsiTheme="minorEastAsia" w:eastAsiaTheme="minorEastAsia" w:cstheme="minorEastAsia"/>
                <w:spacing w:val="-1"/>
                <w:sz w:val="24"/>
                <w:szCs w:val="24"/>
                <w:highlight w:val="none"/>
                <w:lang w:val="en-US" w:eastAsia="zh-CN"/>
              </w:rPr>
              <w:t>3-4</w:t>
            </w:r>
            <w:r>
              <w:rPr>
                <w:rFonts w:hint="eastAsia" w:asciiTheme="minorEastAsia" w:hAnsiTheme="minorEastAsia" w:eastAsiaTheme="minorEastAsia" w:cstheme="minorEastAsia"/>
                <w:spacing w:val="-1"/>
                <w:sz w:val="24"/>
                <w:szCs w:val="24"/>
                <w:highlight w:val="none"/>
              </w:rPr>
              <w:t xml:space="preserve">mm  </w:t>
            </w:r>
            <w:r>
              <w:rPr>
                <w:rFonts w:hint="eastAsia" w:asciiTheme="minorEastAsia" w:hAnsiTheme="minorEastAsia" w:eastAsiaTheme="minorEastAsia" w:cstheme="minorEastAsia"/>
                <w:spacing w:val="-1"/>
                <w:sz w:val="24"/>
                <w:szCs w:val="24"/>
                <w:highlight w:val="none"/>
                <w:lang w:eastAsia="zh-CN"/>
              </w:rPr>
              <w:t>；</w:t>
            </w:r>
          </w:p>
          <w:p w14:paraId="1807775F">
            <w:pPr>
              <w:pStyle w:val="36"/>
              <w:spacing w:before="28" w:line="220"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3.皮带材质</w:t>
            </w:r>
            <w:r>
              <w:rPr>
                <w:rFonts w:hint="eastAsia" w:asciiTheme="minorEastAsia" w:hAnsiTheme="minorEastAsia" w:eastAsiaTheme="minorEastAsia" w:cstheme="minorEastAsia"/>
                <w:spacing w:val="-1"/>
                <w:sz w:val="24"/>
                <w:szCs w:val="24"/>
                <w:highlight w:val="none"/>
                <w:lang w:eastAsia="zh-CN"/>
              </w:rPr>
              <w:t>：</w:t>
            </w:r>
            <w:r>
              <w:rPr>
                <w:rFonts w:hint="eastAsia" w:asciiTheme="minorEastAsia" w:hAnsiTheme="minorEastAsia" w:eastAsiaTheme="minorEastAsia" w:cstheme="minorEastAsia"/>
                <w:spacing w:val="-1"/>
                <w:sz w:val="24"/>
                <w:szCs w:val="24"/>
                <w:highlight w:val="none"/>
                <w:lang w:val="en-US" w:eastAsia="zh-CN"/>
              </w:rPr>
              <w:t>食品级PVC带；</w:t>
            </w:r>
          </w:p>
          <w:p w14:paraId="5D225EC2">
            <w:pPr>
              <w:pStyle w:val="36"/>
              <w:spacing w:before="28" w:line="223" w:lineRule="auto"/>
              <w:rPr>
                <w:rFonts w:hint="eastAsia" w:asciiTheme="minorEastAsia" w:hAnsiTheme="minorEastAsia" w:eastAsiaTheme="minorEastAsia" w:cstheme="minorEastAsia"/>
                <w:spacing w:val="14"/>
                <w:sz w:val="24"/>
                <w:szCs w:val="24"/>
                <w:highlight w:val="none"/>
                <w:lang w:eastAsia="zh-CN"/>
              </w:rPr>
            </w:pPr>
            <w:r>
              <w:rPr>
                <w:rFonts w:hint="eastAsia" w:asciiTheme="minorEastAsia" w:hAnsiTheme="minorEastAsia" w:eastAsiaTheme="minorEastAsia" w:cstheme="minorEastAsia"/>
                <w:spacing w:val="-6"/>
                <w:sz w:val="24"/>
                <w:szCs w:val="24"/>
                <w:highlight w:val="none"/>
                <w:lang w:val="en-US" w:eastAsia="zh-CN"/>
              </w:rPr>
              <w:t>4.</w:t>
            </w:r>
            <w:r>
              <w:rPr>
                <w:rFonts w:hint="eastAsia" w:asciiTheme="minorEastAsia" w:hAnsiTheme="minorEastAsia" w:eastAsiaTheme="minorEastAsia" w:cstheme="minorEastAsia"/>
                <w:spacing w:val="-2"/>
                <w:sz w:val="24"/>
                <w:szCs w:val="24"/>
                <w:highlight w:val="none"/>
              </w:rPr>
              <w:t>运行速度：</w:t>
            </w:r>
            <w:r>
              <w:rPr>
                <w:rFonts w:hint="eastAsia" w:asciiTheme="minorEastAsia" w:hAnsiTheme="minorEastAsia" w:eastAsiaTheme="minorEastAsia" w:cstheme="minorEastAsia"/>
                <w:spacing w:val="-2"/>
                <w:sz w:val="24"/>
                <w:szCs w:val="24"/>
                <w:highlight w:val="none"/>
                <w:lang w:val="en-US" w:eastAsia="zh-CN"/>
              </w:rPr>
              <w:t>无极</w:t>
            </w:r>
            <w:r>
              <w:rPr>
                <w:rFonts w:hint="eastAsia" w:asciiTheme="minorEastAsia" w:hAnsiTheme="minorEastAsia" w:eastAsiaTheme="minorEastAsia" w:cstheme="minorEastAsia"/>
                <w:spacing w:val="-2"/>
                <w:sz w:val="24"/>
                <w:szCs w:val="24"/>
                <w:highlight w:val="none"/>
              </w:rPr>
              <w:t>可调</w:t>
            </w:r>
            <w:r>
              <w:rPr>
                <w:rFonts w:hint="eastAsia" w:asciiTheme="minorEastAsia" w:hAnsiTheme="minorEastAsia" w:eastAsiaTheme="minorEastAsia" w:cstheme="minorEastAsia"/>
                <w:spacing w:val="14"/>
                <w:sz w:val="24"/>
                <w:szCs w:val="24"/>
                <w:highlight w:val="none"/>
              </w:rPr>
              <w:t xml:space="preserve"> </w:t>
            </w:r>
            <w:r>
              <w:rPr>
                <w:rFonts w:hint="eastAsia" w:asciiTheme="minorEastAsia" w:hAnsiTheme="minorEastAsia" w:eastAsiaTheme="minorEastAsia" w:cstheme="minorEastAsia"/>
                <w:spacing w:val="14"/>
                <w:sz w:val="24"/>
                <w:szCs w:val="24"/>
                <w:highlight w:val="none"/>
                <w:lang w:eastAsia="zh-CN"/>
              </w:rPr>
              <w:t>；</w:t>
            </w:r>
          </w:p>
          <w:p w14:paraId="30DBEEFF">
            <w:pPr>
              <w:pStyle w:val="36"/>
              <w:spacing w:before="28" w:line="223" w:lineRule="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3"/>
                <w:sz w:val="24"/>
                <w:szCs w:val="24"/>
                <w:highlight w:val="none"/>
                <w:lang w:val="en-US" w:eastAsia="zh-CN"/>
              </w:rPr>
              <w:t>5.</w:t>
            </w:r>
            <w:r>
              <w:rPr>
                <w:rFonts w:hint="eastAsia" w:asciiTheme="minorEastAsia" w:hAnsiTheme="minorEastAsia" w:eastAsiaTheme="minorEastAsia" w:cstheme="minorEastAsia"/>
                <w:spacing w:val="-3"/>
                <w:sz w:val="24"/>
                <w:szCs w:val="24"/>
                <w:highlight w:val="none"/>
              </w:rPr>
              <w:t>总功率：</w:t>
            </w:r>
            <w:r>
              <w:rPr>
                <w:rFonts w:hint="eastAsia" w:asciiTheme="minorEastAsia" w:hAnsiTheme="minorEastAsia" w:eastAsiaTheme="minorEastAsia" w:cstheme="minorEastAsia"/>
                <w:spacing w:val="-3"/>
                <w:sz w:val="24"/>
                <w:szCs w:val="24"/>
                <w:highlight w:val="none"/>
                <w:lang w:val="en-US" w:eastAsia="zh-CN"/>
              </w:rPr>
              <w:t>0.37</w:t>
            </w:r>
            <w:r>
              <w:rPr>
                <w:rFonts w:hint="eastAsia" w:asciiTheme="minorEastAsia" w:hAnsiTheme="minorEastAsia" w:eastAsiaTheme="minorEastAsia" w:cstheme="minorEastAsia"/>
                <w:spacing w:val="-3"/>
                <w:sz w:val="24"/>
                <w:szCs w:val="24"/>
                <w:highlight w:val="none"/>
              </w:rPr>
              <w:t>KW</w:t>
            </w:r>
            <w:r>
              <w:rPr>
                <w:rFonts w:hint="eastAsia" w:asciiTheme="minorEastAsia" w:hAnsiTheme="minorEastAsia" w:eastAsiaTheme="minorEastAsia" w:cstheme="minorEastAsia"/>
                <w:spacing w:val="-3"/>
                <w:sz w:val="24"/>
                <w:szCs w:val="24"/>
                <w:highlight w:val="none"/>
                <w:lang w:val="en-US" w:eastAsia="zh-CN"/>
              </w:rPr>
              <w:t>/380v</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z w:val="24"/>
                <w:szCs w:val="24"/>
                <w:highlight w:val="none"/>
                <w:lang w:eastAsia="zh-CN"/>
              </w:rPr>
              <w:t>；</w:t>
            </w:r>
          </w:p>
          <w:p w14:paraId="06BD3C0D">
            <w:pPr>
              <w:pStyle w:val="36"/>
              <w:spacing w:before="28" w:line="223" w:lineRule="auto"/>
              <w:rPr>
                <w:rFonts w:hint="eastAsia"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6.</w:t>
            </w:r>
            <w:r>
              <w:rPr>
                <w:rFonts w:hint="eastAsia" w:asciiTheme="minorEastAsia" w:hAnsiTheme="minorEastAsia" w:eastAsiaTheme="minorEastAsia" w:cstheme="minorEastAsia"/>
                <w:spacing w:val="-1"/>
                <w:sz w:val="24"/>
                <w:szCs w:val="24"/>
                <w:highlight w:val="none"/>
              </w:rPr>
              <w:t>外形尺寸：</w:t>
            </w:r>
            <w:r>
              <w:rPr>
                <w:rFonts w:hint="eastAsia" w:asciiTheme="minorEastAsia" w:hAnsiTheme="minorEastAsia" w:eastAsiaTheme="minorEastAsia" w:cstheme="minorEastAsia"/>
                <w:spacing w:val="-1"/>
                <w:sz w:val="24"/>
                <w:szCs w:val="24"/>
                <w:highlight w:val="none"/>
                <w:lang w:val="en-US" w:eastAsia="zh-CN"/>
              </w:rPr>
              <w:t>5000*600*1100mm；</w:t>
            </w:r>
          </w:p>
          <w:p w14:paraId="7FC4190D">
            <w:pPr>
              <w:pStyle w:val="36"/>
              <w:spacing w:before="28" w:line="223" w:lineRule="auto"/>
              <w:rPr>
                <w:rFonts w:hint="eastAsia"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7.设备材质：304不锈钢；</w:t>
            </w:r>
          </w:p>
          <w:p w14:paraId="3B470642">
            <w:pPr>
              <w:pStyle w:val="36"/>
              <w:spacing w:before="28" w:line="223" w:lineRule="auto"/>
              <w:rPr>
                <w:rFonts w:hint="eastAsia"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8.电机：国标；</w:t>
            </w:r>
          </w:p>
          <w:p w14:paraId="72F4F9DE">
            <w:pPr>
              <w:pStyle w:val="36"/>
              <w:spacing w:before="28" w:line="223" w:lineRule="auto"/>
              <w:rPr>
                <w:rFonts w:hint="eastAsia"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9.架体方管：40*60mm；</w:t>
            </w:r>
          </w:p>
          <w:p w14:paraId="29973F7C">
            <w:pPr>
              <w:pStyle w:val="36"/>
              <w:spacing w:before="28" w:line="223" w:lineRule="auto"/>
              <w:rPr>
                <w:rFonts w:hint="eastAsia"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10.设备板材厚度：2-4mm；</w:t>
            </w:r>
          </w:p>
        </w:tc>
      </w:tr>
      <w:tr w14:paraId="168952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2830" w:hRule="atLeast"/>
        </w:trPr>
        <w:tc>
          <w:tcPr>
            <w:tcW w:w="542" w:type="dxa"/>
            <w:vAlign w:val="center"/>
          </w:tcPr>
          <w:p w14:paraId="42244090">
            <w:pPr>
              <w:jc w:val="center"/>
              <w:rPr>
                <w:rFonts w:hint="default"/>
                <w:sz w:val="22"/>
                <w:szCs w:val="22"/>
                <w:highlight w:val="none"/>
                <w:lang w:val="en-US" w:eastAsia="zh-CN"/>
              </w:rPr>
            </w:pPr>
            <w:r>
              <w:rPr>
                <w:rFonts w:hint="eastAsia"/>
                <w:sz w:val="22"/>
                <w:szCs w:val="22"/>
                <w:highlight w:val="none"/>
                <w:lang w:val="en-US" w:eastAsia="zh-CN"/>
              </w:rPr>
              <w:t>3</w:t>
            </w:r>
          </w:p>
        </w:tc>
        <w:tc>
          <w:tcPr>
            <w:tcW w:w="2226" w:type="dxa"/>
            <w:vAlign w:val="center"/>
          </w:tcPr>
          <w:p w14:paraId="030B8F2B">
            <w:pPr>
              <w:jc w:val="center"/>
              <w:rPr>
                <w:rFonts w:hint="eastAsia"/>
                <w:szCs w:val="21"/>
                <w:highlight w:val="none"/>
                <w:lang w:val="en-US" w:eastAsia="zh-CN"/>
              </w:rPr>
            </w:pPr>
            <w:r>
              <w:rPr>
                <w:rFonts w:hint="eastAsia"/>
                <w:szCs w:val="21"/>
                <w:highlight w:val="none"/>
                <w:lang w:val="en-US" w:eastAsia="zh-CN"/>
              </w:rPr>
              <w:t>搭接</w:t>
            </w:r>
            <w:r>
              <w:rPr>
                <w:rFonts w:hint="eastAsia"/>
                <w:szCs w:val="21"/>
                <w:highlight w:val="none"/>
              </w:rPr>
              <w:t>输送机</w:t>
            </w:r>
          </w:p>
        </w:tc>
        <w:tc>
          <w:tcPr>
            <w:tcW w:w="2075" w:type="dxa"/>
            <w:vAlign w:val="center"/>
          </w:tcPr>
          <w:p w14:paraId="70460389">
            <w:pPr>
              <w:jc w:val="center"/>
              <w:rPr>
                <w:rFonts w:hint="eastAsia"/>
                <w:szCs w:val="21"/>
                <w:highlight w:val="none"/>
                <w:lang w:val="en-US" w:eastAsia="zh-CN"/>
              </w:rPr>
            </w:pPr>
            <w:r>
              <w:rPr>
                <w:rFonts w:hint="eastAsia"/>
                <w:szCs w:val="21"/>
                <w:highlight w:val="none"/>
                <w:lang w:val="en-US" w:eastAsia="zh-CN"/>
              </w:rPr>
              <w:t>1台</w:t>
            </w:r>
          </w:p>
        </w:tc>
        <w:tc>
          <w:tcPr>
            <w:tcW w:w="9548" w:type="dxa"/>
            <w:vAlign w:val="center"/>
          </w:tcPr>
          <w:p w14:paraId="0319D146">
            <w:pPr>
              <w:pStyle w:val="36"/>
              <w:spacing w:before="42" w:line="220"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3"/>
                <w:sz w:val="24"/>
                <w:szCs w:val="24"/>
                <w:highlight w:val="none"/>
              </w:rPr>
              <w:t>1</w:t>
            </w:r>
            <w:r>
              <w:rPr>
                <w:rFonts w:hint="eastAsia" w:asciiTheme="minorEastAsia" w:hAnsiTheme="minorEastAsia" w:eastAsiaTheme="minorEastAsia" w:cstheme="minorEastAsia"/>
                <w:spacing w:val="-3"/>
                <w:sz w:val="24"/>
                <w:szCs w:val="24"/>
                <w:highlight w:val="none"/>
                <w:lang w:val="en-US" w:eastAsia="zh-CN"/>
              </w:rPr>
              <w:t>.</w:t>
            </w:r>
            <w:r>
              <w:rPr>
                <w:rFonts w:hint="eastAsia" w:asciiTheme="minorEastAsia" w:hAnsiTheme="minorEastAsia" w:eastAsiaTheme="minorEastAsia" w:cstheme="minorEastAsia"/>
                <w:spacing w:val="-3"/>
                <w:sz w:val="24"/>
                <w:szCs w:val="24"/>
                <w:highlight w:val="none"/>
              </w:rPr>
              <w:t>皮带有效宽度为</w:t>
            </w:r>
            <w:r>
              <w:rPr>
                <w:rFonts w:hint="eastAsia" w:asciiTheme="minorEastAsia" w:hAnsiTheme="minorEastAsia" w:eastAsiaTheme="minorEastAsia" w:cstheme="minorEastAsia"/>
                <w:spacing w:val="-3"/>
                <w:sz w:val="24"/>
                <w:szCs w:val="24"/>
                <w:highlight w:val="none"/>
                <w:lang w:eastAsia="zh-CN"/>
              </w:rPr>
              <w:t>：</w:t>
            </w:r>
            <w:r>
              <w:rPr>
                <w:rFonts w:hint="eastAsia" w:asciiTheme="minorEastAsia" w:hAnsiTheme="minorEastAsia" w:eastAsiaTheme="minorEastAsia" w:cstheme="minorEastAsia"/>
                <w:spacing w:val="-3"/>
                <w:sz w:val="24"/>
                <w:szCs w:val="24"/>
                <w:highlight w:val="none"/>
                <w:lang w:val="en-US" w:eastAsia="zh-CN"/>
              </w:rPr>
              <w:t>6</w:t>
            </w:r>
            <w:r>
              <w:rPr>
                <w:rFonts w:hint="eastAsia" w:asciiTheme="minorEastAsia" w:hAnsiTheme="minorEastAsia" w:eastAsiaTheme="minorEastAsia" w:cstheme="minorEastAsia"/>
                <w:spacing w:val="-3"/>
                <w:sz w:val="24"/>
                <w:szCs w:val="24"/>
                <w:highlight w:val="none"/>
              </w:rPr>
              <w:t>00</w:t>
            </w:r>
            <w:r>
              <w:rPr>
                <w:rFonts w:hint="eastAsia" w:asciiTheme="minorEastAsia" w:hAnsiTheme="minorEastAsia" w:eastAsiaTheme="minorEastAsia" w:cstheme="minorEastAsia"/>
                <w:spacing w:val="-3"/>
                <w:sz w:val="24"/>
                <w:szCs w:val="24"/>
                <w:highlight w:val="none"/>
                <w:lang w:val="en-US" w:eastAsia="zh-CN"/>
              </w:rPr>
              <w:t>mm；</w:t>
            </w:r>
          </w:p>
          <w:p w14:paraId="15D67B55">
            <w:pPr>
              <w:pStyle w:val="36"/>
              <w:spacing w:before="28" w:line="220" w:lineRule="auto"/>
              <w:rPr>
                <w:rFonts w:hint="eastAsia" w:asciiTheme="minorEastAsia" w:hAnsiTheme="minorEastAsia" w:eastAsiaTheme="minorEastAsia" w:cstheme="minorEastAsia"/>
                <w:spacing w:val="-1"/>
                <w:sz w:val="24"/>
                <w:szCs w:val="24"/>
                <w:highlight w:val="none"/>
                <w:lang w:eastAsia="zh-CN"/>
              </w:rPr>
            </w:pPr>
            <w:r>
              <w:rPr>
                <w:rFonts w:hint="eastAsia" w:asciiTheme="minorEastAsia" w:hAnsiTheme="minorEastAsia" w:eastAsiaTheme="minorEastAsia" w:cstheme="minorEastAsia"/>
                <w:spacing w:val="-1"/>
                <w:sz w:val="24"/>
                <w:szCs w:val="24"/>
                <w:highlight w:val="none"/>
              </w:rPr>
              <w:t>2</w:t>
            </w:r>
            <w:r>
              <w:rPr>
                <w:rFonts w:hint="eastAsia" w:asciiTheme="minorEastAsia" w:hAnsiTheme="minorEastAsia" w:eastAsiaTheme="minorEastAsia" w:cstheme="minorEastAsia"/>
                <w:spacing w:val="-1"/>
                <w:sz w:val="24"/>
                <w:szCs w:val="24"/>
                <w:highlight w:val="none"/>
                <w:lang w:val="en-US" w:eastAsia="zh-CN"/>
              </w:rPr>
              <w:t>.</w:t>
            </w:r>
            <w:r>
              <w:rPr>
                <w:rFonts w:hint="eastAsia" w:asciiTheme="minorEastAsia" w:hAnsiTheme="minorEastAsia" w:eastAsiaTheme="minorEastAsia" w:cstheme="minorEastAsia"/>
                <w:spacing w:val="-1"/>
                <w:sz w:val="24"/>
                <w:szCs w:val="24"/>
                <w:highlight w:val="none"/>
              </w:rPr>
              <w:t>皮带厚度：</w:t>
            </w:r>
            <w:r>
              <w:rPr>
                <w:rFonts w:hint="eastAsia" w:asciiTheme="minorEastAsia" w:hAnsiTheme="minorEastAsia" w:eastAsiaTheme="minorEastAsia" w:cstheme="minorEastAsia"/>
                <w:spacing w:val="-1"/>
                <w:sz w:val="24"/>
                <w:szCs w:val="24"/>
                <w:highlight w:val="none"/>
                <w:lang w:val="en-US" w:eastAsia="zh-CN"/>
              </w:rPr>
              <w:t>3-4</w:t>
            </w:r>
            <w:r>
              <w:rPr>
                <w:rFonts w:hint="eastAsia" w:asciiTheme="minorEastAsia" w:hAnsiTheme="minorEastAsia" w:eastAsiaTheme="minorEastAsia" w:cstheme="minorEastAsia"/>
                <w:spacing w:val="-1"/>
                <w:sz w:val="24"/>
                <w:szCs w:val="24"/>
                <w:highlight w:val="none"/>
              </w:rPr>
              <w:t xml:space="preserve">mm  </w:t>
            </w:r>
            <w:r>
              <w:rPr>
                <w:rFonts w:hint="eastAsia" w:asciiTheme="minorEastAsia" w:hAnsiTheme="minorEastAsia" w:eastAsiaTheme="minorEastAsia" w:cstheme="minorEastAsia"/>
                <w:spacing w:val="-1"/>
                <w:sz w:val="24"/>
                <w:szCs w:val="24"/>
                <w:highlight w:val="none"/>
                <w:lang w:eastAsia="zh-CN"/>
              </w:rPr>
              <w:t>；</w:t>
            </w:r>
          </w:p>
          <w:p w14:paraId="5A69BE69">
            <w:pPr>
              <w:pStyle w:val="36"/>
              <w:spacing w:before="28" w:line="220"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3.皮带材质</w:t>
            </w:r>
            <w:r>
              <w:rPr>
                <w:rFonts w:hint="eastAsia" w:asciiTheme="minorEastAsia" w:hAnsiTheme="minorEastAsia" w:eastAsiaTheme="minorEastAsia" w:cstheme="minorEastAsia"/>
                <w:spacing w:val="-1"/>
                <w:sz w:val="24"/>
                <w:szCs w:val="24"/>
                <w:highlight w:val="none"/>
                <w:lang w:eastAsia="zh-CN"/>
              </w:rPr>
              <w:t>：</w:t>
            </w:r>
            <w:r>
              <w:rPr>
                <w:rFonts w:hint="eastAsia" w:asciiTheme="minorEastAsia" w:hAnsiTheme="minorEastAsia" w:eastAsiaTheme="minorEastAsia" w:cstheme="minorEastAsia"/>
                <w:spacing w:val="-1"/>
                <w:sz w:val="24"/>
                <w:szCs w:val="24"/>
                <w:highlight w:val="none"/>
                <w:lang w:val="en-US" w:eastAsia="zh-CN"/>
              </w:rPr>
              <w:t>食品级PVC带；</w:t>
            </w:r>
          </w:p>
          <w:p w14:paraId="1EA1DD93">
            <w:pPr>
              <w:pStyle w:val="36"/>
              <w:spacing w:before="28" w:line="223" w:lineRule="auto"/>
              <w:rPr>
                <w:rFonts w:hint="eastAsia" w:asciiTheme="minorEastAsia" w:hAnsiTheme="minorEastAsia" w:eastAsiaTheme="minorEastAsia" w:cstheme="minorEastAsia"/>
                <w:spacing w:val="14"/>
                <w:sz w:val="24"/>
                <w:szCs w:val="24"/>
                <w:highlight w:val="none"/>
                <w:lang w:eastAsia="zh-CN"/>
              </w:rPr>
            </w:pPr>
            <w:r>
              <w:rPr>
                <w:rFonts w:hint="eastAsia" w:asciiTheme="minorEastAsia" w:hAnsiTheme="minorEastAsia" w:eastAsiaTheme="minorEastAsia" w:cstheme="minorEastAsia"/>
                <w:spacing w:val="-6"/>
                <w:sz w:val="24"/>
                <w:szCs w:val="24"/>
                <w:highlight w:val="none"/>
                <w:lang w:val="en-US" w:eastAsia="zh-CN"/>
              </w:rPr>
              <w:t>4.</w:t>
            </w:r>
            <w:r>
              <w:rPr>
                <w:rFonts w:hint="eastAsia" w:asciiTheme="minorEastAsia" w:hAnsiTheme="minorEastAsia" w:eastAsiaTheme="minorEastAsia" w:cstheme="minorEastAsia"/>
                <w:spacing w:val="-2"/>
                <w:sz w:val="24"/>
                <w:szCs w:val="24"/>
                <w:highlight w:val="none"/>
              </w:rPr>
              <w:t>运行速度：</w:t>
            </w:r>
            <w:r>
              <w:rPr>
                <w:rFonts w:hint="eastAsia" w:asciiTheme="minorEastAsia" w:hAnsiTheme="minorEastAsia" w:eastAsiaTheme="minorEastAsia" w:cstheme="minorEastAsia"/>
                <w:spacing w:val="-2"/>
                <w:sz w:val="24"/>
                <w:szCs w:val="24"/>
                <w:highlight w:val="none"/>
                <w:lang w:val="en-US" w:eastAsia="zh-CN"/>
              </w:rPr>
              <w:t>无极</w:t>
            </w:r>
            <w:r>
              <w:rPr>
                <w:rFonts w:hint="eastAsia" w:asciiTheme="minorEastAsia" w:hAnsiTheme="minorEastAsia" w:eastAsiaTheme="minorEastAsia" w:cstheme="minorEastAsia"/>
                <w:spacing w:val="-2"/>
                <w:sz w:val="24"/>
                <w:szCs w:val="24"/>
                <w:highlight w:val="none"/>
              </w:rPr>
              <w:t>可调</w:t>
            </w:r>
            <w:r>
              <w:rPr>
                <w:rFonts w:hint="eastAsia" w:asciiTheme="minorEastAsia" w:hAnsiTheme="minorEastAsia" w:eastAsiaTheme="minorEastAsia" w:cstheme="minorEastAsia"/>
                <w:spacing w:val="14"/>
                <w:sz w:val="24"/>
                <w:szCs w:val="24"/>
                <w:highlight w:val="none"/>
              </w:rPr>
              <w:t xml:space="preserve"> </w:t>
            </w:r>
            <w:r>
              <w:rPr>
                <w:rFonts w:hint="eastAsia" w:asciiTheme="minorEastAsia" w:hAnsiTheme="minorEastAsia" w:eastAsiaTheme="minorEastAsia" w:cstheme="minorEastAsia"/>
                <w:spacing w:val="14"/>
                <w:sz w:val="24"/>
                <w:szCs w:val="24"/>
                <w:highlight w:val="none"/>
                <w:lang w:eastAsia="zh-CN"/>
              </w:rPr>
              <w:t>；</w:t>
            </w:r>
          </w:p>
          <w:p w14:paraId="3F93F8F1">
            <w:pPr>
              <w:pStyle w:val="36"/>
              <w:spacing w:before="28" w:line="223" w:lineRule="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3"/>
                <w:sz w:val="24"/>
                <w:szCs w:val="24"/>
                <w:highlight w:val="none"/>
                <w:lang w:val="en-US" w:eastAsia="zh-CN"/>
              </w:rPr>
              <w:t>5.</w:t>
            </w:r>
            <w:r>
              <w:rPr>
                <w:rFonts w:hint="eastAsia" w:asciiTheme="minorEastAsia" w:hAnsiTheme="minorEastAsia" w:eastAsiaTheme="minorEastAsia" w:cstheme="minorEastAsia"/>
                <w:spacing w:val="-3"/>
                <w:sz w:val="24"/>
                <w:szCs w:val="24"/>
                <w:highlight w:val="none"/>
              </w:rPr>
              <w:t>总功率：</w:t>
            </w:r>
            <w:r>
              <w:rPr>
                <w:rFonts w:hint="eastAsia" w:asciiTheme="minorEastAsia" w:hAnsiTheme="minorEastAsia" w:eastAsiaTheme="minorEastAsia" w:cstheme="minorEastAsia"/>
                <w:spacing w:val="-3"/>
                <w:sz w:val="24"/>
                <w:szCs w:val="24"/>
                <w:highlight w:val="none"/>
                <w:lang w:val="en-US" w:eastAsia="zh-CN"/>
              </w:rPr>
              <w:t>0.37</w:t>
            </w:r>
            <w:r>
              <w:rPr>
                <w:rFonts w:hint="eastAsia" w:asciiTheme="minorEastAsia" w:hAnsiTheme="minorEastAsia" w:eastAsiaTheme="minorEastAsia" w:cstheme="minorEastAsia"/>
                <w:spacing w:val="-3"/>
                <w:sz w:val="24"/>
                <w:szCs w:val="24"/>
                <w:highlight w:val="none"/>
              </w:rPr>
              <w:t>KW</w:t>
            </w:r>
            <w:r>
              <w:rPr>
                <w:rFonts w:hint="eastAsia" w:asciiTheme="minorEastAsia" w:hAnsiTheme="minorEastAsia" w:eastAsiaTheme="minorEastAsia" w:cstheme="minorEastAsia"/>
                <w:spacing w:val="-3"/>
                <w:sz w:val="24"/>
                <w:szCs w:val="24"/>
                <w:highlight w:val="none"/>
                <w:lang w:val="en-US" w:eastAsia="zh-CN"/>
              </w:rPr>
              <w:t>/380v</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z w:val="24"/>
                <w:szCs w:val="24"/>
                <w:highlight w:val="none"/>
                <w:lang w:eastAsia="zh-CN"/>
              </w:rPr>
              <w:t>；</w:t>
            </w:r>
          </w:p>
          <w:p w14:paraId="7CCDDF68">
            <w:pPr>
              <w:pStyle w:val="36"/>
              <w:spacing w:before="28" w:line="223" w:lineRule="auto"/>
              <w:rPr>
                <w:rFonts w:hint="eastAsia"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6.</w:t>
            </w:r>
            <w:r>
              <w:rPr>
                <w:rFonts w:hint="eastAsia" w:asciiTheme="minorEastAsia" w:hAnsiTheme="minorEastAsia" w:eastAsiaTheme="minorEastAsia" w:cstheme="minorEastAsia"/>
                <w:spacing w:val="-1"/>
                <w:sz w:val="24"/>
                <w:szCs w:val="24"/>
                <w:highlight w:val="none"/>
              </w:rPr>
              <w:t>外形尺寸：</w:t>
            </w:r>
            <w:r>
              <w:rPr>
                <w:rFonts w:hint="eastAsia" w:asciiTheme="minorEastAsia" w:hAnsiTheme="minorEastAsia" w:eastAsiaTheme="minorEastAsia" w:cstheme="minorEastAsia"/>
                <w:spacing w:val="-1"/>
                <w:sz w:val="24"/>
                <w:szCs w:val="24"/>
                <w:highlight w:val="none"/>
                <w:lang w:val="en-US" w:eastAsia="zh-CN"/>
              </w:rPr>
              <w:t>5000*600*1300mm；</w:t>
            </w:r>
          </w:p>
          <w:p w14:paraId="38B3C960">
            <w:pPr>
              <w:pStyle w:val="36"/>
              <w:spacing w:before="28" w:line="223" w:lineRule="auto"/>
              <w:rPr>
                <w:rFonts w:hint="eastAsia"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7.设备材质：304不锈钢；</w:t>
            </w:r>
          </w:p>
          <w:p w14:paraId="2299AE51">
            <w:pPr>
              <w:pStyle w:val="36"/>
              <w:spacing w:before="28" w:line="223" w:lineRule="auto"/>
              <w:rPr>
                <w:rFonts w:hint="eastAsia"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8.架体方管：40*60mm；</w:t>
            </w:r>
          </w:p>
          <w:p w14:paraId="4A20A022">
            <w:pPr>
              <w:pStyle w:val="36"/>
              <w:spacing w:before="28" w:line="223" w:lineRule="auto"/>
              <w:rPr>
                <w:rFonts w:hint="eastAsia"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9.设备板材厚度：2-4mm；</w:t>
            </w:r>
          </w:p>
        </w:tc>
      </w:tr>
      <w:tr w14:paraId="29E1FD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90" w:hRule="atLeast"/>
        </w:trPr>
        <w:tc>
          <w:tcPr>
            <w:tcW w:w="542" w:type="dxa"/>
            <w:vAlign w:val="center"/>
          </w:tcPr>
          <w:p w14:paraId="59836656">
            <w:pPr>
              <w:jc w:val="center"/>
              <w:rPr>
                <w:rFonts w:hint="default"/>
                <w:sz w:val="22"/>
                <w:szCs w:val="22"/>
                <w:highlight w:val="none"/>
                <w:lang w:val="en-US" w:eastAsia="zh-CN"/>
              </w:rPr>
            </w:pPr>
            <w:r>
              <w:rPr>
                <w:rFonts w:hint="eastAsia"/>
                <w:sz w:val="22"/>
                <w:szCs w:val="22"/>
                <w:highlight w:val="none"/>
                <w:lang w:val="en-US" w:eastAsia="zh-CN"/>
              </w:rPr>
              <w:t>4</w:t>
            </w:r>
          </w:p>
        </w:tc>
        <w:tc>
          <w:tcPr>
            <w:tcW w:w="2226" w:type="dxa"/>
            <w:vAlign w:val="center"/>
          </w:tcPr>
          <w:p w14:paraId="43CEC454">
            <w:pPr>
              <w:jc w:val="center"/>
              <w:rPr>
                <w:rFonts w:hint="eastAsia"/>
                <w:szCs w:val="21"/>
                <w:highlight w:val="none"/>
              </w:rPr>
            </w:pPr>
            <w:r>
              <w:rPr>
                <w:rFonts w:hint="eastAsia"/>
                <w:szCs w:val="21"/>
                <w:highlight w:val="none"/>
                <w:lang w:val="en-US" w:eastAsia="zh-CN"/>
              </w:rPr>
              <w:t>玉米切头去尾</w:t>
            </w:r>
            <w:r>
              <w:rPr>
                <w:rFonts w:hint="eastAsia"/>
                <w:szCs w:val="21"/>
                <w:highlight w:val="none"/>
              </w:rPr>
              <w:t>机</w:t>
            </w:r>
          </w:p>
        </w:tc>
        <w:tc>
          <w:tcPr>
            <w:tcW w:w="2075" w:type="dxa"/>
            <w:vAlign w:val="center"/>
          </w:tcPr>
          <w:p w14:paraId="39CF21D1">
            <w:pPr>
              <w:jc w:val="center"/>
              <w:rPr>
                <w:rFonts w:hint="eastAsia"/>
                <w:szCs w:val="21"/>
                <w:highlight w:val="none"/>
                <w:lang w:val="en-US" w:eastAsia="zh-CN"/>
              </w:rPr>
            </w:pPr>
            <w:r>
              <w:rPr>
                <w:rFonts w:hint="eastAsia"/>
                <w:szCs w:val="21"/>
                <w:highlight w:val="none"/>
                <w:lang w:val="en-US" w:eastAsia="zh-CN"/>
              </w:rPr>
              <w:t>1台</w:t>
            </w:r>
          </w:p>
        </w:tc>
        <w:tc>
          <w:tcPr>
            <w:tcW w:w="9548" w:type="dxa"/>
            <w:vAlign w:val="center"/>
          </w:tcPr>
          <w:p w14:paraId="3F8A6A22">
            <w:pPr>
              <w:pStyle w:val="19"/>
              <w:spacing w:before="0" w:beforeAutospacing="0" w:after="0" w:afterAutospacing="0"/>
              <w:rPr>
                <w:rFonts w:hint="eastAsia" w:asciiTheme="minorEastAsia" w:hAnsiTheme="minorEastAsia" w:eastAsiaTheme="minorEastAsia" w:cstheme="minorEastAsia"/>
                <w:b w:val="0"/>
                <w:bCs w:val="0"/>
                <w:color w:val="000000" w:themeColor="text1"/>
                <w:sz w:val="24"/>
                <w:szCs w:val="24"/>
                <w:highlight w:val="none"/>
                <w:shd w:val="clear" w:color="auto" w:fill="FFFFFF"/>
                <w14:textFill>
                  <w14:solidFill>
                    <w14:schemeClr w14:val="tx1"/>
                  </w14:solidFill>
                </w14:textFill>
              </w:rPr>
            </w:pPr>
            <w:r>
              <w:rPr>
                <w:rStyle w:val="23"/>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1.</w:t>
            </w:r>
            <w:r>
              <w:rPr>
                <w:rStyle w:val="23"/>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整机</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采用304优质不锈钢材质制成，切割长度可以根据要求调节，采用齿轮传动和皮带传动相结合的方法，并且所有传动部分全部安装优质滚动轴承</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切割的长度可以根据要求调节长短，采用优质锰钢成型圆刀，切割准确，切面整齐，设备</w:t>
            </w:r>
            <w:r>
              <w:rPr>
                <w:rFonts w:hint="eastAsia" w:asciiTheme="minorEastAsia" w:hAnsiTheme="minorEastAsia" w:eastAsiaTheme="minorEastAsia" w:cstheme="minorEastAsia"/>
                <w:b w:val="0"/>
                <w:bCs w:val="0"/>
                <w:color w:val="000000" w:themeColor="text1"/>
                <w:sz w:val="24"/>
                <w:szCs w:val="24"/>
                <w:highlight w:val="none"/>
                <w:shd w:val="clear" w:color="auto" w:fill="FFFFFF"/>
                <w14:textFill>
                  <w14:solidFill>
                    <w14:schemeClr w14:val="tx1"/>
                  </w14:solidFill>
                </w14:textFill>
              </w:rPr>
              <w:t>切割出来的玉米棒成品和废料设备自行分槽输出。</w:t>
            </w:r>
          </w:p>
          <w:p w14:paraId="1D23F610">
            <w:pPr>
              <w:pStyle w:val="19"/>
              <w:numPr>
                <w:ilvl w:val="0"/>
                <w:numId w:val="0"/>
              </w:numPr>
              <w:spacing w:before="0" w:beforeAutospacing="0" w:after="0" w:afterAutospacing="0"/>
              <w:rPr>
                <w:rFonts w:hint="eastAsia" w:asciiTheme="minorEastAsia" w:hAnsiTheme="minorEastAsia" w:eastAsiaTheme="minorEastAsia" w:cstheme="minorEastAsia"/>
                <w:b w:val="0"/>
                <w:bCs w:val="0"/>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shd w:val="clear" w:color="auto" w:fill="FFFFFF"/>
                <w:lang w:val="en-US" w:eastAsia="zh-CN"/>
                <w14:textFill>
                  <w14:solidFill>
                    <w14:schemeClr w14:val="tx1"/>
                  </w14:solidFill>
                </w14:textFill>
              </w:rPr>
              <w:t>2.板材</w:t>
            </w:r>
            <w:r>
              <w:rPr>
                <w:rFonts w:hint="eastAsia" w:asciiTheme="minorEastAsia" w:hAnsiTheme="minorEastAsia" w:eastAsiaTheme="minorEastAsia" w:cstheme="minorEastAsia"/>
                <w:b w:val="0"/>
                <w:bCs w:val="0"/>
                <w:color w:val="000000" w:themeColor="text1"/>
                <w:sz w:val="24"/>
                <w:szCs w:val="24"/>
                <w:highlight w:val="none"/>
                <w:shd w:val="clear" w:color="auto" w:fill="FFFFFF"/>
                <w14:textFill>
                  <w14:solidFill>
                    <w14:schemeClr w14:val="tx1"/>
                  </w14:solidFill>
                </w14:textFill>
              </w:rPr>
              <w:t>采用</w:t>
            </w:r>
            <w:r>
              <w:rPr>
                <w:rFonts w:hint="eastAsia" w:asciiTheme="minorEastAsia" w:hAnsiTheme="minorEastAsia" w:eastAsiaTheme="minorEastAsia" w:cstheme="minorEastAsia"/>
                <w:b w:val="0"/>
                <w:bCs w:val="0"/>
                <w:color w:val="000000" w:themeColor="text1"/>
                <w:sz w:val="24"/>
                <w:szCs w:val="24"/>
                <w:highlight w:val="none"/>
                <w:shd w:val="clear" w:color="auto" w:fill="FFFFFF"/>
                <w:lang w:val="en-US" w:eastAsia="zh-CN"/>
                <w14:textFill>
                  <w14:solidFill>
                    <w14:schemeClr w14:val="tx1"/>
                  </w14:solidFill>
                </w14:textFill>
              </w:rPr>
              <w:t>1-4</w:t>
            </w:r>
            <w:r>
              <w:rPr>
                <w:rFonts w:hint="eastAsia" w:asciiTheme="minorEastAsia" w:hAnsiTheme="minorEastAsia" w:eastAsiaTheme="minorEastAsia" w:cstheme="minorEastAsia"/>
                <w:b w:val="0"/>
                <w:bCs w:val="0"/>
                <w:color w:val="000000" w:themeColor="text1"/>
                <w:sz w:val="24"/>
                <w:szCs w:val="24"/>
                <w:highlight w:val="none"/>
                <w:shd w:val="clear" w:color="auto" w:fill="FFFFFF"/>
                <w14:textFill>
                  <w14:solidFill>
                    <w14:schemeClr w14:val="tx1"/>
                  </w14:solidFill>
                </w14:textFill>
              </w:rPr>
              <w:t>mm不锈钢</w:t>
            </w:r>
            <w:r>
              <w:rPr>
                <w:rFonts w:hint="eastAsia" w:asciiTheme="minorEastAsia" w:hAnsiTheme="minorEastAsia" w:eastAsiaTheme="minorEastAsia" w:cstheme="minorEastAsia"/>
                <w:b w:val="0"/>
                <w:bCs w:val="0"/>
                <w:color w:val="000000" w:themeColor="text1"/>
                <w:sz w:val="24"/>
                <w:szCs w:val="24"/>
                <w:highlight w:val="none"/>
                <w:shd w:val="clear" w:color="auto" w:fill="FFFFFF"/>
                <w:lang w:val="en-US" w:eastAsia="zh-CN"/>
                <w14:textFill>
                  <w14:solidFill>
                    <w14:schemeClr w14:val="tx1"/>
                  </w14:solidFill>
                </w14:textFill>
              </w:rPr>
              <w:t>管</w:t>
            </w:r>
            <w:r>
              <w:rPr>
                <w:rFonts w:hint="eastAsia" w:asciiTheme="minorEastAsia" w:hAnsiTheme="minorEastAsia" w:eastAsiaTheme="minorEastAsia" w:cstheme="minorEastAsia"/>
                <w:b w:val="0"/>
                <w:bCs w:val="0"/>
                <w:color w:val="000000" w:themeColor="text1"/>
                <w:sz w:val="24"/>
                <w:szCs w:val="24"/>
                <w:highlight w:val="none"/>
                <w:shd w:val="clear" w:color="auto" w:fill="FFFFFF"/>
                <w:lang w:eastAsia="zh-CN"/>
                <w14:textFill>
                  <w14:solidFill>
                    <w14:schemeClr w14:val="tx1"/>
                  </w14:solidFill>
                </w14:textFill>
              </w:rPr>
              <w:t>；</w:t>
            </w:r>
          </w:p>
          <w:p w14:paraId="68D8AC1B">
            <w:pPr>
              <w:pStyle w:val="19"/>
              <w:numPr>
                <w:ilvl w:val="0"/>
                <w:numId w:val="0"/>
              </w:numPr>
              <w:spacing w:before="0" w:beforeAutospacing="0" w:after="0" w:afterAutospacing="0"/>
              <w:rPr>
                <w:rFonts w:hint="eastAsia" w:asciiTheme="minorEastAsia" w:hAnsiTheme="minorEastAsia" w:eastAsiaTheme="minorEastAsia" w:cstheme="minorEastAsia"/>
                <w:b w:val="0"/>
                <w:bCs w:val="0"/>
                <w:color w:val="000000" w:themeColor="text1"/>
                <w:sz w:val="24"/>
                <w:szCs w:val="24"/>
                <w:highlight w:val="none"/>
                <w:shd w:val="clear" w:color="auto" w:fill="FFFFFF"/>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shd w:val="clear" w:color="auto" w:fill="FFFFFF"/>
                <w:lang w:val="en-US" w:eastAsia="zh-CN"/>
                <w14:textFill>
                  <w14:solidFill>
                    <w14:schemeClr w14:val="tx1"/>
                  </w14:solidFill>
                </w14:textFill>
              </w:rPr>
              <w:t>3.</w:t>
            </w:r>
            <w:r>
              <w:rPr>
                <w:rFonts w:hint="eastAsia" w:asciiTheme="minorEastAsia" w:hAnsiTheme="minorEastAsia" w:eastAsiaTheme="minorEastAsia" w:cstheme="minorEastAsia"/>
                <w:b w:val="0"/>
                <w:bCs w:val="0"/>
                <w:color w:val="000000" w:themeColor="text1"/>
                <w:sz w:val="24"/>
                <w:szCs w:val="24"/>
                <w:highlight w:val="none"/>
                <w:shd w:val="clear" w:color="auto" w:fill="FFFFFF"/>
                <w14:textFill>
                  <w14:solidFill>
                    <w14:schemeClr w14:val="tx1"/>
                  </w14:solidFill>
                </w14:textFill>
              </w:rPr>
              <w:t>切头电机</w:t>
            </w:r>
            <w:r>
              <w:rPr>
                <w:rFonts w:hint="eastAsia" w:asciiTheme="minorEastAsia" w:hAnsiTheme="minorEastAsia" w:eastAsiaTheme="minorEastAsia" w:cstheme="minorEastAsia"/>
                <w:b w:val="0"/>
                <w:bCs w:val="0"/>
                <w:color w:val="000000" w:themeColor="text1"/>
                <w:sz w:val="24"/>
                <w:szCs w:val="24"/>
                <w:highlight w:val="none"/>
                <w:shd w:val="clear" w:color="auto" w:fill="FFFFFF"/>
                <w:lang w:val="en-US" w:eastAsia="zh-CN"/>
                <w14:textFill>
                  <w14:solidFill>
                    <w14:schemeClr w14:val="tx1"/>
                  </w14:solidFill>
                </w14:textFill>
              </w:rPr>
              <w:t>1.5</w:t>
            </w:r>
            <w:r>
              <w:rPr>
                <w:rFonts w:hint="eastAsia" w:asciiTheme="minorEastAsia" w:hAnsiTheme="minorEastAsia" w:eastAsiaTheme="minorEastAsia" w:cstheme="minorEastAsia"/>
                <w:b w:val="0"/>
                <w:bCs w:val="0"/>
                <w:color w:val="000000" w:themeColor="text1"/>
                <w:sz w:val="24"/>
                <w:szCs w:val="24"/>
                <w:highlight w:val="none"/>
                <w:shd w:val="clear" w:color="auto" w:fill="FFFFFF"/>
                <w14:textFill>
                  <w14:solidFill>
                    <w14:schemeClr w14:val="tx1"/>
                  </w14:solidFill>
                </w14:textFill>
              </w:rPr>
              <w:t>kw</w:t>
            </w:r>
            <w:r>
              <w:rPr>
                <w:rFonts w:hint="eastAsia" w:asciiTheme="minorEastAsia" w:hAnsiTheme="minorEastAsia" w:eastAsiaTheme="minorEastAsia" w:cstheme="minorEastAsia"/>
                <w:b w:val="0"/>
                <w:bCs w:val="0"/>
                <w:color w:val="000000" w:themeColor="text1"/>
                <w:sz w:val="24"/>
                <w:szCs w:val="24"/>
                <w:highlight w:val="none"/>
                <w:shd w:val="clear" w:color="auto" w:fill="FFFFFF"/>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highlight w:val="none"/>
                <w:shd w:val="clear" w:color="auto" w:fill="FFFFFF"/>
                <w:lang w:val="en-US" w:eastAsia="zh-CN"/>
                <w14:textFill>
                  <w14:solidFill>
                    <w14:schemeClr w14:val="tx1"/>
                  </w14:solidFill>
                </w14:textFill>
              </w:rPr>
              <w:t>开元电机</w:t>
            </w:r>
            <w:r>
              <w:rPr>
                <w:rFonts w:hint="eastAsia" w:asciiTheme="minorEastAsia" w:hAnsiTheme="minorEastAsia" w:eastAsiaTheme="minorEastAsia" w:cstheme="minorEastAsia"/>
                <w:b w:val="0"/>
                <w:bCs w:val="0"/>
                <w:color w:val="000000" w:themeColor="text1"/>
                <w:sz w:val="24"/>
                <w:szCs w:val="24"/>
                <w:highlight w:val="none"/>
                <w:shd w:val="clear" w:color="auto" w:fill="FFFFFF"/>
                <w:lang w:eastAsia="zh-CN"/>
                <w14:textFill>
                  <w14:solidFill>
                    <w14:schemeClr w14:val="tx1"/>
                  </w14:solidFill>
                </w14:textFill>
              </w:rPr>
              <w:t>）；</w:t>
            </w:r>
          </w:p>
          <w:p w14:paraId="1A510181">
            <w:pPr>
              <w:pStyle w:val="19"/>
              <w:numPr>
                <w:ilvl w:val="0"/>
                <w:numId w:val="0"/>
              </w:numPr>
              <w:spacing w:before="0" w:beforeAutospacing="0" w:after="0" w:afterAutospacing="0"/>
              <w:rPr>
                <w:rFonts w:hint="eastAsia" w:asciiTheme="minorEastAsia" w:hAnsiTheme="minorEastAsia" w:eastAsiaTheme="minorEastAsia" w:cstheme="minorEastAsia"/>
                <w:color w:val="000000" w:themeColor="text1"/>
                <w:spacing w:val="-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highlight w:val="none"/>
                <w:lang w:val="en-US" w:eastAsia="zh-CN"/>
                <w14:textFill>
                  <w14:solidFill>
                    <w14:schemeClr w14:val="tx1"/>
                  </w14:solidFill>
                </w14:textFill>
              </w:rPr>
              <w:t>4.传动电机1.5kw</w:t>
            </w:r>
          </w:p>
          <w:p w14:paraId="30AF890D">
            <w:pPr>
              <w:pStyle w:val="19"/>
              <w:numPr>
                <w:ilvl w:val="0"/>
                <w:numId w:val="0"/>
              </w:numPr>
              <w:spacing w:before="0" w:beforeAutospacing="0" w:after="0" w:afterAutospacing="0"/>
              <w:rPr>
                <w:rFonts w:hint="eastAsia" w:asciiTheme="minorEastAsia" w:hAnsiTheme="minorEastAsia" w:eastAsiaTheme="minorEastAsia" w:cstheme="minorEastAsia"/>
                <w:color w:val="000000" w:themeColor="text1"/>
                <w:spacing w:val="-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highlight w:val="none"/>
                <w:lang w:val="en-US" w:eastAsia="zh-CN"/>
                <w14:textFill>
                  <w14:solidFill>
                    <w14:schemeClr w14:val="tx1"/>
                  </w14:solidFill>
                </w14:textFill>
              </w:rPr>
              <w:t>5.去尾电机：1.5kw</w:t>
            </w:r>
            <w:r>
              <w:rPr>
                <w:rFonts w:hint="eastAsia" w:asciiTheme="minorEastAsia" w:hAnsiTheme="minorEastAsia" w:eastAsiaTheme="minorEastAsia" w:cstheme="minorEastAsia"/>
                <w:b w:val="0"/>
                <w:bCs w:val="0"/>
                <w:color w:val="000000" w:themeColor="text1"/>
                <w:sz w:val="24"/>
                <w:szCs w:val="24"/>
                <w:highlight w:val="none"/>
                <w:shd w:val="clear" w:color="auto" w:fill="FFFFFF"/>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highlight w:val="none"/>
                <w:shd w:val="clear" w:color="auto" w:fill="FFFFFF"/>
                <w:lang w:val="en-US" w:eastAsia="zh-CN"/>
                <w14:textFill>
                  <w14:solidFill>
                    <w14:schemeClr w14:val="tx1"/>
                  </w14:solidFill>
                </w14:textFill>
              </w:rPr>
              <w:t>开元双头电机</w:t>
            </w:r>
            <w:r>
              <w:rPr>
                <w:rFonts w:hint="eastAsia" w:asciiTheme="minorEastAsia" w:hAnsiTheme="minorEastAsia" w:eastAsiaTheme="minorEastAsia" w:cstheme="minorEastAsia"/>
                <w:b w:val="0"/>
                <w:bCs w:val="0"/>
                <w:color w:val="000000" w:themeColor="text1"/>
                <w:sz w:val="24"/>
                <w:szCs w:val="24"/>
                <w:highlight w:val="none"/>
                <w:shd w:val="clear" w:color="auto" w:fill="FFFFFF"/>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
                <w:sz w:val="24"/>
                <w:szCs w:val="24"/>
                <w:highlight w:val="none"/>
                <w:lang w:val="en-US" w:eastAsia="zh-CN"/>
                <w14:textFill>
                  <w14:solidFill>
                    <w14:schemeClr w14:val="tx1"/>
                  </w14:solidFill>
                </w14:textFill>
              </w:rPr>
              <w:t>；</w:t>
            </w:r>
          </w:p>
        </w:tc>
      </w:tr>
      <w:tr w14:paraId="575BFC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2733" w:hRule="atLeast"/>
        </w:trPr>
        <w:tc>
          <w:tcPr>
            <w:tcW w:w="542" w:type="dxa"/>
            <w:vAlign w:val="center"/>
          </w:tcPr>
          <w:p w14:paraId="061DD4A3">
            <w:pPr>
              <w:jc w:val="center"/>
              <w:rPr>
                <w:rFonts w:hint="default"/>
                <w:sz w:val="22"/>
                <w:szCs w:val="22"/>
                <w:highlight w:val="none"/>
                <w:lang w:val="en-US" w:eastAsia="zh-CN"/>
              </w:rPr>
            </w:pPr>
            <w:r>
              <w:rPr>
                <w:rFonts w:hint="eastAsia"/>
                <w:sz w:val="22"/>
                <w:szCs w:val="22"/>
                <w:highlight w:val="none"/>
                <w:lang w:val="en-US" w:eastAsia="zh-CN"/>
              </w:rPr>
              <w:t>5</w:t>
            </w:r>
          </w:p>
        </w:tc>
        <w:tc>
          <w:tcPr>
            <w:tcW w:w="2226" w:type="dxa"/>
            <w:vAlign w:val="center"/>
          </w:tcPr>
          <w:p w14:paraId="78E7C41A">
            <w:pPr>
              <w:jc w:val="center"/>
              <w:rPr>
                <w:rFonts w:hint="default"/>
                <w:szCs w:val="21"/>
                <w:highlight w:val="none"/>
                <w:lang w:val="en-US" w:eastAsia="zh-CN"/>
              </w:rPr>
            </w:pPr>
            <w:r>
              <w:rPr>
                <w:rFonts w:hint="eastAsia"/>
                <w:szCs w:val="21"/>
                <w:highlight w:val="none"/>
                <w:lang w:val="en-US" w:eastAsia="zh-CN"/>
              </w:rPr>
              <w:t>渣屑输送机</w:t>
            </w:r>
          </w:p>
        </w:tc>
        <w:tc>
          <w:tcPr>
            <w:tcW w:w="2075" w:type="dxa"/>
            <w:vAlign w:val="center"/>
          </w:tcPr>
          <w:p w14:paraId="2499B484">
            <w:pPr>
              <w:jc w:val="center"/>
              <w:rPr>
                <w:rFonts w:hint="eastAsia"/>
                <w:szCs w:val="21"/>
                <w:highlight w:val="none"/>
                <w:lang w:val="en-US" w:eastAsia="zh-CN"/>
              </w:rPr>
            </w:pPr>
            <w:r>
              <w:rPr>
                <w:rFonts w:hint="eastAsia"/>
                <w:szCs w:val="21"/>
                <w:highlight w:val="none"/>
                <w:lang w:val="en-US" w:eastAsia="zh-CN"/>
              </w:rPr>
              <w:t>3台</w:t>
            </w:r>
          </w:p>
        </w:tc>
        <w:tc>
          <w:tcPr>
            <w:tcW w:w="9548" w:type="dxa"/>
            <w:vAlign w:val="center"/>
          </w:tcPr>
          <w:p w14:paraId="606E6B51">
            <w:pPr>
              <w:jc w:val="lef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用于切头去尾后头尾废料的收集输送</w:t>
            </w:r>
            <w:r>
              <w:rPr>
                <w:rFonts w:hint="eastAsia" w:asciiTheme="minorEastAsia" w:hAnsiTheme="minorEastAsia" w:eastAsiaTheme="minorEastAsia" w:cstheme="minorEastAsia"/>
                <w:sz w:val="24"/>
                <w:szCs w:val="24"/>
                <w:highlight w:val="none"/>
                <w:lang w:eastAsia="zh-CN"/>
              </w:rPr>
              <w:t>；</w:t>
            </w:r>
          </w:p>
          <w:p w14:paraId="73C2FFC7">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材料选用SUS304</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㎜不锈钢板；</w:t>
            </w:r>
          </w:p>
          <w:p w14:paraId="3E2B98AD">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3.40</w:t>
            </w:r>
            <w:r>
              <w:rPr>
                <w:rFonts w:hint="eastAsia" w:asciiTheme="minorEastAsia" w:hAnsiTheme="minorEastAsia" w:eastAsiaTheme="minorEastAsia" w:cstheme="minorEastAsia"/>
                <w:sz w:val="24"/>
                <w:szCs w:val="24"/>
                <w:highlight w:val="none"/>
              </w:rPr>
              <w:t>×60</w:t>
            </w:r>
            <w:r>
              <w:rPr>
                <w:rFonts w:hint="eastAsia" w:asciiTheme="minorEastAsia" w:hAnsiTheme="minorEastAsia" w:eastAsiaTheme="minorEastAsia" w:cstheme="minorEastAsia"/>
                <w:sz w:val="24"/>
                <w:szCs w:val="24"/>
                <w:highlight w:val="none"/>
                <w:lang w:val="en-US" w:eastAsia="zh-CN"/>
              </w:rPr>
              <w:t>mm</w:t>
            </w:r>
            <w:r>
              <w:rPr>
                <w:rFonts w:hint="eastAsia" w:asciiTheme="minorEastAsia" w:hAnsiTheme="minorEastAsia" w:eastAsiaTheme="minorEastAsia" w:cstheme="minorEastAsia"/>
                <w:sz w:val="24"/>
                <w:szCs w:val="24"/>
                <w:highlight w:val="none"/>
              </w:rPr>
              <w:t>不锈钢304方管；</w:t>
            </w:r>
          </w:p>
          <w:p w14:paraId="74FAF18B">
            <w:pPr>
              <w:numPr>
                <w:ilvl w:val="0"/>
                <w:numId w:val="0"/>
              </w:num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输送带采用食品级带，宽度：</w:t>
            </w:r>
            <w:r>
              <w:rPr>
                <w:rFonts w:hint="eastAsia" w:asciiTheme="minorEastAsia" w:hAnsiTheme="minorEastAsia" w:eastAsiaTheme="minorEastAsia" w:cstheme="minorEastAsia"/>
                <w:sz w:val="24"/>
                <w:szCs w:val="24"/>
                <w:highlight w:val="none"/>
                <w:lang w:val="en-US" w:eastAsia="zh-CN"/>
              </w:rPr>
              <w:t>300-</w:t>
            </w:r>
            <w:r>
              <w:rPr>
                <w:rFonts w:hint="eastAsia" w:asciiTheme="minorEastAsia" w:hAnsiTheme="minorEastAsia" w:eastAsiaTheme="minorEastAsia" w:cstheme="minorEastAsia"/>
                <w:sz w:val="24"/>
                <w:szCs w:val="24"/>
                <w:highlight w:val="none"/>
              </w:rPr>
              <w:t>400㎜</w:t>
            </w:r>
            <w:r>
              <w:rPr>
                <w:rFonts w:hint="eastAsia" w:asciiTheme="minorEastAsia" w:hAnsiTheme="minorEastAsia" w:eastAsiaTheme="minorEastAsia" w:cstheme="minorEastAsia"/>
                <w:sz w:val="24"/>
                <w:szCs w:val="24"/>
                <w:highlight w:val="none"/>
                <w:lang w:eastAsia="zh-CN"/>
              </w:rPr>
              <w:t>；</w:t>
            </w:r>
          </w:p>
          <w:p w14:paraId="04514733">
            <w:pPr>
              <w:numPr>
                <w:ilvl w:val="0"/>
                <w:numId w:val="0"/>
              </w:num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装机功率：0.</w:t>
            </w:r>
            <w:r>
              <w:rPr>
                <w:rFonts w:hint="eastAsia" w:asciiTheme="minorEastAsia" w:hAnsiTheme="minorEastAsia" w:eastAsiaTheme="minorEastAsia" w:cstheme="minorEastAsia"/>
                <w:sz w:val="24"/>
                <w:szCs w:val="24"/>
                <w:highlight w:val="none"/>
                <w:lang w:val="en-US" w:eastAsia="zh-CN"/>
              </w:rPr>
              <w:t>37</w:t>
            </w:r>
            <w:r>
              <w:rPr>
                <w:rFonts w:hint="eastAsia" w:asciiTheme="minorEastAsia" w:hAnsiTheme="minorEastAsia" w:eastAsiaTheme="minorEastAsia" w:cstheme="minorEastAsia"/>
                <w:sz w:val="24"/>
                <w:szCs w:val="24"/>
                <w:highlight w:val="none"/>
              </w:rPr>
              <w:t>kw；</w:t>
            </w:r>
          </w:p>
          <w:p w14:paraId="41500FE5">
            <w:pPr>
              <w:pStyle w:val="19"/>
              <w:numPr>
                <w:ilvl w:val="0"/>
                <w:numId w:val="0"/>
              </w:numPr>
              <w:spacing w:before="0" w:beforeAutospacing="0" w:after="0" w:afterAutospacing="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rPr>
              <w:t>RV减速机</w:t>
            </w:r>
            <w:r>
              <w:rPr>
                <w:rFonts w:hint="eastAsia" w:asciiTheme="minorEastAsia" w:hAnsiTheme="minorEastAsia" w:eastAsiaTheme="minorEastAsia" w:cstheme="minorEastAsia"/>
                <w:sz w:val="24"/>
                <w:szCs w:val="24"/>
                <w:highlight w:val="none"/>
                <w:lang w:eastAsia="zh-CN"/>
              </w:rPr>
              <w:t>；</w:t>
            </w:r>
          </w:p>
          <w:p w14:paraId="7511A168">
            <w:pPr>
              <w:pStyle w:val="19"/>
              <w:numPr>
                <w:ilvl w:val="0"/>
                <w:numId w:val="0"/>
              </w:numPr>
              <w:spacing w:before="0" w:beforeAutospacing="0" w:after="0" w:afterAutospacing="0"/>
              <w:rPr>
                <w:rFonts w:hint="eastAsia" w:asciiTheme="minorEastAsia" w:hAnsiTheme="minorEastAsia" w:eastAsiaTheme="minorEastAsia" w:cstheme="minorEastAsia"/>
                <w:sz w:val="24"/>
                <w:szCs w:val="24"/>
                <w:highlight w:val="none"/>
                <w:lang w:val="en-US" w:eastAsia="zh-CN"/>
              </w:rPr>
            </w:pPr>
          </w:p>
        </w:tc>
      </w:tr>
      <w:tr w14:paraId="0A30FA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2500" w:hRule="atLeast"/>
        </w:trPr>
        <w:tc>
          <w:tcPr>
            <w:tcW w:w="542" w:type="dxa"/>
            <w:vAlign w:val="center"/>
          </w:tcPr>
          <w:p w14:paraId="37B86D7A">
            <w:pPr>
              <w:jc w:val="center"/>
              <w:rPr>
                <w:rFonts w:hint="default"/>
                <w:sz w:val="22"/>
                <w:szCs w:val="22"/>
                <w:highlight w:val="none"/>
                <w:lang w:val="en-US" w:eastAsia="zh-CN"/>
              </w:rPr>
            </w:pPr>
            <w:r>
              <w:rPr>
                <w:rFonts w:hint="eastAsia"/>
                <w:sz w:val="22"/>
                <w:szCs w:val="22"/>
                <w:highlight w:val="none"/>
                <w:lang w:val="en-US" w:eastAsia="zh-CN"/>
              </w:rPr>
              <w:t>6</w:t>
            </w:r>
          </w:p>
        </w:tc>
        <w:tc>
          <w:tcPr>
            <w:tcW w:w="2226" w:type="dxa"/>
            <w:vAlign w:val="center"/>
          </w:tcPr>
          <w:p w14:paraId="4CD5DBB4">
            <w:pPr>
              <w:jc w:val="center"/>
              <w:rPr>
                <w:rFonts w:hint="eastAsia"/>
                <w:szCs w:val="21"/>
                <w:highlight w:val="none"/>
              </w:rPr>
            </w:pPr>
            <w:r>
              <w:rPr>
                <w:rFonts w:hint="eastAsia"/>
                <w:szCs w:val="21"/>
                <w:highlight w:val="none"/>
                <w:lang w:val="en-US" w:eastAsia="zh-CN"/>
              </w:rPr>
              <w:t>气动渣屑提升</w:t>
            </w:r>
            <w:r>
              <w:rPr>
                <w:rFonts w:hint="eastAsia"/>
                <w:szCs w:val="21"/>
                <w:highlight w:val="none"/>
              </w:rPr>
              <w:t>机</w:t>
            </w:r>
          </w:p>
        </w:tc>
        <w:tc>
          <w:tcPr>
            <w:tcW w:w="2075" w:type="dxa"/>
            <w:vAlign w:val="center"/>
          </w:tcPr>
          <w:p w14:paraId="7C84B4D9">
            <w:pPr>
              <w:jc w:val="center"/>
              <w:rPr>
                <w:rFonts w:hint="eastAsia"/>
                <w:szCs w:val="21"/>
                <w:highlight w:val="none"/>
                <w:lang w:val="en-US" w:eastAsia="zh-CN"/>
              </w:rPr>
            </w:pPr>
            <w:r>
              <w:rPr>
                <w:rFonts w:hint="eastAsia"/>
                <w:szCs w:val="21"/>
                <w:highlight w:val="none"/>
                <w:lang w:val="en-US" w:eastAsia="zh-CN"/>
              </w:rPr>
              <w:t>1台</w:t>
            </w:r>
          </w:p>
        </w:tc>
        <w:tc>
          <w:tcPr>
            <w:tcW w:w="9548" w:type="dxa"/>
            <w:vAlign w:val="top"/>
          </w:tcPr>
          <w:p w14:paraId="2DFE2C5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highlight w:val="none"/>
                <w:u w:val="none"/>
                <w:lang w:eastAsia="zh-CN"/>
              </w:rPr>
            </w:pPr>
            <w:r>
              <w:rPr>
                <w:rFonts w:hint="eastAsia" w:asciiTheme="minorEastAsia" w:hAnsiTheme="minorEastAsia" w:eastAsiaTheme="minorEastAsia" w:cstheme="minorEastAsia"/>
                <w:i w:val="0"/>
                <w:iCs w:val="0"/>
                <w:color w:val="000000"/>
                <w:sz w:val="24"/>
                <w:szCs w:val="24"/>
                <w:highlight w:val="none"/>
                <w:u w:val="none"/>
              </w:rPr>
              <w:t>1.外形尺寸:2</w:t>
            </w:r>
            <w:r>
              <w:rPr>
                <w:rFonts w:hint="eastAsia" w:asciiTheme="minorEastAsia" w:hAnsiTheme="minorEastAsia" w:eastAsiaTheme="minorEastAsia" w:cstheme="minorEastAsia"/>
                <w:i w:val="0"/>
                <w:iCs w:val="0"/>
                <w:color w:val="000000"/>
                <w:sz w:val="24"/>
                <w:szCs w:val="24"/>
                <w:highlight w:val="none"/>
                <w:u w:val="none"/>
                <w:lang w:val="en-US" w:eastAsia="zh-CN"/>
              </w:rPr>
              <w:t>8</w:t>
            </w:r>
            <w:r>
              <w:rPr>
                <w:rFonts w:hint="eastAsia" w:asciiTheme="minorEastAsia" w:hAnsiTheme="minorEastAsia" w:eastAsiaTheme="minorEastAsia" w:cstheme="minorEastAsia"/>
                <w:i w:val="0"/>
                <w:iCs w:val="0"/>
                <w:color w:val="000000"/>
                <w:sz w:val="24"/>
                <w:szCs w:val="24"/>
                <w:highlight w:val="none"/>
                <w:u w:val="none"/>
              </w:rPr>
              <w:t>00*1200*1300mm</w:t>
            </w:r>
            <w:r>
              <w:rPr>
                <w:rFonts w:hint="eastAsia" w:asciiTheme="minorEastAsia" w:hAnsiTheme="minorEastAsia" w:eastAsiaTheme="minorEastAsia" w:cstheme="minorEastAsia"/>
                <w:i w:val="0"/>
                <w:iCs w:val="0"/>
                <w:color w:val="000000"/>
                <w:sz w:val="24"/>
                <w:szCs w:val="24"/>
                <w:highlight w:val="none"/>
                <w:u w:val="none"/>
                <w:lang w:eastAsia="zh-CN"/>
              </w:rPr>
              <w:t>；</w:t>
            </w:r>
          </w:p>
          <w:p w14:paraId="529C2BA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highlight w:val="none"/>
                <w:u w:val="none"/>
                <w:lang w:eastAsia="zh-CN"/>
              </w:rPr>
            </w:pPr>
            <w:r>
              <w:rPr>
                <w:rFonts w:hint="eastAsia" w:asciiTheme="minorEastAsia" w:hAnsiTheme="minorEastAsia" w:eastAsiaTheme="minorEastAsia" w:cstheme="minorEastAsia"/>
                <w:i w:val="0"/>
                <w:iCs w:val="0"/>
                <w:color w:val="000000"/>
                <w:sz w:val="24"/>
                <w:szCs w:val="24"/>
                <w:highlight w:val="none"/>
                <w:u w:val="none"/>
              </w:rPr>
              <w:t>2.输送带有效宽度为</w:t>
            </w:r>
            <w:r>
              <w:rPr>
                <w:rFonts w:hint="eastAsia" w:asciiTheme="minorEastAsia" w:hAnsiTheme="minorEastAsia" w:eastAsiaTheme="minorEastAsia" w:cstheme="minorEastAsia"/>
                <w:i w:val="0"/>
                <w:iCs w:val="0"/>
                <w:color w:val="000000"/>
                <w:sz w:val="24"/>
                <w:szCs w:val="24"/>
                <w:highlight w:val="none"/>
                <w:u w:val="none"/>
                <w:lang w:val="en-US" w:eastAsia="zh-CN"/>
              </w:rPr>
              <w:t>9</w:t>
            </w:r>
            <w:r>
              <w:rPr>
                <w:rFonts w:hint="eastAsia" w:asciiTheme="minorEastAsia" w:hAnsiTheme="minorEastAsia" w:eastAsiaTheme="minorEastAsia" w:cstheme="minorEastAsia"/>
                <w:i w:val="0"/>
                <w:iCs w:val="0"/>
                <w:color w:val="000000"/>
                <w:sz w:val="24"/>
                <w:szCs w:val="24"/>
                <w:highlight w:val="none"/>
                <w:u w:val="none"/>
              </w:rPr>
              <w:t>00</w:t>
            </w:r>
            <w:r>
              <w:rPr>
                <w:rFonts w:hint="eastAsia" w:asciiTheme="minorEastAsia" w:hAnsiTheme="minorEastAsia" w:eastAsiaTheme="minorEastAsia" w:cstheme="minorEastAsia"/>
                <w:i w:val="0"/>
                <w:iCs w:val="0"/>
                <w:color w:val="000000"/>
                <w:sz w:val="24"/>
                <w:szCs w:val="24"/>
                <w:highlight w:val="none"/>
                <w:u w:val="none"/>
                <w:lang w:val="en-US" w:eastAsia="zh-CN"/>
              </w:rPr>
              <w:t>mm</w:t>
            </w:r>
            <w:r>
              <w:rPr>
                <w:rFonts w:hint="eastAsia" w:asciiTheme="minorEastAsia" w:hAnsiTheme="minorEastAsia" w:eastAsiaTheme="minorEastAsia" w:cstheme="minorEastAsia"/>
                <w:i w:val="0"/>
                <w:iCs w:val="0"/>
                <w:color w:val="000000"/>
                <w:sz w:val="24"/>
                <w:szCs w:val="24"/>
                <w:highlight w:val="none"/>
                <w:u w:val="none"/>
              </w:rPr>
              <w:t xml:space="preserve"> </w:t>
            </w:r>
            <w:r>
              <w:rPr>
                <w:rFonts w:hint="eastAsia" w:asciiTheme="minorEastAsia" w:hAnsiTheme="minorEastAsia" w:eastAsiaTheme="minorEastAsia" w:cstheme="minorEastAsia"/>
                <w:i w:val="0"/>
                <w:iCs w:val="0"/>
                <w:color w:val="000000"/>
                <w:sz w:val="24"/>
                <w:szCs w:val="24"/>
                <w:highlight w:val="none"/>
                <w:u w:val="none"/>
                <w:lang w:eastAsia="zh-CN"/>
              </w:rPr>
              <w:t>；</w:t>
            </w:r>
          </w:p>
          <w:p w14:paraId="770376E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highlight w:val="none"/>
                <w:u w:val="none"/>
                <w:lang w:eastAsia="zh-CN"/>
              </w:rPr>
            </w:pPr>
            <w:r>
              <w:rPr>
                <w:rFonts w:hint="eastAsia" w:asciiTheme="minorEastAsia" w:hAnsiTheme="minorEastAsia" w:eastAsiaTheme="minorEastAsia" w:cstheme="minorEastAsia"/>
                <w:i w:val="0"/>
                <w:iCs w:val="0"/>
                <w:color w:val="000000"/>
                <w:sz w:val="24"/>
                <w:szCs w:val="24"/>
                <w:highlight w:val="none"/>
                <w:u w:val="none"/>
              </w:rPr>
              <w:t>3.功率:电机功率</w:t>
            </w:r>
            <w:r>
              <w:rPr>
                <w:rFonts w:hint="eastAsia" w:asciiTheme="minorEastAsia" w:hAnsiTheme="minorEastAsia" w:eastAsiaTheme="minorEastAsia" w:cstheme="minorEastAsia"/>
                <w:i w:val="0"/>
                <w:iCs w:val="0"/>
                <w:color w:val="000000"/>
                <w:sz w:val="24"/>
                <w:szCs w:val="24"/>
                <w:highlight w:val="none"/>
                <w:u w:val="none"/>
                <w:lang w:val="en-US" w:eastAsia="zh-CN"/>
              </w:rPr>
              <w:t>1.1</w:t>
            </w:r>
            <w:r>
              <w:rPr>
                <w:rFonts w:hint="eastAsia" w:asciiTheme="minorEastAsia" w:hAnsiTheme="minorEastAsia" w:eastAsiaTheme="minorEastAsia" w:cstheme="minorEastAsia"/>
                <w:i w:val="0"/>
                <w:iCs w:val="0"/>
                <w:color w:val="000000"/>
                <w:sz w:val="24"/>
                <w:szCs w:val="24"/>
                <w:highlight w:val="none"/>
                <w:u w:val="none"/>
              </w:rPr>
              <w:t>KW</w:t>
            </w:r>
            <w:r>
              <w:rPr>
                <w:rFonts w:hint="eastAsia" w:asciiTheme="minorEastAsia" w:hAnsiTheme="minorEastAsia" w:eastAsiaTheme="minorEastAsia" w:cstheme="minorEastAsia"/>
                <w:i w:val="0"/>
                <w:iCs w:val="0"/>
                <w:color w:val="000000"/>
                <w:sz w:val="24"/>
                <w:szCs w:val="24"/>
                <w:highlight w:val="none"/>
                <w:u w:val="none"/>
                <w:lang w:val="en-US" w:eastAsia="zh-CN"/>
              </w:rPr>
              <w:t>/</w:t>
            </w:r>
            <w:r>
              <w:rPr>
                <w:rFonts w:hint="eastAsia" w:asciiTheme="minorEastAsia" w:hAnsiTheme="minorEastAsia" w:eastAsiaTheme="minorEastAsia" w:cstheme="minorEastAsia"/>
                <w:i w:val="0"/>
                <w:iCs w:val="0"/>
                <w:color w:val="000000"/>
                <w:sz w:val="24"/>
                <w:szCs w:val="24"/>
                <w:highlight w:val="none"/>
                <w:u w:val="none"/>
              </w:rPr>
              <w:t>50Hz</w:t>
            </w:r>
            <w:r>
              <w:rPr>
                <w:rFonts w:hint="eastAsia" w:asciiTheme="minorEastAsia" w:hAnsiTheme="minorEastAsia" w:eastAsiaTheme="minorEastAsia" w:cstheme="minorEastAsia"/>
                <w:i w:val="0"/>
                <w:iCs w:val="0"/>
                <w:color w:val="000000"/>
                <w:sz w:val="24"/>
                <w:szCs w:val="24"/>
                <w:highlight w:val="none"/>
                <w:u w:val="none"/>
                <w:lang w:eastAsia="zh-CN"/>
              </w:rPr>
              <w:t>；</w:t>
            </w:r>
          </w:p>
          <w:p w14:paraId="6FBCEA5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highlight w:val="none"/>
                <w:u w:val="none"/>
                <w:lang w:eastAsia="zh-CN"/>
              </w:rPr>
            </w:pPr>
            <w:r>
              <w:rPr>
                <w:rFonts w:hint="eastAsia" w:asciiTheme="minorEastAsia" w:hAnsiTheme="minorEastAsia" w:eastAsiaTheme="minorEastAsia" w:cstheme="minorEastAsia"/>
                <w:i w:val="0"/>
                <w:iCs w:val="0"/>
                <w:color w:val="000000"/>
                <w:sz w:val="24"/>
                <w:szCs w:val="24"/>
                <w:highlight w:val="none"/>
                <w:u w:val="none"/>
              </w:rPr>
              <w:t>4.主板采用</w:t>
            </w:r>
            <w:r>
              <w:rPr>
                <w:rFonts w:hint="eastAsia" w:asciiTheme="minorEastAsia" w:hAnsiTheme="minorEastAsia" w:eastAsiaTheme="minorEastAsia" w:cstheme="minorEastAsia"/>
                <w:i w:val="0"/>
                <w:iCs w:val="0"/>
                <w:color w:val="000000"/>
                <w:sz w:val="24"/>
                <w:szCs w:val="24"/>
                <w:highlight w:val="none"/>
                <w:u w:val="none"/>
                <w:lang w:val="en-US" w:eastAsia="zh-CN"/>
              </w:rPr>
              <w:t>1-3</w:t>
            </w:r>
            <w:r>
              <w:rPr>
                <w:rFonts w:hint="eastAsia" w:asciiTheme="minorEastAsia" w:hAnsiTheme="minorEastAsia" w:eastAsiaTheme="minorEastAsia" w:cstheme="minorEastAsia"/>
                <w:i w:val="0"/>
                <w:iCs w:val="0"/>
                <w:color w:val="000000"/>
                <w:sz w:val="24"/>
                <w:szCs w:val="24"/>
                <w:highlight w:val="none"/>
                <w:u w:val="none"/>
              </w:rPr>
              <w:t>mm不锈钢板制成</w:t>
            </w:r>
            <w:r>
              <w:rPr>
                <w:rFonts w:hint="eastAsia" w:asciiTheme="minorEastAsia" w:hAnsiTheme="minorEastAsia" w:eastAsiaTheme="minorEastAsia" w:cstheme="minorEastAsia"/>
                <w:i w:val="0"/>
                <w:iCs w:val="0"/>
                <w:color w:val="000000"/>
                <w:sz w:val="24"/>
                <w:szCs w:val="24"/>
                <w:highlight w:val="none"/>
                <w:u w:val="none"/>
                <w:lang w:eastAsia="zh-CN"/>
              </w:rPr>
              <w:t>；</w:t>
            </w:r>
          </w:p>
          <w:p w14:paraId="6D0DD08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sz w:val="24"/>
                <w:szCs w:val="24"/>
                <w:highlight w:val="none"/>
                <w:u w:val="none"/>
                <w:lang w:val="en-US" w:eastAsia="zh-CN"/>
              </w:rPr>
              <w:t>5.</w:t>
            </w:r>
            <w:r>
              <w:rPr>
                <w:rFonts w:hint="eastAsia" w:asciiTheme="minorEastAsia" w:hAnsiTheme="minorEastAsia" w:eastAsiaTheme="minorEastAsia" w:cstheme="minorEastAsia"/>
                <w:i w:val="0"/>
                <w:iCs w:val="0"/>
                <w:color w:val="000000"/>
                <w:sz w:val="24"/>
                <w:szCs w:val="24"/>
                <w:highlight w:val="none"/>
                <w:u w:val="none"/>
              </w:rPr>
              <w:t>输送带</w:t>
            </w:r>
            <w:r>
              <w:rPr>
                <w:rFonts w:hint="eastAsia" w:asciiTheme="minorEastAsia" w:hAnsiTheme="minorEastAsia" w:eastAsiaTheme="minorEastAsia" w:cstheme="minorEastAsia"/>
                <w:i w:val="0"/>
                <w:iCs w:val="0"/>
                <w:color w:val="000000"/>
                <w:sz w:val="24"/>
                <w:szCs w:val="24"/>
                <w:highlight w:val="none"/>
                <w:u w:val="none"/>
                <w:lang w:val="en-US" w:eastAsia="zh-CN"/>
              </w:rPr>
              <w:t>支杆带式；</w:t>
            </w:r>
          </w:p>
          <w:p w14:paraId="1089DB9B">
            <w:pPr>
              <w:pStyle w:val="36"/>
              <w:spacing w:before="28" w:line="223" w:lineRule="auto"/>
              <w:rPr>
                <w:rFonts w:hint="eastAsia"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6.电机：国标；</w:t>
            </w:r>
          </w:p>
          <w:p w14:paraId="125D79FC">
            <w:pPr>
              <w:rPr>
                <w:rFonts w:hint="eastAsia" w:asciiTheme="minorEastAsia" w:hAnsiTheme="minorEastAsia" w:eastAsiaTheme="minorEastAsia" w:cstheme="minorEastAsia"/>
                <w:i w:val="0"/>
                <w:iCs w:val="0"/>
                <w:color w:val="000000"/>
                <w:sz w:val="24"/>
                <w:szCs w:val="24"/>
                <w:highlight w:val="none"/>
                <w:u w:val="none"/>
                <w:lang w:eastAsia="zh-CN"/>
              </w:rPr>
            </w:pPr>
            <w:r>
              <w:rPr>
                <w:rFonts w:hint="eastAsia" w:asciiTheme="minorEastAsia" w:hAnsiTheme="minorEastAsia" w:eastAsiaTheme="minorEastAsia" w:cstheme="minorEastAsia"/>
                <w:i w:val="0"/>
                <w:iCs w:val="0"/>
                <w:color w:val="000000"/>
                <w:sz w:val="24"/>
                <w:szCs w:val="24"/>
                <w:highlight w:val="none"/>
                <w:u w:val="none"/>
                <w:lang w:val="en-US" w:eastAsia="zh-CN"/>
              </w:rPr>
              <w:t>7.</w:t>
            </w:r>
            <w:r>
              <w:rPr>
                <w:rFonts w:hint="eastAsia" w:asciiTheme="minorEastAsia" w:hAnsiTheme="minorEastAsia" w:eastAsiaTheme="minorEastAsia" w:cstheme="minorEastAsia"/>
                <w:i w:val="0"/>
                <w:iCs w:val="0"/>
                <w:color w:val="000000"/>
                <w:sz w:val="24"/>
                <w:szCs w:val="24"/>
                <w:highlight w:val="none"/>
                <w:u w:val="none"/>
              </w:rPr>
              <w:t>不锈钢支撑腿采用40*</w:t>
            </w:r>
            <w:r>
              <w:rPr>
                <w:rFonts w:hint="eastAsia" w:asciiTheme="minorEastAsia" w:hAnsiTheme="minorEastAsia" w:eastAsiaTheme="minorEastAsia" w:cstheme="minorEastAsia"/>
                <w:i w:val="0"/>
                <w:iCs w:val="0"/>
                <w:color w:val="000000"/>
                <w:sz w:val="24"/>
                <w:szCs w:val="24"/>
                <w:highlight w:val="none"/>
                <w:u w:val="none"/>
                <w:lang w:val="en-US" w:eastAsia="zh-CN"/>
              </w:rPr>
              <w:t>8</w:t>
            </w:r>
            <w:r>
              <w:rPr>
                <w:rFonts w:hint="eastAsia" w:asciiTheme="minorEastAsia" w:hAnsiTheme="minorEastAsia" w:eastAsiaTheme="minorEastAsia" w:cstheme="minorEastAsia"/>
                <w:i w:val="0"/>
                <w:iCs w:val="0"/>
                <w:color w:val="000000"/>
                <w:sz w:val="24"/>
                <w:szCs w:val="24"/>
                <w:highlight w:val="none"/>
                <w:u w:val="none"/>
              </w:rPr>
              <w:t>0</w:t>
            </w:r>
            <w:r>
              <w:rPr>
                <w:rFonts w:hint="eastAsia" w:asciiTheme="minorEastAsia" w:hAnsiTheme="minorEastAsia" w:eastAsiaTheme="minorEastAsia" w:cstheme="minorEastAsia"/>
                <w:i w:val="0"/>
                <w:iCs w:val="0"/>
                <w:color w:val="000000"/>
                <w:sz w:val="24"/>
                <w:szCs w:val="24"/>
                <w:highlight w:val="none"/>
                <w:u w:val="none"/>
                <w:lang w:val="en-US" w:eastAsia="zh-CN"/>
              </w:rPr>
              <w:t>mm</w:t>
            </w:r>
            <w:r>
              <w:rPr>
                <w:rFonts w:hint="eastAsia" w:asciiTheme="minorEastAsia" w:hAnsiTheme="minorEastAsia" w:eastAsiaTheme="minorEastAsia" w:cstheme="minorEastAsia"/>
                <w:i w:val="0"/>
                <w:iCs w:val="0"/>
                <w:color w:val="000000"/>
                <w:sz w:val="24"/>
                <w:szCs w:val="24"/>
                <w:highlight w:val="none"/>
                <w:u w:val="none"/>
              </w:rPr>
              <w:t>不锈钢方管</w:t>
            </w:r>
            <w:r>
              <w:rPr>
                <w:rFonts w:hint="eastAsia" w:asciiTheme="minorEastAsia" w:hAnsiTheme="minorEastAsia" w:eastAsiaTheme="minorEastAsia" w:cstheme="minorEastAsia"/>
                <w:i w:val="0"/>
                <w:iCs w:val="0"/>
                <w:color w:val="000000"/>
                <w:sz w:val="24"/>
                <w:szCs w:val="24"/>
                <w:highlight w:val="none"/>
                <w:u w:val="none"/>
                <w:lang w:eastAsia="zh-CN"/>
              </w:rPr>
              <w:t>；</w:t>
            </w:r>
          </w:p>
          <w:p w14:paraId="18E43B5C">
            <w:pPr>
              <w:rPr>
                <w:rFonts w:hint="eastAsia" w:asciiTheme="minorEastAsia" w:hAnsiTheme="minorEastAsia" w:eastAsiaTheme="minorEastAsia" w:cstheme="minorEastAsia"/>
                <w:i w:val="0"/>
                <w:iCs w:val="0"/>
                <w:color w:val="000000"/>
                <w:sz w:val="24"/>
                <w:szCs w:val="24"/>
                <w:highlight w:val="none"/>
                <w:u w:val="none"/>
                <w:lang w:val="en-US" w:eastAsia="zh-CN"/>
              </w:rPr>
            </w:pPr>
            <w:r>
              <w:rPr>
                <w:rFonts w:hint="eastAsia" w:asciiTheme="minorEastAsia" w:hAnsiTheme="minorEastAsia" w:eastAsiaTheme="minorEastAsia" w:cstheme="minorEastAsia"/>
                <w:i w:val="0"/>
                <w:iCs w:val="0"/>
                <w:color w:val="000000"/>
                <w:sz w:val="24"/>
                <w:szCs w:val="24"/>
                <w:highlight w:val="none"/>
                <w:u w:val="none"/>
                <w:lang w:val="en-US" w:eastAsia="zh-CN"/>
              </w:rPr>
              <w:t>8.方管厚度：1-4mm；</w:t>
            </w:r>
          </w:p>
        </w:tc>
      </w:tr>
      <w:tr w14:paraId="545D7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2567" w:hRule="atLeast"/>
        </w:trPr>
        <w:tc>
          <w:tcPr>
            <w:tcW w:w="542" w:type="dxa"/>
            <w:vAlign w:val="center"/>
          </w:tcPr>
          <w:p w14:paraId="7435ACE2">
            <w:pPr>
              <w:jc w:val="center"/>
              <w:rPr>
                <w:rFonts w:hint="default"/>
                <w:sz w:val="22"/>
                <w:szCs w:val="22"/>
                <w:highlight w:val="none"/>
                <w:lang w:val="en-US" w:eastAsia="zh-CN"/>
              </w:rPr>
            </w:pPr>
            <w:r>
              <w:rPr>
                <w:rFonts w:hint="eastAsia"/>
                <w:sz w:val="22"/>
                <w:szCs w:val="22"/>
                <w:highlight w:val="none"/>
                <w:lang w:val="en-US" w:eastAsia="zh-CN"/>
              </w:rPr>
              <w:t>7</w:t>
            </w:r>
          </w:p>
        </w:tc>
        <w:tc>
          <w:tcPr>
            <w:tcW w:w="2226" w:type="dxa"/>
            <w:vAlign w:val="center"/>
          </w:tcPr>
          <w:p w14:paraId="7F54B0D9">
            <w:pPr>
              <w:jc w:val="center"/>
              <w:rPr>
                <w:rFonts w:hint="eastAsia"/>
                <w:szCs w:val="21"/>
                <w:highlight w:val="none"/>
                <w:lang w:val="en-US" w:eastAsia="zh-CN"/>
              </w:rPr>
            </w:pPr>
            <w:r>
              <w:rPr>
                <w:rFonts w:hint="eastAsia"/>
                <w:szCs w:val="21"/>
                <w:highlight w:val="none"/>
                <w:lang w:val="en-US" w:eastAsia="zh-CN"/>
              </w:rPr>
              <w:t>自动</w:t>
            </w:r>
            <w:r>
              <w:rPr>
                <w:rFonts w:hint="eastAsia"/>
                <w:szCs w:val="21"/>
                <w:highlight w:val="none"/>
              </w:rPr>
              <w:t>滚杠清洗机</w:t>
            </w:r>
          </w:p>
        </w:tc>
        <w:tc>
          <w:tcPr>
            <w:tcW w:w="2075" w:type="dxa"/>
            <w:vAlign w:val="center"/>
          </w:tcPr>
          <w:p w14:paraId="7423C7E3">
            <w:pPr>
              <w:jc w:val="center"/>
              <w:rPr>
                <w:rFonts w:hint="eastAsia"/>
                <w:szCs w:val="21"/>
                <w:highlight w:val="none"/>
                <w:lang w:val="en-US" w:eastAsia="zh-CN"/>
              </w:rPr>
            </w:pPr>
            <w:r>
              <w:rPr>
                <w:rFonts w:hint="eastAsia"/>
                <w:szCs w:val="21"/>
                <w:highlight w:val="none"/>
                <w:lang w:val="en-US" w:eastAsia="zh-CN"/>
              </w:rPr>
              <w:t>1台</w:t>
            </w:r>
          </w:p>
        </w:tc>
        <w:tc>
          <w:tcPr>
            <w:tcW w:w="9548" w:type="dxa"/>
            <w:vAlign w:val="top"/>
          </w:tcPr>
          <w:p w14:paraId="1056E4EC">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1.主</w:t>
            </w:r>
            <w:r>
              <w:rPr>
                <w:rFonts w:hint="eastAsia" w:asciiTheme="minorEastAsia" w:hAnsiTheme="minorEastAsia" w:eastAsiaTheme="minorEastAsia" w:cstheme="minorEastAsia"/>
                <w:sz w:val="24"/>
                <w:szCs w:val="24"/>
                <w:highlight w:val="none"/>
              </w:rPr>
              <w:t>用于鲜食玉米去皮以后的清洗去须去杂等</w:t>
            </w:r>
            <w:r>
              <w:rPr>
                <w:rFonts w:hint="eastAsia" w:asciiTheme="minorEastAsia" w:hAnsiTheme="minorEastAsia" w:eastAsiaTheme="minorEastAsia" w:cstheme="minorEastAsia"/>
                <w:sz w:val="24"/>
                <w:szCs w:val="24"/>
                <w:highlight w:val="none"/>
                <w:lang w:eastAsia="zh-CN"/>
              </w:rPr>
              <w:t>；</w:t>
            </w:r>
          </w:p>
          <w:p w14:paraId="69AF51C5">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该设备由隧道喷淋部分、滚杠式输送带、水箱及控制部分组成</w:t>
            </w:r>
            <w:r>
              <w:rPr>
                <w:rFonts w:hint="eastAsia" w:asciiTheme="minorEastAsia" w:hAnsiTheme="minorEastAsia" w:eastAsiaTheme="minorEastAsia" w:cstheme="minorEastAsia"/>
                <w:sz w:val="24"/>
                <w:szCs w:val="24"/>
                <w:highlight w:val="none"/>
                <w:lang w:eastAsia="zh-CN"/>
              </w:rPr>
              <w:t>；</w:t>
            </w:r>
          </w:p>
          <w:p w14:paraId="2880BFB8">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3.设备</w:t>
            </w:r>
            <w:r>
              <w:rPr>
                <w:rFonts w:hint="eastAsia" w:asciiTheme="minorEastAsia" w:hAnsiTheme="minorEastAsia" w:eastAsiaTheme="minorEastAsia" w:cstheme="minorEastAsia"/>
                <w:sz w:val="24"/>
                <w:szCs w:val="24"/>
                <w:highlight w:val="none"/>
              </w:rPr>
              <w:t>配</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台1</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kw不锈钢多级泵</w:t>
            </w:r>
            <w:r>
              <w:rPr>
                <w:rFonts w:hint="eastAsia" w:asciiTheme="minorEastAsia" w:hAnsiTheme="minorEastAsia" w:eastAsiaTheme="minorEastAsia" w:cstheme="minorEastAsia"/>
                <w:sz w:val="24"/>
                <w:szCs w:val="24"/>
                <w:highlight w:val="none"/>
                <w:lang w:eastAsia="zh-CN"/>
              </w:rPr>
              <w:t>；</w:t>
            </w:r>
          </w:p>
          <w:p w14:paraId="5BC6CB35">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主板采用2</w:t>
            </w:r>
            <w:r>
              <w:rPr>
                <w:rFonts w:hint="eastAsia" w:asciiTheme="minorEastAsia" w:hAnsiTheme="minorEastAsia" w:eastAsiaTheme="minorEastAsia" w:cstheme="minorEastAsia"/>
                <w:sz w:val="24"/>
                <w:szCs w:val="24"/>
                <w:highlight w:val="none"/>
                <w:lang w:val="en-US" w:eastAsia="zh-CN"/>
              </w:rPr>
              <w:t>-4mm厚</w:t>
            </w:r>
            <w:r>
              <w:rPr>
                <w:rFonts w:hint="eastAsia" w:asciiTheme="minorEastAsia" w:hAnsiTheme="minorEastAsia" w:eastAsiaTheme="minorEastAsia" w:cstheme="minorEastAsia"/>
                <w:sz w:val="24"/>
                <w:szCs w:val="24"/>
                <w:highlight w:val="none"/>
              </w:rPr>
              <w:t>304不锈钢板</w:t>
            </w:r>
            <w:r>
              <w:rPr>
                <w:rFonts w:hint="eastAsia" w:asciiTheme="minorEastAsia" w:hAnsiTheme="minorEastAsia" w:eastAsiaTheme="minorEastAsia" w:cstheme="minorEastAsia"/>
                <w:sz w:val="24"/>
                <w:szCs w:val="24"/>
                <w:highlight w:val="none"/>
                <w:lang w:eastAsia="zh-CN"/>
              </w:rPr>
              <w:t>；</w:t>
            </w:r>
          </w:p>
          <w:p w14:paraId="4FC10E3E">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输送带采用</w:t>
            </w:r>
            <w:r>
              <w:rPr>
                <w:rFonts w:hint="eastAsia" w:asciiTheme="minorEastAsia" w:hAnsiTheme="minorEastAsia" w:eastAsiaTheme="minorEastAsia" w:cstheme="minorEastAsia"/>
                <w:sz w:val="24"/>
                <w:szCs w:val="24"/>
                <w:highlight w:val="none"/>
                <w:lang w:val="en-US" w:eastAsia="zh-CN"/>
              </w:rPr>
              <w:t>38mm</w:t>
            </w:r>
            <w:r>
              <w:rPr>
                <w:rFonts w:hint="eastAsia" w:asciiTheme="minorEastAsia" w:hAnsiTheme="minorEastAsia" w:eastAsiaTheme="minorEastAsia" w:cstheme="minorEastAsia"/>
                <w:sz w:val="24"/>
                <w:szCs w:val="24"/>
                <w:highlight w:val="none"/>
              </w:rPr>
              <w:t>圆管两端带不锈钢链条驱动</w:t>
            </w:r>
            <w:r>
              <w:rPr>
                <w:rFonts w:hint="eastAsia" w:asciiTheme="minorEastAsia" w:hAnsiTheme="minorEastAsia" w:eastAsiaTheme="minorEastAsia" w:cstheme="minorEastAsia"/>
                <w:sz w:val="24"/>
                <w:szCs w:val="24"/>
                <w:highlight w:val="none"/>
                <w:lang w:eastAsia="zh-CN"/>
              </w:rPr>
              <w:t>；</w:t>
            </w:r>
          </w:p>
          <w:p w14:paraId="4B377AB7">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rPr>
              <w:t>电机功率</w:t>
            </w:r>
            <w:r>
              <w:rPr>
                <w:rFonts w:hint="eastAsia" w:asciiTheme="minorEastAsia" w:hAnsiTheme="minorEastAsia" w:eastAsiaTheme="minorEastAsia" w:cstheme="minorEastAsia"/>
                <w:sz w:val="24"/>
                <w:szCs w:val="24"/>
                <w:highlight w:val="none"/>
                <w:lang w:val="en-US" w:eastAsia="zh-CN"/>
              </w:rPr>
              <w:t>1.5</w:t>
            </w:r>
            <w:r>
              <w:rPr>
                <w:rFonts w:hint="eastAsia" w:asciiTheme="minorEastAsia" w:hAnsiTheme="minorEastAsia" w:eastAsiaTheme="minorEastAsia" w:cstheme="minorEastAsia"/>
                <w:sz w:val="24"/>
                <w:szCs w:val="24"/>
                <w:highlight w:val="none"/>
              </w:rPr>
              <w:t>kw</w:t>
            </w:r>
            <w:r>
              <w:rPr>
                <w:rFonts w:hint="eastAsia" w:asciiTheme="minorEastAsia" w:hAnsiTheme="minorEastAsia" w:eastAsiaTheme="minorEastAsia" w:cstheme="minorEastAsia"/>
                <w:sz w:val="24"/>
                <w:szCs w:val="24"/>
                <w:highlight w:val="none"/>
                <w:lang w:eastAsia="zh-CN"/>
              </w:rPr>
              <w:t>；</w:t>
            </w:r>
          </w:p>
          <w:p w14:paraId="4FC44C53">
            <w:pP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7.不锈钢泵：国标；</w:t>
            </w:r>
          </w:p>
          <w:p w14:paraId="5CA88625">
            <w:pP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8.电机：国标；</w:t>
            </w:r>
          </w:p>
        </w:tc>
      </w:tr>
      <w:tr w14:paraId="0BB69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2658" w:hRule="atLeast"/>
        </w:trPr>
        <w:tc>
          <w:tcPr>
            <w:tcW w:w="542" w:type="dxa"/>
            <w:vAlign w:val="center"/>
          </w:tcPr>
          <w:p w14:paraId="367EE4C8">
            <w:pPr>
              <w:jc w:val="center"/>
              <w:rPr>
                <w:rFonts w:hint="default"/>
                <w:sz w:val="22"/>
                <w:szCs w:val="22"/>
                <w:highlight w:val="none"/>
                <w:lang w:val="en-US" w:eastAsia="zh-CN"/>
              </w:rPr>
            </w:pPr>
            <w:r>
              <w:rPr>
                <w:rFonts w:hint="eastAsia"/>
                <w:sz w:val="22"/>
                <w:szCs w:val="22"/>
                <w:highlight w:val="none"/>
                <w:lang w:val="en-US" w:eastAsia="zh-CN"/>
              </w:rPr>
              <w:t>8</w:t>
            </w:r>
          </w:p>
        </w:tc>
        <w:tc>
          <w:tcPr>
            <w:tcW w:w="2226" w:type="dxa"/>
            <w:vAlign w:val="center"/>
          </w:tcPr>
          <w:p w14:paraId="71555872">
            <w:pPr>
              <w:jc w:val="both"/>
              <w:rPr>
                <w:rFonts w:hint="eastAsia"/>
                <w:szCs w:val="21"/>
                <w:highlight w:val="none"/>
              </w:rPr>
            </w:pPr>
            <w:r>
              <w:rPr>
                <w:rFonts w:hint="eastAsia"/>
                <w:szCs w:val="21"/>
                <w:highlight w:val="none"/>
                <w:lang w:val="en-US" w:eastAsia="zh-CN"/>
              </w:rPr>
              <w:t>龙门提升</w:t>
            </w:r>
            <w:r>
              <w:rPr>
                <w:rFonts w:hint="eastAsia"/>
                <w:szCs w:val="21"/>
                <w:highlight w:val="none"/>
              </w:rPr>
              <w:t>漂烫机</w:t>
            </w:r>
          </w:p>
        </w:tc>
        <w:tc>
          <w:tcPr>
            <w:tcW w:w="2075" w:type="dxa"/>
            <w:vAlign w:val="center"/>
          </w:tcPr>
          <w:p w14:paraId="23C467B0">
            <w:pPr>
              <w:jc w:val="center"/>
              <w:rPr>
                <w:rFonts w:hint="eastAsia"/>
                <w:szCs w:val="21"/>
                <w:highlight w:val="none"/>
                <w:lang w:val="en-US" w:eastAsia="zh-CN"/>
              </w:rPr>
            </w:pPr>
            <w:r>
              <w:rPr>
                <w:rFonts w:hint="eastAsia"/>
                <w:szCs w:val="21"/>
                <w:highlight w:val="none"/>
                <w:lang w:val="en-US" w:eastAsia="zh-CN"/>
              </w:rPr>
              <w:t>1台</w:t>
            </w:r>
          </w:p>
        </w:tc>
        <w:tc>
          <w:tcPr>
            <w:tcW w:w="9548" w:type="dxa"/>
            <w:vAlign w:val="top"/>
          </w:tcPr>
          <w:p w14:paraId="11994529">
            <w:pPr>
              <w:numPr>
                <w:ilvl w:val="0"/>
                <w:numId w:val="0"/>
              </w:num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主体采用SUS304不锈钢板；</w:t>
            </w:r>
          </w:p>
          <w:p w14:paraId="3219C18C">
            <w:pPr>
              <w:numPr>
                <w:ilvl w:val="0"/>
                <w:numId w:val="0"/>
              </w:num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2.架体采用</w:t>
            </w:r>
            <w:r>
              <w:rPr>
                <w:rFonts w:hint="eastAsia" w:asciiTheme="minorEastAsia" w:hAnsiTheme="minorEastAsia" w:eastAsiaTheme="minorEastAsia" w:cstheme="minorEastAsia"/>
                <w:sz w:val="24"/>
                <w:szCs w:val="24"/>
                <w:highlight w:val="none"/>
              </w:rPr>
              <w:t>40×80</w:t>
            </w:r>
            <w:r>
              <w:rPr>
                <w:rFonts w:hint="eastAsia" w:asciiTheme="minorEastAsia" w:hAnsiTheme="minorEastAsia" w:eastAsiaTheme="minorEastAsia" w:cstheme="minorEastAsia"/>
                <w:sz w:val="24"/>
                <w:szCs w:val="24"/>
                <w:highlight w:val="none"/>
                <w:lang w:val="en-US" w:eastAsia="zh-CN"/>
              </w:rPr>
              <w:t>mm</w:t>
            </w:r>
            <w:r>
              <w:rPr>
                <w:rFonts w:hint="eastAsia" w:asciiTheme="minorEastAsia" w:hAnsiTheme="minorEastAsia" w:eastAsiaTheme="minorEastAsia" w:cstheme="minorEastAsia"/>
                <w:sz w:val="24"/>
                <w:szCs w:val="24"/>
                <w:highlight w:val="none"/>
              </w:rPr>
              <w:t>不锈钢方管；</w:t>
            </w:r>
          </w:p>
          <w:p w14:paraId="71244BD9">
            <w:pPr>
              <w:numPr>
                <w:ilvl w:val="0"/>
                <w:numId w:val="0"/>
              </w:num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输送带采用SUS304不锈钢链板输送带</w:t>
            </w:r>
            <w:r>
              <w:rPr>
                <w:rFonts w:hint="eastAsia" w:asciiTheme="minorEastAsia" w:hAnsiTheme="minorEastAsia" w:eastAsiaTheme="minorEastAsia" w:cstheme="minorEastAsia"/>
                <w:sz w:val="24"/>
                <w:szCs w:val="24"/>
                <w:highlight w:val="none"/>
                <w:lang w:eastAsia="zh-CN"/>
              </w:rPr>
              <w:t>；</w:t>
            </w:r>
          </w:p>
          <w:p w14:paraId="70557BBF">
            <w:pPr>
              <w:numPr>
                <w:ilvl w:val="0"/>
                <w:numId w:val="0"/>
              </w:num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压浮带采用SUS304不锈钢网带输送带</w:t>
            </w:r>
            <w:r>
              <w:rPr>
                <w:rFonts w:hint="eastAsia" w:asciiTheme="minorEastAsia" w:hAnsiTheme="minorEastAsia" w:eastAsiaTheme="minorEastAsia" w:cstheme="minorEastAsia"/>
                <w:sz w:val="24"/>
                <w:szCs w:val="24"/>
                <w:highlight w:val="none"/>
                <w:lang w:eastAsia="zh-CN"/>
              </w:rPr>
              <w:t>；</w:t>
            </w:r>
          </w:p>
          <w:p w14:paraId="49D0158B">
            <w:pPr>
              <w:numPr>
                <w:ilvl w:val="0"/>
                <w:numId w:val="0"/>
              </w:num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5.水泵</w:t>
            </w:r>
            <w:r>
              <w:rPr>
                <w:rFonts w:hint="eastAsia" w:asciiTheme="minorEastAsia" w:hAnsiTheme="minorEastAsia" w:eastAsiaTheme="minorEastAsia" w:cstheme="minorEastAsia"/>
                <w:sz w:val="24"/>
                <w:szCs w:val="24"/>
                <w:highlight w:val="none"/>
              </w:rPr>
              <w:t>：不锈钢水泵</w:t>
            </w:r>
            <w:r>
              <w:rPr>
                <w:rFonts w:hint="eastAsia" w:asciiTheme="minorEastAsia" w:hAnsiTheme="minorEastAsia" w:eastAsiaTheme="minorEastAsia" w:cstheme="minorEastAsia"/>
                <w:sz w:val="24"/>
                <w:szCs w:val="24"/>
                <w:highlight w:val="none"/>
                <w:lang w:eastAsia="zh-CN"/>
              </w:rPr>
              <w:t>；</w:t>
            </w:r>
          </w:p>
          <w:p w14:paraId="2CCC58E5">
            <w:pPr>
              <w:numPr>
                <w:ilvl w:val="0"/>
                <w:numId w:val="0"/>
              </w:num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rPr>
              <w:t>输送电机</w:t>
            </w:r>
            <w:r>
              <w:rPr>
                <w:rFonts w:hint="eastAsia" w:asciiTheme="minorEastAsia" w:hAnsiTheme="minorEastAsia" w:eastAsiaTheme="minorEastAsia" w:cstheme="minorEastAsia"/>
                <w:sz w:val="24"/>
                <w:szCs w:val="24"/>
                <w:highlight w:val="none"/>
                <w:lang w:val="en-US" w:eastAsia="zh-CN"/>
              </w:rPr>
              <w:t>国标1.5</w:t>
            </w:r>
            <w:r>
              <w:rPr>
                <w:rFonts w:hint="eastAsia" w:asciiTheme="minorEastAsia" w:hAnsiTheme="minorEastAsia" w:eastAsiaTheme="minorEastAsia" w:cstheme="minorEastAsia"/>
                <w:sz w:val="24"/>
                <w:szCs w:val="24"/>
                <w:highlight w:val="none"/>
              </w:rPr>
              <w:t>kw变频调速</w:t>
            </w:r>
            <w:r>
              <w:rPr>
                <w:rFonts w:hint="eastAsia" w:asciiTheme="minorEastAsia" w:hAnsiTheme="minorEastAsia" w:eastAsiaTheme="minorEastAsia" w:cstheme="minorEastAsia"/>
                <w:sz w:val="24"/>
                <w:szCs w:val="24"/>
                <w:highlight w:val="none"/>
                <w:lang w:eastAsia="zh-CN"/>
              </w:rPr>
              <w:t>；</w:t>
            </w:r>
          </w:p>
          <w:p w14:paraId="21CB1734">
            <w:pPr>
              <w:numPr>
                <w:ilvl w:val="0"/>
                <w:numId w:val="0"/>
              </w:num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7.板材厚度：2-4</w:t>
            </w:r>
            <w:r>
              <w:rPr>
                <w:rFonts w:hint="eastAsia" w:asciiTheme="minorEastAsia" w:hAnsiTheme="minorEastAsia" w:eastAsiaTheme="minorEastAsia" w:cstheme="minorEastAsia"/>
                <w:sz w:val="24"/>
                <w:szCs w:val="24"/>
                <w:highlight w:val="none"/>
              </w:rPr>
              <w:t>mm</w:t>
            </w:r>
            <w:r>
              <w:rPr>
                <w:rFonts w:hint="eastAsia" w:asciiTheme="minorEastAsia" w:hAnsiTheme="minorEastAsia" w:eastAsiaTheme="minorEastAsia" w:cstheme="minorEastAsia"/>
                <w:sz w:val="24"/>
                <w:szCs w:val="24"/>
                <w:highlight w:val="none"/>
                <w:lang w:val="en-US" w:eastAsia="zh-CN"/>
              </w:rPr>
              <w:t>厚</w:t>
            </w:r>
            <w:r>
              <w:rPr>
                <w:rFonts w:hint="eastAsia" w:asciiTheme="minorEastAsia" w:hAnsiTheme="minorEastAsia" w:eastAsiaTheme="minorEastAsia" w:cstheme="minorEastAsia"/>
                <w:sz w:val="24"/>
                <w:szCs w:val="24"/>
                <w:highlight w:val="none"/>
              </w:rPr>
              <w:t>不锈钢板</w:t>
            </w:r>
            <w:r>
              <w:rPr>
                <w:rFonts w:hint="eastAsia" w:asciiTheme="minorEastAsia" w:hAnsiTheme="minorEastAsia" w:eastAsiaTheme="minorEastAsia" w:cstheme="minorEastAsia"/>
                <w:sz w:val="24"/>
                <w:szCs w:val="24"/>
                <w:highlight w:val="none"/>
                <w:lang w:eastAsia="zh-CN"/>
              </w:rPr>
              <w:t>；</w:t>
            </w:r>
          </w:p>
          <w:p w14:paraId="32C305FB">
            <w:pPr>
              <w:numPr>
                <w:ilvl w:val="0"/>
                <w:numId w:val="0"/>
              </w:num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8.</w:t>
            </w:r>
            <w:r>
              <w:rPr>
                <w:rFonts w:hint="eastAsia" w:asciiTheme="minorEastAsia" w:hAnsiTheme="minorEastAsia" w:eastAsiaTheme="minorEastAsia" w:cstheme="minorEastAsia"/>
                <w:sz w:val="24"/>
                <w:szCs w:val="24"/>
                <w:highlight w:val="none"/>
              </w:rPr>
              <w:t>提升电机采用</w:t>
            </w:r>
            <w:r>
              <w:rPr>
                <w:rFonts w:hint="eastAsia" w:asciiTheme="minorEastAsia" w:hAnsiTheme="minorEastAsia" w:eastAsiaTheme="minorEastAsia" w:cstheme="minorEastAsia"/>
                <w:sz w:val="24"/>
                <w:szCs w:val="24"/>
                <w:highlight w:val="none"/>
                <w:lang w:val="en-US" w:eastAsia="zh-CN"/>
              </w:rPr>
              <w:t>0.55</w:t>
            </w:r>
            <w:r>
              <w:rPr>
                <w:rFonts w:hint="eastAsia" w:asciiTheme="minorEastAsia" w:hAnsiTheme="minorEastAsia" w:eastAsiaTheme="minorEastAsia" w:cstheme="minorEastAsia"/>
                <w:sz w:val="24"/>
                <w:szCs w:val="24"/>
                <w:highlight w:val="none"/>
              </w:rPr>
              <w:t>kw*2台刹车电机</w:t>
            </w:r>
            <w:r>
              <w:rPr>
                <w:rFonts w:hint="eastAsia" w:asciiTheme="minorEastAsia" w:hAnsiTheme="minorEastAsia" w:eastAsiaTheme="minorEastAsia" w:cstheme="minorEastAsia"/>
                <w:sz w:val="24"/>
                <w:szCs w:val="24"/>
                <w:highlight w:val="none"/>
                <w:lang w:eastAsia="zh-CN"/>
              </w:rPr>
              <w:t>；</w:t>
            </w:r>
          </w:p>
          <w:p w14:paraId="3EA08777">
            <w:pPr>
              <w:numPr>
                <w:ilvl w:val="0"/>
                <w:numId w:val="0"/>
              </w:numP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9.外形尺寸：6000*1400*2100mm；</w:t>
            </w:r>
          </w:p>
          <w:p w14:paraId="1D3DB013">
            <w:pPr>
              <w:numPr>
                <w:ilvl w:val="0"/>
                <w:numId w:val="0"/>
              </w:numP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10.电机：国标；</w:t>
            </w:r>
          </w:p>
        </w:tc>
      </w:tr>
      <w:tr w14:paraId="25015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2462" w:hRule="atLeast"/>
        </w:trPr>
        <w:tc>
          <w:tcPr>
            <w:tcW w:w="542" w:type="dxa"/>
            <w:vAlign w:val="center"/>
          </w:tcPr>
          <w:p w14:paraId="0886D7EC">
            <w:pPr>
              <w:jc w:val="center"/>
              <w:rPr>
                <w:rFonts w:hint="default"/>
                <w:sz w:val="22"/>
                <w:szCs w:val="22"/>
                <w:highlight w:val="none"/>
                <w:lang w:val="en-US" w:eastAsia="zh-CN"/>
              </w:rPr>
            </w:pPr>
            <w:r>
              <w:rPr>
                <w:rFonts w:hint="eastAsia"/>
                <w:sz w:val="22"/>
                <w:szCs w:val="22"/>
                <w:highlight w:val="none"/>
                <w:lang w:val="en-US" w:eastAsia="zh-CN"/>
              </w:rPr>
              <w:t>9</w:t>
            </w:r>
          </w:p>
        </w:tc>
        <w:tc>
          <w:tcPr>
            <w:tcW w:w="2226" w:type="dxa"/>
            <w:vAlign w:val="center"/>
          </w:tcPr>
          <w:p w14:paraId="6AD0863F">
            <w:pPr>
              <w:jc w:val="both"/>
              <w:rPr>
                <w:rFonts w:hint="eastAsia"/>
                <w:szCs w:val="21"/>
                <w:highlight w:val="none"/>
              </w:rPr>
            </w:pPr>
            <w:r>
              <w:rPr>
                <w:rFonts w:hint="eastAsia"/>
                <w:szCs w:val="21"/>
                <w:highlight w:val="none"/>
                <w:lang w:val="en-US" w:eastAsia="zh-CN"/>
              </w:rPr>
              <w:t>龙门提升冷却</w:t>
            </w:r>
            <w:r>
              <w:rPr>
                <w:rFonts w:hint="eastAsia"/>
                <w:szCs w:val="21"/>
                <w:highlight w:val="none"/>
              </w:rPr>
              <w:t>机</w:t>
            </w:r>
          </w:p>
        </w:tc>
        <w:tc>
          <w:tcPr>
            <w:tcW w:w="2075" w:type="dxa"/>
            <w:vAlign w:val="center"/>
          </w:tcPr>
          <w:p w14:paraId="630831EB">
            <w:pPr>
              <w:jc w:val="center"/>
              <w:rPr>
                <w:rFonts w:hint="eastAsia"/>
                <w:szCs w:val="21"/>
                <w:highlight w:val="none"/>
                <w:lang w:val="en-US" w:eastAsia="zh-CN"/>
              </w:rPr>
            </w:pPr>
            <w:r>
              <w:rPr>
                <w:rFonts w:hint="eastAsia"/>
                <w:szCs w:val="21"/>
                <w:highlight w:val="none"/>
                <w:lang w:val="en-US" w:eastAsia="zh-CN"/>
              </w:rPr>
              <w:t>1台</w:t>
            </w:r>
          </w:p>
        </w:tc>
        <w:tc>
          <w:tcPr>
            <w:tcW w:w="9548" w:type="dxa"/>
            <w:vAlign w:val="top"/>
          </w:tcPr>
          <w:p w14:paraId="65CA365D">
            <w:pPr>
              <w:numPr>
                <w:ilvl w:val="0"/>
                <w:numId w:val="0"/>
              </w:num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主体采用SUS304不锈钢板；</w:t>
            </w:r>
          </w:p>
          <w:p w14:paraId="40080765">
            <w:pPr>
              <w:numPr>
                <w:ilvl w:val="0"/>
                <w:numId w:val="0"/>
              </w:numPr>
              <w:rPr>
                <w:rFonts w:hint="eastAsia"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2.架体</w:t>
            </w:r>
            <w:r>
              <w:rPr>
                <w:rFonts w:hint="eastAsia" w:asciiTheme="minorEastAsia" w:hAnsiTheme="minorEastAsia" w:eastAsiaTheme="minorEastAsia" w:cstheme="minorEastAsia"/>
                <w:sz w:val="24"/>
                <w:szCs w:val="24"/>
                <w:highlight w:val="none"/>
              </w:rPr>
              <w:t>40×80</w:t>
            </w:r>
            <w:r>
              <w:rPr>
                <w:rFonts w:hint="eastAsia" w:asciiTheme="minorEastAsia" w:hAnsiTheme="minorEastAsia" w:eastAsiaTheme="minorEastAsia" w:cstheme="minorEastAsia"/>
                <w:sz w:val="24"/>
                <w:szCs w:val="24"/>
                <w:highlight w:val="none"/>
                <w:lang w:val="en-US" w:eastAsia="zh-CN"/>
              </w:rPr>
              <w:t>mm</w:t>
            </w:r>
            <w:r>
              <w:rPr>
                <w:rFonts w:hint="eastAsia" w:asciiTheme="minorEastAsia" w:hAnsiTheme="minorEastAsia" w:eastAsiaTheme="minorEastAsia" w:cstheme="minorEastAsia"/>
                <w:sz w:val="24"/>
                <w:szCs w:val="24"/>
                <w:highlight w:val="none"/>
              </w:rPr>
              <w:t>不锈钢方管；</w:t>
            </w:r>
          </w:p>
          <w:p w14:paraId="70DD0AD2">
            <w:pPr>
              <w:numPr>
                <w:ilvl w:val="0"/>
                <w:numId w:val="0"/>
              </w:numPr>
              <w:rPr>
                <w:rFonts w:hint="eastAsia"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输送带采用SUS304不锈钢链板输送带，</w:t>
            </w:r>
          </w:p>
          <w:p w14:paraId="662F7FB9">
            <w:pPr>
              <w:numPr>
                <w:ilvl w:val="0"/>
                <w:numId w:val="0"/>
              </w:numPr>
              <w:rPr>
                <w:rFonts w:hint="eastAsia"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4.输送电机</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国标</w:t>
            </w: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kw</w:t>
            </w:r>
            <w:r>
              <w:rPr>
                <w:rFonts w:hint="eastAsia" w:asciiTheme="minorEastAsia" w:hAnsiTheme="minorEastAsia" w:eastAsiaTheme="minorEastAsia" w:cstheme="minorEastAsia"/>
                <w:sz w:val="24"/>
                <w:szCs w:val="24"/>
                <w:highlight w:val="none"/>
                <w:lang w:eastAsia="zh-CN"/>
              </w:rPr>
              <w:t>；</w:t>
            </w:r>
          </w:p>
          <w:p w14:paraId="3C9C9258">
            <w:pPr>
              <w:numPr>
                <w:ilvl w:val="0"/>
                <w:numId w:val="0"/>
              </w:numPr>
              <w:rPr>
                <w:rFonts w:hint="eastAsia"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5.曝</w:t>
            </w:r>
            <w:r>
              <w:rPr>
                <w:rFonts w:hint="eastAsia" w:asciiTheme="minorEastAsia" w:hAnsiTheme="minorEastAsia" w:eastAsiaTheme="minorEastAsia" w:cstheme="minorEastAsia"/>
                <w:sz w:val="24"/>
                <w:szCs w:val="24"/>
                <w:highlight w:val="none"/>
              </w:rPr>
              <w:t>气泵</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kw</w:t>
            </w:r>
            <w:r>
              <w:rPr>
                <w:rFonts w:hint="eastAsia" w:asciiTheme="minorEastAsia" w:hAnsiTheme="minorEastAsia" w:eastAsiaTheme="minorEastAsia" w:cstheme="minorEastAsia"/>
                <w:sz w:val="24"/>
                <w:szCs w:val="24"/>
                <w:highlight w:val="none"/>
                <w:lang w:eastAsia="zh-CN"/>
              </w:rPr>
              <w:t>；</w:t>
            </w:r>
          </w:p>
          <w:p w14:paraId="7B3BB746">
            <w:pPr>
              <w:numPr>
                <w:ilvl w:val="0"/>
                <w:numId w:val="0"/>
              </w:num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6.板材厚度：2-4</w:t>
            </w:r>
            <w:r>
              <w:rPr>
                <w:rFonts w:hint="eastAsia" w:asciiTheme="minorEastAsia" w:hAnsiTheme="minorEastAsia" w:eastAsiaTheme="minorEastAsia" w:cstheme="minorEastAsia"/>
                <w:sz w:val="24"/>
                <w:szCs w:val="24"/>
                <w:highlight w:val="none"/>
              </w:rPr>
              <w:t>mm</w:t>
            </w:r>
            <w:r>
              <w:rPr>
                <w:rFonts w:hint="eastAsia" w:asciiTheme="minorEastAsia" w:hAnsiTheme="minorEastAsia" w:eastAsiaTheme="minorEastAsia" w:cstheme="minorEastAsia"/>
                <w:sz w:val="24"/>
                <w:szCs w:val="24"/>
                <w:highlight w:val="none"/>
                <w:lang w:val="en-US" w:eastAsia="zh-CN"/>
              </w:rPr>
              <w:t>厚</w:t>
            </w:r>
            <w:r>
              <w:rPr>
                <w:rFonts w:hint="eastAsia" w:asciiTheme="minorEastAsia" w:hAnsiTheme="minorEastAsia" w:eastAsiaTheme="minorEastAsia" w:cstheme="minorEastAsia"/>
                <w:sz w:val="24"/>
                <w:szCs w:val="24"/>
                <w:highlight w:val="none"/>
              </w:rPr>
              <w:t>不锈钢板</w:t>
            </w:r>
            <w:r>
              <w:rPr>
                <w:rFonts w:hint="eastAsia" w:asciiTheme="minorEastAsia" w:hAnsiTheme="minorEastAsia" w:eastAsiaTheme="minorEastAsia" w:cstheme="minorEastAsia"/>
                <w:sz w:val="24"/>
                <w:szCs w:val="24"/>
                <w:highlight w:val="none"/>
                <w:lang w:eastAsia="zh-CN"/>
              </w:rPr>
              <w:t>；</w:t>
            </w:r>
          </w:p>
          <w:p w14:paraId="47E3C3F8">
            <w:pPr>
              <w:numPr>
                <w:ilvl w:val="0"/>
                <w:numId w:val="0"/>
              </w:numPr>
              <w:ind w:leftChars="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7.</w:t>
            </w:r>
            <w:r>
              <w:rPr>
                <w:rFonts w:hint="eastAsia" w:asciiTheme="minorEastAsia" w:hAnsiTheme="minorEastAsia" w:eastAsiaTheme="minorEastAsia" w:cstheme="minorEastAsia"/>
                <w:sz w:val="24"/>
                <w:szCs w:val="24"/>
                <w:highlight w:val="none"/>
              </w:rPr>
              <w:t>提升电机采用</w:t>
            </w:r>
            <w:r>
              <w:rPr>
                <w:rFonts w:hint="eastAsia" w:asciiTheme="minorEastAsia" w:hAnsiTheme="minorEastAsia" w:eastAsiaTheme="minorEastAsia" w:cstheme="minorEastAsia"/>
                <w:sz w:val="24"/>
                <w:szCs w:val="24"/>
                <w:highlight w:val="none"/>
                <w:lang w:val="en-US" w:eastAsia="zh-CN"/>
              </w:rPr>
              <w:t>0.55</w:t>
            </w:r>
            <w:r>
              <w:rPr>
                <w:rFonts w:hint="eastAsia" w:asciiTheme="minorEastAsia" w:hAnsiTheme="minorEastAsia" w:eastAsiaTheme="minorEastAsia" w:cstheme="minorEastAsia"/>
                <w:sz w:val="24"/>
                <w:szCs w:val="24"/>
                <w:highlight w:val="none"/>
              </w:rPr>
              <w:t>kw*2台刹车电机</w:t>
            </w:r>
            <w:r>
              <w:rPr>
                <w:rFonts w:hint="eastAsia" w:asciiTheme="minorEastAsia" w:hAnsiTheme="minorEastAsia" w:eastAsiaTheme="minorEastAsia" w:cstheme="minorEastAsia"/>
                <w:sz w:val="24"/>
                <w:szCs w:val="24"/>
                <w:highlight w:val="none"/>
                <w:lang w:eastAsia="zh-CN"/>
              </w:rPr>
              <w:t>；</w:t>
            </w:r>
          </w:p>
          <w:p w14:paraId="13D8CEAB">
            <w:pPr>
              <w:numPr>
                <w:ilvl w:val="0"/>
                <w:numId w:val="0"/>
              </w:numPr>
              <w:ind w:left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8.外形尺寸：5000*1400*2100mm；</w:t>
            </w:r>
          </w:p>
        </w:tc>
      </w:tr>
      <w:tr w14:paraId="0B67C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2658" w:hRule="atLeast"/>
        </w:trPr>
        <w:tc>
          <w:tcPr>
            <w:tcW w:w="542" w:type="dxa"/>
            <w:vAlign w:val="center"/>
          </w:tcPr>
          <w:p w14:paraId="7F20B4FC">
            <w:pPr>
              <w:jc w:val="center"/>
              <w:rPr>
                <w:rFonts w:hint="default"/>
                <w:sz w:val="22"/>
                <w:szCs w:val="22"/>
                <w:highlight w:val="none"/>
                <w:lang w:val="en-US" w:eastAsia="zh-CN"/>
              </w:rPr>
            </w:pPr>
            <w:r>
              <w:rPr>
                <w:rFonts w:hint="eastAsia"/>
                <w:sz w:val="22"/>
                <w:szCs w:val="22"/>
                <w:highlight w:val="none"/>
                <w:lang w:val="en-US" w:eastAsia="zh-CN"/>
              </w:rPr>
              <w:t>10</w:t>
            </w:r>
          </w:p>
        </w:tc>
        <w:tc>
          <w:tcPr>
            <w:tcW w:w="2226" w:type="dxa"/>
            <w:vAlign w:val="center"/>
          </w:tcPr>
          <w:p w14:paraId="61EEFBD4">
            <w:pPr>
              <w:jc w:val="center"/>
              <w:rPr>
                <w:rFonts w:hint="default"/>
                <w:szCs w:val="21"/>
                <w:highlight w:val="none"/>
                <w:lang w:val="en-US" w:eastAsia="zh-CN"/>
              </w:rPr>
            </w:pPr>
            <w:r>
              <w:rPr>
                <w:rFonts w:hint="eastAsia"/>
                <w:szCs w:val="21"/>
                <w:highlight w:val="none"/>
                <w:lang w:val="en-US" w:eastAsia="zh-CN"/>
              </w:rPr>
              <w:t>滚杠除水机</w:t>
            </w:r>
          </w:p>
        </w:tc>
        <w:tc>
          <w:tcPr>
            <w:tcW w:w="2075" w:type="dxa"/>
            <w:vAlign w:val="center"/>
          </w:tcPr>
          <w:p w14:paraId="32EC91ED">
            <w:pPr>
              <w:jc w:val="center"/>
              <w:rPr>
                <w:rFonts w:hint="eastAsia"/>
                <w:szCs w:val="21"/>
                <w:highlight w:val="none"/>
                <w:lang w:val="en-US" w:eastAsia="zh-CN"/>
              </w:rPr>
            </w:pPr>
            <w:r>
              <w:rPr>
                <w:rFonts w:hint="eastAsia"/>
                <w:szCs w:val="21"/>
                <w:highlight w:val="none"/>
                <w:lang w:val="en-US" w:eastAsia="zh-CN"/>
              </w:rPr>
              <w:t>1台</w:t>
            </w:r>
          </w:p>
        </w:tc>
        <w:tc>
          <w:tcPr>
            <w:tcW w:w="9548" w:type="dxa"/>
            <w:vAlign w:val="top"/>
          </w:tcPr>
          <w:p w14:paraId="4ABF87D3">
            <w:pPr>
              <w:numPr>
                <w:ilvl w:val="0"/>
                <w:numId w:val="0"/>
              </w:numPr>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3"/>
                <w:sz w:val="24"/>
                <w:szCs w:val="24"/>
                <w:highlight w:val="none"/>
                <w:lang w:val="en-US" w:eastAsia="zh-CN"/>
              </w:rPr>
              <w:t>1.滚杠</w:t>
            </w:r>
            <w:r>
              <w:rPr>
                <w:rFonts w:hint="eastAsia" w:asciiTheme="minorEastAsia" w:hAnsiTheme="minorEastAsia" w:eastAsiaTheme="minorEastAsia" w:cstheme="minorEastAsia"/>
                <w:spacing w:val="-3"/>
                <w:sz w:val="24"/>
                <w:szCs w:val="24"/>
                <w:highlight w:val="none"/>
              </w:rPr>
              <w:t>输送带有效宽度为</w:t>
            </w:r>
            <w:r>
              <w:rPr>
                <w:rFonts w:hint="eastAsia" w:asciiTheme="minorEastAsia" w:hAnsiTheme="minorEastAsia" w:eastAsiaTheme="minorEastAsia" w:cstheme="minorEastAsia"/>
                <w:spacing w:val="-3"/>
                <w:sz w:val="24"/>
                <w:szCs w:val="24"/>
                <w:highlight w:val="none"/>
                <w:lang w:val="en-US" w:eastAsia="zh-CN"/>
              </w:rPr>
              <w:t>10</w:t>
            </w:r>
            <w:r>
              <w:rPr>
                <w:rFonts w:hint="eastAsia" w:asciiTheme="minorEastAsia" w:hAnsiTheme="minorEastAsia" w:eastAsiaTheme="minorEastAsia" w:cstheme="minorEastAsia"/>
                <w:spacing w:val="-3"/>
                <w:sz w:val="24"/>
                <w:szCs w:val="24"/>
                <w:highlight w:val="none"/>
              </w:rPr>
              <w:t>00</w:t>
            </w:r>
            <w:r>
              <w:rPr>
                <w:rFonts w:hint="eastAsia" w:asciiTheme="minorEastAsia" w:hAnsiTheme="minorEastAsia" w:eastAsiaTheme="minorEastAsia" w:cstheme="minorEastAsia"/>
                <w:spacing w:val="-3"/>
                <w:sz w:val="24"/>
                <w:szCs w:val="24"/>
                <w:highlight w:val="none"/>
                <w:lang w:val="en-US" w:eastAsia="zh-CN"/>
              </w:rPr>
              <w:t>mm；</w:t>
            </w:r>
          </w:p>
          <w:p w14:paraId="4BA112AE">
            <w:pPr>
              <w:numPr>
                <w:ilvl w:val="0"/>
                <w:numId w:val="0"/>
              </w:numPr>
              <w:ind w:leftChars="0"/>
              <w:rPr>
                <w:rFonts w:hint="eastAsia" w:asciiTheme="minorEastAsia" w:hAnsiTheme="minorEastAsia" w:eastAsiaTheme="minorEastAsia" w:cstheme="minorEastAsia"/>
                <w:spacing w:val="-1"/>
                <w:sz w:val="24"/>
                <w:szCs w:val="24"/>
                <w:highlight w:val="none"/>
              </w:rPr>
            </w:pPr>
            <w:r>
              <w:rPr>
                <w:rFonts w:hint="eastAsia" w:asciiTheme="minorEastAsia" w:hAnsiTheme="minorEastAsia" w:eastAsiaTheme="minorEastAsia" w:cstheme="minorEastAsia"/>
                <w:spacing w:val="-1"/>
                <w:sz w:val="24"/>
                <w:szCs w:val="24"/>
                <w:highlight w:val="none"/>
                <w:lang w:val="en-US" w:eastAsia="zh-CN"/>
              </w:rPr>
              <w:t>2.</w:t>
            </w:r>
            <w:r>
              <w:rPr>
                <w:rFonts w:hint="eastAsia" w:asciiTheme="minorEastAsia" w:hAnsiTheme="minorEastAsia" w:eastAsiaTheme="minorEastAsia" w:cstheme="minorEastAsia"/>
                <w:spacing w:val="-1"/>
                <w:sz w:val="24"/>
                <w:szCs w:val="24"/>
                <w:highlight w:val="none"/>
              </w:rPr>
              <w:t>运行速度：</w:t>
            </w:r>
            <w:r>
              <w:rPr>
                <w:rFonts w:hint="eastAsia" w:asciiTheme="minorEastAsia" w:hAnsiTheme="minorEastAsia" w:eastAsiaTheme="minorEastAsia" w:cstheme="minorEastAsia"/>
                <w:spacing w:val="-1"/>
                <w:sz w:val="24"/>
                <w:szCs w:val="24"/>
                <w:highlight w:val="none"/>
                <w:lang w:val="en-US" w:eastAsia="zh-CN"/>
              </w:rPr>
              <w:t>变频</w:t>
            </w:r>
            <w:r>
              <w:rPr>
                <w:rFonts w:hint="eastAsia" w:asciiTheme="minorEastAsia" w:hAnsiTheme="minorEastAsia" w:eastAsiaTheme="minorEastAsia" w:cstheme="minorEastAsia"/>
                <w:spacing w:val="-1"/>
                <w:sz w:val="24"/>
                <w:szCs w:val="24"/>
                <w:highlight w:val="none"/>
              </w:rPr>
              <w:t>可调</w:t>
            </w:r>
            <w:r>
              <w:rPr>
                <w:rFonts w:hint="eastAsia" w:asciiTheme="minorEastAsia" w:hAnsiTheme="minorEastAsia" w:eastAsiaTheme="minorEastAsia" w:cstheme="minorEastAsia"/>
                <w:spacing w:val="-1"/>
                <w:sz w:val="24"/>
                <w:szCs w:val="24"/>
                <w:highlight w:val="none"/>
                <w:lang w:eastAsia="zh-CN"/>
              </w:rPr>
              <w:t>；</w:t>
            </w:r>
          </w:p>
          <w:p w14:paraId="556C2DC2">
            <w:pPr>
              <w:numPr>
                <w:ilvl w:val="0"/>
                <w:numId w:val="0"/>
              </w:numPr>
              <w:ind w:leftChars="0"/>
              <w:rPr>
                <w:rFonts w:hint="eastAsia"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3"/>
                <w:sz w:val="24"/>
                <w:szCs w:val="24"/>
                <w:highlight w:val="none"/>
                <w:lang w:val="en-US" w:eastAsia="zh-CN"/>
              </w:rPr>
              <w:t>3.电机</w:t>
            </w:r>
            <w:r>
              <w:rPr>
                <w:rFonts w:hint="eastAsia" w:asciiTheme="minorEastAsia" w:hAnsiTheme="minorEastAsia" w:eastAsiaTheme="minorEastAsia" w:cstheme="minorEastAsia"/>
                <w:spacing w:val="-3"/>
                <w:sz w:val="24"/>
                <w:szCs w:val="24"/>
                <w:highlight w:val="none"/>
              </w:rPr>
              <w:t>功率：</w:t>
            </w:r>
            <w:r>
              <w:rPr>
                <w:rFonts w:hint="eastAsia" w:asciiTheme="minorEastAsia" w:hAnsiTheme="minorEastAsia" w:eastAsiaTheme="minorEastAsia" w:cstheme="minorEastAsia"/>
                <w:spacing w:val="-3"/>
                <w:sz w:val="24"/>
                <w:szCs w:val="24"/>
                <w:highlight w:val="none"/>
                <w:lang w:val="en-US" w:eastAsia="zh-CN"/>
              </w:rPr>
              <w:t>0.75kw/</w:t>
            </w:r>
            <w:r>
              <w:rPr>
                <w:rFonts w:hint="eastAsia" w:asciiTheme="minorEastAsia" w:hAnsiTheme="minorEastAsia" w:eastAsiaTheme="minorEastAsia" w:cstheme="minorEastAsia"/>
                <w:spacing w:val="42"/>
                <w:sz w:val="24"/>
                <w:szCs w:val="24"/>
                <w:highlight w:val="none"/>
              </w:rPr>
              <w:t xml:space="preserve"> </w:t>
            </w:r>
            <w:r>
              <w:rPr>
                <w:rFonts w:hint="eastAsia" w:asciiTheme="minorEastAsia" w:hAnsiTheme="minorEastAsia" w:eastAsiaTheme="minorEastAsia" w:cstheme="minorEastAsia"/>
                <w:spacing w:val="42"/>
                <w:sz w:val="24"/>
                <w:szCs w:val="24"/>
                <w:highlight w:val="none"/>
                <w:lang w:val="en-US" w:eastAsia="zh-CN"/>
              </w:rPr>
              <w:t>380v；</w:t>
            </w:r>
          </w:p>
          <w:p w14:paraId="2AB897E1">
            <w:pPr>
              <w:numPr>
                <w:ilvl w:val="0"/>
                <w:numId w:val="0"/>
              </w:numPr>
              <w:ind w:leftChars="0"/>
              <w:rPr>
                <w:rFonts w:hint="eastAsia"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4.</w:t>
            </w:r>
            <w:r>
              <w:rPr>
                <w:rFonts w:hint="eastAsia" w:asciiTheme="minorEastAsia" w:hAnsiTheme="minorEastAsia" w:eastAsiaTheme="minorEastAsia" w:cstheme="minorEastAsia"/>
                <w:spacing w:val="-1"/>
                <w:sz w:val="24"/>
                <w:szCs w:val="24"/>
                <w:highlight w:val="none"/>
              </w:rPr>
              <w:t>外形尺寸：</w:t>
            </w:r>
            <w:r>
              <w:rPr>
                <w:rFonts w:hint="eastAsia" w:asciiTheme="minorEastAsia" w:hAnsiTheme="minorEastAsia" w:eastAsiaTheme="minorEastAsia" w:cstheme="minorEastAsia"/>
                <w:spacing w:val="-1"/>
                <w:sz w:val="24"/>
                <w:szCs w:val="24"/>
                <w:highlight w:val="none"/>
                <w:lang w:val="en-US" w:eastAsia="zh-CN"/>
              </w:rPr>
              <w:t>40</w:t>
            </w:r>
            <w:r>
              <w:rPr>
                <w:rFonts w:hint="eastAsia" w:asciiTheme="minorEastAsia" w:hAnsiTheme="minorEastAsia" w:eastAsiaTheme="minorEastAsia" w:cstheme="minorEastAsia"/>
                <w:spacing w:val="-1"/>
                <w:sz w:val="24"/>
                <w:szCs w:val="24"/>
                <w:highlight w:val="none"/>
              </w:rPr>
              <w:t>00*1</w:t>
            </w:r>
            <w:r>
              <w:rPr>
                <w:rFonts w:hint="eastAsia" w:asciiTheme="minorEastAsia" w:hAnsiTheme="minorEastAsia" w:eastAsiaTheme="minorEastAsia" w:cstheme="minorEastAsia"/>
                <w:spacing w:val="-1"/>
                <w:sz w:val="24"/>
                <w:szCs w:val="24"/>
                <w:highlight w:val="none"/>
                <w:lang w:val="en-US" w:eastAsia="zh-CN"/>
              </w:rPr>
              <w:t>200*1300mm；</w:t>
            </w:r>
          </w:p>
          <w:p w14:paraId="736FA7FA">
            <w:pPr>
              <w:pStyle w:val="36"/>
              <w:spacing w:before="28" w:line="223" w:lineRule="auto"/>
              <w:rPr>
                <w:rFonts w:hint="eastAsia"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5.设备材质：304不锈钢；</w:t>
            </w:r>
          </w:p>
          <w:p w14:paraId="6D5D0E9F">
            <w:pPr>
              <w:pStyle w:val="36"/>
              <w:spacing w:before="28" w:line="223" w:lineRule="auto"/>
              <w:rPr>
                <w:rFonts w:hint="eastAsia"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6.减速机：国标；</w:t>
            </w:r>
          </w:p>
          <w:p w14:paraId="33DA4D07">
            <w:pPr>
              <w:pStyle w:val="36"/>
              <w:spacing w:before="28" w:line="223" w:lineRule="auto"/>
              <w:rPr>
                <w:rFonts w:hint="eastAsia"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7.除水风机：0.75kw*8台；</w:t>
            </w:r>
          </w:p>
          <w:p w14:paraId="7C42E998">
            <w:pPr>
              <w:pStyle w:val="36"/>
              <w:spacing w:before="28" w:line="223" w:lineRule="auto"/>
              <w:rPr>
                <w:rFonts w:hint="eastAsia"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8.风机：国标；</w:t>
            </w:r>
          </w:p>
          <w:p w14:paraId="68F21B71">
            <w:pPr>
              <w:numPr>
                <w:ilvl w:val="0"/>
                <w:numId w:val="0"/>
              </w:numP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9.板材厚度：2-4</w:t>
            </w:r>
            <w:r>
              <w:rPr>
                <w:rFonts w:hint="eastAsia" w:asciiTheme="minorEastAsia" w:hAnsiTheme="minorEastAsia" w:eastAsiaTheme="minorEastAsia" w:cstheme="minorEastAsia"/>
                <w:sz w:val="24"/>
                <w:szCs w:val="24"/>
                <w:highlight w:val="none"/>
              </w:rPr>
              <w:t>mm</w:t>
            </w:r>
            <w:r>
              <w:rPr>
                <w:rFonts w:hint="eastAsia" w:asciiTheme="minorEastAsia" w:hAnsiTheme="minorEastAsia" w:eastAsiaTheme="minorEastAsia" w:cstheme="minorEastAsia"/>
                <w:sz w:val="24"/>
                <w:szCs w:val="24"/>
                <w:highlight w:val="none"/>
                <w:lang w:val="en-US" w:eastAsia="zh-CN"/>
              </w:rPr>
              <w:t>厚</w:t>
            </w:r>
            <w:r>
              <w:rPr>
                <w:rFonts w:hint="eastAsia" w:asciiTheme="minorEastAsia" w:hAnsiTheme="minorEastAsia" w:eastAsiaTheme="minorEastAsia" w:cstheme="minorEastAsia"/>
                <w:sz w:val="24"/>
                <w:szCs w:val="24"/>
                <w:highlight w:val="none"/>
              </w:rPr>
              <w:t>不锈钢板</w:t>
            </w:r>
            <w:r>
              <w:rPr>
                <w:rFonts w:hint="eastAsia" w:asciiTheme="minorEastAsia" w:hAnsiTheme="minorEastAsia" w:eastAsiaTheme="minorEastAsia" w:cstheme="minorEastAsia"/>
                <w:sz w:val="24"/>
                <w:szCs w:val="24"/>
                <w:highlight w:val="none"/>
                <w:lang w:eastAsia="zh-CN"/>
              </w:rPr>
              <w:t>；</w:t>
            </w:r>
          </w:p>
        </w:tc>
      </w:tr>
      <w:tr w14:paraId="06A4D5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2658" w:hRule="atLeast"/>
        </w:trPr>
        <w:tc>
          <w:tcPr>
            <w:tcW w:w="542" w:type="dxa"/>
            <w:vAlign w:val="center"/>
          </w:tcPr>
          <w:p w14:paraId="4A3765BA">
            <w:pPr>
              <w:jc w:val="center"/>
              <w:rPr>
                <w:rFonts w:hint="default"/>
                <w:sz w:val="22"/>
                <w:szCs w:val="22"/>
                <w:highlight w:val="none"/>
                <w:lang w:val="en-US" w:eastAsia="zh-CN"/>
              </w:rPr>
            </w:pPr>
            <w:r>
              <w:rPr>
                <w:rFonts w:hint="eastAsia"/>
                <w:sz w:val="22"/>
                <w:szCs w:val="22"/>
                <w:highlight w:val="none"/>
                <w:lang w:val="en-US" w:eastAsia="zh-CN"/>
              </w:rPr>
              <w:t>11</w:t>
            </w:r>
          </w:p>
        </w:tc>
        <w:tc>
          <w:tcPr>
            <w:tcW w:w="2226" w:type="dxa"/>
            <w:vAlign w:val="center"/>
          </w:tcPr>
          <w:p w14:paraId="4F2E02A7">
            <w:pPr>
              <w:jc w:val="center"/>
              <w:rPr>
                <w:rFonts w:hint="default" w:eastAsia="微软雅黑"/>
                <w:szCs w:val="21"/>
                <w:highlight w:val="none"/>
                <w:lang w:val="en-US" w:eastAsia="zh-CN"/>
              </w:rPr>
            </w:pPr>
            <w:r>
              <w:rPr>
                <w:rFonts w:hint="eastAsia"/>
                <w:szCs w:val="21"/>
                <w:highlight w:val="none"/>
                <w:lang w:val="en-US" w:eastAsia="zh-CN"/>
              </w:rPr>
              <w:t>循环输送线</w:t>
            </w:r>
          </w:p>
        </w:tc>
        <w:tc>
          <w:tcPr>
            <w:tcW w:w="2075" w:type="dxa"/>
            <w:vAlign w:val="center"/>
          </w:tcPr>
          <w:p w14:paraId="16F36065">
            <w:pPr>
              <w:jc w:val="center"/>
              <w:rPr>
                <w:rFonts w:hint="eastAsia"/>
                <w:szCs w:val="21"/>
                <w:highlight w:val="none"/>
                <w:lang w:val="en-US" w:eastAsia="zh-CN"/>
              </w:rPr>
            </w:pPr>
            <w:r>
              <w:rPr>
                <w:rFonts w:hint="eastAsia"/>
                <w:szCs w:val="21"/>
                <w:highlight w:val="none"/>
                <w:lang w:val="en-US" w:eastAsia="zh-CN"/>
              </w:rPr>
              <w:t>1套</w:t>
            </w:r>
          </w:p>
        </w:tc>
        <w:tc>
          <w:tcPr>
            <w:tcW w:w="9548" w:type="dxa"/>
            <w:vAlign w:val="top"/>
          </w:tcPr>
          <w:p w14:paraId="380FB1C4">
            <w:pPr>
              <w:pStyle w:val="36"/>
              <w:spacing w:before="42" w:line="220"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3"/>
                <w:sz w:val="24"/>
                <w:szCs w:val="24"/>
                <w:highlight w:val="none"/>
              </w:rPr>
              <w:t>1</w:t>
            </w:r>
            <w:r>
              <w:rPr>
                <w:rFonts w:hint="eastAsia" w:asciiTheme="minorEastAsia" w:hAnsiTheme="minorEastAsia" w:eastAsiaTheme="minorEastAsia" w:cstheme="minorEastAsia"/>
                <w:spacing w:val="-3"/>
                <w:sz w:val="24"/>
                <w:szCs w:val="24"/>
                <w:highlight w:val="none"/>
                <w:lang w:val="en-US" w:eastAsia="zh-CN"/>
              </w:rPr>
              <w:t>.</w:t>
            </w:r>
            <w:r>
              <w:rPr>
                <w:rFonts w:hint="eastAsia" w:asciiTheme="minorEastAsia" w:hAnsiTheme="minorEastAsia" w:eastAsiaTheme="minorEastAsia" w:cstheme="minorEastAsia"/>
                <w:spacing w:val="-3"/>
                <w:sz w:val="24"/>
                <w:szCs w:val="24"/>
                <w:highlight w:val="none"/>
              </w:rPr>
              <w:t>皮带有效宽度为</w:t>
            </w:r>
            <w:r>
              <w:rPr>
                <w:rFonts w:hint="eastAsia" w:asciiTheme="minorEastAsia" w:hAnsiTheme="minorEastAsia" w:eastAsiaTheme="minorEastAsia" w:cstheme="minorEastAsia"/>
                <w:spacing w:val="-3"/>
                <w:sz w:val="24"/>
                <w:szCs w:val="24"/>
                <w:highlight w:val="none"/>
                <w:lang w:eastAsia="zh-CN"/>
              </w:rPr>
              <w:t>：</w:t>
            </w:r>
            <w:r>
              <w:rPr>
                <w:rFonts w:hint="eastAsia" w:asciiTheme="minorEastAsia" w:hAnsiTheme="minorEastAsia" w:eastAsiaTheme="minorEastAsia" w:cstheme="minorEastAsia"/>
                <w:spacing w:val="-3"/>
                <w:sz w:val="24"/>
                <w:szCs w:val="24"/>
                <w:highlight w:val="none"/>
                <w:lang w:val="en-US" w:eastAsia="zh-CN"/>
              </w:rPr>
              <w:t>6</w:t>
            </w:r>
            <w:r>
              <w:rPr>
                <w:rFonts w:hint="eastAsia" w:asciiTheme="minorEastAsia" w:hAnsiTheme="minorEastAsia" w:eastAsiaTheme="minorEastAsia" w:cstheme="minorEastAsia"/>
                <w:spacing w:val="-3"/>
                <w:sz w:val="24"/>
                <w:szCs w:val="24"/>
                <w:highlight w:val="none"/>
              </w:rPr>
              <w:t>00</w:t>
            </w:r>
            <w:r>
              <w:rPr>
                <w:rFonts w:hint="eastAsia" w:asciiTheme="minorEastAsia" w:hAnsiTheme="minorEastAsia" w:eastAsiaTheme="minorEastAsia" w:cstheme="minorEastAsia"/>
                <w:spacing w:val="-3"/>
                <w:sz w:val="24"/>
                <w:szCs w:val="24"/>
                <w:highlight w:val="none"/>
                <w:lang w:val="en-US" w:eastAsia="zh-CN"/>
              </w:rPr>
              <w:t>mm；</w:t>
            </w:r>
          </w:p>
          <w:p w14:paraId="38FEB50C">
            <w:pPr>
              <w:pStyle w:val="36"/>
              <w:spacing w:before="28" w:line="220" w:lineRule="auto"/>
              <w:rPr>
                <w:rFonts w:hint="eastAsia" w:asciiTheme="minorEastAsia" w:hAnsiTheme="minorEastAsia" w:eastAsiaTheme="minorEastAsia" w:cstheme="minorEastAsia"/>
                <w:spacing w:val="-1"/>
                <w:sz w:val="24"/>
                <w:szCs w:val="24"/>
                <w:highlight w:val="none"/>
                <w:lang w:eastAsia="zh-CN"/>
              </w:rPr>
            </w:pPr>
            <w:r>
              <w:rPr>
                <w:rFonts w:hint="eastAsia" w:asciiTheme="minorEastAsia" w:hAnsiTheme="minorEastAsia" w:eastAsiaTheme="minorEastAsia" w:cstheme="minorEastAsia"/>
                <w:spacing w:val="-1"/>
                <w:sz w:val="24"/>
                <w:szCs w:val="24"/>
                <w:highlight w:val="none"/>
              </w:rPr>
              <w:t>2</w:t>
            </w:r>
            <w:r>
              <w:rPr>
                <w:rFonts w:hint="eastAsia" w:asciiTheme="minorEastAsia" w:hAnsiTheme="minorEastAsia" w:eastAsiaTheme="minorEastAsia" w:cstheme="minorEastAsia"/>
                <w:spacing w:val="-1"/>
                <w:sz w:val="24"/>
                <w:szCs w:val="24"/>
                <w:highlight w:val="none"/>
                <w:lang w:val="en-US" w:eastAsia="zh-CN"/>
              </w:rPr>
              <w:t>.</w:t>
            </w:r>
            <w:r>
              <w:rPr>
                <w:rFonts w:hint="eastAsia" w:asciiTheme="minorEastAsia" w:hAnsiTheme="minorEastAsia" w:eastAsiaTheme="minorEastAsia" w:cstheme="minorEastAsia"/>
                <w:spacing w:val="-1"/>
                <w:sz w:val="24"/>
                <w:szCs w:val="24"/>
                <w:highlight w:val="none"/>
              </w:rPr>
              <w:t>皮带厚度：</w:t>
            </w:r>
            <w:r>
              <w:rPr>
                <w:rFonts w:hint="eastAsia" w:asciiTheme="minorEastAsia" w:hAnsiTheme="minorEastAsia" w:eastAsiaTheme="minorEastAsia" w:cstheme="minorEastAsia"/>
                <w:spacing w:val="-1"/>
                <w:sz w:val="24"/>
                <w:szCs w:val="24"/>
                <w:highlight w:val="none"/>
                <w:lang w:val="en-US" w:eastAsia="zh-CN"/>
              </w:rPr>
              <w:t>3-4</w:t>
            </w:r>
            <w:r>
              <w:rPr>
                <w:rFonts w:hint="eastAsia" w:asciiTheme="minorEastAsia" w:hAnsiTheme="minorEastAsia" w:eastAsiaTheme="minorEastAsia" w:cstheme="minorEastAsia"/>
                <w:spacing w:val="-1"/>
                <w:sz w:val="24"/>
                <w:szCs w:val="24"/>
                <w:highlight w:val="none"/>
              </w:rPr>
              <w:t xml:space="preserve">mm  </w:t>
            </w:r>
            <w:r>
              <w:rPr>
                <w:rFonts w:hint="eastAsia" w:asciiTheme="minorEastAsia" w:hAnsiTheme="minorEastAsia" w:eastAsiaTheme="minorEastAsia" w:cstheme="minorEastAsia"/>
                <w:spacing w:val="-1"/>
                <w:sz w:val="24"/>
                <w:szCs w:val="24"/>
                <w:highlight w:val="none"/>
                <w:lang w:eastAsia="zh-CN"/>
              </w:rPr>
              <w:t>；</w:t>
            </w:r>
          </w:p>
          <w:p w14:paraId="327481DE">
            <w:pPr>
              <w:pStyle w:val="36"/>
              <w:spacing w:before="28" w:line="220"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3.皮带材质</w:t>
            </w:r>
            <w:r>
              <w:rPr>
                <w:rFonts w:hint="eastAsia" w:asciiTheme="minorEastAsia" w:hAnsiTheme="minorEastAsia" w:eastAsiaTheme="minorEastAsia" w:cstheme="minorEastAsia"/>
                <w:spacing w:val="-1"/>
                <w:sz w:val="24"/>
                <w:szCs w:val="24"/>
                <w:highlight w:val="none"/>
                <w:lang w:eastAsia="zh-CN"/>
              </w:rPr>
              <w:t>：</w:t>
            </w:r>
            <w:r>
              <w:rPr>
                <w:rFonts w:hint="eastAsia" w:asciiTheme="minorEastAsia" w:hAnsiTheme="minorEastAsia" w:eastAsiaTheme="minorEastAsia" w:cstheme="minorEastAsia"/>
                <w:spacing w:val="-1"/>
                <w:sz w:val="24"/>
                <w:szCs w:val="24"/>
                <w:highlight w:val="none"/>
                <w:lang w:val="en-US" w:eastAsia="zh-CN"/>
              </w:rPr>
              <w:t>食品级PVC带；</w:t>
            </w:r>
          </w:p>
          <w:p w14:paraId="1D5FEEA3">
            <w:pPr>
              <w:pStyle w:val="36"/>
              <w:spacing w:before="28" w:line="223" w:lineRule="auto"/>
              <w:rPr>
                <w:rFonts w:hint="eastAsia" w:asciiTheme="minorEastAsia" w:hAnsiTheme="minorEastAsia" w:eastAsiaTheme="minorEastAsia" w:cstheme="minorEastAsia"/>
                <w:spacing w:val="14"/>
                <w:sz w:val="24"/>
                <w:szCs w:val="24"/>
                <w:highlight w:val="none"/>
                <w:lang w:eastAsia="zh-CN"/>
              </w:rPr>
            </w:pPr>
            <w:r>
              <w:rPr>
                <w:rFonts w:hint="eastAsia" w:asciiTheme="minorEastAsia" w:hAnsiTheme="minorEastAsia" w:eastAsiaTheme="minorEastAsia" w:cstheme="minorEastAsia"/>
                <w:spacing w:val="-6"/>
                <w:sz w:val="24"/>
                <w:szCs w:val="24"/>
                <w:highlight w:val="none"/>
                <w:lang w:val="en-US" w:eastAsia="zh-CN"/>
              </w:rPr>
              <w:t>4.</w:t>
            </w:r>
            <w:r>
              <w:rPr>
                <w:rFonts w:hint="eastAsia" w:asciiTheme="minorEastAsia" w:hAnsiTheme="minorEastAsia" w:eastAsiaTheme="minorEastAsia" w:cstheme="minorEastAsia"/>
                <w:spacing w:val="-2"/>
                <w:sz w:val="24"/>
                <w:szCs w:val="24"/>
                <w:highlight w:val="none"/>
              </w:rPr>
              <w:t>运行</w:t>
            </w:r>
            <w:r>
              <w:rPr>
                <w:rFonts w:hint="eastAsia" w:asciiTheme="minorEastAsia" w:hAnsiTheme="minorEastAsia" w:eastAsiaTheme="minorEastAsia" w:cstheme="minorEastAsia"/>
                <w:spacing w:val="-2"/>
                <w:sz w:val="24"/>
                <w:szCs w:val="24"/>
                <w:highlight w:val="none"/>
                <w:lang w:val="en-US" w:eastAsia="zh-CN"/>
              </w:rPr>
              <w:t>方式</w:t>
            </w:r>
            <w:r>
              <w:rPr>
                <w:rFonts w:hint="eastAsia" w:asciiTheme="minorEastAsia" w:hAnsiTheme="minorEastAsia" w:eastAsiaTheme="minorEastAsia" w:cstheme="minorEastAsia"/>
                <w:spacing w:val="-2"/>
                <w:sz w:val="24"/>
                <w:szCs w:val="24"/>
                <w:highlight w:val="none"/>
              </w:rPr>
              <w:t>：</w:t>
            </w:r>
            <w:r>
              <w:rPr>
                <w:rFonts w:hint="eastAsia" w:asciiTheme="minorEastAsia" w:hAnsiTheme="minorEastAsia" w:eastAsiaTheme="minorEastAsia" w:cstheme="minorEastAsia"/>
                <w:spacing w:val="-2"/>
                <w:sz w:val="24"/>
                <w:szCs w:val="24"/>
                <w:highlight w:val="none"/>
                <w:lang w:val="en-US" w:eastAsia="zh-CN"/>
              </w:rPr>
              <w:t>循环式</w:t>
            </w:r>
            <w:r>
              <w:rPr>
                <w:rFonts w:hint="eastAsia" w:asciiTheme="minorEastAsia" w:hAnsiTheme="minorEastAsia" w:eastAsiaTheme="minorEastAsia" w:cstheme="minorEastAsia"/>
                <w:spacing w:val="14"/>
                <w:sz w:val="24"/>
                <w:szCs w:val="24"/>
                <w:highlight w:val="none"/>
              </w:rPr>
              <w:t xml:space="preserve"> </w:t>
            </w:r>
            <w:r>
              <w:rPr>
                <w:rFonts w:hint="eastAsia" w:asciiTheme="minorEastAsia" w:hAnsiTheme="minorEastAsia" w:eastAsiaTheme="minorEastAsia" w:cstheme="minorEastAsia"/>
                <w:spacing w:val="14"/>
                <w:sz w:val="24"/>
                <w:szCs w:val="24"/>
                <w:highlight w:val="none"/>
                <w:lang w:eastAsia="zh-CN"/>
              </w:rPr>
              <w:t>；</w:t>
            </w:r>
          </w:p>
          <w:p w14:paraId="11DB84E5">
            <w:pPr>
              <w:pStyle w:val="36"/>
              <w:spacing w:before="28" w:line="223" w:lineRule="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3"/>
                <w:sz w:val="24"/>
                <w:szCs w:val="24"/>
                <w:highlight w:val="none"/>
                <w:lang w:val="en-US" w:eastAsia="zh-CN"/>
              </w:rPr>
              <w:t>5.</w:t>
            </w:r>
            <w:r>
              <w:rPr>
                <w:rFonts w:hint="eastAsia" w:asciiTheme="minorEastAsia" w:hAnsiTheme="minorEastAsia" w:eastAsiaTheme="minorEastAsia" w:cstheme="minorEastAsia"/>
                <w:spacing w:val="-3"/>
                <w:sz w:val="24"/>
                <w:szCs w:val="24"/>
                <w:highlight w:val="none"/>
              </w:rPr>
              <w:t>总功率：</w:t>
            </w:r>
            <w:r>
              <w:rPr>
                <w:rFonts w:hint="eastAsia" w:asciiTheme="minorEastAsia" w:hAnsiTheme="minorEastAsia" w:eastAsiaTheme="minorEastAsia" w:cstheme="minorEastAsia"/>
                <w:spacing w:val="-3"/>
                <w:sz w:val="24"/>
                <w:szCs w:val="24"/>
                <w:highlight w:val="none"/>
                <w:lang w:val="en-US" w:eastAsia="zh-CN"/>
              </w:rPr>
              <w:t>2.2</w:t>
            </w:r>
            <w:r>
              <w:rPr>
                <w:rFonts w:hint="eastAsia" w:asciiTheme="minorEastAsia" w:hAnsiTheme="minorEastAsia" w:eastAsiaTheme="minorEastAsia" w:cstheme="minorEastAsia"/>
                <w:spacing w:val="-3"/>
                <w:sz w:val="24"/>
                <w:szCs w:val="24"/>
                <w:highlight w:val="none"/>
              </w:rPr>
              <w:t>KW</w:t>
            </w:r>
            <w:r>
              <w:rPr>
                <w:rFonts w:hint="eastAsia" w:asciiTheme="minorEastAsia" w:hAnsiTheme="minorEastAsia" w:eastAsiaTheme="minorEastAsia" w:cstheme="minorEastAsia"/>
                <w:spacing w:val="-3"/>
                <w:sz w:val="24"/>
                <w:szCs w:val="24"/>
                <w:highlight w:val="none"/>
                <w:lang w:val="en-US" w:eastAsia="zh-CN"/>
              </w:rPr>
              <w:t>/380v</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z w:val="24"/>
                <w:szCs w:val="24"/>
                <w:highlight w:val="none"/>
                <w:lang w:eastAsia="zh-CN"/>
              </w:rPr>
              <w:t>；</w:t>
            </w:r>
          </w:p>
          <w:p w14:paraId="4A9CECEE">
            <w:pPr>
              <w:pStyle w:val="36"/>
              <w:spacing w:before="28" w:line="223" w:lineRule="auto"/>
              <w:rPr>
                <w:rFonts w:hint="eastAsia"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6.</w:t>
            </w:r>
            <w:r>
              <w:rPr>
                <w:rFonts w:hint="eastAsia" w:asciiTheme="minorEastAsia" w:hAnsiTheme="minorEastAsia" w:eastAsiaTheme="minorEastAsia" w:cstheme="minorEastAsia"/>
                <w:spacing w:val="-1"/>
                <w:sz w:val="24"/>
                <w:szCs w:val="24"/>
                <w:highlight w:val="none"/>
              </w:rPr>
              <w:t>外形尺寸：</w:t>
            </w:r>
            <w:r>
              <w:rPr>
                <w:rFonts w:hint="eastAsia" w:asciiTheme="minorEastAsia" w:hAnsiTheme="minorEastAsia" w:eastAsiaTheme="minorEastAsia" w:cstheme="minorEastAsia"/>
                <w:spacing w:val="-1"/>
                <w:sz w:val="24"/>
                <w:szCs w:val="24"/>
                <w:highlight w:val="none"/>
                <w:lang w:val="en-US" w:eastAsia="zh-CN"/>
              </w:rPr>
              <w:t>36000*800*800mm；</w:t>
            </w:r>
          </w:p>
          <w:p w14:paraId="06AD1DBA">
            <w:pPr>
              <w:pStyle w:val="36"/>
              <w:spacing w:before="28" w:line="223" w:lineRule="auto"/>
              <w:rPr>
                <w:rFonts w:hint="eastAsia"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7.设备材质：304不锈钢；</w:t>
            </w:r>
          </w:p>
          <w:p w14:paraId="04A6BCF7">
            <w:pPr>
              <w:pStyle w:val="36"/>
              <w:spacing w:before="28" w:line="223" w:lineRule="auto"/>
              <w:rPr>
                <w:rFonts w:hint="eastAsia"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8.减速机：国标；</w:t>
            </w:r>
          </w:p>
          <w:p w14:paraId="283A188D">
            <w:pPr>
              <w:numPr>
                <w:ilvl w:val="0"/>
                <w:numId w:val="0"/>
              </w:numPr>
              <w:ind w:left="0" w:leftChars="0" w:firstLine="0"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9.架体方管：40*60mm；</w:t>
            </w:r>
          </w:p>
        </w:tc>
      </w:tr>
      <w:tr w14:paraId="56545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2658" w:hRule="atLeast"/>
        </w:trPr>
        <w:tc>
          <w:tcPr>
            <w:tcW w:w="542" w:type="dxa"/>
            <w:vAlign w:val="center"/>
          </w:tcPr>
          <w:p w14:paraId="524783DE">
            <w:pPr>
              <w:jc w:val="center"/>
              <w:rPr>
                <w:rFonts w:hint="default"/>
                <w:sz w:val="22"/>
                <w:szCs w:val="22"/>
                <w:highlight w:val="none"/>
                <w:lang w:val="en-US" w:eastAsia="zh-CN"/>
              </w:rPr>
            </w:pPr>
            <w:r>
              <w:rPr>
                <w:rFonts w:hint="eastAsia"/>
                <w:sz w:val="22"/>
                <w:szCs w:val="22"/>
                <w:highlight w:val="none"/>
                <w:lang w:val="en-US" w:eastAsia="zh-CN"/>
              </w:rPr>
              <w:t>12</w:t>
            </w:r>
          </w:p>
        </w:tc>
        <w:tc>
          <w:tcPr>
            <w:tcW w:w="2226" w:type="dxa"/>
            <w:vAlign w:val="center"/>
          </w:tcPr>
          <w:p w14:paraId="7273CB42">
            <w:pPr>
              <w:jc w:val="center"/>
              <w:rPr>
                <w:rFonts w:hint="eastAsia"/>
                <w:szCs w:val="21"/>
                <w:highlight w:val="none"/>
                <w:lang w:val="en-US" w:eastAsia="zh-CN"/>
              </w:rPr>
            </w:pPr>
            <w:r>
              <w:rPr>
                <w:rFonts w:hint="eastAsia"/>
                <w:szCs w:val="21"/>
                <w:highlight w:val="none"/>
                <w:lang w:val="en-US" w:eastAsia="zh-CN"/>
              </w:rPr>
              <w:t>真空</w:t>
            </w:r>
            <w:r>
              <w:rPr>
                <w:rFonts w:hint="eastAsia"/>
                <w:szCs w:val="21"/>
                <w:highlight w:val="none"/>
              </w:rPr>
              <w:t>包装机</w:t>
            </w:r>
          </w:p>
        </w:tc>
        <w:tc>
          <w:tcPr>
            <w:tcW w:w="2075" w:type="dxa"/>
            <w:vAlign w:val="center"/>
          </w:tcPr>
          <w:p w14:paraId="7EA09639">
            <w:pPr>
              <w:jc w:val="center"/>
              <w:rPr>
                <w:rFonts w:hint="eastAsia"/>
                <w:szCs w:val="21"/>
                <w:highlight w:val="none"/>
                <w:lang w:val="en-US" w:eastAsia="zh-CN"/>
              </w:rPr>
            </w:pPr>
            <w:r>
              <w:rPr>
                <w:rFonts w:hint="eastAsia"/>
                <w:szCs w:val="21"/>
                <w:highlight w:val="none"/>
                <w:lang w:val="en-US" w:eastAsia="zh-CN"/>
              </w:rPr>
              <w:t>6台</w:t>
            </w:r>
          </w:p>
        </w:tc>
        <w:tc>
          <w:tcPr>
            <w:tcW w:w="9548" w:type="dxa"/>
            <w:vAlign w:val="top"/>
          </w:tcPr>
          <w:p w14:paraId="4EE3264C">
            <w:pPr>
              <w:numPr>
                <w:ilvl w:val="0"/>
                <w:numId w:val="0"/>
              </w:num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主体采用SUS304不锈钢板；</w:t>
            </w:r>
          </w:p>
          <w:p w14:paraId="75461CA8">
            <w:pPr>
              <w:numPr>
                <w:ilvl w:val="0"/>
                <w:numId w:val="0"/>
              </w:num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2.设备功率：5kw</w:t>
            </w:r>
            <w:r>
              <w:rPr>
                <w:rFonts w:hint="eastAsia" w:asciiTheme="minorEastAsia" w:hAnsiTheme="minorEastAsia" w:eastAsiaTheme="minorEastAsia" w:cstheme="minorEastAsia"/>
                <w:sz w:val="24"/>
                <w:szCs w:val="24"/>
                <w:highlight w:val="none"/>
              </w:rPr>
              <w:t>；</w:t>
            </w:r>
          </w:p>
          <w:p w14:paraId="1F998BA4">
            <w:pPr>
              <w:numPr>
                <w:ilvl w:val="0"/>
                <w:numId w:val="0"/>
              </w:num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pacing w:val="-3"/>
                <w:sz w:val="24"/>
                <w:szCs w:val="24"/>
                <w:highlight w:val="none"/>
              </w:rPr>
              <w:t>外形尺寸：</w:t>
            </w:r>
            <w:r>
              <w:rPr>
                <w:rFonts w:hint="eastAsia" w:asciiTheme="minorEastAsia" w:hAnsiTheme="minorEastAsia" w:eastAsiaTheme="minorEastAsia" w:cstheme="minorEastAsia"/>
                <w:spacing w:val="-3"/>
                <w:sz w:val="24"/>
                <w:szCs w:val="24"/>
                <w:highlight w:val="none"/>
                <w:lang w:val="en-US" w:eastAsia="zh-CN"/>
              </w:rPr>
              <w:t>18</w:t>
            </w:r>
            <w:r>
              <w:rPr>
                <w:rFonts w:hint="eastAsia" w:asciiTheme="minorEastAsia" w:hAnsiTheme="minorEastAsia" w:eastAsiaTheme="minorEastAsia" w:cstheme="minorEastAsia"/>
                <w:spacing w:val="-3"/>
                <w:sz w:val="24"/>
                <w:szCs w:val="24"/>
                <w:highlight w:val="none"/>
              </w:rPr>
              <w:t>00*</w:t>
            </w:r>
            <w:r>
              <w:rPr>
                <w:rFonts w:hint="eastAsia" w:asciiTheme="minorEastAsia" w:hAnsiTheme="minorEastAsia" w:eastAsiaTheme="minorEastAsia" w:cstheme="minorEastAsia"/>
                <w:spacing w:val="-3"/>
                <w:sz w:val="24"/>
                <w:szCs w:val="24"/>
                <w:highlight w:val="none"/>
                <w:lang w:val="en-US" w:eastAsia="zh-CN"/>
              </w:rPr>
              <w:t>18</w:t>
            </w:r>
            <w:r>
              <w:rPr>
                <w:rFonts w:hint="eastAsia" w:asciiTheme="minorEastAsia" w:hAnsiTheme="minorEastAsia" w:eastAsiaTheme="minorEastAsia" w:cstheme="minorEastAsia"/>
                <w:spacing w:val="-3"/>
                <w:sz w:val="24"/>
                <w:szCs w:val="24"/>
                <w:highlight w:val="none"/>
              </w:rPr>
              <w:t>00*</w:t>
            </w:r>
            <w:r>
              <w:rPr>
                <w:rFonts w:hint="eastAsia" w:asciiTheme="minorEastAsia" w:hAnsiTheme="minorEastAsia" w:eastAsiaTheme="minorEastAsia" w:cstheme="minorEastAsia"/>
                <w:spacing w:val="-3"/>
                <w:sz w:val="24"/>
                <w:szCs w:val="24"/>
                <w:highlight w:val="none"/>
                <w:lang w:val="en-US" w:eastAsia="zh-CN"/>
              </w:rPr>
              <w:t>10</w:t>
            </w:r>
            <w:r>
              <w:rPr>
                <w:rFonts w:hint="eastAsia" w:asciiTheme="minorEastAsia" w:hAnsiTheme="minorEastAsia" w:eastAsiaTheme="minorEastAsia" w:cstheme="minorEastAsia"/>
                <w:spacing w:val="-3"/>
                <w:sz w:val="24"/>
                <w:szCs w:val="24"/>
                <w:highlight w:val="none"/>
              </w:rPr>
              <w:t>00mm</w:t>
            </w:r>
            <w:r>
              <w:rPr>
                <w:rFonts w:hint="eastAsia" w:asciiTheme="minorEastAsia" w:hAnsiTheme="minorEastAsia" w:eastAsiaTheme="minorEastAsia" w:cstheme="minorEastAsia"/>
                <w:spacing w:val="-3"/>
                <w:sz w:val="24"/>
                <w:szCs w:val="24"/>
                <w:highlight w:val="none"/>
                <w:lang w:eastAsia="zh-CN"/>
              </w:rPr>
              <w:t>；</w:t>
            </w:r>
          </w:p>
          <w:p w14:paraId="10E624DD">
            <w:pPr>
              <w:numPr>
                <w:ilvl w:val="0"/>
                <w:numId w:val="0"/>
              </w:numPr>
              <w:rPr>
                <w:rFonts w:hint="eastAsia" w:asciiTheme="minorEastAsia" w:hAnsiTheme="minorEastAsia" w:eastAsiaTheme="minorEastAsia" w:cstheme="minorEastAsia"/>
                <w:spacing w:val="4"/>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pacing w:val="4"/>
                <w:sz w:val="24"/>
                <w:szCs w:val="24"/>
                <w:highlight w:val="none"/>
                <w:lang w:val="en-US" w:eastAsia="zh-CN"/>
              </w:rPr>
              <w:t>设备极限真空度≤0.05mbar；</w:t>
            </w:r>
          </w:p>
          <w:p w14:paraId="2D798626">
            <w:pPr>
              <w:numPr>
                <w:ilvl w:val="0"/>
                <w:numId w:val="0"/>
              </w:num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lang w:val="en-US" w:eastAsia="zh-CN"/>
              </w:rPr>
              <w:t>5.封口速度180-260次/H；</w:t>
            </w:r>
          </w:p>
          <w:p w14:paraId="0AA2833D">
            <w:pPr>
              <w:numPr>
                <w:ilvl w:val="0"/>
                <w:numId w:val="0"/>
              </w:num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lang w:val="en-US" w:eastAsia="zh-CN"/>
              </w:rPr>
              <w:t>6.设备极限真空度≤0.05mbar；</w:t>
            </w:r>
          </w:p>
          <w:p w14:paraId="67172534">
            <w:pPr>
              <w:numPr>
                <w:ilvl w:val="0"/>
                <w:numId w:val="0"/>
              </w:num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6.</w:t>
            </w:r>
            <w:r>
              <w:rPr>
                <w:rFonts w:hint="eastAsia" w:asciiTheme="minorEastAsia" w:hAnsiTheme="minorEastAsia" w:eastAsiaTheme="minorEastAsia" w:cstheme="minorEastAsia"/>
                <w:spacing w:val="4"/>
                <w:sz w:val="24"/>
                <w:szCs w:val="24"/>
                <w:highlight w:val="none"/>
                <w:lang w:val="en-US" w:eastAsia="zh-CN"/>
              </w:rPr>
              <w:t>封口粘合度8mm，封口线长度1100mm；</w:t>
            </w:r>
          </w:p>
          <w:p w14:paraId="285C8B10">
            <w:pPr>
              <w:numPr>
                <w:ilvl w:val="0"/>
                <w:numId w:val="0"/>
              </w:num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7.</w:t>
            </w:r>
            <w:r>
              <w:rPr>
                <w:rFonts w:hint="eastAsia" w:asciiTheme="minorEastAsia" w:hAnsiTheme="minorEastAsia" w:eastAsiaTheme="minorEastAsia" w:cstheme="minorEastAsia"/>
                <w:spacing w:val="4"/>
                <w:sz w:val="24"/>
                <w:szCs w:val="24"/>
                <w:highlight w:val="none"/>
                <w:lang w:val="en-US" w:eastAsia="zh-CN"/>
              </w:rPr>
              <w:t>传动带采用食品级PVC材质；</w:t>
            </w:r>
          </w:p>
          <w:p w14:paraId="7B553CBE">
            <w:pPr>
              <w:numPr>
                <w:ilvl w:val="0"/>
                <w:numId w:val="0"/>
              </w:numPr>
              <w:rPr>
                <w:rFonts w:hint="eastAsia"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8.</w:t>
            </w:r>
            <w:r>
              <w:rPr>
                <w:rFonts w:hint="eastAsia" w:asciiTheme="minorEastAsia" w:hAnsiTheme="minorEastAsia" w:eastAsiaTheme="minorEastAsia" w:cstheme="minorEastAsia"/>
                <w:spacing w:val="4"/>
                <w:sz w:val="24"/>
                <w:szCs w:val="24"/>
                <w:highlight w:val="none"/>
                <w:lang w:val="en-US" w:eastAsia="zh-CN"/>
              </w:rPr>
              <w:t>工作台采用SUS304</w:t>
            </w:r>
            <w:r>
              <w:rPr>
                <w:rFonts w:hint="eastAsia" w:asciiTheme="minorEastAsia" w:hAnsiTheme="minorEastAsia" w:eastAsiaTheme="minorEastAsia" w:cstheme="minorEastAsia"/>
                <w:b w:val="0"/>
                <w:bCs w:val="0"/>
                <w:i w:val="0"/>
                <w:iCs w:val="0"/>
                <w:caps w:val="0"/>
                <w:color w:val="333333"/>
                <w:spacing w:val="0"/>
                <w:sz w:val="24"/>
                <w:szCs w:val="24"/>
                <w:highlight w:val="none"/>
                <w:shd w:val="clear" w:fill="FFFFFF"/>
              </w:rPr>
              <w:t>δ</w:t>
            </w:r>
            <w:r>
              <w:rPr>
                <w:rFonts w:hint="eastAsia" w:asciiTheme="minorEastAsia" w:hAnsiTheme="minorEastAsia" w:eastAsiaTheme="minorEastAsia" w:cstheme="minorEastAsia"/>
                <w:b w:val="0"/>
                <w:bCs w:val="0"/>
                <w:i w:val="0"/>
                <w:iCs w:val="0"/>
                <w:caps w:val="0"/>
                <w:color w:val="333333"/>
                <w:spacing w:val="0"/>
                <w:sz w:val="24"/>
                <w:szCs w:val="24"/>
                <w:highlight w:val="none"/>
                <w:shd w:val="clear" w:fill="FFFFFF"/>
                <w:lang w:val="en-US" w:eastAsia="zh-CN"/>
              </w:rPr>
              <w:t>4-5</w:t>
            </w:r>
            <w:r>
              <w:rPr>
                <w:rFonts w:hint="eastAsia" w:asciiTheme="minorEastAsia" w:hAnsiTheme="minorEastAsia" w:eastAsiaTheme="minorEastAsia" w:cstheme="minorEastAsia"/>
                <w:spacing w:val="4"/>
                <w:sz w:val="24"/>
                <w:szCs w:val="24"/>
                <w:highlight w:val="none"/>
                <w:lang w:val="en-US" w:eastAsia="zh-CN"/>
              </w:rPr>
              <w:t>mm不锈钢板；</w:t>
            </w:r>
          </w:p>
        </w:tc>
      </w:tr>
      <w:tr w14:paraId="72E47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2658" w:hRule="atLeast"/>
        </w:trPr>
        <w:tc>
          <w:tcPr>
            <w:tcW w:w="542" w:type="dxa"/>
            <w:vAlign w:val="center"/>
          </w:tcPr>
          <w:p w14:paraId="5F10F659">
            <w:pPr>
              <w:jc w:val="center"/>
              <w:rPr>
                <w:rFonts w:hint="default"/>
                <w:sz w:val="22"/>
                <w:szCs w:val="22"/>
                <w:highlight w:val="none"/>
                <w:lang w:val="en-US" w:eastAsia="zh-CN"/>
              </w:rPr>
            </w:pPr>
            <w:r>
              <w:rPr>
                <w:rFonts w:hint="eastAsia"/>
                <w:sz w:val="22"/>
                <w:szCs w:val="22"/>
                <w:highlight w:val="none"/>
                <w:lang w:val="en-US" w:eastAsia="zh-CN"/>
              </w:rPr>
              <w:t>13</w:t>
            </w:r>
          </w:p>
        </w:tc>
        <w:tc>
          <w:tcPr>
            <w:tcW w:w="2226" w:type="dxa"/>
            <w:vAlign w:val="center"/>
          </w:tcPr>
          <w:p w14:paraId="3BC9772B">
            <w:pPr>
              <w:jc w:val="center"/>
              <w:rPr>
                <w:rFonts w:hint="default"/>
                <w:szCs w:val="21"/>
                <w:highlight w:val="none"/>
                <w:lang w:val="en-US" w:eastAsia="zh-CN"/>
              </w:rPr>
            </w:pPr>
            <w:r>
              <w:rPr>
                <w:rFonts w:hint="eastAsia"/>
                <w:szCs w:val="21"/>
                <w:highlight w:val="none"/>
                <w:lang w:val="en-US" w:eastAsia="zh-CN"/>
              </w:rPr>
              <w:t>装盘输送机</w:t>
            </w:r>
          </w:p>
        </w:tc>
        <w:tc>
          <w:tcPr>
            <w:tcW w:w="2075" w:type="dxa"/>
            <w:vAlign w:val="center"/>
          </w:tcPr>
          <w:p w14:paraId="2FA70030">
            <w:pPr>
              <w:jc w:val="center"/>
              <w:rPr>
                <w:rFonts w:hint="default"/>
                <w:szCs w:val="21"/>
                <w:highlight w:val="none"/>
                <w:lang w:val="en-US" w:eastAsia="zh-CN"/>
              </w:rPr>
            </w:pPr>
            <w:r>
              <w:rPr>
                <w:rFonts w:hint="eastAsia"/>
                <w:szCs w:val="21"/>
                <w:highlight w:val="none"/>
                <w:lang w:val="en-US" w:eastAsia="zh-CN"/>
              </w:rPr>
              <w:t>1台</w:t>
            </w:r>
          </w:p>
        </w:tc>
        <w:tc>
          <w:tcPr>
            <w:tcW w:w="9548" w:type="dxa"/>
            <w:vAlign w:val="center"/>
          </w:tcPr>
          <w:p w14:paraId="4E716E53">
            <w:pPr>
              <w:pStyle w:val="36"/>
              <w:spacing w:before="42" w:line="220"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3"/>
                <w:sz w:val="24"/>
                <w:szCs w:val="24"/>
                <w:highlight w:val="none"/>
              </w:rPr>
              <w:t>1</w:t>
            </w:r>
            <w:r>
              <w:rPr>
                <w:rFonts w:hint="eastAsia" w:asciiTheme="minorEastAsia" w:hAnsiTheme="minorEastAsia" w:eastAsiaTheme="minorEastAsia" w:cstheme="minorEastAsia"/>
                <w:spacing w:val="-3"/>
                <w:sz w:val="24"/>
                <w:szCs w:val="24"/>
                <w:highlight w:val="none"/>
                <w:lang w:val="en-US" w:eastAsia="zh-CN"/>
              </w:rPr>
              <w:t>.</w:t>
            </w:r>
            <w:r>
              <w:rPr>
                <w:rFonts w:hint="eastAsia" w:asciiTheme="minorEastAsia" w:hAnsiTheme="minorEastAsia" w:eastAsiaTheme="minorEastAsia" w:cstheme="minorEastAsia"/>
                <w:spacing w:val="-3"/>
                <w:sz w:val="24"/>
                <w:szCs w:val="24"/>
                <w:highlight w:val="none"/>
              </w:rPr>
              <w:t>皮带有效宽度为</w:t>
            </w:r>
            <w:r>
              <w:rPr>
                <w:rFonts w:hint="eastAsia" w:asciiTheme="minorEastAsia" w:hAnsiTheme="minorEastAsia" w:eastAsiaTheme="minorEastAsia" w:cstheme="minorEastAsia"/>
                <w:spacing w:val="-3"/>
                <w:sz w:val="24"/>
                <w:szCs w:val="24"/>
                <w:highlight w:val="none"/>
                <w:lang w:eastAsia="zh-CN"/>
              </w:rPr>
              <w:t>：</w:t>
            </w:r>
            <w:r>
              <w:rPr>
                <w:rFonts w:hint="eastAsia" w:asciiTheme="minorEastAsia" w:hAnsiTheme="minorEastAsia" w:eastAsiaTheme="minorEastAsia" w:cstheme="minorEastAsia"/>
                <w:spacing w:val="-3"/>
                <w:sz w:val="24"/>
                <w:szCs w:val="24"/>
                <w:highlight w:val="none"/>
                <w:lang w:val="en-US" w:eastAsia="zh-CN"/>
              </w:rPr>
              <w:t>6</w:t>
            </w:r>
            <w:r>
              <w:rPr>
                <w:rFonts w:hint="eastAsia" w:asciiTheme="minorEastAsia" w:hAnsiTheme="minorEastAsia" w:eastAsiaTheme="minorEastAsia" w:cstheme="minorEastAsia"/>
                <w:spacing w:val="-3"/>
                <w:sz w:val="24"/>
                <w:szCs w:val="24"/>
                <w:highlight w:val="none"/>
              </w:rPr>
              <w:t>00</w:t>
            </w:r>
            <w:r>
              <w:rPr>
                <w:rFonts w:hint="eastAsia" w:asciiTheme="minorEastAsia" w:hAnsiTheme="minorEastAsia" w:eastAsiaTheme="minorEastAsia" w:cstheme="minorEastAsia"/>
                <w:spacing w:val="-3"/>
                <w:sz w:val="24"/>
                <w:szCs w:val="24"/>
                <w:highlight w:val="none"/>
                <w:lang w:val="en-US" w:eastAsia="zh-CN"/>
              </w:rPr>
              <w:t>mm；</w:t>
            </w:r>
          </w:p>
          <w:p w14:paraId="7A3AFC56">
            <w:pPr>
              <w:pStyle w:val="36"/>
              <w:spacing w:before="28" w:line="220" w:lineRule="auto"/>
              <w:rPr>
                <w:rFonts w:hint="eastAsia" w:asciiTheme="minorEastAsia" w:hAnsiTheme="minorEastAsia" w:eastAsiaTheme="minorEastAsia" w:cstheme="minorEastAsia"/>
                <w:spacing w:val="-1"/>
                <w:sz w:val="24"/>
                <w:szCs w:val="24"/>
                <w:highlight w:val="none"/>
              </w:rPr>
            </w:pPr>
            <w:r>
              <w:rPr>
                <w:rFonts w:hint="eastAsia" w:asciiTheme="minorEastAsia" w:hAnsiTheme="minorEastAsia" w:eastAsiaTheme="minorEastAsia" w:cstheme="minorEastAsia"/>
                <w:spacing w:val="-1"/>
                <w:sz w:val="24"/>
                <w:szCs w:val="24"/>
                <w:highlight w:val="none"/>
              </w:rPr>
              <w:t>2</w:t>
            </w:r>
            <w:r>
              <w:rPr>
                <w:rFonts w:hint="eastAsia" w:asciiTheme="minorEastAsia" w:hAnsiTheme="minorEastAsia" w:eastAsiaTheme="minorEastAsia" w:cstheme="minorEastAsia"/>
                <w:spacing w:val="-1"/>
                <w:sz w:val="24"/>
                <w:szCs w:val="24"/>
                <w:highlight w:val="none"/>
                <w:lang w:val="en-US" w:eastAsia="zh-CN"/>
              </w:rPr>
              <w:t>.</w:t>
            </w:r>
            <w:r>
              <w:rPr>
                <w:rFonts w:hint="eastAsia" w:asciiTheme="minorEastAsia" w:hAnsiTheme="minorEastAsia" w:eastAsiaTheme="minorEastAsia" w:cstheme="minorEastAsia"/>
                <w:spacing w:val="-1"/>
                <w:sz w:val="24"/>
                <w:szCs w:val="24"/>
                <w:highlight w:val="none"/>
              </w:rPr>
              <w:t>皮带厚度：</w:t>
            </w:r>
            <w:r>
              <w:rPr>
                <w:rFonts w:hint="eastAsia" w:asciiTheme="minorEastAsia" w:hAnsiTheme="minorEastAsia" w:eastAsiaTheme="minorEastAsia" w:cstheme="minorEastAsia"/>
                <w:spacing w:val="-1"/>
                <w:sz w:val="24"/>
                <w:szCs w:val="24"/>
                <w:highlight w:val="none"/>
                <w:lang w:val="en-US" w:eastAsia="zh-CN"/>
              </w:rPr>
              <w:t>3-4</w:t>
            </w:r>
            <w:r>
              <w:rPr>
                <w:rFonts w:hint="eastAsia" w:asciiTheme="minorEastAsia" w:hAnsiTheme="minorEastAsia" w:eastAsiaTheme="minorEastAsia" w:cstheme="minorEastAsia"/>
                <w:spacing w:val="-1"/>
                <w:sz w:val="24"/>
                <w:szCs w:val="24"/>
                <w:highlight w:val="none"/>
              </w:rPr>
              <w:t xml:space="preserve">mm </w:t>
            </w:r>
            <w:r>
              <w:rPr>
                <w:rFonts w:hint="eastAsia" w:asciiTheme="minorEastAsia" w:hAnsiTheme="minorEastAsia" w:eastAsiaTheme="minorEastAsia" w:cstheme="minorEastAsia"/>
                <w:spacing w:val="-1"/>
                <w:sz w:val="24"/>
                <w:szCs w:val="24"/>
                <w:highlight w:val="none"/>
                <w:lang w:eastAsia="zh-CN"/>
              </w:rPr>
              <w:t>；</w:t>
            </w:r>
            <w:r>
              <w:rPr>
                <w:rFonts w:hint="eastAsia" w:asciiTheme="minorEastAsia" w:hAnsiTheme="minorEastAsia" w:eastAsiaTheme="minorEastAsia" w:cstheme="minorEastAsia"/>
                <w:spacing w:val="-1"/>
                <w:sz w:val="24"/>
                <w:szCs w:val="24"/>
                <w:highlight w:val="none"/>
              </w:rPr>
              <w:t xml:space="preserve"> </w:t>
            </w:r>
          </w:p>
          <w:p w14:paraId="79462A39">
            <w:pPr>
              <w:pStyle w:val="36"/>
              <w:spacing w:before="28" w:line="220"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3.皮带材质</w:t>
            </w:r>
            <w:r>
              <w:rPr>
                <w:rFonts w:hint="eastAsia" w:asciiTheme="minorEastAsia" w:hAnsiTheme="minorEastAsia" w:eastAsiaTheme="minorEastAsia" w:cstheme="minorEastAsia"/>
                <w:spacing w:val="-1"/>
                <w:sz w:val="24"/>
                <w:szCs w:val="24"/>
                <w:highlight w:val="none"/>
                <w:lang w:eastAsia="zh-CN"/>
              </w:rPr>
              <w:t>：</w:t>
            </w:r>
            <w:r>
              <w:rPr>
                <w:rFonts w:hint="eastAsia" w:asciiTheme="minorEastAsia" w:hAnsiTheme="minorEastAsia" w:eastAsiaTheme="minorEastAsia" w:cstheme="minorEastAsia"/>
                <w:spacing w:val="-1"/>
                <w:sz w:val="24"/>
                <w:szCs w:val="24"/>
                <w:highlight w:val="none"/>
                <w:lang w:val="en-US" w:eastAsia="zh-CN"/>
              </w:rPr>
              <w:t>食品级PVC带；</w:t>
            </w:r>
          </w:p>
          <w:p w14:paraId="068EB4CC">
            <w:pPr>
              <w:pStyle w:val="36"/>
              <w:spacing w:before="28" w:line="223" w:lineRule="auto"/>
              <w:rPr>
                <w:rFonts w:hint="eastAsia" w:asciiTheme="minorEastAsia" w:hAnsiTheme="minorEastAsia" w:eastAsiaTheme="minorEastAsia" w:cstheme="minorEastAsia"/>
                <w:spacing w:val="14"/>
                <w:sz w:val="24"/>
                <w:szCs w:val="24"/>
                <w:highlight w:val="none"/>
                <w:lang w:eastAsia="zh-CN"/>
              </w:rPr>
            </w:pPr>
            <w:r>
              <w:rPr>
                <w:rFonts w:hint="eastAsia" w:asciiTheme="minorEastAsia" w:hAnsiTheme="minorEastAsia" w:eastAsiaTheme="minorEastAsia" w:cstheme="minorEastAsia"/>
                <w:spacing w:val="-6"/>
                <w:sz w:val="24"/>
                <w:szCs w:val="24"/>
                <w:highlight w:val="none"/>
                <w:lang w:val="en-US" w:eastAsia="zh-CN"/>
              </w:rPr>
              <w:t>4.板材厚度：2-4mm</w:t>
            </w:r>
            <w:r>
              <w:rPr>
                <w:rFonts w:hint="eastAsia" w:asciiTheme="minorEastAsia" w:hAnsiTheme="minorEastAsia" w:eastAsiaTheme="minorEastAsia" w:cstheme="minorEastAsia"/>
                <w:spacing w:val="14"/>
                <w:sz w:val="24"/>
                <w:szCs w:val="24"/>
                <w:highlight w:val="none"/>
                <w:lang w:eastAsia="zh-CN"/>
              </w:rPr>
              <w:t>；</w:t>
            </w:r>
          </w:p>
          <w:p w14:paraId="6E4C890A">
            <w:pPr>
              <w:pStyle w:val="36"/>
              <w:spacing w:before="28" w:line="223"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val="en-US" w:eastAsia="zh-CN"/>
              </w:rPr>
              <w:t>5.</w:t>
            </w:r>
            <w:r>
              <w:rPr>
                <w:rFonts w:hint="eastAsia" w:asciiTheme="minorEastAsia" w:hAnsiTheme="minorEastAsia" w:eastAsiaTheme="minorEastAsia" w:cstheme="minorEastAsia"/>
                <w:spacing w:val="-3"/>
                <w:sz w:val="24"/>
                <w:szCs w:val="24"/>
                <w:highlight w:val="none"/>
              </w:rPr>
              <w:t>总功率：</w:t>
            </w:r>
            <w:r>
              <w:rPr>
                <w:rFonts w:hint="eastAsia" w:asciiTheme="minorEastAsia" w:hAnsiTheme="minorEastAsia" w:eastAsiaTheme="minorEastAsia" w:cstheme="minorEastAsia"/>
                <w:spacing w:val="-3"/>
                <w:sz w:val="24"/>
                <w:szCs w:val="24"/>
                <w:highlight w:val="none"/>
                <w:lang w:val="en-US" w:eastAsia="zh-CN"/>
              </w:rPr>
              <w:t>0.55</w:t>
            </w:r>
            <w:r>
              <w:rPr>
                <w:rFonts w:hint="eastAsia" w:asciiTheme="minorEastAsia" w:hAnsiTheme="minorEastAsia" w:eastAsiaTheme="minorEastAsia" w:cstheme="minorEastAsia"/>
                <w:spacing w:val="-3"/>
                <w:sz w:val="24"/>
                <w:szCs w:val="24"/>
                <w:highlight w:val="none"/>
              </w:rPr>
              <w:t>KW</w:t>
            </w:r>
            <w:r>
              <w:rPr>
                <w:rFonts w:hint="eastAsia" w:asciiTheme="minorEastAsia" w:hAnsiTheme="minorEastAsia" w:eastAsiaTheme="minorEastAsia" w:cstheme="minorEastAsia"/>
                <w:spacing w:val="-3"/>
                <w:sz w:val="24"/>
                <w:szCs w:val="24"/>
                <w:highlight w:val="none"/>
                <w:lang w:val="en-US" w:eastAsia="zh-CN"/>
              </w:rPr>
              <w:t>/380v</w:t>
            </w:r>
            <w:r>
              <w:rPr>
                <w:rFonts w:hint="eastAsia" w:asciiTheme="minorEastAsia" w:hAnsiTheme="minorEastAsia" w:eastAsiaTheme="minorEastAsia" w:cstheme="minorEastAsia"/>
                <w:sz w:val="24"/>
                <w:szCs w:val="24"/>
                <w:highlight w:val="none"/>
              </w:rPr>
              <w:t xml:space="preserve"> </w:t>
            </w:r>
          </w:p>
          <w:p w14:paraId="2EFA7CB2">
            <w:pPr>
              <w:pStyle w:val="36"/>
              <w:spacing w:before="28" w:line="223" w:lineRule="auto"/>
              <w:rPr>
                <w:rFonts w:hint="eastAsia"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6.</w:t>
            </w:r>
            <w:r>
              <w:rPr>
                <w:rFonts w:hint="eastAsia" w:asciiTheme="minorEastAsia" w:hAnsiTheme="minorEastAsia" w:eastAsiaTheme="minorEastAsia" w:cstheme="minorEastAsia"/>
                <w:spacing w:val="-1"/>
                <w:sz w:val="24"/>
                <w:szCs w:val="24"/>
                <w:highlight w:val="none"/>
              </w:rPr>
              <w:t>外形尺寸：</w:t>
            </w:r>
            <w:r>
              <w:rPr>
                <w:rFonts w:hint="eastAsia" w:asciiTheme="minorEastAsia" w:hAnsiTheme="minorEastAsia" w:eastAsiaTheme="minorEastAsia" w:cstheme="minorEastAsia"/>
                <w:spacing w:val="-1"/>
                <w:sz w:val="24"/>
                <w:szCs w:val="24"/>
                <w:highlight w:val="none"/>
                <w:lang w:val="en-US" w:eastAsia="zh-CN"/>
              </w:rPr>
              <w:t>10000*600*600mm</w:t>
            </w:r>
          </w:p>
          <w:p w14:paraId="614EEEE7">
            <w:pPr>
              <w:pStyle w:val="36"/>
              <w:spacing w:before="28" w:line="223" w:lineRule="auto"/>
              <w:rPr>
                <w:rFonts w:hint="eastAsia"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7.设备材质：304不锈钢</w:t>
            </w:r>
          </w:p>
          <w:p w14:paraId="28B96817">
            <w:pPr>
              <w:pStyle w:val="36"/>
              <w:spacing w:before="28" w:line="223" w:lineRule="auto"/>
              <w:rPr>
                <w:rFonts w:hint="eastAsia"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8.减速机：国标；</w:t>
            </w:r>
          </w:p>
          <w:p w14:paraId="6A8888FD">
            <w:pPr>
              <w:pStyle w:val="36"/>
              <w:spacing w:before="28" w:line="223"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9.架体方管：40*60mm；</w:t>
            </w:r>
          </w:p>
        </w:tc>
      </w:tr>
      <w:tr w14:paraId="13892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1787" w:hRule="atLeast"/>
        </w:trPr>
        <w:tc>
          <w:tcPr>
            <w:tcW w:w="542" w:type="dxa"/>
            <w:vAlign w:val="center"/>
          </w:tcPr>
          <w:p w14:paraId="490BA802">
            <w:pPr>
              <w:jc w:val="center"/>
              <w:rPr>
                <w:rFonts w:hint="default"/>
                <w:sz w:val="22"/>
                <w:szCs w:val="22"/>
                <w:highlight w:val="none"/>
                <w:lang w:val="en-US" w:eastAsia="zh-CN"/>
              </w:rPr>
            </w:pPr>
            <w:r>
              <w:rPr>
                <w:rFonts w:hint="eastAsia"/>
                <w:sz w:val="22"/>
                <w:szCs w:val="22"/>
                <w:highlight w:val="none"/>
                <w:lang w:val="en-US" w:eastAsia="zh-CN"/>
              </w:rPr>
              <w:t>14</w:t>
            </w:r>
          </w:p>
        </w:tc>
        <w:tc>
          <w:tcPr>
            <w:tcW w:w="2226" w:type="dxa"/>
            <w:vAlign w:val="center"/>
          </w:tcPr>
          <w:p w14:paraId="5B6094D4">
            <w:pPr>
              <w:jc w:val="center"/>
              <w:rPr>
                <w:rFonts w:hint="default"/>
                <w:szCs w:val="21"/>
                <w:highlight w:val="none"/>
                <w:lang w:val="en-US" w:eastAsia="zh-CN"/>
              </w:rPr>
            </w:pPr>
            <w:r>
              <w:rPr>
                <w:rFonts w:hint="eastAsia"/>
                <w:szCs w:val="21"/>
                <w:highlight w:val="none"/>
                <w:lang w:val="en-US" w:eastAsia="zh-CN"/>
              </w:rPr>
              <w:t>全自动杀菌锅</w:t>
            </w:r>
          </w:p>
        </w:tc>
        <w:tc>
          <w:tcPr>
            <w:tcW w:w="2075" w:type="dxa"/>
            <w:shd w:val="clear" w:color="auto" w:fill="auto"/>
            <w:vAlign w:val="center"/>
          </w:tcPr>
          <w:p w14:paraId="7A65A1C6">
            <w:pPr>
              <w:jc w:val="center"/>
              <w:rPr>
                <w:rFonts w:hint="eastAsia" w:ascii="Calibri" w:hAnsi="Calibri" w:eastAsia="微软雅黑" w:cs="Times New Roman"/>
                <w:kern w:val="2"/>
                <w:sz w:val="21"/>
                <w:szCs w:val="21"/>
                <w:highlight w:val="none"/>
                <w:lang w:val="en-US" w:eastAsia="zh-CN" w:bidi="ar-SA"/>
              </w:rPr>
            </w:pPr>
            <w:r>
              <w:rPr>
                <w:rFonts w:hint="eastAsia"/>
                <w:szCs w:val="21"/>
                <w:highlight w:val="none"/>
                <w:lang w:val="en-US" w:eastAsia="zh-CN"/>
              </w:rPr>
              <w:t>1套</w:t>
            </w:r>
          </w:p>
        </w:tc>
        <w:tc>
          <w:tcPr>
            <w:tcW w:w="9548" w:type="dxa"/>
            <w:shd w:val="clear" w:color="auto" w:fill="auto"/>
            <w:vAlign w:val="top"/>
          </w:tcPr>
          <w:p w14:paraId="1A9613B9">
            <w:pPr>
              <w:pStyle w:val="36"/>
              <w:spacing w:before="44" w:line="219"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1.</w:t>
            </w:r>
            <w:r>
              <w:rPr>
                <w:rFonts w:hint="eastAsia" w:asciiTheme="minorEastAsia" w:hAnsiTheme="minorEastAsia" w:eastAsiaTheme="minorEastAsia" w:cstheme="minorEastAsia"/>
                <w:spacing w:val="-1"/>
                <w:sz w:val="24"/>
                <w:szCs w:val="24"/>
                <w:highlight w:val="none"/>
              </w:rPr>
              <w:t>外形尺寸</w:t>
            </w:r>
            <w:r>
              <w:rPr>
                <w:rFonts w:hint="eastAsia" w:asciiTheme="minorEastAsia" w:hAnsiTheme="minorEastAsia" w:eastAsiaTheme="minorEastAsia" w:cstheme="minorEastAsia"/>
                <w:spacing w:val="-1"/>
                <w:sz w:val="24"/>
                <w:szCs w:val="24"/>
                <w:highlight w:val="none"/>
                <w:lang w:eastAsia="zh-CN"/>
              </w:rPr>
              <w:t>：</w:t>
            </w:r>
            <w:r>
              <w:rPr>
                <w:rFonts w:hint="eastAsia" w:asciiTheme="minorEastAsia" w:hAnsiTheme="minorEastAsia" w:eastAsiaTheme="minorEastAsia" w:cstheme="minorEastAsia"/>
                <w:spacing w:val="-1"/>
                <w:sz w:val="24"/>
                <w:szCs w:val="24"/>
                <w:highlight w:val="none"/>
                <w:lang w:val="en-US" w:eastAsia="zh-CN"/>
              </w:rPr>
              <w:t>50</w:t>
            </w:r>
            <w:r>
              <w:rPr>
                <w:rFonts w:hint="eastAsia" w:asciiTheme="minorEastAsia" w:hAnsiTheme="minorEastAsia" w:eastAsiaTheme="minorEastAsia" w:cstheme="minorEastAsia"/>
                <w:spacing w:val="-1"/>
                <w:sz w:val="24"/>
                <w:szCs w:val="24"/>
                <w:highlight w:val="none"/>
              </w:rPr>
              <w:t>00*</w:t>
            </w:r>
            <w:r>
              <w:rPr>
                <w:rFonts w:hint="eastAsia" w:asciiTheme="minorEastAsia" w:hAnsiTheme="minorEastAsia" w:eastAsiaTheme="minorEastAsia" w:cstheme="minorEastAsia"/>
                <w:spacing w:val="-1"/>
                <w:sz w:val="24"/>
                <w:szCs w:val="24"/>
                <w:highlight w:val="none"/>
                <w:lang w:val="en-US" w:eastAsia="zh-CN"/>
              </w:rPr>
              <w:t>36</w:t>
            </w:r>
            <w:r>
              <w:rPr>
                <w:rFonts w:hint="eastAsia" w:asciiTheme="minorEastAsia" w:hAnsiTheme="minorEastAsia" w:eastAsiaTheme="minorEastAsia" w:cstheme="minorEastAsia"/>
                <w:spacing w:val="-1"/>
                <w:sz w:val="24"/>
                <w:szCs w:val="24"/>
                <w:highlight w:val="none"/>
              </w:rPr>
              <w:t>00*</w:t>
            </w:r>
            <w:r>
              <w:rPr>
                <w:rFonts w:hint="eastAsia" w:asciiTheme="minorEastAsia" w:hAnsiTheme="minorEastAsia" w:eastAsiaTheme="minorEastAsia" w:cstheme="minorEastAsia"/>
                <w:spacing w:val="-1"/>
                <w:sz w:val="24"/>
                <w:szCs w:val="24"/>
                <w:highlight w:val="none"/>
                <w:lang w:val="en-US" w:eastAsia="zh-CN"/>
              </w:rPr>
              <w:t>15</w:t>
            </w:r>
            <w:r>
              <w:rPr>
                <w:rFonts w:hint="eastAsia" w:asciiTheme="minorEastAsia" w:hAnsiTheme="minorEastAsia" w:eastAsiaTheme="minorEastAsia" w:cstheme="minorEastAsia"/>
                <w:spacing w:val="-1"/>
                <w:sz w:val="24"/>
                <w:szCs w:val="24"/>
                <w:highlight w:val="none"/>
              </w:rPr>
              <w:t>00</w:t>
            </w:r>
            <w:r>
              <w:rPr>
                <w:rFonts w:hint="eastAsia" w:asciiTheme="minorEastAsia" w:hAnsiTheme="minorEastAsia" w:eastAsiaTheme="minorEastAsia" w:cstheme="minorEastAsia"/>
                <w:spacing w:val="-1"/>
                <w:sz w:val="24"/>
                <w:szCs w:val="24"/>
                <w:highlight w:val="none"/>
                <w:lang w:val="en-US" w:eastAsia="zh-CN"/>
              </w:rPr>
              <w:t>mm；</w:t>
            </w:r>
          </w:p>
          <w:p w14:paraId="04757538">
            <w:pPr>
              <w:pStyle w:val="36"/>
              <w:spacing w:before="30" w:line="219" w:lineRule="auto"/>
              <w:rPr>
                <w:rFonts w:hint="eastAsia" w:asciiTheme="minorEastAsia" w:hAnsiTheme="minorEastAsia" w:eastAsiaTheme="minorEastAsia" w:cstheme="minorEastAsia"/>
                <w:spacing w:val="-1"/>
                <w:sz w:val="24"/>
                <w:szCs w:val="24"/>
                <w:highlight w:val="none"/>
                <w:lang w:eastAsia="zh-CN"/>
              </w:rPr>
            </w:pPr>
            <w:r>
              <w:rPr>
                <w:rFonts w:hint="eastAsia" w:asciiTheme="minorEastAsia" w:hAnsiTheme="minorEastAsia" w:eastAsiaTheme="minorEastAsia" w:cstheme="minorEastAsia"/>
                <w:spacing w:val="-3"/>
                <w:sz w:val="24"/>
                <w:szCs w:val="24"/>
                <w:highlight w:val="none"/>
                <w:lang w:val="en-US" w:eastAsia="zh-CN"/>
              </w:rPr>
              <w:t>2.</w:t>
            </w:r>
            <w:r>
              <w:rPr>
                <w:rFonts w:hint="eastAsia" w:asciiTheme="minorEastAsia" w:hAnsiTheme="minorEastAsia" w:eastAsiaTheme="minorEastAsia" w:cstheme="minorEastAsia"/>
                <w:spacing w:val="-3"/>
                <w:sz w:val="24"/>
                <w:szCs w:val="24"/>
                <w:highlight w:val="none"/>
              </w:rPr>
              <w:t>杀菌锅、热水罐材质为</w:t>
            </w:r>
            <w:r>
              <w:rPr>
                <w:rFonts w:hint="eastAsia" w:asciiTheme="minorEastAsia" w:hAnsiTheme="minorEastAsia" w:eastAsiaTheme="minorEastAsia" w:cstheme="minorEastAsia"/>
                <w:spacing w:val="-3"/>
                <w:sz w:val="24"/>
                <w:szCs w:val="24"/>
                <w:highlight w:val="none"/>
                <w:lang w:eastAsia="zh-CN"/>
              </w:rPr>
              <w:t>：</w:t>
            </w:r>
            <w:r>
              <w:rPr>
                <w:rFonts w:hint="eastAsia" w:asciiTheme="minorEastAsia" w:hAnsiTheme="minorEastAsia" w:eastAsiaTheme="minorEastAsia" w:cstheme="minorEastAsia"/>
                <w:spacing w:val="-1"/>
                <w:sz w:val="24"/>
                <w:szCs w:val="24"/>
                <w:highlight w:val="none"/>
              </w:rPr>
              <w:t>SUS304不锈钢板材制作带不锈钢保温层</w:t>
            </w:r>
            <w:r>
              <w:rPr>
                <w:rFonts w:hint="eastAsia" w:asciiTheme="minorEastAsia" w:hAnsiTheme="minorEastAsia" w:eastAsiaTheme="minorEastAsia" w:cstheme="minorEastAsia"/>
                <w:spacing w:val="-1"/>
                <w:sz w:val="24"/>
                <w:szCs w:val="24"/>
                <w:highlight w:val="none"/>
                <w:lang w:eastAsia="zh-CN"/>
              </w:rPr>
              <w:t>；</w:t>
            </w:r>
          </w:p>
          <w:p w14:paraId="6D562163">
            <w:pPr>
              <w:pStyle w:val="36"/>
              <w:spacing w:before="30" w:line="219" w:lineRule="auto"/>
              <w:rPr>
                <w:rFonts w:hint="eastAsia" w:asciiTheme="minorEastAsia" w:hAnsiTheme="minorEastAsia" w:eastAsiaTheme="minorEastAsia" w:cstheme="minorEastAsia"/>
                <w:spacing w:val="-1"/>
                <w:sz w:val="24"/>
                <w:szCs w:val="24"/>
                <w:highlight w:val="none"/>
                <w:lang w:eastAsia="zh-CN"/>
              </w:rPr>
            </w:pPr>
            <w:r>
              <w:rPr>
                <w:rFonts w:hint="eastAsia" w:asciiTheme="minorEastAsia" w:hAnsiTheme="minorEastAsia" w:eastAsiaTheme="minorEastAsia" w:cstheme="minorEastAsia"/>
                <w:spacing w:val="-1"/>
                <w:sz w:val="24"/>
                <w:szCs w:val="24"/>
                <w:highlight w:val="none"/>
                <w:lang w:val="en-US" w:eastAsia="zh-CN"/>
              </w:rPr>
              <w:t>3</w:t>
            </w:r>
            <w:r>
              <w:rPr>
                <w:rFonts w:hint="eastAsia" w:asciiTheme="minorEastAsia" w:hAnsiTheme="minorEastAsia" w:eastAsiaTheme="minorEastAsia" w:cstheme="minorEastAsia"/>
                <w:spacing w:val="-1"/>
                <w:sz w:val="24"/>
                <w:szCs w:val="24"/>
                <w:highlight w:val="none"/>
              </w:rPr>
              <w:t>.每锅配置不锈钢食品盘子</w:t>
            </w:r>
            <w:r>
              <w:rPr>
                <w:rFonts w:hint="eastAsia" w:asciiTheme="minorEastAsia" w:hAnsiTheme="minorEastAsia" w:eastAsiaTheme="minorEastAsia" w:cstheme="minorEastAsia"/>
                <w:spacing w:val="-1"/>
                <w:sz w:val="24"/>
                <w:szCs w:val="24"/>
                <w:highlight w:val="none"/>
                <w:lang w:val="en-US" w:eastAsia="zh-CN"/>
              </w:rPr>
              <w:t>84</w:t>
            </w:r>
            <w:r>
              <w:rPr>
                <w:rFonts w:hint="eastAsia" w:asciiTheme="minorEastAsia" w:hAnsiTheme="minorEastAsia" w:eastAsiaTheme="minorEastAsia" w:cstheme="minorEastAsia"/>
                <w:spacing w:val="-1"/>
                <w:sz w:val="24"/>
                <w:szCs w:val="24"/>
                <w:highlight w:val="none"/>
              </w:rPr>
              <w:t>个，托盘架</w:t>
            </w:r>
            <w:r>
              <w:rPr>
                <w:rFonts w:hint="eastAsia" w:asciiTheme="minorEastAsia" w:hAnsiTheme="minorEastAsia" w:eastAsiaTheme="minorEastAsia" w:cstheme="minorEastAsia"/>
                <w:spacing w:val="-1"/>
                <w:sz w:val="24"/>
                <w:szCs w:val="24"/>
                <w:highlight w:val="none"/>
                <w:lang w:val="en-US" w:eastAsia="zh-CN"/>
              </w:rPr>
              <w:t>12</w:t>
            </w:r>
            <w:r>
              <w:rPr>
                <w:rFonts w:hint="eastAsia" w:asciiTheme="minorEastAsia" w:hAnsiTheme="minorEastAsia" w:eastAsiaTheme="minorEastAsia" w:cstheme="minorEastAsia"/>
                <w:spacing w:val="-1"/>
                <w:sz w:val="24"/>
                <w:szCs w:val="24"/>
                <w:highlight w:val="none"/>
              </w:rPr>
              <w:t>辆，外用食品推车</w:t>
            </w:r>
            <w:r>
              <w:rPr>
                <w:rFonts w:hint="eastAsia" w:asciiTheme="minorEastAsia" w:hAnsiTheme="minorEastAsia" w:eastAsiaTheme="minorEastAsia" w:cstheme="minorEastAsia"/>
                <w:spacing w:val="-1"/>
                <w:sz w:val="24"/>
                <w:szCs w:val="24"/>
                <w:highlight w:val="none"/>
                <w:lang w:val="en-US" w:eastAsia="zh-CN"/>
              </w:rPr>
              <w:t>12</w:t>
            </w:r>
            <w:r>
              <w:rPr>
                <w:rFonts w:hint="eastAsia" w:asciiTheme="minorEastAsia" w:hAnsiTheme="minorEastAsia" w:eastAsiaTheme="minorEastAsia" w:cstheme="minorEastAsia"/>
                <w:spacing w:val="-1"/>
                <w:sz w:val="24"/>
                <w:szCs w:val="24"/>
                <w:highlight w:val="none"/>
              </w:rPr>
              <w:t>辆</w:t>
            </w:r>
            <w:r>
              <w:rPr>
                <w:rFonts w:hint="eastAsia" w:asciiTheme="minorEastAsia" w:hAnsiTheme="minorEastAsia" w:eastAsiaTheme="minorEastAsia" w:cstheme="minorEastAsia"/>
                <w:spacing w:val="-1"/>
                <w:sz w:val="24"/>
                <w:szCs w:val="24"/>
                <w:highlight w:val="none"/>
                <w:lang w:eastAsia="zh-CN"/>
              </w:rPr>
              <w:t>；</w:t>
            </w:r>
          </w:p>
          <w:p w14:paraId="7500C3FB">
            <w:pPr>
              <w:pStyle w:val="36"/>
              <w:spacing w:before="30" w:line="219" w:lineRule="auto"/>
              <w:rPr>
                <w:rFonts w:hint="eastAsia" w:asciiTheme="minorEastAsia" w:hAnsiTheme="minorEastAsia" w:eastAsiaTheme="minorEastAsia" w:cstheme="minorEastAsia"/>
                <w:spacing w:val="-1"/>
                <w:sz w:val="24"/>
                <w:szCs w:val="24"/>
                <w:highlight w:val="none"/>
                <w:lang w:eastAsia="zh-CN"/>
              </w:rPr>
            </w:pPr>
            <w:r>
              <w:rPr>
                <w:rFonts w:hint="eastAsia" w:asciiTheme="minorEastAsia" w:hAnsiTheme="minorEastAsia" w:eastAsiaTheme="minorEastAsia" w:cstheme="minorEastAsia"/>
                <w:spacing w:val="-1"/>
                <w:sz w:val="24"/>
                <w:szCs w:val="24"/>
                <w:highlight w:val="none"/>
                <w:lang w:val="en-US" w:eastAsia="zh-CN"/>
              </w:rPr>
              <w:t>4.</w:t>
            </w:r>
            <w:r>
              <w:rPr>
                <w:rFonts w:hint="eastAsia" w:asciiTheme="minorEastAsia" w:hAnsiTheme="minorEastAsia" w:eastAsiaTheme="minorEastAsia" w:cstheme="minorEastAsia"/>
                <w:spacing w:val="-1"/>
                <w:sz w:val="24"/>
                <w:szCs w:val="24"/>
                <w:highlight w:val="none"/>
              </w:rPr>
              <w:t>设计有全部的水循环管道和阀门</w:t>
            </w:r>
            <w:r>
              <w:rPr>
                <w:rFonts w:hint="eastAsia" w:asciiTheme="minorEastAsia" w:hAnsiTheme="minorEastAsia" w:eastAsiaTheme="minorEastAsia" w:cstheme="minorEastAsia"/>
                <w:spacing w:val="-1"/>
                <w:sz w:val="24"/>
                <w:szCs w:val="24"/>
                <w:highlight w:val="none"/>
                <w:lang w:eastAsia="zh-CN"/>
              </w:rPr>
              <w:t>；</w:t>
            </w:r>
          </w:p>
          <w:p w14:paraId="673E2054">
            <w:pPr>
              <w:pStyle w:val="36"/>
              <w:spacing w:before="30" w:line="219" w:lineRule="auto"/>
              <w:rPr>
                <w:rFonts w:hint="eastAsia" w:asciiTheme="minorEastAsia" w:hAnsiTheme="minorEastAsia" w:eastAsiaTheme="minorEastAsia" w:cstheme="minorEastAsia"/>
                <w:spacing w:val="-2"/>
                <w:sz w:val="24"/>
                <w:szCs w:val="24"/>
                <w:highlight w:val="none"/>
                <w:lang w:eastAsia="zh-CN"/>
              </w:rPr>
            </w:pPr>
            <w:r>
              <w:rPr>
                <w:rFonts w:hint="eastAsia" w:asciiTheme="minorEastAsia" w:hAnsiTheme="minorEastAsia" w:eastAsiaTheme="minorEastAsia" w:cstheme="minorEastAsia"/>
                <w:spacing w:val="-1"/>
                <w:sz w:val="24"/>
                <w:szCs w:val="24"/>
                <w:highlight w:val="none"/>
                <w:lang w:val="en-US" w:eastAsia="zh-CN"/>
              </w:rPr>
              <w:t>5</w:t>
            </w:r>
            <w:r>
              <w:rPr>
                <w:rFonts w:hint="eastAsia" w:asciiTheme="minorEastAsia" w:hAnsiTheme="minorEastAsia" w:eastAsiaTheme="minorEastAsia" w:cstheme="minorEastAsia"/>
                <w:spacing w:val="-1"/>
                <w:sz w:val="24"/>
                <w:szCs w:val="24"/>
                <w:highlight w:val="none"/>
              </w:rPr>
              <w:t>.</w:t>
            </w:r>
            <w:r>
              <w:rPr>
                <w:rFonts w:hint="eastAsia" w:asciiTheme="minorEastAsia" w:hAnsiTheme="minorEastAsia" w:eastAsiaTheme="minorEastAsia" w:cstheme="minorEastAsia"/>
                <w:spacing w:val="-1"/>
                <w:sz w:val="24"/>
                <w:szCs w:val="24"/>
                <w:highlight w:val="none"/>
                <w:lang w:val="en-US" w:eastAsia="zh-CN"/>
              </w:rPr>
              <w:t>玉米专用</w:t>
            </w:r>
            <w:r>
              <w:rPr>
                <w:rFonts w:hint="eastAsia" w:asciiTheme="minorEastAsia" w:hAnsiTheme="minorEastAsia" w:eastAsiaTheme="minorEastAsia" w:cstheme="minorEastAsia"/>
                <w:spacing w:val="-1"/>
                <w:sz w:val="24"/>
                <w:szCs w:val="24"/>
                <w:highlight w:val="none"/>
              </w:rPr>
              <w:t>水浴杀菌</w:t>
            </w:r>
            <w:r>
              <w:rPr>
                <w:rFonts w:hint="eastAsia" w:asciiTheme="minorEastAsia" w:hAnsiTheme="minorEastAsia" w:eastAsiaTheme="minorEastAsia" w:cstheme="minorEastAsia"/>
                <w:spacing w:val="-1"/>
                <w:sz w:val="24"/>
                <w:szCs w:val="24"/>
                <w:highlight w:val="none"/>
                <w:lang w:val="en-US" w:eastAsia="zh-CN"/>
              </w:rPr>
              <w:t>程序</w:t>
            </w:r>
            <w:r>
              <w:rPr>
                <w:rFonts w:hint="eastAsia" w:asciiTheme="minorEastAsia" w:hAnsiTheme="minorEastAsia" w:eastAsiaTheme="minorEastAsia" w:cstheme="minorEastAsia"/>
                <w:spacing w:val="-1"/>
                <w:sz w:val="24"/>
                <w:szCs w:val="24"/>
                <w:highlight w:val="none"/>
                <w:lang w:eastAsia="zh-CN"/>
              </w:rPr>
              <w:t>，</w:t>
            </w:r>
            <w:r>
              <w:rPr>
                <w:rFonts w:hint="eastAsia" w:asciiTheme="minorEastAsia" w:hAnsiTheme="minorEastAsia" w:eastAsiaTheme="minorEastAsia" w:cstheme="minorEastAsia"/>
                <w:spacing w:val="-1"/>
                <w:sz w:val="24"/>
                <w:szCs w:val="24"/>
                <w:highlight w:val="none"/>
              </w:rPr>
              <w:t>杀菌程序设计全自动一键启动功能控制，</w:t>
            </w:r>
            <w:r>
              <w:rPr>
                <w:rFonts w:hint="eastAsia" w:asciiTheme="minorEastAsia" w:hAnsiTheme="minorEastAsia" w:eastAsiaTheme="minorEastAsia" w:cstheme="minorEastAsia"/>
                <w:spacing w:val="-2"/>
                <w:sz w:val="24"/>
                <w:szCs w:val="24"/>
                <w:highlight w:val="none"/>
              </w:rPr>
              <w:t>带电脑控制柜</w:t>
            </w:r>
            <w:r>
              <w:rPr>
                <w:rFonts w:hint="eastAsia" w:asciiTheme="minorEastAsia" w:hAnsiTheme="minorEastAsia" w:eastAsiaTheme="minorEastAsia" w:cstheme="minorEastAsia"/>
                <w:spacing w:val="-2"/>
                <w:sz w:val="24"/>
                <w:szCs w:val="24"/>
                <w:highlight w:val="none"/>
                <w:lang w:val="en-US" w:eastAsia="zh-CN"/>
              </w:rPr>
              <w:t>1</w:t>
            </w:r>
            <w:r>
              <w:rPr>
                <w:rFonts w:hint="eastAsia" w:asciiTheme="minorEastAsia" w:hAnsiTheme="minorEastAsia" w:eastAsiaTheme="minorEastAsia" w:cstheme="minorEastAsia"/>
                <w:spacing w:val="-2"/>
                <w:sz w:val="24"/>
                <w:szCs w:val="24"/>
                <w:highlight w:val="none"/>
              </w:rPr>
              <w:t>台</w:t>
            </w:r>
            <w:r>
              <w:rPr>
                <w:rFonts w:hint="eastAsia" w:asciiTheme="minorEastAsia" w:hAnsiTheme="minorEastAsia" w:eastAsiaTheme="minorEastAsia" w:cstheme="minorEastAsia"/>
                <w:spacing w:val="-2"/>
                <w:sz w:val="24"/>
                <w:szCs w:val="24"/>
                <w:highlight w:val="none"/>
                <w:lang w:eastAsia="zh-CN"/>
              </w:rPr>
              <w:t>；</w:t>
            </w:r>
          </w:p>
          <w:p w14:paraId="16A87E25">
            <w:pPr>
              <w:pStyle w:val="36"/>
              <w:spacing w:before="30" w:line="219" w:lineRule="auto"/>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spacing w:val="-1"/>
                <w:sz w:val="24"/>
                <w:szCs w:val="24"/>
                <w:highlight w:val="none"/>
                <w:lang w:val="en-US" w:eastAsia="zh-CN"/>
              </w:rPr>
              <w:t>6</w:t>
            </w:r>
            <w:r>
              <w:rPr>
                <w:rFonts w:hint="eastAsia" w:asciiTheme="minorEastAsia" w:hAnsiTheme="minorEastAsia" w:eastAsiaTheme="minorEastAsia" w:cstheme="minorEastAsia"/>
                <w:spacing w:val="-1"/>
                <w:sz w:val="24"/>
                <w:szCs w:val="24"/>
                <w:highlight w:val="none"/>
              </w:rPr>
              <w:t>.设计压力为0.35Ma，</w:t>
            </w:r>
            <w:r>
              <w:rPr>
                <w:rFonts w:hint="eastAsia" w:asciiTheme="minorEastAsia" w:hAnsiTheme="minorEastAsia" w:eastAsiaTheme="minorEastAsia" w:cstheme="minorEastAsia"/>
                <w:spacing w:val="-4"/>
                <w:sz w:val="24"/>
                <w:szCs w:val="24"/>
                <w:highlight w:val="none"/>
              </w:rPr>
              <w:t>设计温度为147℃</w:t>
            </w:r>
            <w:r>
              <w:rPr>
                <w:rFonts w:hint="eastAsia" w:asciiTheme="minorEastAsia" w:hAnsiTheme="minorEastAsia" w:eastAsiaTheme="minorEastAsia" w:cstheme="minorEastAsia"/>
                <w:spacing w:val="-94"/>
                <w:sz w:val="24"/>
                <w:szCs w:val="24"/>
                <w:highlight w:val="none"/>
              </w:rPr>
              <w:t xml:space="preserve"> </w:t>
            </w:r>
            <w:r>
              <w:rPr>
                <w:rFonts w:hint="eastAsia" w:asciiTheme="minorEastAsia" w:hAnsiTheme="minorEastAsia" w:eastAsiaTheme="minorEastAsia" w:cstheme="minorEastAsia"/>
                <w:spacing w:val="-94"/>
                <w:sz w:val="24"/>
                <w:szCs w:val="24"/>
                <w:highlight w:val="none"/>
                <w:lang w:eastAsia="zh-CN"/>
              </w:rPr>
              <w:t>；</w:t>
            </w:r>
          </w:p>
        </w:tc>
      </w:tr>
      <w:tr w14:paraId="205441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2658" w:hRule="atLeast"/>
        </w:trPr>
        <w:tc>
          <w:tcPr>
            <w:tcW w:w="542" w:type="dxa"/>
            <w:vAlign w:val="center"/>
          </w:tcPr>
          <w:p w14:paraId="07F3DD98">
            <w:pPr>
              <w:jc w:val="center"/>
              <w:rPr>
                <w:rFonts w:hint="default"/>
                <w:sz w:val="22"/>
                <w:szCs w:val="22"/>
                <w:highlight w:val="none"/>
                <w:lang w:val="en-US" w:eastAsia="zh-CN"/>
              </w:rPr>
            </w:pPr>
            <w:r>
              <w:rPr>
                <w:rFonts w:hint="eastAsia"/>
                <w:sz w:val="22"/>
                <w:szCs w:val="22"/>
                <w:highlight w:val="none"/>
                <w:lang w:val="en-US" w:eastAsia="zh-CN"/>
              </w:rPr>
              <w:t>15</w:t>
            </w:r>
          </w:p>
        </w:tc>
        <w:tc>
          <w:tcPr>
            <w:tcW w:w="2226" w:type="dxa"/>
            <w:vAlign w:val="center"/>
          </w:tcPr>
          <w:p w14:paraId="080383D8">
            <w:pPr>
              <w:jc w:val="center"/>
              <w:rPr>
                <w:rFonts w:hint="eastAsia"/>
                <w:szCs w:val="21"/>
                <w:highlight w:val="none"/>
                <w:lang w:val="en-US" w:eastAsia="zh-CN"/>
              </w:rPr>
            </w:pPr>
            <w:r>
              <w:rPr>
                <w:rFonts w:hint="eastAsia"/>
                <w:szCs w:val="21"/>
                <w:highlight w:val="none"/>
                <w:lang w:val="en-US" w:eastAsia="zh-CN"/>
              </w:rPr>
              <w:t>曝气洗袋</w:t>
            </w:r>
            <w:r>
              <w:rPr>
                <w:rFonts w:hint="eastAsia"/>
                <w:szCs w:val="21"/>
                <w:highlight w:val="none"/>
              </w:rPr>
              <w:t>机</w:t>
            </w:r>
          </w:p>
        </w:tc>
        <w:tc>
          <w:tcPr>
            <w:tcW w:w="2075" w:type="dxa"/>
            <w:shd w:val="clear" w:color="auto" w:fill="auto"/>
            <w:vAlign w:val="center"/>
          </w:tcPr>
          <w:p w14:paraId="330224EA">
            <w:pPr>
              <w:jc w:val="center"/>
              <w:rPr>
                <w:rFonts w:hint="eastAsia"/>
                <w:szCs w:val="21"/>
                <w:highlight w:val="none"/>
                <w:lang w:val="en-US" w:eastAsia="zh-CN"/>
              </w:rPr>
            </w:pPr>
            <w:r>
              <w:rPr>
                <w:rFonts w:hint="eastAsia"/>
                <w:szCs w:val="21"/>
                <w:highlight w:val="none"/>
                <w:lang w:val="en-US" w:eastAsia="zh-CN"/>
              </w:rPr>
              <w:t>1台</w:t>
            </w:r>
          </w:p>
        </w:tc>
        <w:tc>
          <w:tcPr>
            <w:tcW w:w="9548" w:type="dxa"/>
            <w:shd w:val="clear" w:color="auto" w:fill="auto"/>
            <w:vAlign w:val="top"/>
          </w:tcPr>
          <w:p w14:paraId="72BD98A2">
            <w:pPr>
              <w:pStyle w:val="36"/>
              <w:numPr>
                <w:ilvl w:val="0"/>
                <w:numId w:val="0"/>
              </w:numPr>
              <w:spacing w:before="30" w:line="219"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主体采用SUS304不锈钢板；</w:t>
            </w:r>
          </w:p>
          <w:p w14:paraId="4060FB10">
            <w:pPr>
              <w:pStyle w:val="36"/>
              <w:numPr>
                <w:ilvl w:val="0"/>
                <w:numId w:val="0"/>
              </w:numPr>
              <w:spacing w:before="30" w:line="219" w:lineRule="auto"/>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sz w:val="24"/>
                <w:szCs w:val="24"/>
                <w:highlight w:val="none"/>
                <w:lang w:val="en-US" w:eastAsia="zh-CN"/>
              </w:rPr>
              <w:t>2.架体采用</w:t>
            </w:r>
            <w:r>
              <w:rPr>
                <w:rFonts w:hint="eastAsia" w:asciiTheme="minorEastAsia" w:hAnsiTheme="minorEastAsia" w:eastAsiaTheme="minorEastAsia" w:cstheme="minorEastAsia"/>
                <w:sz w:val="24"/>
                <w:szCs w:val="24"/>
                <w:highlight w:val="none"/>
              </w:rPr>
              <w:t>40×</w:t>
            </w:r>
            <w:r>
              <w:rPr>
                <w:rFonts w:hint="eastAsia" w:asciiTheme="minorEastAsia" w:hAnsiTheme="minorEastAsia" w:eastAsiaTheme="minorEastAsia" w:cstheme="minorEastAsia"/>
                <w:sz w:val="24"/>
                <w:szCs w:val="24"/>
                <w:highlight w:val="none"/>
                <w:lang w:val="en-US" w:eastAsia="zh-CN"/>
              </w:rPr>
              <w:t>80mm</w:t>
            </w:r>
            <w:r>
              <w:rPr>
                <w:rFonts w:hint="eastAsia" w:asciiTheme="minorEastAsia" w:hAnsiTheme="minorEastAsia" w:eastAsiaTheme="minorEastAsia" w:cstheme="minorEastAsia"/>
                <w:sz w:val="24"/>
                <w:szCs w:val="24"/>
                <w:highlight w:val="none"/>
              </w:rPr>
              <w:t>不锈钢方管；</w:t>
            </w:r>
          </w:p>
          <w:p w14:paraId="474CE1F1">
            <w:pPr>
              <w:pStyle w:val="36"/>
              <w:numPr>
                <w:ilvl w:val="0"/>
                <w:numId w:val="0"/>
              </w:numPr>
              <w:spacing w:before="30" w:line="219" w:lineRule="auto"/>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不锈钢轴承及轴；</w:t>
            </w:r>
          </w:p>
          <w:p w14:paraId="2035BBA4">
            <w:pPr>
              <w:pStyle w:val="36"/>
              <w:numPr>
                <w:ilvl w:val="0"/>
                <w:numId w:val="0"/>
              </w:numPr>
              <w:spacing w:before="30" w:line="219" w:lineRule="auto"/>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输送带采用SUS304不锈钢网带输送带</w:t>
            </w:r>
            <w:r>
              <w:rPr>
                <w:rFonts w:hint="eastAsia" w:asciiTheme="minorEastAsia" w:hAnsiTheme="minorEastAsia" w:eastAsiaTheme="minorEastAsia" w:cstheme="minorEastAsia"/>
                <w:sz w:val="24"/>
                <w:szCs w:val="24"/>
                <w:highlight w:val="none"/>
                <w:lang w:eastAsia="zh-CN"/>
              </w:rPr>
              <w:t>；</w:t>
            </w:r>
          </w:p>
          <w:p w14:paraId="72D8CC79">
            <w:pPr>
              <w:pStyle w:val="36"/>
              <w:numPr>
                <w:ilvl w:val="0"/>
                <w:numId w:val="0"/>
              </w:numPr>
              <w:spacing w:before="30" w:line="219" w:lineRule="auto"/>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sz w:val="24"/>
                <w:szCs w:val="24"/>
                <w:highlight w:val="none"/>
                <w:lang w:val="en-US" w:eastAsia="zh-CN"/>
              </w:rPr>
              <w:t>5.输送带</w:t>
            </w:r>
            <w:r>
              <w:rPr>
                <w:rFonts w:hint="eastAsia" w:asciiTheme="minorEastAsia" w:hAnsiTheme="minorEastAsia" w:eastAsiaTheme="minorEastAsia" w:cstheme="minorEastAsia"/>
                <w:sz w:val="24"/>
                <w:szCs w:val="24"/>
                <w:highlight w:val="none"/>
              </w:rPr>
              <w:t>有效宽度为</w:t>
            </w:r>
            <w:r>
              <w:rPr>
                <w:rFonts w:hint="eastAsia" w:asciiTheme="minorEastAsia" w:hAnsiTheme="minorEastAsia" w:eastAsiaTheme="minorEastAsia" w:cstheme="minorEastAsia"/>
                <w:sz w:val="24"/>
                <w:szCs w:val="24"/>
                <w:highlight w:val="none"/>
                <w:lang w:val="en-US" w:eastAsia="zh-CN"/>
              </w:rPr>
              <w:t>8</w:t>
            </w:r>
            <w:r>
              <w:rPr>
                <w:rFonts w:hint="eastAsia" w:asciiTheme="minorEastAsia" w:hAnsiTheme="minorEastAsia" w:eastAsiaTheme="minorEastAsia" w:cstheme="minorEastAsia"/>
                <w:sz w:val="24"/>
                <w:szCs w:val="24"/>
                <w:highlight w:val="none"/>
              </w:rPr>
              <w:t>00㎜</w:t>
            </w:r>
            <w:r>
              <w:rPr>
                <w:rFonts w:hint="eastAsia" w:asciiTheme="minorEastAsia" w:hAnsiTheme="minorEastAsia" w:eastAsiaTheme="minorEastAsia" w:cstheme="minorEastAsia"/>
                <w:sz w:val="24"/>
                <w:szCs w:val="24"/>
                <w:highlight w:val="none"/>
                <w:lang w:eastAsia="zh-CN"/>
              </w:rPr>
              <w:t>；</w:t>
            </w:r>
          </w:p>
          <w:p w14:paraId="20A26528">
            <w:pPr>
              <w:pStyle w:val="36"/>
              <w:numPr>
                <w:ilvl w:val="0"/>
                <w:numId w:val="0"/>
              </w:numPr>
              <w:spacing w:before="30" w:line="219" w:lineRule="auto"/>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rPr>
              <w:t>装机功率：输送电机</w:t>
            </w:r>
            <w:r>
              <w:rPr>
                <w:rFonts w:hint="eastAsia" w:asciiTheme="minorEastAsia" w:hAnsiTheme="minorEastAsia" w:eastAsiaTheme="minorEastAsia" w:cstheme="minorEastAsia"/>
                <w:sz w:val="24"/>
                <w:szCs w:val="24"/>
                <w:highlight w:val="none"/>
                <w:lang w:val="en-US" w:eastAsia="zh-CN"/>
              </w:rPr>
              <w:t>0.75</w:t>
            </w:r>
            <w:r>
              <w:rPr>
                <w:rFonts w:hint="eastAsia" w:asciiTheme="minorEastAsia" w:hAnsiTheme="minorEastAsia" w:eastAsiaTheme="minorEastAsia" w:cstheme="minorEastAsia"/>
                <w:sz w:val="24"/>
                <w:szCs w:val="24"/>
                <w:highlight w:val="none"/>
              </w:rPr>
              <w:t>kw</w:t>
            </w:r>
            <w:r>
              <w:rPr>
                <w:rFonts w:hint="eastAsia" w:asciiTheme="minorEastAsia" w:hAnsiTheme="minorEastAsia" w:eastAsiaTheme="minorEastAsia" w:cstheme="minorEastAsia"/>
                <w:sz w:val="24"/>
                <w:szCs w:val="24"/>
                <w:highlight w:val="none"/>
                <w:lang w:eastAsia="zh-CN"/>
              </w:rPr>
              <w:t>；</w:t>
            </w:r>
          </w:p>
          <w:p w14:paraId="6E3CD0BC">
            <w:pPr>
              <w:pStyle w:val="36"/>
              <w:numPr>
                <w:ilvl w:val="0"/>
                <w:numId w:val="0"/>
              </w:numPr>
              <w:spacing w:before="30" w:line="219"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8.外形尺寸：5000*1200*1100mm；</w:t>
            </w:r>
          </w:p>
          <w:p w14:paraId="148E3717">
            <w:pPr>
              <w:pStyle w:val="36"/>
              <w:numPr>
                <w:ilvl w:val="0"/>
                <w:numId w:val="0"/>
              </w:numPr>
              <w:spacing w:before="30" w:line="219"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9.电机：</w:t>
            </w:r>
            <w:r>
              <w:rPr>
                <w:rFonts w:hint="eastAsia" w:asciiTheme="minorEastAsia" w:hAnsiTheme="minorEastAsia" w:eastAsiaTheme="minorEastAsia" w:cstheme="minorEastAsia"/>
                <w:spacing w:val="-1"/>
                <w:sz w:val="24"/>
                <w:szCs w:val="24"/>
                <w:highlight w:val="none"/>
                <w:lang w:val="en-US" w:eastAsia="zh-CN"/>
              </w:rPr>
              <w:t>国标</w:t>
            </w:r>
            <w:r>
              <w:rPr>
                <w:rFonts w:hint="eastAsia" w:asciiTheme="minorEastAsia" w:hAnsiTheme="minorEastAsia" w:eastAsiaTheme="minorEastAsia" w:cstheme="minorEastAsia"/>
                <w:sz w:val="24"/>
                <w:szCs w:val="24"/>
                <w:highlight w:val="none"/>
                <w:lang w:val="en-US" w:eastAsia="zh-CN"/>
              </w:rPr>
              <w:t>；</w:t>
            </w:r>
          </w:p>
          <w:p w14:paraId="1DEB5DC7">
            <w:pPr>
              <w:pStyle w:val="36"/>
              <w:numPr>
                <w:ilvl w:val="0"/>
                <w:numId w:val="0"/>
              </w:numPr>
              <w:spacing w:before="30" w:line="219"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10.曝气泵：2.2kw；</w:t>
            </w:r>
          </w:p>
          <w:p w14:paraId="6076FF5A">
            <w:pPr>
              <w:pStyle w:val="36"/>
              <w:numPr>
                <w:ilvl w:val="0"/>
                <w:numId w:val="0"/>
              </w:numPr>
              <w:spacing w:before="30" w:line="219"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11.板材厚度：1-3mm；</w:t>
            </w:r>
          </w:p>
        </w:tc>
      </w:tr>
      <w:tr w14:paraId="0E70CE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2658" w:hRule="atLeast"/>
        </w:trPr>
        <w:tc>
          <w:tcPr>
            <w:tcW w:w="542" w:type="dxa"/>
            <w:vAlign w:val="center"/>
          </w:tcPr>
          <w:p w14:paraId="01318B62">
            <w:pPr>
              <w:jc w:val="center"/>
              <w:rPr>
                <w:rFonts w:hint="default"/>
                <w:sz w:val="22"/>
                <w:szCs w:val="22"/>
                <w:highlight w:val="none"/>
                <w:lang w:val="en-US" w:eastAsia="zh-CN"/>
              </w:rPr>
            </w:pPr>
            <w:r>
              <w:rPr>
                <w:rFonts w:hint="eastAsia"/>
                <w:sz w:val="22"/>
                <w:szCs w:val="22"/>
                <w:highlight w:val="none"/>
                <w:lang w:val="en-US" w:eastAsia="zh-CN"/>
              </w:rPr>
              <w:t>16</w:t>
            </w:r>
          </w:p>
        </w:tc>
        <w:tc>
          <w:tcPr>
            <w:tcW w:w="2226" w:type="dxa"/>
            <w:vAlign w:val="center"/>
          </w:tcPr>
          <w:p w14:paraId="45F9E4C5">
            <w:pPr>
              <w:jc w:val="center"/>
              <w:rPr>
                <w:rFonts w:hint="default" w:eastAsia="微软雅黑"/>
                <w:szCs w:val="21"/>
                <w:highlight w:val="none"/>
                <w:lang w:val="en-US" w:eastAsia="zh-CN"/>
              </w:rPr>
            </w:pPr>
            <w:r>
              <w:rPr>
                <w:rFonts w:hint="eastAsia"/>
                <w:szCs w:val="21"/>
                <w:highlight w:val="none"/>
                <w:lang w:val="en-US" w:eastAsia="zh-CN"/>
              </w:rPr>
              <w:t>翻转式风干机</w:t>
            </w:r>
          </w:p>
        </w:tc>
        <w:tc>
          <w:tcPr>
            <w:tcW w:w="2075" w:type="dxa"/>
            <w:shd w:val="clear" w:color="auto" w:fill="auto"/>
            <w:vAlign w:val="center"/>
          </w:tcPr>
          <w:p w14:paraId="742F2193">
            <w:pPr>
              <w:jc w:val="center"/>
              <w:rPr>
                <w:rFonts w:hint="eastAsia"/>
                <w:szCs w:val="21"/>
                <w:highlight w:val="none"/>
                <w:lang w:val="en-US" w:eastAsia="zh-CN"/>
              </w:rPr>
            </w:pPr>
            <w:r>
              <w:rPr>
                <w:rFonts w:hint="eastAsia"/>
                <w:szCs w:val="21"/>
                <w:highlight w:val="none"/>
                <w:lang w:val="en-US" w:eastAsia="zh-CN"/>
              </w:rPr>
              <w:t>1台</w:t>
            </w:r>
          </w:p>
        </w:tc>
        <w:tc>
          <w:tcPr>
            <w:tcW w:w="9548" w:type="dxa"/>
            <w:shd w:val="clear" w:color="auto" w:fill="auto"/>
            <w:vAlign w:val="top"/>
          </w:tcPr>
          <w:p w14:paraId="7C5DFDA5">
            <w:pPr>
              <w:numPr>
                <w:ilvl w:val="0"/>
                <w:numId w:val="0"/>
              </w:num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主体采用304不锈钢板</w:t>
            </w:r>
            <w:r>
              <w:rPr>
                <w:rFonts w:hint="eastAsia" w:asciiTheme="minorEastAsia" w:hAnsiTheme="minorEastAsia" w:eastAsiaTheme="minorEastAsia" w:cstheme="minorEastAsia"/>
                <w:sz w:val="24"/>
                <w:szCs w:val="24"/>
                <w:highlight w:val="none"/>
                <w:lang w:eastAsia="zh-CN"/>
              </w:rPr>
              <w:t>；</w:t>
            </w:r>
          </w:p>
          <w:p w14:paraId="1B990267">
            <w:pPr>
              <w:numPr>
                <w:ilvl w:val="0"/>
                <w:numId w:val="0"/>
              </w:num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输送带有效宽度：1</w:t>
            </w:r>
            <w:r>
              <w:rPr>
                <w:rFonts w:hint="eastAsia" w:asciiTheme="minorEastAsia" w:hAnsiTheme="minorEastAsia" w:eastAsiaTheme="minorEastAsia" w:cstheme="minorEastAsia"/>
                <w:sz w:val="24"/>
                <w:szCs w:val="24"/>
                <w:highlight w:val="none"/>
                <w:lang w:val="en-US" w:eastAsia="zh-CN"/>
              </w:rPr>
              <w:t>0</w:t>
            </w:r>
            <w:r>
              <w:rPr>
                <w:rFonts w:hint="eastAsia" w:asciiTheme="minorEastAsia" w:hAnsiTheme="minorEastAsia" w:eastAsiaTheme="minorEastAsia" w:cstheme="minorEastAsia"/>
                <w:sz w:val="24"/>
                <w:szCs w:val="24"/>
                <w:highlight w:val="none"/>
              </w:rPr>
              <w:t>00mm</w:t>
            </w:r>
            <w:r>
              <w:rPr>
                <w:rFonts w:hint="eastAsia" w:asciiTheme="minorEastAsia" w:hAnsiTheme="minorEastAsia" w:eastAsiaTheme="minorEastAsia" w:cstheme="minorEastAsia"/>
                <w:sz w:val="24"/>
                <w:szCs w:val="24"/>
                <w:highlight w:val="none"/>
                <w:lang w:eastAsia="zh-CN"/>
              </w:rPr>
              <w:t>；</w:t>
            </w:r>
          </w:p>
          <w:p w14:paraId="1E1BCB94">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采用</w:t>
            </w:r>
            <w:r>
              <w:rPr>
                <w:rFonts w:hint="eastAsia" w:asciiTheme="minorEastAsia" w:hAnsiTheme="minorEastAsia" w:eastAsiaTheme="minorEastAsia" w:cstheme="minorEastAsia"/>
                <w:sz w:val="24"/>
                <w:szCs w:val="24"/>
                <w:highlight w:val="none"/>
                <w:lang w:val="en-US" w:eastAsia="zh-CN"/>
              </w:rPr>
              <w:t>不锈钢</w:t>
            </w:r>
            <w:r>
              <w:rPr>
                <w:rFonts w:hint="eastAsia" w:asciiTheme="minorEastAsia" w:hAnsiTheme="minorEastAsia" w:eastAsiaTheme="minorEastAsia" w:cstheme="minorEastAsia"/>
                <w:sz w:val="24"/>
                <w:szCs w:val="24"/>
                <w:highlight w:val="none"/>
              </w:rPr>
              <w:t>风机</w:t>
            </w:r>
            <w:r>
              <w:rPr>
                <w:rFonts w:hint="eastAsia" w:asciiTheme="minorEastAsia" w:hAnsiTheme="minorEastAsia" w:eastAsiaTheme="minorEastAsia" w:cstheme="minorEastAsia"/>
                <w:sz w:val="24"/>
                <w:szCs w:val="24"/>
                <w:highlight w:val="none"/>
                <w:lang w:val="en-US" w:eastAsia="zh-CN"/>
              </w:rPr>
              <w:t>0.75kw</w:t>
            </w:r>
            <w:r>
              <w:rPr>
                <w:rFonts w:hint="eastAsia" w:asciiTheme="minorEastAsia" w:hAnsiTheme="minorEastAsia" w:eastAsiaTheme="minorEastAsia" w:cstheme="minorEastAsia"/>
                <w:sz w:val="24"/>
                <w:szCs w:val="24"/>
                <w:highlight w:val="none"/>
                <w:lang w:eastAsia="zh-CN"/>
              </w:rPr>
              <w:t>；</w:t>
            </w:r>
          </w:p>
          <w:p w14:paraId="19EAD43D">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4.设备电压：</w:t>
            </w:r>
            <w:r>
              <w:rPr>
                <w:rFonts w:hint="eastAsia" w:asciiTheme="minorEastAsia" w:hAnsiTheme="minorEastAsia" w:eastAsiaTheme="minorEastAsia" w:cstheme="minorEastAsia"/>
                <w:sz w:val="24"/>
                <w:szCs w:val="24"/>
                <w:highlight w:val="none"/>
              </w:rPr>
              <w:t>380v/50Hz/0.75kw，</w:t>
            </w:r>
          </w:p>
          <w:p w14:paraId="2EF29080">
            <w:pPr>
              <w:numPr>
                <w:ilvl w:val="0"/>
                <w:numId w:val="0"/>
              </w:numPr>
              <w:ind w:left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风机数量：</w:t>
            </w:r>
            <w:r>
              <w:rPr>
                <w:rFonts w:hint="eastAsia" w:asciiTheme="minorEastAsia" w:hAnsiTheme="minorEastAsia" w:eastAsiaTheme="minorEastAsia" w:cstheme="minorEastAsia"/>
                <w:sz w:val="24"/>
                <w:szCs w:val="24"/>
                <w:highlight w:val="none"/>
                <w:lang w:val="en-US" w:eastAsia="zh-CN"/>
              </w:rPr>
              <w:t>12</w:t>
            </w:r>
            <w:r>
              <w:rPr>
                <w:rFonts w:hint="eastAsia" w:asciiTheme="minorEastAsia" w:hAnsiTheme="minorEastAsia" w:eastAsiaTheme="minorEastAsia" w:cstheme="minorEastAsia"/>
                <w:sz w:val="24"/>
                <w:szCs w:val="24"/>
                <w:highlight w:val="none"/>
              </w:rPr>
              <w:t>台</w:t>
            </w:r>
            <w:r>
              <w:rPr>
                <w:rFonts w:hint="eastAsia" w:asciiTheme="minorEastAsia" w:hAnsiTheme="minorEastAsia" w:eastAsiaTheme="minorEastAsia" w:cstheme="minorEastAsia"/>
                <w:sz w:val="24"/>
                <w:szCs w:val="24"/>
                <w:highlight w:val="none"/>
                <w:lang w:eastAsia="zh-CN"/>
              </w:rPr>
              <w:t>；</w:t>
            </w:r>
          </w:p>
          <w:p w14:paraId="6209C974">
            <w:pPr>
              <w:numPr>
                <w:ilvl w:val="0"/>
                <w:numId w:val="0"/>
              </w:numPr>
              <w:ind w:left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rPr>
              <w:t>输送电机：</w:t>
            </w:r>
            <w:r>
              <w:rPr>
                <w:rFonts w:hint="eastAsia" w:asciiTheme="minorEastAsia" w:hAnsiTheme="minorEastAsia" w:eastAsiaTheme="minorEastAsia" w:cstheme="minorEastAsia"/>
                <w:sz w:val="24"/>
                <w:szCs w:val="24"/>
                <w:highlight w:val="none"/>
                <w:lang w:val="en-US" w:eastAsia="zh-CN"/>
              </w:rPr>
              <w:t>科普</w:t>
            </w:r>
            <w:r>
              <w:rPr>
                <w:rFonts w:hint="eastAsia" w:asciiTheme="minorEastAsia" w:hAnsiTheme="minorEastAsia" w:eastAsiaTheme="minorEastAsia" w:cstheme="minorEastAsia"/>
                <w:sz w:val="24"/>
                <w:szCs w:val="24"/>
                <w:highlight w:val="none"/>
              </w:rPr>
              <w:t>1.5kw</w:t>
            </w:r>
            <w:r>
              <w:rPr>
                <w:rFonts w:hint="eastAsia" w:asciiTheme="minorEastAsia" w:hAnsiTheme="minorEastAsia" w:eastAsiaTheme="minorEastAsia" w:cstheme="minorEastAsia"/>
                <w:sz w:val="24"/>
                <w:szCs w:val="24"/>
                <w:highlight w:val="none"/>
                <w:lang w:val="en-US" w:eastAsia="zh-CN"/>
              </w:rPr>
              <w:t>RV减速机；</w:t>
            </w:r>
          </w:p>
          <w:p w14:paraId="0B066972">
            <w:pPr>
              <w:pStyle w:val="36"/>
              <w:numPr>
                <w:ilvl w:val="0"/>
                <w:numId w:val="0"/>
              </w:numPr>
              <w:spacing w:before="30" w:line="219" w:lineRule="auto"/>
              <w:ind w:leftChars="0"/>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7.外形尺寸：6000*1400*1300mm；</w:t>
            </w:r>
          </w:p>
          <w:p w14:paraId="31D8F03F">
            <w:pPr>
              <w:pStyle w:val="36"/>
              <w:numPr>
                <w:ilvl w:val="0"/>
                <w:numId w:val="0"/>
              </w:numPr>
              <w:spacing w:before="30" w:line="219" w:lineRule="auto"/>
              <w:ind w:leftChars="0"/>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8.风机：</w:t>
            </w:r>
            <w:r>
              <w:rPr>
                <w:rFonts w:hint="eastAsia" w:asciiTheme="minorEastAsia" w:hAnsiTheme="minorEastAsia" w:eastAsiaTheme="minorEastAsia" w:cstheme="minorEastAsia"/>
                <w:spacing w:val="-1"/>
                <w:sz w:val="24"/>
                <w:szCs w:val="24"/>
                <w:highlight w:val="none"/>
                <w:lang w:val="en-US" w:eastAsia="zh-CN"/>
              </w:rPr>
              <w:t>国标</w:t>
            </w:r>
            <w:r>
              <w:rPr>
                <w:rFonts w:hint="eastAsia" w:asciiTheme="minorEastAsia" w:hAnsiTheme="minorEastAsia" w:eastAsiaTheme="minorEastAsia" w:cstheme="minorEastAsia"/>
                <w:i w:val="0"/>
                <w:iCs w:val="0"/>
                <w:color w:val="auto"/>
                <w:sz w:val="24"/>
                <w:szCs w:val="24"/>
                <w:highlight w:val="none"/>
                <w:u w:val="none"/>
                <w:lang w:val="en-US" w:eastAsia="zh-CN"/>
              </w:rPr>
              <w:t>；</w:t>
            </w:r>
          </w:p>
          <w:p w14:paraId="06ED05EA">
            <w:pPr>
              <w:pStyle w:val="36"/>
              <w:numPr>
                <w:ilvl w:val="0"/>
                <w:numId w:val="0"/>
              </w:numPr>
              <w:spacing w:before="30" w:line="219" w:lineRule="auto"/>
              <w:ind w:leftChars="0"/>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9.电机：</w:t>
            </w:r>
            <w:r>
              <w:rPr>
                <w:rFonts w:hint="eastAsia" w:asciiTheme="minorEastAsia" w:hAnsiTheme="minorEastAsia" w:eastAsiaTheme="minorEastAsia" w:cstheme="minorEastAsia"/>
                <w:spacing w:val="-1"/>
                <w:sz w:val="24"/>
                <w:szCs w:val="24"/>
                <w:highlight w:val="none"/>
                <w:lang w:val="en-US" w:eastAsia="zh-CN"/>
              </w:rPr>
              <w:t>国标</w:t>
            </w:r>
            <w:r>
              <w:rPr>
                <w:rFonts w:hint="eastAsia" w:asciiTheme="minorEastAsia" w:hAnsiTheme="minorEastAsia" w:eastAsiaTheme="minorEastAsia" w:cstheme="minorEastAsia"/>
                <w:i w:val="0"/>
                <w:iCs w:val="0"/>
                <w:color w:val="auto"/>
                <w:sz w:val="24"/>
                <w:szCs w:val="24"/>
                <w:highlight w:val="none"/>
                <w:u w:val="none"/>
                <w:lang w:val="en-US" w:eastAsia="zh-CN"/>
              </w:rPr>
              <w:t>；</w:t>
            </w:r>
          </w:p>
          <w:p w14:paraId="5575B4C0">
            <w:pPr>
              <w:pStyle w:val="36"/>
              <w:numPr>
                <w:ilvl w:val="0"/>
                <w:numId w:val="0"/>
              </w:numPr>
              <w:spacing w:before="30" w:line="219" w:lineRule="auto"/>
              <w:ind w:leftChars="0"/>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sz w:val="24"/>
                <w:szCs w:val="24"/>
                <w:highlight w:val="none"/>
                <w:lang w:val="en-US" w:eastAsia="zh-CN"/>
              </w:rPr>
              <w:t>10.板材厚度：2-4mm；</w:t>
            </w:r>
          </w:p>
        </w:tc>
      </w:tr>
      <w:tr w14:paraId="636CC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2658" w:hRule="atLeast"/>
        </w:trPr>
        <w:tc>
          <w:tcPr>
            <w:tcW w:w="542" w:type="dxa"/>
            <w:vAlign w:val="center"/>
          </w:tcPr>
          <w:p w14:paraId="2021D5D8">
            <w:pPr>
              <w:jc w:val="center"/>
              <w:rPr>
                <w:rFonts w:hint="default"/>
                <w:sz w:val="22"/>
                <w:szCs w:val="22"/>
                <w:highlight w:val="none"/>
                <w:lang w:val="en-US" w:eastAsia="zh-CN"/>
              </w:rPr>
            </w:pPr>
            <w:r>
              <w:rPr>
                <w:rFonts w:hint="eastAsia"/>
                <w:sz w:val="22"/>
                <w:szCs w:val="22"/>
                <w:highlight w:val="none"/>
                <w:lang w:val="en-US" w:eastAsia="zh-CN"/>
              </w:rPr>
              <w:t>17</w:t>
            </w:r>
          </w:p>
        </w:tc>
        <w:tc>
          <w:tcPr>
            <w:tcW w:w="2226" w:type="dxa"/>
            <w:vAlign w:val="center"/>
          </w:tcPr>
          <w:p w14:paraId="0C6D5A36">
            <w:pPr>
              <w:jc w:val="both"/>
              <w:rPr>
                <w:rFonts w:hint="default"/>
                <w:szCs w:val="21"/>
                <w:highlight w:val="none"/>
                <w:lang w:val="en-US" w:eastAsia="zh-CN"/>
              </w:rPr>
            </w:pPr>
            <w:r>
              <w:rPr>
                <w:rFonts w:hint="eastAsia"/>
                <w:szCs w:val="21"/>
                <w:highlight w:val="none"/>
                <w:lang w:val="en-US" w:eastAsia="zh-CN"/>
              </w:rPr>
              <w:t>挑选装筐输送机</w:t>
            </w:r>
          </w:p>
        </w:tc>
        <w:tc>
          <w:tcPr>
            <w:tcW w:w="2075" w:type="dxa"/>
            <w:shd w:val="clear" w:color="auto" w:fill="auto"/>
            <w:vAlign w:val="center"/>
          </w:tcPr>
          <w:p w14:paraId="53E718E6">
            <w:pPr>
              <w:jc w:val="center"/>
              <w:rPr>
                <w:rFonts w:hint="default"/>
                <w:szCs w:val="21"/>
                <w:highlight w:val="none"/>
                <w:lang w:val="en-US" w:eastAsia="zh-CN"/>
              </w:rPr>
            </w:pPr>
            <w:r>
              <w:rPr>
                <w:rFonts w:hint="eastAsia"/>
                <w:szCs w:val="21"/>
                <w:highlight w:val="none"/>
                <w:lang w:val="en-US" w:eastAsia="zh-CN"/>
              </w:rPr>
              <w:t>1套</w:t>
            </w:r>
          </w:p>
        </w:tc>
        <w:tc>
          <w:tcPr>
            <w:tcW w:w="9548" w:type="dxa"/>
            <w:shd w:val="clear" w:color="auto" w:fill="auto"/>
            <w:vAlign w:val="center"/>
          </w:tcPr>
          <w:p w14:paraId="0D6B897D">
            <w:pPr>
              <w:pStyle w:val="36"/>
              <w:spacing w:before="42" w:line="220"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3"/>
                <w:sz w:val="24"/>
                <w:szCs w:val="24"/>
                <w:highlight w:val="none"/>
              </w:rPr>
              <w:t>1</w:t>
            </w:r>
            <w:r>
              <w:rPr>
                <w:rFonts w:hint="eastAsia" w:asciiTheme="minorEastAsia" w:hAnsiTheme="minorEastAsia" w:eastAsiaTheme="minorEastAsia" w:cstheme="minorEastAsia"/>
                <w:spacing w:val="-3"/>
                <w:sz w:val="24"/>
                <w:szCs w:val="24"/>
                <w:highlight w:val="none"/>
                <w:lang w:val="en-US" w:eastAsia="zh-CN"/>
              </w:rPr>
              <w:t>.</w:t>
            </w:r>
            <w:r>
              <w:rPr>
                <w:rFonts w:hint="eastAsia" w:asciiTheme="minorEastAsia" w:hAnsiTheme="minorEastAsia" w:eastAsiaTheme="minorEastAsia" w:cstheme="minorEastAsia"/>
                <w:spacing w:val="-3"/>
                <w:sz w:val="24"/>
                <w:szCs w:val="24"/>
                <w:highlight w:val="none"/>
              </w:rPr>
              <w:t>皮带有效宽度为</w:t>
            </w:r>
            <w:r>
              <w:rPr>
                <w:rFonts w:hint="eastAsia" w:asciiTheme="minorEastAsia" w:hAnsiTheme="minorEastAsia" w:eastAsiaTheme="minorEastAsia" w:cstheme="minorEastAsia"/>
                <w:spacing w:val="-3"/>
                <w:sz w:val="24"/>
                <w:szCs w:val="24"/>
                <w:highlight w:val="none"/>
                <w:lang w:eastAsia="zh-CN"/>
              </w:rPr>
              <w:t>：</w:t>
            </w:r>
            <w:r>
              <w:rPr>
                <w:rFonts w:hint="eastAsia" w:asciiTheme="minorEastAsia" w:hAnsiTheme="minorEastAsia" w:eastAsiaTheme="minorEastAsia" w:cstheme="minorEastAsia"/>
                <w:spacing w:val="-3"/>
                <w:sz w:val="24"/>
                <w:szCs w:val="24"/>
                <w:highlight w:val="none"/>
                <w:lang w:val="en-US" w:eastAsia="zh-CN"/>
              </w:rPr>
              <w:t>6</w:t>
            </w:r>
            <w:r>
              <w:rPr>
                <w:rFonts w:hint="eastAsia" w:asciiTheme="minorEastAsia" w:hAnsiTheme="minorEastAsia" w:eastAsiaTheme="minorEastAsia" w:cstheme="minorEastAsia"/>
                <w:spacing w:val="-3"/>
                <w:sz w:val="24"/>
                <w:szCs w:val="24"/>
                <w:highlight w:val="none"/>
              </w:rPr>
              <w:t>00</w:t>
            </w:r>
            <w:r>
              <w:rPr>
                <w:rFonts w:hint="eastAsia" w:asciiTheme="minorEastAsia" w:hAnsiTheme="minorEastAsia" w:eastAsiaTheme="minorEastAsia" w:cstheme="minorEastAsia"/>
                <w:spacing w:val="-3"/>
                <w:sz w:val="24"/>
                <w:szCs w:val="24"/>
                <w:highlight w:val="none"/>
                <w:lang w:val="en-US" w:eastAsia="zh-CN"/>
              </w:rPr>
              <w:t>mm</w:t>
            </w:r>
          </w:p>
          <w:p w14:paraId="0F2BD02D">
            <w:pPr>
              <w:pStyle w:val="36"/>
              <w:spacing w:before="28" w:line="220" w:lineRule="auto"/>
              <w:rPr>
                <w:rFonts w:hint="eastAsia" w:asciiTheme="minorEastAsia" w:hAnsiTheme="minorEastAsia" w:eastAsiaTheme="minorEastAsia" w:cstheme="minorEastAsia"/>
                <w:spacing w:val="-1"/>
                <w:sz w:val="24"/>
                <w:szCs w:val="24"/>
                <w:highlight w:val="none"/>
              </w:rPr>
            </w:pPr>
            <w:r>
              <w:rPr>
                <w:rFonts w:hint="eastAsia" w:asciiTheme="minorEastAsia" w:hAnsiTheme="minorEastAsia" w:eastAsiaTheme="minorEastAsia" w:cstheme="minorEastAsia"/>
                <w:spacing w:val="-1"/>
                <w:sz w:val="24"/>
                <w:szCs w:val="24"/>
                <w:highlight w:val="none"/>
              </w:rPr>
              <w:t>2</w:t>
            </w:r>
            <w:r>
              <w:rPr>
                <w:rFonts w:hint="eastAsia" w:asciiTheme="minorEastAsia" w:hAnsiTheme="minorEastAsia" w:eastAsiaTheme="minorEastAsia" w:cstheme="minorEastAsia"/>
                <w:spacing w:val="-1"/>
                <w:sz w:val="24"/>
                <w:szCs w:val="24"/>
                <w:highlight w:val="none"/>
                <w:lang w:val="en-US" w:eastAsia="zh-CN"/>
              </w:rPr>
              <w:t>.</w:t>
            </w:r>
            <w:r>
              <w:rPr>
                <w:rFonts w:hint="eastAsia" w:asciiTheme="minorEastAsia" w:hAnsiTheme="minorEastAsia" w:eastAsiaTheme="minorEastAsia" w:cstheme="minorEastAsia"/>
                <w:spacing w:val="-1"/>
                <w:sz w:val="24"/>
                <w:szCs w:val="24"/>
                <w:highlight w:val="none"/>
              </w:rPr>
              <w:t>皮带厚度：</w:t>
            </w:r>
            <w:r>
              <w:rPr>
                <w:rFonts w:hint="eastAsia" w:asciiTheme="minorEastAsia" w:hAnsiTheme="minorEastAsia" w:eastAsiaTheme="minorEastAsia" w:cstheme="minorEastAsia"/>
                <w:spacing w:val="-1"/>
                <w:sz w:val="24"/>
                <w:szCs w:val="24"/>
                <w:highlight w:val="none"/>
                <w:lang w:val="en-US" w:eastAsia="zh-CN"/>
              </w:rPr>
              <w:t>3-4</w:t>
            </w:r>
            <w:r>
              <w:rPr>
                <w:rFonts w:hint="eastAsia" w:asciiTheme="minorEastAsia" w:hAnsiTheme="minorEastAsia" w:eastAsiaTheme="minorEastAsia" w:cstheme="minorEastAsia"/>
                <w:spacing w:val="-1"/>
                <w:sz w:val="24"/>
                <w:szCs w:val="24"/>
                <w:highlight w:val="none"/>
              </w:rPr>
              <w:t xml:space="preserve">mm  </w:t>
            </w:r>
          </w:p>
          <w:p w14:paraId="23CC59F1">
            <w:pPr>
              <w:pStyle w:val="36"/>
              <w:spacing w:before="28" w:line="220"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3.皮带材质</w:t>
            </w:r>
            <w:r>
              <w:rPr>
                <w:rFonts w:hint="eastAsia" w:asciiTheme="minorEastAsia" w:hAnsiTheme="minorEastAsia" w:eastAsiaTheme="minorEastAsia" w:cstheme="minorEastAsia"/>
                <w:spacing w:val="-1"/>
                <w:sz w:val="24"/>
                <w:szCs w:val="24"/>
                <w:highlight w:val="none"/>
                <w:lang w:eastAsia="zh-CN"/>
              </w:rPr>
              <w:t>：</w:t>
            </w:r>
            <w:r>
              <w:rPr>
                <w:rFonts w:hint="eastAsia" w:asciiTheme="minorEastAsia" w:hAnsiTheme="minorEastAsia" w:eastAsiaTheme="minorEastAsia" w:cstheme="minorEastAsia"/>
                <w:spacing w:val="-1"/>
                <w:sz w:val="24"/>
                <w:szCs w:val="24"/>
                <w:highlight w:val="none"/>
                <w:lang w:val="en-US" w:eastAsia="zh-CN"/>
              </w:rPr>
              <w:t>食品级PVC带</w:t>
            </w:r>
          </w:p>
          <w:p w14:paraId="05605F2F">
            <w:pPr>
              <w:pStyle w:val="36"/>
              <w:spacing w:before="28" w:line="223" w:lineRule="auto"/>
              <w:rPr>
                <w:rFonts w:hint="eastAsia" w:asciiTheme="minorEastAsia" w:hAnsiTheme="minorEastAsia" w:eastAsiaTheme="minorEastAsia" w:cstheme="minorEastAsia"/>
                <w:spacing w:val="14"/>
                <w:sz w:val="24"/>
                <w:szCs w:val="24"/>
                <w:highlight w:val="none"/>
              </w:rPr>
            </w:pPr>
            <w:r>
              <w:rPr>
                <w:rFonts w:hint="eastAsia" w:asciiTheme="minorEastAsia" w:hAnsiTheme="minorEastAsia" w:eastAsiaTheme="minorEastAsia" w:cstheme="minorEastAsia"/>
                <w:spacing w:val="-6"/>
                <w:sz w:val="24"/>
                <w:szCs w:val="24"/>
                <w:highlight w:val="none"/>
                <w:lang w:val="en-US" w:eastAsia="zh-CN"/>
              </w:rPr>
              <w:t>4.</w:t>
            </w:r>
            <w:r>
              <w:rPr>
                <w:rFonts w:hint="eastAsia" w:asciiTheme="minorEastAsia" w:hAnsiTheme="minorEastAsia" w:eastAsiaTheme="minorEastAsia" w:cstheme="minorEastAsia"/>
                <w:spacing w:val="-2"/>
                <w:sz w:val="24"/>
                <w:szCs w:val="24"/>
                <w:highlight w:val="none"/>
                <w:lang w:val="en-US" w:eastAsia="zh-CN"/>
              </w:rPr>
              <w:t>板材厚度：2-4mm；</w:t>
            </w:r>
            <w:r>
              <w:rPr>
                <w:rFonts w:hint="eastAsia" w:asciiTheme="minorEastAsia" w:hAnsiTheme="minorEastAsia" w:eastAsiaTheme="minorEastAsia" w:cstheme="minorEastAsia"/>
                <w:spacing w:val="14"/>
                <w:sz w:val="24"/>
                <w:szCs w:val="24"/>
                <w:highlight w:val="none"/>
              </w:rPr>
              <w:t xml:space="preserve"> </w:t>
            </w:r>
          </w:p>
          <w:p w14:paraId="55E80B57">
            <w:pPr>
              <w:pStyle w:val="36"/>
              <w:spacing w:before="28" w:line="223" w:lineRule="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3"/>
                <w:sz w:val="24"/>
                <w:szCs w:val="24"/>
                <w:highlight w:val="none"/>
                <w:lang w:val="en-US" w:eastAsia="zh-CN"/>
              </w:rPr>
              <w:t>5.</w:t>
            </w:r>
            <w:r>
              <w:rPr>
                <w:rFonts w:hint="eastAsia" w:asciiTheme="minorEastAsia" w:hAnsiTheme="minorEastAsia" w:eastAsiaTheme="minorEastAsia" w:cstheme="minorEastAsia"/>
                <w:spacing w:val="-3"/>
                <w:sz w:val="24"/>
                <w:szCs w:val="24"/>
                <w:highlight w:val="none"/>
              </w:rPr>
              <w:t>总功率：</w:t>
            </w:r>
            <w:r>
              <w:rPr>
                <w:rFonts w:hint="eastAsia" w:asciiTheme="minorEastAsia" w:hAnsiTheme="minorEastAsia" w:eastAsiaTheme="minorEastAsia" w:cstheme="minorEastAsia"/>
                <w:spacing w:val="-3"/>
                <w:sz w:val="24"/>
                <w:szCs w:val="24"/>
                <w:highlight w:val="none"/>
                <w:lang w:val="en-US" w:eastAsia="zh-CN"/>
              </w:rPr>
              <w:t>0.37</w:t>
            </w:r>
            <w:r>
              <w:rPr>
                <w:rFonts w:hint="eastAsia" w:asciiTheme="minorEastAsia" w:hAnsiTheme="minorEastAsia" w:eastAsiaTheme="minorEastAsia" w:cstheme="minorEastAsia"/>
                <w:spacing w:val="-3"/>
                <w:sz w:val="24"/>
                <w:szCs w:val="24"/>
                <w:highlight w:val="none"/>
              </w:rPr>
              <w:t>KW</w:t>
            </w:r>
            <w:r>
              <w:rPr>
                <w:rFonts w:hint="eastAsia" w:asciiTheme="minorEastAsia" w:hAnsiTheme="minorEastAsia" w:eastAsiaTheme="minorEastAsia" w:cstheme="minorEastAsia"/>
                <w:spacing w:val="-3"/>
                <w:sz w:val="24"/>
                <w:szCs w:val="24"/>
                <w:highlight w:val="none"/>
                <w:lang w:val="en-US" w:eastAsia="zh-CN"/>
              </w:rPr>
              <w:t>/380v</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z w:val="24"/>
                <w:szCs w:val="24"/>
                <w:highlight w:val="none"/>
                <w:lang w:eastAsia="zh-CN"/>
              </w:rPr>
              <w:t>；</w:t>
            </w:r>
          </w:p>
          <w:p w14:paraId="28472CA7">
            <w:pPr>
              <w:pStyle w:val="36"/>
              <w:spacing w:before="28" w:line="223" w:lineRule="auto"/>
              <w:rPr>
                <w:rFonts w:hint="eastAsia"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6.</w:t>
            </w:r>
            <w:r>
              <w:rPr>
                <w:rFonts w:hint="eastAsia" w:asciiTheme="minorEastAsia" w:hAnsiTheme="minorEastAsia" w:eastAsiaTheme="minorEastAsia" w:cstheme="minorEastAsia"/>
                <w:spacing w:val="-1"/>
                <w:sz w:val="24"/>
                <w:szCs w:val="24"/>
                <w:highlight w:val="none"/>
              </w:rPr>
              <w:t>外形尺寸：</w:t>
            </w:r>
            <w:r>
              <w:rPr>
                <w:rFonts w:hint="eastAsia" w:asciiTheme="minorEastAsia" w:hAnsiTheme="minorEastAsia" w:eastAsiaTheme="minorEastAsia" w:cstheme="minorEastAsia"/>
                <w:spacing w:val="-1"/>
                <w:sz w:val="24"/>
                <w:szCs w:val="24"/>
                <w:highlight w:val="none"/>
                <w:lang w:val="en-US" w:eastAsia="zh-CN"/>
              </w:rPr>
              <w:t>6000*600*800mm；</w:t>
            </w:r>
          </w:p>
          <w:p w14:paraId="7EE814CA">
            <w:pPr>
              <w:pStyle w:val="36"/>
              <w:spacing w:before="28" w:line="223" w:lineRule="auto"/>
              <w:rPr>
                <w:rFonts w:hint="eastAsia"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7.设备材质：304不锈钢；</w:t>
            </w:r>
          </w:p>
          <w:p w14:paraId="11602970">
            <w:pPr>
              <w:pStyle w:val="36"/>
              <w:spacing w:before="28" w:line="223" w:lineRule="auto"/>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spacing w:val="-1"/>
                <w:sz w:val="24"/>
                <w:szCs w:val="24"/>
                <w:highlight w:val="none"/>
                <w:lang w:val="en-US" w:eastAsia="zh-CN"/>
              </w:rPr>
              <w:t>8.减速机：国标；</w:t>
            </w:r>
          </w:p>
        </w:tc>
      </w:tr>
      <w:tr w14:paraId="08893F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584" w:hRule="atLeast"/>
        </w:trPr>
        <w:tc>
          <w:tcPr>
            <w:tcW w:w="542" w:type="dxa"/>
            <w:vAlign w:val="center"/>
          </w:tcPr>
          <w:p w14:paraId="71591AC4">
            <w:pPr>
              <w:jc w:val="center"/>
              <w:rPr>
                <w:rFonts w:hint="default"/>
                <w:sz w:val="22"/>
                <w:szCs w:val="22"/>
                <w:highlight w:val="none"/>
                <w:lang w:val="en-US" w:eastAsia="zh-CN"/>
              </w:rPr>
            </w:pPr>
            <w:r>
              <w:rPr>
                <w:rFonts w:hint="eastAsia"/>
                <w:sz w:val="22"/>
                <w:szCs w:val="22"/>
                <w:highlight w:val="none"/>
                <w:lang w:val="en-US" w:eastAsia="zh-CN"/>
              </w:rPr>
              <w:t>18</w:t>
            </w:r>
          </w:p>
        </w:tc>
        <w:tc>
          <w:tcPr>
            <w:tcW w:w="2226" w:type="dxa"/>
            <w:vAlign w:val="center"/>
          </w:tcPr>
          <w:p w14:paraId="580262AE">
            <w:pPr>
              <w:jc w:val="center"/>
              <w:rPr>
                <w:rFonts w:hint="default"/>
                <w:szCs w:val="21"/>
                <w:highlight w:val="none"/>
                <w:lang w:val="en-US" w:eastAsia="zh-CN"/>
              </w:rPr>
            </w:pPr>
            <w:r>
              <w:rPr>
                <w:rFonts w:hint="eastAsia"/>
                <w:szCs w:val="21"/>
                <w:highlight w:val="none"/>
                <w:lang w:val="en-US" w:eastAsia="zh-CN"/>
              </w:rPr>
              <w:t>蒸汽管道</w:t>
            </w:r>
          </w:p>
        </w:tc>
        <w:tc>
          <w:tcPr>
            <w:tcW w:w="2075" w:type="dxa"/>
            <w:shd w:val="clear" w:color="auto" w:fill="auto"/>
            <w:vAlign w:val="center"/>
          </w:tcPr>
          <w:p w14:paraId="1D1EEA56">
            <w:pPr>
              <w:jc w:val="center"/>
              <w:rPr>
                <w:rFonts w:hint="default"/>
                <w:szCs w:val="21"/>
                <w:highlight w:val="none"/>
                <w:lang w:val="en-US" w:eastAsia="zh-CN"/>
              </w:rPr>
            </w:pPr>
            <w:r>
              <w:rPr>
                <w:rFonts w:hint="eastAsia"/>
                <w:szCs w:val="21"/>
                <w:highlight w:val="none"/>
                <w:lang w:val="en-US" w:eastAsia="zh-CN"/>
              </w:rPr>
              <w:t>100米</w:t>
            </w:r>
          </w:p>
        </w:tc>
        <w:tc>
          <w:tcPr>
            <w:tcW w:w="9548" w:type="dxa"/>
            <w:shd w:val="clear" w:color="auto" w:fill="auto"/>
            <w:vAlign w:val="center"/>
          </w:tcPr>
          <w:p w14:paraId="1B76AF34">
            <w:pPr>
              <w:pStyle w:val="36"/>
              <w:numPr>
                <w:ilvl w:val="0"/>
                <w:numId w:val="0"/>
              </w:numPr>
              <w:spacing w:before="30" w:line="219" w:lineRule="auto"/>
              <w:rPr>
                <w:rFonts w:hint="eastAsia" w:asciiTheme="minorEastAsia" w:hAnsiTheme="minorEastAsia" w:eastAsiaTheme="minorEastAsia" w:cstheme="minorEastAsia"/>
                <w:color w:val="000000" w:themeColor="text1"/>
                <w:spacing w:val="9"/>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9"/>
                <w:sz w:val="24"/>
                <w:szCs w:val="24"/>
                <w:highlight w:val="none"/>
                <w:lang w:val="en-US" w:eastAsia="zh-CN"/>
                <w14:textFill>
                  <w14:solidFill>
                    <w14:schemeClr w14:val="tx1"/>
                  </w14:solidFill>
                </w14:textFill>
              </w:rPr>
              <w:t>1.采用工业型无缝铁管焊接；</w:t>
            </w:r>
          </w:p>
          <w:p w14:paraId="32900035">
            <w:pPr>
              <w:pStyle w:val="36"/>
              <w:numPr>
                <w:ilvl w:val="0"/>
                <w:numId w:val="0"/>
              </w:numPr>
              <w:spacing w:before="30" w:line="219" w:lineRule="auto"/>
              <w:rPr>
                <w:rFonts w:hint="eastAsia"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color w:val="000000" w:themeColor="text1"/>
                <w:spacing w:val="9"/>
                <w:sz w:val="24"/>
                <w:szCs w:val="24"/>
                <w:highlight w:val="none"/>
                <w:lang w:val="en-US" w:eastAsia="zh-CN"/>
                <w14:textFill>
                  <w14:solidFill>
                    <w14:schemeClr w14:val="tx1"/>
                  </w14:solidFill>
                </w14:textFill>
              </w:rPr>
              <w:t>2.采用加厚保温棉；</w:t>
            </w:r>
          </w:p>
        </w:tc>
      </w:tr>
      <w:tr w14:paraId="4A7C5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842" w:hRule="atLeast"/>
        </w:trPr>
        <w:tc>
          <w:tcPr>
            <w:tcW w:w="542" w:type="dxa"/>
            <w:vAlign w:val="center"/>
          </w:tcPr>
          <w:p w14:paraId="0E918516">
            <w:pPr>
              <w:jc w:val="center"/>
              <w:rPr>
                <w:rFonts w:hint="default"/>
                <w:sz w:val="22"/>
                <w:szCs w:val="22"/>
                <w:highlight w:val="none"/>
                <w:lang w:val="en-US" w:eastAsia="zh-CN"/>
              </w:rPr>
            </w:pPr>
            <w:r>
              <w:rPr>
                <w:rFonts w:hint="eastAsia"/>
                <w:sz w:val="22"/>
                <w:szCs w:val="22"/>
                <w:highlight w:val="none"/>
                <w:lang w:val="en-US" w:eastAsia="zh-CN"/>
              </w:rPr>
              <w:t>19</w:t>
            </w:r>
          </w:p>
        </w:tc>
        <w:tc>
          <w:tcPr>
            <w:tcW w:w="2226" w:type="dxa"/>
            <w:vAlign w:val="center"/>
          </w:tcPr>
          <w:p w14:paraId="16D07A87">
            <w:pPr>
              <w:jc w:val="center"/>
              <w:rPr>
                <w:rFonts w:hint="default"/>
                <w:szCs w:val="21"/>
                <w:highlight w:val="none"/>
                <w:lang w:val="en-US" w:eastAsia="zh-CN"/>
              </w:rPr>
            </w:pPr>
            <w:r>
              <w:rPr>
                <w:rFonts w:hint="eastAsia"/>
                <w:szCs w:val="21"/>
                <w:highlight w:val="none"/>
                <w:lang w:val="en-US" w:eastAsia="zh-CN"/>
              </w:rPr>
              <w:t>分汽包</w:t>
            </w:r>
          </w:p>
        </w:tc>
        <w:tc>
          <w:tcPr>
            <w:tcW w:w="2075" w:type="dxa"/>
            <w:shd w:val="clear" w:color="auto" w:fill="auto"/>
            <w:vAlign w:val="center"/>
          </w:tcPr>
          <w:p w14:paraId="43A0BC6F">
            <w:pPr>
              <w:jc w:val="center"/>
              <w:rPr>
                <w:rFonts w:hint="default"/>
                <w:szCs w:val="21"/>
                <w:highlight w:val="none"/>
                <w:lang w:val="en-US" w:eastAsia="zh-CN"/>
              </w:rPr>
            </w:pPr>
            <w:r>
              <w:rPr>
                <w:rFonts w:hint="eastAsia"/>
                <w:szCs w:val="21"/>
                <w:highlight w:val="none"/>
                <w:lang w:val="en-US" w:eastAsia="zh-CN"/>
              </w:rPr>
              <w:t>2台</w:t>
            </w:r>
          </w:p>
        </w:tc>
        <w:tc>
          <w:tcPr>
            <w:tcW w:w="9548" w:type="dxa"/>
            <w:shd w:val="clear" w:color="auto" w:fill="auto"/>
            <w:vAlign w:val="center"/>
          </w:tcPr>
          <w:p w14:paraId="1B2DD19F">
            <w:pPr>
              <w:pStyle w:val="36"/>
              <w:numPr>
                <w:ilvl w:val="0"/>
                <w:numId w:val="0"/>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pacing w:val="9"/>
                <w:sz w:val="24"/>
                <w:szCs w:val="24"/>
                <w:highlight w:val="none"/>
                <w:lang w:val="en-US" w:eastAsia="zh-CN"/>
              </w:rPr>
              <w:t>1.分汽包设有排污口；</w:t>
            </w:r>
          </w:p>
          <w:p w14:paraId="0B771C3D">
            <w:pPr>
              <w:pStyle w:val="36"/>
              <w:numPr>
                <w:ilvl w:val="0"/>
                <w:numId w:val="0"/>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pacing w:val="9"/>
                <w:sz w:val="24"/>
                <w:szCs w:val="24"/>
                <w:highlight w:val="none"/>
                <w:lang w:val="en-US" w:eastAsia="zh-CN"/>
              </w:rPr>
              <w:t>2.压力表1块；</w:t>
            </w:r>
          </w:p>
          <w:p w14:paraId="08EC0A7C">
            <w:pPr>
              <w:pStyle w:val="36"/>
              <w:numPr>
                <w:ilvl w:val="0"/>
                <w:numId w:val="0"/>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pacing w:val="9"/>
                <w:sz w:val="24"/>
                <w:szCs w:val="24"/>
                <w:highlight w:val="none"/>
                <w:lang w:val="en-US" w:eastAsia="zh-CN"/>
              </w:rPr>
              <w:t>3.采用加厚筒体制作；</w:t>
            </w:r>
          </w:p>
          <w:p w14:paraId="5DFA6C2C">
            <w:pPr>
              <w:pStyle w:val="36"/>
              <w:spacing w:before="28" w:line="223" w:lineRule="auto"/>
              <w:rPr>
                <w:rFonts w:hint="eastAsia"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9"/>
                <w:sz w:val="24"/>
                <w:szCs w:val="24"/>
                <w:highlight w:val="none"/>
                <w:lang w:val="en-US" w:eastAsia="zh-CN"/>
              </w:rPr>
              <w:t>4.配套疏水阀；</w:t>
            </w:r>
          </w:p>
        </w:tc>
      </w:tr>
      <w:tr w14:paraId="321CF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1502" w:hRule="atLeast"/>
        </w:trPr>
        <w:tc>
          <w:tcPr>
            <w:tcW w:w="542" w:type="dxa"/>
            <w:vAlign w:val="center"/>
          </w:tcPr>
          <w:p w14:paraId="6EBD403C">
            <w:pPr>
              <w:jc w:val="center"/>
              <w:rPr>
                <w:rFonts w:hint="default"/>
                <w:sz w:val="22"/>
                <w:szCs w:val="22"/>
                <w:highlight w:val="none"/>
                <w:lang w:val="en-US" w:eastAsia="zh-CN"/>
              </w:rPr>
            </w:pPr>
            <w:r>
              <w:rPr>
                <w:rFonts w:hint="eastAsia"/>
                <w:sz w:val="22"/>
                <w:szCs w:val="22"/>
                <w:highlight w:val="none"/>
                <w:lang w:val="en-US" w:eastAsia="zh-CN"/>
              </w:rPr>
              <w:t>20</w:t>
            </w:r>
          </w:p>
        </w:tc>
        <w:tc>
          <w:tcPr>
            <w:tcW w:w="2226" w:type="dxa"/>
            <w:vAlign w:val="center"/>
          </w:tcPr>
          <w:p w14:paraId="5CE7B393">
            <w:pPr>
              <w:jc w:val="center"/>
              <w:rPr>
                <w:rFonts w:hint="default"/>
                <w:szCs w:val="21"/>
                <w:highlight w:val="none"/>
                <w:lang w:val="en-US" w:eastAsia="zh-CN"/>
              </w:rPr>
            </w:pPr>
            <w:r>
              <w:rPr>
                <w:rFonts w:hint="eastAsia"/>
                <w:szCs w:val="21"/>
                <w:highlight w:val="none"/>
                <w:lang w:val="en-US" w:eastAsia="zh-CN"/>
              </w:rPr>
              <w:t>螺杆空压机</w:t>
            </w:r>
          </w:p>
        </w:tc>
        <w:tc>
          <w:tcPr>
            <w:tcW w:w="2075" w:type="dxa"/>
            <w:shd w:val="clear" w:color="auto" w:fill="auto"/>
            <w:vAlign w:val="center"/>
          </w:tcPr>
          <w:p w14:paraId="04094A5C">
            <w:pPr>
              <w:jc w:val="center"/>
              <w:rPr>
                <w:rFonts w:hint="default"/>
                <w:szCs w:val="21"/>
                <w:highlight w:val="none"/>
                <w:lang w:val="en-US" w:eastAsia="zh-CN"/>
              </w:rPr>
            </w:pPr>
            <w:r>
              <w:rPr>
                <w:rFonts w:hint="eastAsia"/>
                <w:szCs w:val="21"/>
                <w:highlight w:val="none"/>
                <w:lang w:val="en-US" w:eastAsia="zh-CN"/>
              </w:rPr>
              <w:t>2台</w:t>
            </w:r>
          </w:p>
        </w:tc>
        <w:tc>
          <w:tcPr>
            <w:tcW w:w="9548" w:type="dxa"/>
            <w:shd w:val="clear" w:color="auto" w:fill="auto"/>
            <w:vAlign w:val="center"/>
          </w:tcPr>
          <w:p w14:paraId="4D165598">
            <w:pPr>
              <w:numPr>
                <w:ilvl w:val="0"/>
                <w:numId w:val="4"/>
              </w:numPr>
              <w:rPr>
                <w:rFonts w:hint="eastAsia" w:asciiTheme="minorEastAsia" w:hAnsiTheme="minorEastAsia" w:eastAsiaTheme="minorEastAsia" w:cstheme="minorEastAsia"/>
                <w:spacing w:val="9"/>
                <w:sz w:val="24"/>
                <w:szCs w:val="24"/>
                <w:highlight w:val="none"/>
                <w:lang w:eastAsia="zh-CN"/>
              </w:rPr>
            </w:pPr>
            <w:r>
              <w:rPr>
                <w:rFonts w:hint="eastAsia" w:asciiTheme="minorEastAsia" w:hAnsiTheme="minorEastAsia" w:eastAsiaTheme="minorEastAsia" w:cstheme="minorEastAsia"/>
                <w:spacing w:val="10"/>
                <w:sz w:val="24"/>
                <w:szCs w:val="24"/>
                <w:highlight w:val="none"/>
              </w:rPr>
              <w:t>排气压力</w:t>
            </w:r>
            <w:r>
              <w:rPr>
                <w:rFonts w:hint="eastAsia" w:asciiTheme="minorEastAsia" w:hAnsiTheme="minorEastAsia" w:eastAsiaTheme="minorEastAsia" w:cstheme="minorEastAsia"/>
                <w:spacing w:val="9"/>
                <w:sz w:val="24"/>
                <w:szCs w:val="24"/>
                <w:highlight w:val="none"/>
              </w:rPr>
              <w:t>0.</w:t>
            </w:r>
            <w:r>
              <w:rPr>
                <w:rFonts w:hint="eastAsia" w:asciiTheme="minorEastAsia" w:hAnsiTheme="minorEastAsia" w:eastAsiaTheme="minorEastAsia" w:cstheme="minorEastAsia"/>
                <w:spacing w:val="9"/>
                <w:sz w:val="24"/>
                <w:szCs w:val="24"/>
                <w:highlight w:val="none"/>
                <w:lang w:val="en-US" w:eastAsia="zh-CN"/>
              </w:rPr>
              <w:t>7</w:t>
            </w:r>
            <w:r>
              <w:rPr>
                <w:rFonts w:hint="eastAsia" w:asciiTheme="minorEastAsia" w:hAnsiTheme="minorEastAsia" w:eastAsiaTheme="minorEastAsia" w:cstheme="minorEastAsia"/>
                <w:sz w:val="24"/>
                <w:szCs w:val="24"/>
                <w:highlight w:val="none"/>
              </w:rPr>
              <w:t>MPa</w:t>
            </w:r>
            <w:r>
              <w:rPr>
                <w:rFonts w:hint="eastAsia" w:asciiTheme="minorEastAsia" w:hAnsiTheme="minorEastAsia" w:eastAsiaTheme="minorEastAsia" w:cstheme="minorEastAsia"/>
                <w:sz w:val="24"/>
                <w:szCs w:val="24"/>
                <w:highlight w:val="none"/>
                <w:lang w:eastAsia="zh-CN"/>
              </w:rPr>
              <w:t>；</w:t>
            </w:r>
          </w:p>
          <w:p w14:paraId="07F110D5">
            <w:pPr>
              <w:pStyle w:val="36"/>
              <w:numPr>
                <w:ilvl w:val="0"/>
                <w:numId w:val="4"/>
              </w:numPr>
              <w:spacing w:before="30" w:line="219" w:lineRule="auto"/>
              <w:ind w:left="0" w:leftChars="0" w:firstLine="0"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排气量：5.3立方/min；</w:t>
            </w:r>
          </w:p>
          <w:p w14:paraId="0552C713">
            <w:pPr>
              <w:pStyle w:val="36"/>
              <w:numPr>
                <w:ilvl w:val="0"/>
                <w:numId w:val="4"/>
              </w:numPr>
              <w:spacing w:before="30" w:line="219" w:lineRule="auto"/>
              <w:ind w:left="0" w:leftChars="0" w:firstLine="0" w:firstLineChars="0"/>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sz w:val="24"/>
                <w:szCs w:val="24"/>
                <w:highlight w:val="none"/>
                <w:lang w:val="en-US" w:eastAsia="zh-CN"/>
              </w:rPr>
              <w:t>配套高效油水分离装置；</w:t>
            </w:r>
          </w:p>
          <w:p w14:paraId="68F7AA16">
            <w:pPr>
              <w:pStyle w:val="36"/>
              <w:numPr>
                <w:ilvl w:val="0"/>
                <w:numId w:val="4"/>
              </w:numPr>
              <w:spacing w:before="30" w:line="219" w:lineRule="auto"/>
              <w:ind w:left="0" w:leftChars="0" w:firstLine="0" w:firstLineChars="0"/>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sz w:val="24"/>
                <w:szCs w:val="24"/>
                <w:highlight w:val="none"/>
                <w:lang w:val="en-US" w:eastAsia="zh-CN"/>
              </w:rPr>
              <w:t>外形尺寸：1280*1000*1290mm；</w:t>
            </w:r>
          </w:p>
          <w:p w14:paraId="7972326F">
            <w:pPr>
              <w:pStyle w:val="36"/>
              <w:numPr>
                <w:ilvl w:val="0"/>
                <w:numId w:val="4"/>
              </w:numPr>
              <w:spacing w:before="28" w:line="223" w:lineRule="auto"/>
              <w:ind w:left="0" w:leftChars="0" w:firstLine="0"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冷干机6.8m³；</w:t>
            </w:r>
          </w:p>
          <w:p w14:paraId="5CE438A8">
            <w:pPr>
              <w:pStyle w:val="36"/>
              <w:numPr>
                <w:ilvl w:val="0"/>
                <w:numId w:val="4"/>
              </w:numPr>
              <w:spacing w:before="28" w:line="223" w:lineRule="auto"/>
              <w:ind w:left="0" w:leftChars="0" w:firstLine="0"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功率：37kw；</w:t>
            </w:r>
          </w:p>
        </w:tc>
      </w:tr>
      <w:tr w14:paraId="4D7CC8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1549" w:hRule="atLeast"/>
        </w:trPr>
        <w:tc>
          <w:tcPr>
            <w:tcW w:w="542" w:type="dxa"/>
            <w:vAlign w:val="center"/>
          </w:tcPr>
          <w:p w14:paraId="45F3473B">
            <w:pPr>
              <w:jc w:val="center"/>
              <w:rPr>
                <w:rFonts w:hint="default"/>
                <w:sz w:val="22"/>
                <w:szCs w:val="22"/>
                <w:highlight w:val="none"/>
                <w:lang w:val="en-US" w:eastAsia="zh-CN"/>
              </w:rPr>
            </w:pPr>
            <w:r>
              <w:rPr>
                <w:rFonts w:hint="eastAsia"/>
                <w:sz w:val="22"/>
                <w:szCs w:val="22"/>
                <w:highlight w:val="none"/>
                <w:lang w:val="en-US" w:eastAsia="zh-CN"/>
              </w:rPr>
              <w:t>21</w:t>
            </w:r>
          </w:p>
        </w:tc>
        <w:tc>
          <w:tcPr>
            <w:tcW w:w="2226" w:type="dxa"/>
            <w:vAlign w:val="center"/>
          </w:tcPr>
          <w:p w14:paraId="08526A35">
            <w:pPr>
              <w:jc w:val="center"/>
              <w:rPr>
                <w:rFonts w:hint="eastAsia"/>
                <w:szCs w:val="21"/>
                <w:highlight w:val="none"/>
                <w:lang w:val="en-US" w:eastAsia="zh-CN"/>
              </w:rPr>
            </w:pPr>
            <w:r>
              <w:rPr>
                <w:rFonts w:hint="eastAsia"/>
                <w:szCs w:val="21"/>
                <w:highlight w:val="none"/>
              </w:rPr>
              <w:t>储气罐</w:t>
            </w:r>
          </w:p>
        </w:tc>
        <w:tc>
          <w:tcPr>
            <w:tcW w:w="2075" w:type="dxa"/>
            <w:shd w:val="clear" w:color="auto" w:fill="auto"/>
            <w:vAlign w:val="center"/>
          </w:tcPr>
          <w:p w14:paraId="2CF07996">
            <w:pPr>
              <w:jc w:val="center"/>
              <w:rPr>
                <w:rFonts w:hint="eastAsia"/>
                <w:szCs w:val="21"/>
                <w:highlight w:val="none"/>
                <w:lang w:val="en-US" w:eastAsia="zh-CN"/>
              </w:rPr>
            </w:pPr>
            <w:r>
              <w:rPr>
                <w:rFonts w:hint="eastAsia"/>
                <w:szCs w:val="21"/>
                <w:highlight w:val="none"/>
                <w:lang w:val="en-US" w:eastAsia="zh-CN"/>
              </w:rPr>
              <w:t>3台</w:t>
            </w:r>
          </w:p>
        </w:tc>
        <w:tc>
          <w:tcPr>
            <w:tcW w:w="9548" w:type="dxa"/>
            <w:shd w:val="clear" w:color="auto" w:fill="auto"/>
            <w:vAlign w:val="top"/>
          </w:tcPr>
          <w:p w14:paraId="7C9507C4">
            <w:pPr>
              <w:pStyle w:val="36"/>
              <w:numPr>
                <w:ilvl w:val="0"/>
                <w:numId w:val="5"/>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pacing w:val="9"/>
                <w:sz w:val="24"/>
                <w:szCs w:val="24"/>
                <w:highlight w:val="none"/>
                <w:lang w:val="en-US" w:eastAsia="zh-CN"/>
              </w:rPr>
              <w:t>容积：1³；</w:t>
            </w:r>
          </w:p>
          <w:p w14:paraId="5193F5BE">
            <w:pPr>
              <w:pStyle w:val="36"/>
              <w:numPr>
                <w:ilvl w:val="0"/>
                <w:numId w:val="5"/>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pacing w:val="9"/>
                <w:sz w:val="24"/>
                <w:szCs w:val="24"/>
                <w:highlight w:val="none"/>
                <w:lang w:val="en-US" w:eastAsia="zh-CN"/>
              </w:rPr>
              <w:t>采用精密焊接制作；</w:t>
            </w:r>
          </w:p>
          <w:p w14:paraId="5ABDA449">
            <w:pPr>
              <w:pStyle w:val="36"/>
              <w:numPr>
                <w:ilvl w:val="0"/>
                <w:numId w:val="5"/>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pacing w:val="9"/>
                <w:sz w:val="24"/>
                <w:szCs w:val="24"/>
                <w:highlight w:val="none"/>
                <w:lang w:val="en-US" w:eastAsia="zh-CN"/>
              </w:rPr>
              <w:t>配套空压机使用；</w:t>
            </w:r>
          </w:p>
          <w:p w14:paraId="0E1A0B53">
            <w:pPr>
              <w:pStyle w:val="36"/>
              <w:numPr>
                <w:ilvl w:val="0"/>
                <w:numId w:val="5"/>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pacing w:val="9"/>
                <w:sz w:val="24"/>
                <w:szCs w:val="24"/>
                <w:highlight w:val="none"/>
                <w:lang w:val="en-US" w:eastAsia="zh-CN"/>
              </w:rPr>
              <w:t>储气罐配套出气口、安全阀、排污阀；</w:t>
            </w:r>
          </w:p>
          <w:p w14:paraId="0D3F8C1B">
            <w:pPr>
              <w:pStyle w:val="36"/>
              <w:numPr>
                <w:ilvl w:val="0"/>
                <w:numId w:val="5"/>
              </w:numPr>
              <w:spacing w:before="30" w:line="219"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9"/>
                <w:sz w:val="24"/>
                <w:szCs w:val="24"/>
                <w:highlight w:val="none"/>
                <w:lang w:val="en-US" w:eastAsia="zh-CN"/>
              </w:rPr>
              <w:t>板材采用Q235B/Q345R高强度板材制作；</w:t>
            </w:r>
          </w:p>
        </w:tc>
      </w:tr>
      <w:tr w14:paraId="597DEC7E">
        <w:tblPrEx>
          <w:tblCellMar>
            <w:top w:w="57" w:type="dxa"/>
            <w:left w:w="108" w:type="dxa"/>
            <w:bottom w:w="57" w:type="dxa"/>
            <w:right w:w="108" w:type="dxa"/>
          </w:tblCellMar>
        </w:tblPrEx>
        <w:trPr>
          <w:trHeight w:val="1532" w:hRule="atLeast"/>
        </w:trPr>
        <w:tc>
          <w:tcPr>
            <w:tcW w:w="542" w:type="dxa"/>
            <w:vAlign w:val="center"/>
          </w:tcPr>
          <w:p w14:paraId="23B8940A">
            <w:pPr>
              <w:jc w:val="center"/>
              <w:rPr>
                <w:rFonts w:hint="default"/>
                <w:sz w:val="22"/>
                <w:szCs w:val="22"/>
                <w:highlight w:val="none"/>
                <w:lang w:val="en-US" w:eastAsia="zh-CN"/>
              </w:rPr>
            </w:pPr>
            <w:r>
              <w:rPr>
                <w:rFonts w:hint="eastAsia"/>
                <w:sz w:val="22"/>
                <w:szCs w:val="22"/>
                <w:highlight w:val="none"/>
                <w:lang w:val="en-US" w:eastAsia="zh-CN"/>
              </w:rPr>
              <w:t>22</w:t>
            </w:r>
          </w:p>
        </w:tc>
        <w:tc>
          <w:tcPr>
            <w:tcW w:w="2226" w:type="dxa"/>
            <w:vAlign w:val="center"/>
          </w:tcPr>
          <w:p w14:paraId="54921FC7">
            <w:pPr>
              <w:jc w:val="center"/>
              <w:rPr>
                <w:rFonts w:hint="default" w:eastAsia="微软雅黑"/>
                <w:szCs w:val="21"/>
                <w:highlight w:val="none"/>
                <w:lang w:val="en-US" w:eastAsia="zh-CN"/>
              </w:rPr>
            </w:pPr>
            <w:r>
              <w:rPr>
                <w:rFonts w:hint="eastAsia"/>
                <w:szCs w:val="21"/>
                <w:highlight w:val="none"/>
                <w:lang w:val="en-US" w:eastAsia="zh-CN"/>
              </w:rPr>
              <w:t>锅炉主机</w:t>
            </w:r>
          </w:p>
        </w:tc>
        <w:tc>
          <w:tcPr>
            <w:tcW w:w="2075" w:type="dxa"/>
            <w:shd w:val="clear" w:color="auto" w:fill="auto"/>
            <w:vAlign w:val="center"/>
          </w:tcPr>
          <w:p w14:paraId="08E5D6DC">
            <w:pPr>
              <w:jc w:val="center"/>
              <w:rPr>
                <w:rFonts w:hint="default"/>
                <w:szCs w:val="21"/>
                <w:highlight w:val="none"/>
                <w:lang w:val="en-US" w:eastAsia="zh-CN"/>
              </w:rPr>
            </w:pPr>
            <w:r>
              <w:rPr>
                <w:rFonts w:hint="eastAsia"/>
                <w:szCs w:val="21"/>
                <w:highlight w:val="none"/>
                <w:lang w:val="en-US" w:eastAsia="zh-CN"/>
              </w:rPr>
              <w:t>1台</w:t>
            </w:r>
          </w:p>
        </w:tc>
        <w:tc>
          <w:tcPr>
            <w:tcW w:w="9548" w:type="dxa"/>
            <w:shd w:val="clear" w:color="auto" w:fill="auto"/>
            <w:vAlign w:val="top"/>
          </w:tcPr>
          <w:p w14:paraId="1481DBD9">
            <w:pPr>
              <w:pStyle w:val="36"/>
              <w:numPr>
                <w:ilvl w:val="0"/>
                <w:numId w:val="0"/>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pacing w:val="9"/>
                <w:sz w:val="24"/>
                <w:szCs w:val="24"/>
                <w:highlight w:val="none"/>
                <w:lang w:val="en-US" w:eastAsia="zh-CN"/>
              </w:rPr>
              <w:t xml:space="preserve">1.筒体L=3520 Φ=1200*14  </w:t>
            </w:r>
          </w:p>
          <w:p w14:paraId="799A6DE9">
            <w:pPr>
              <w:pStyle w:val="36"/>
              <w:numPr>
                <w:ilvl w:val="0"/>
                <w:numId w:val="0"/>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pacing w:val="9"/>
                <w:sz w:val="24"/>
                <w:szCs w:val="24"/>
                <w:highlight w:val="none"/>
                <w:lang w:val="en-US" w:eastAsia="zh-CN"/>
              </w:rPr>
              <w:t>2.材质Q245R</w:t>
            </w:r>
          </w:p>
          <w:p w14:paraId="6B85EF0B">
            <w:pPr>
              <w:pStyle w:val="36"/>
              <w:numPr>
                <w:ilvl w:val="0"/>
                <w:numId w:val="0"/>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pacing w:val="9"/>
                <w:sz w:val="24"/>
                <w:szCs w:val="24"/>
                <w:highlight w:val="none"/>
                <w:lang w:val="en-US" w:eastAsia="zh-CN"/>
              </w:rPr>
              <w:t>3.上锅筒L=6893 Φ=900*16,</w:t>
            </w:r>
          </w:p>
          <w:p w14:paraId="44BA9E62">
            <w:pPr>
              <w:pStyle w:val="36"/>
              <w:numPr>
                <w:ilvl w:val="0"/>
                <w:numId w:val="0"/>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pacing w:val="9"/>
                <w:sz w:val="24"/>
                <w:szCs w:val="24"/>
                <w:highlight w:val="none"/>
                <w:lang w:val="en-US" w:eastAsia="zh-CN"/>
              </w:rPr>
              <w:t>4.下锅筒L=3367 Φ=900*16</w:t>
            </w:r>
          </w:p>
          <w:p w14:paraId="0975E495">
            <w:pPr>
              <w:pStyle w:val="36"/>
              <w:numPr>
                <w:ilvl w:val="0"/>
                <w:numId w:val="0"/>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pacing w:val="9"/>
                <w:sz w:val="24"/>
                <w:szCs w:val="24"/>
                <w:highlight w:val="none"/>
                <w:lang w:val="en-US" w:eastAsia="zh-CN"/>
              </w:rPr>
              <w:t>5.材质Q245R</w:t>
            </w:r>
          </w:p>
        </w:tc>
      </w:tr>
      <w:tr w14:paraId="745746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90" w:hRule="atLeast"/>
        </w:trPr>
        <w:tc>
          <w:tcPr>
            <w:tcW w:w="542" w:type="dxa"/>
            <w:vAlign w:val="center"/>
          </w:tcPr>
          <w:p w14:paraId="0CCAEDDD">
            <w:pPr>
              <w:jc w:val="center"/>
              <w:rPr>
                <w:rFonts w:hint="default"/>
                <w:sz w:val="22"/>
                <w:szCs w:val="22"/>
                <w:highlight w:val="none"/>
                <w:lang w:val="en-US" w:eastAsia="zh-CN"/>
              </w:rPr>
            </w:pPr>
            <w:r>
              <w:rPr>
                <w:rFonts w:hint="eastAsia"/>
                <w:sz w:val="22"/>
                <w:szCs w:val="22"/>
                <w:highlight w:val="none"/>
                <w:lang w:val="en-US" w:eastAsia="zh-CN"/>
              </w:rPr>
              <w:t>23</w:t>
            </w:r>
          </w:p>
        </w:tc>
        <w:tc>
          <w:tcPr>
            <w:tcW w:w="2226" w:type="dxa"/>
            <w:vAlign w:val="center"/>
          </w:tcPr>
          <w:p w14:paraId="5ABE6480">
            <w:pPr>
              <w:jc w:val="center"/>
              <w:rPr>
                <w:rFonts w:hint="eastAsia" w:eastAsia="微软雅黑"/>
                <w:szCs w:val="21"/>
                <w:highlight w:val="none"/>
                <w:lang w:val="en-US" w:eastAsia="zh-CN"/>
              </w:rPr>
            </w:pPr>
            <w:r>
              <w:rPr>
                <w:rFonts w:hint="eastAsia"/>
                <w:highlight w:val="none"/>
              </w:rPr>
              <w:t>上</w:t>
            </w:r>
            <w:r>
              <w:rPr>
                <w:rFonts w:hint="eastAsia"/>
                <w:highlight w:val="none"/>
                <w:lang w:val="en-US" w:eastAsia="zh-CN"/>
              </w:rPr>
              <w:t>料</w:t>
            </w:r>
            <w:r>
              <w:rPr>
                <w:rFonts w:hint="eastAsia"/>
                <w:highlight w:val="none"/>
              </w:rPr>
              <w:t>机</w:t>
            </w:r>
            <w:r>
              <w:rPr>
                <w:rFonts w:hint="eastAsia"/>
                <w:highlight w:val="none"/>
                <w:lang w:val="en-US" w:eastAsia="zh-CN"/>
              </w:rPr>
              <w:t>/提升机</w:t>
            </w:r>
          </w:p>
        </w:tc>
        <w:tc>
          <w:tcPr>
            <w:tcW w:w="2075" w:type="dxa"/>
            <w:shd w:val="clear" w:color="auto" w:fill="auto"/>
            <w:vAlign w:val="center"/>
          </w:tcPr>
          <w:p w14:paraId="7E9BEC1A">
            <w:pPr>
              <w:jc w:val="center"/>
              <w:rPr>
                <w:rFonts w:hint="eastAsia"/>
                <w:szCs w:val="21"/>
                <w:highlight w:val="none"/>
                <w:lang w:val="en-US" w:eastAsia="zh-CN"/>
              </w:rPr>
            </w:pPr>
            <w:r>
              <w:rPr>
                <w:rFonts w:hint="eastAsia"/>
                <w:szCs w:val="21"/>
                <w:highlight w:val="none"/>
                <w:lang w:val="en-US" w:eastAsia="zh-CN"/>
              </w:rPr>
              <w:t>1套/1台</w:t>
            </w:r>
          </w:p>
        </w:tc>
        <w:tc>
          <w:tcPr>
            <w:tcW w:w="9548" w:type="dxa"/>
            <w:shd w:val="clear" w:color="auto" w:fill="auto"/>
            <w:vAlign w:val="top"/>
          </w:tcPr>
          <w:p w14:paraId="3CDC701A">
            <w:pPr>
              <w:pStyle w:val="36"/>
              <w:numPr>
                <w:ilvl w:val="0"/>
                <w:numId w:val="6"/>
              </w:numPr>
              <w:spacing w:before="30" w:line="219"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电机为:1.1KW</w:t>
            </w:r>
          </w:p>
          <w:p w14:paraId="5C4DE8BB">
            <w:pPr>
              <w:pStyle w:val="36"/>
              <w:numPr>
                <w:ilvl w:val="0"/>
                <w:numId w:val="6"/>
              </w:numPr>
              <w:spacing w:before="30" w:line="219"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材质：钢板制成</w:t>
            </w:r>
          </w:p>
        </w:tc>
      </w:tr>
      <w:tr w14:paraId="36B6BF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746" w:hRule="atLeast"/>
        </w:trPr>
        <w:tc>
          <w:tcPr>
            <w:tcW w:w="542" w:type="dxa"/>
            <w:vAlign w:val="center"/>
          </w:tcPr>
          <w:p w14:paraId="5C8A2AD1">
            <w:pPr>
              <w:jc w:val="center"/>
              <w:rPr>
                <w:rFonts w:hint="default"/>
                <w:sz w:val="22"/>
                <w:szCs w:val="22"/>
                <w:highlight w:val="none"/>
                <w:lang w:val="en-US" w:eastAsia="zh-CN"/>
              </w:rPr>
            </w:pPr>
            <w:r>
              <w:rPr>
                <w:rFonts w:hint="eastAsia"/>
                <w:sz w:val="22"/>
                <w:szCs w:val="22"/>
                <w:highlight w:val="none"/>
                <w:lang w:val="en-US" w:eastAsia="zh-CN"/>
              </w:rPr>
              <w:t>24</w:t>
            </w:r>
          </w:p>
        </w:tc>
        <w:tc>
          <w:tcPr>
            <w:tcW w:w="2226" w:type="dxa"/>
            <w:vAlign w:val="center"/>
          </w:tcPr>
          <w:p w14:paraId="4E8C534F">
            <w:pPr>
              <w:jc w:val="center"/>
              <w:rPr>
                <w:rFonts w:hint="eastAsia"/>
                <w:highlight w:val="none"/>
              </w:rPr>
            </w:pPr>
            <w:r>
              <w:rPr>
                <w:rFonts w:hint="eastAsia"/>
                <w:highlight w:val="none"/>
              </w:rPr>
              <w:t>炉排减速机</w:t>
            </w:r>
          </w:p>
        </w:tc>
        <w:tc>
          <w:tcPr>
            <w:tcW w:w="2075" w:type="dxa"/>
            <w:shd w:val="clear" w:color="auto" w:fill="auto"/>
            <w:vAlign w:val="center"/>
          </w:tcPr>
          <w:p w14:paraId="7399019F">
            <w:pPr>
              <w:jc w:val="center"/>
              <w:rPr>
                <w:rFonts w:hint="eastAsia"/>
                <w:szCs w:val="21"/>
                <w:highlight w:val="none"/>
                <w:lang w:val="en-US" w:eastAsia="zh-CN"/>
              </w:rPr>
            </w:pPr>
            <w:r>
              <w:rPr>
                <w:rFonts w:hint="eastAsia"/>
                <w:szCs w:val="21"/>
                <w:highlight w:val="none"/>
                <w:lang w:val="en-US" w:eastAsia="zh-CN"/>
              </w:rPr>
              <w:t>1台</w:t>
            </w:r>
          </w:p>
        </w:tc>
        <w:tc>
          <w:tcPr>
            <w:tcW w:w="9548" w:type="dxa"/>
            <w:shd w:val="clear" w:color="auto" w:fill="auto"/>
            <w:vAlign w:val="top"/>
          </w:tcPr>
          <w:p w14:paraId="0AEEEBE1">
            <w:pPr>
              <w:pStyle w:val="38"/>
              <w:numPr>
                <w:ilvl w:val="0"/>
                <w:numId w:val="0"/>
              </w:numPr>
              <w:ind w:leftChars="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电机为1.5KW</w:t>
            </w:r>
          </w:p>
          <w:p w14:paraId="63F8CE03">
            <w:pPr>
              <w:pStyle w:val="36"/>
              <w:numPr>
                <w:ilvl w:val="0"/>
                <w:numId w:val="0"/>
              </w:numPr>
              <w:spacing w:before="30" w:line="219"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变速箱为铸铁制成</w:t>
            </w:r>
          </w:p>
        </w:tc>
      </w:tr>
      <w:tr w14:paraId="3F6BA9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445" w:hRule="atLeast"/>
        </w:trPr>
        <w:tc>
          <w:tcPr>
            <w:tcW w:w="542" w:type="dxa"/>
            <w:vAlign w:val="center"/>
          </w:tcPr>
          <w:p w14:paraId="1223BCFC">
            <w:pPr>
              <w:jc w:val="center"/>
              <w:rPr>
                <w:rFonts w:hint="default"/>
                <w:sz w:val="22"/>
                <w:szCs w:val="22"/>
                <w:highlight w:val="none"/>
                <w:lang w:val="en-US" w:eastAsia="zh-CN"/>
              </w:rPr>
            </w:pPr>
            <w:r>
              <w:rPr>
                <w:rFonts w:hint="eastAsia"/>
                <w:sz w:val="22"/>
                <w:szCs w:val="22"/>
                <w:highlight w:val="none"/>
                <w:lang w:val="en-US" w:eastAsia="zh-CN"/>
              </w:rPr>
              <w:t>25</w:t>
            </w:r>
          </w:p>
        </w:tc>
        <w:tc>
          <w:tcPr>
            <w:tcW w:w="2226" w:type="dxa"/>
            <w:vAlign w:val="center"/>
          </w:tcPr>
          <w:p w14:paraId="6D6CD31F">
            <w:pPr>
              <w:jc w:val="center"/>
              <w:rPr>
                <w:rFonts w:hint="eastAsia"/>
                <w:highlight w:val="none"/>
              </w:rPr>
            </w:pPr>
            <w:r>
              <w:rPr>
                <w:rFonts w:hint="eastAsia"/>
                <w:highlight w:val="none"/>
              </w:rPr>
              <w:t>除渣机</w:t>
            </w:r>
          </w:p>
        </w:tc>
        <w:tc>
          <w:tcPr>
            <w:tcW w:w="2075" w:type="dxa"/>
            <w:shd w:val="clear" w:color="auto" w:fill="auto"/>
            <w:vAlign w:val="center"/>
          </w:tcPr>
          <w:p w14:paraId="7105D470">
            <w:pPr>
              <w:jc w:val="center"/>
              <w:rPr>
                <w:rFonts w:hint="eastAsia"/>
                <w:szCs w:val="21"/>
                <w:highlight w:val="none"/>
                <w:lang w:val="en-US" w:eastAsia="zh-CN"/>
              </w:rPr>
            </w:pPr>
            <w:r>
              <w:rPr>
                <w:rFonts w:hint="eastAsia"/>
                <w:highlight w:val="none"/>
              </w:rPr>
              <w:t>1</w:t>
            </w:r>
            <w:r>
              <w:rPr>
                <w:rFonts w:hint="eastAsia"/>
                <w:szCs w:val="21"/>
                <w:highlight w:val="none"/>
                <w:lang w:val="en-US" w:eastAsia="zh-CN"/>
              </w:rPr>
              <w:t>台</w:t>
            </w:r>
          </w:p>
        </w:tc>
        <w:tc>
          <w:tcPr>
            <w:tcW w:w="9548" w:type="dxa"/>
            <w:shd w:val="clear" w:color="auto" w:fill="auto"/>
            <w:vAlign w:val="top"/>
          </w:tcPr>
          <w:p w14:paraId="4D510E5A">
            <w:pPr>
              <w:pStyle w:val="38"/>
              <w:numPr>
                <w:ilvl w:val="0"/>
                <w:numId w:val="0"/>
              </w:numPr>
              <w:ind w:leftChars="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电机2.2KW</w:t>
            </w:r>
          </w:p>
          <w:p w14:paraId="6500A51C">
            <w:pPr>
              <w:pStyle w:val="36"/>
              <w:numPr>
                <w:ilvl w:val="0"/>
                <w:numId w:val="0"/>
              </w:numPr>
              <w:spacing w:before="30" w:line="219"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槽体为6mm钢板制成</w:t>
            </w:r>
          </w:p>
        </w:tc>
      </w:tr>
      <w:tr w14:paraId="584C09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997" w:hRule="atLeast"/>
        </w:trPr>
        <w:tc>
          <w:tcPr>
            <w:tcW w:w="542" w:type="dxa"/>
            <w:vAlign w:val="center"/>
          </w:tcPr>
          <w:p w14:paraId="1F79D0D5">
            <w:pPr>
              <w:jc w:val="center"/>
              <w:rPr>
                <w:rFonts w:hint="default"/>
                <w:sz w:val="22"/>
                <w:szCs w:val="22"/>
                <w:highlight w:val="none"/>
                <w:lang w:val="en-US" w:eastAsia="zh-CN"/>
              </w:rPr>
            </w:pPr>
            <w:r>
              <w:rPr>
                <w:rFonts w:hint="eastAsia"/>
                <w:sz w:val="22"/>
                <w:szCs w:val="22"/>
                <w:highlight w:val="none"/>
                <w:lang w:val="en-US" w:eastAsia="zh-CN"/>
              </w:rPr>
              <w:t>26</w:t>
            </w:r>
          </w:p>
        </w:tc>
        <w:tc>
          <w:tcPr>
            <w:tcW w:w="2226" w:type="dxa"/>
            <w:vAlign w:val="center"/>
          </w:tcPr>
          <w:p w14:paraId="713B6DBC">
            <w:pPr>
              <w:jc w:val="center"/>
              <w:rPr>
                <w:rFonts w:hint="eastAsia"/>
                <w:highlight w:val="none"/>
              </w:rPr>
            </w:pPr>
            <w:r>
              <w:rPr>
                <w:rFonts w:hint="eastAsia"/>
                <w:highlight w:val="none"/>
              </w:rPr>
              <w:t>鼓风机</w:t>
            </w:r>
          </w:p>
        </w:tc>
        <w:tc>
          <w:tcPr>
            <w:tcW w:w="2075" w:type="dxa"/>
            <w:shd w:val="clear" w:color="auto" w:fill="auto"/>
            <w:vAlign w:val="center"/>
          </w:tcPr>
          <w:p w14:paraId="29D33E25">
            <w:pPr>
              <w:jc w:val="center"/>
              <w:rPr>
                <w:rFonts w:hint="default"/>
                <w:szCs w:val="21"/>
                <w:highlight w:val="none"/>
                <w:lang w:val="en-US" w:eastAsia="zh-CN"/>
              </w:rPr>
            </w:pPr>
            <w:r>
              <w:rPr>
                <w:rFonts w:hint="eastAsia"/>
                <w:szCs w:val="21"/>
                <w:highlight w:val="none"/>
                <w:lang w:val="en-US" w:eastAsia="zh-CN"/>
              </w:rPr>
              <w:t>1台</w:t>
            </w:r>
          </w:p>
        </w:tc>
        <w:tc>
          <w:tcPr>
            <w:tcW w:w="9548" w:type="dxa"/>
            <w:shd w:val="clear" w:color="auto" w:fill="auto"/>
            <w:vAlign w:val="top"/>
          </w:tcPr>
          <w:p w14:paraId="5DA5B0DC">
            <w:pPr>
              <w:jc w:val="left"/>
              <w:rPr>
                <w:rFonts w:hint="eastAsia" w:asciiTheme="minorEastAsia" w:hAnsiTheme="minorEastAsia" w:eastAsiaTheme="minorEastAsia" w:cstheme="minorEastAsia"/>
                <w:kern w:val="2"/>
                <w:sz w:val="24"/>
                <w:szCs w:val="24"/>
                <w:highlight w:val="none"/>
                <w:lang w:val="en-US" w:eastAsia="en-US" w:bidi="ar-SA"/>
              </w:rPr>
            </w:pPr>
            <w:r>
              <w:rPr>
                <w:rFonts w:hint="eastAsia" w:asciiTheme="minorEastAsia" w:hAnsiTheme="minorEastAsia" w:eastAsiaTheme="minorEastAsia" w:cstheme="minorEastAsia"/>
                <w:kern w:val="2"/>
                <w:sz w:val="24"/>
                <w:szCs w:val="24"/>
                <w:highlight w:val="none"/>
                <w:lang w:val="en-US" w:eastAsia="zh-CN" w:bidi="ar-SA"/>
              </w:rPr>
              <w:t>1.</w:t>
            </w:r>
            <w:r>
              <w:rPr>
                <w:rFonts w:hint="eastAsia" w:asciiTheme="minorEastAsia" w:hAnsiTheme="minorEastAsia" w:eastAsiaTheme="minorEastAsia" w:cstheme="minorEastAsia"/>
                <w:kern w:val="2"/>
                <w:sz w:val="24"/>
                <w:szCs w:val="24"/>
                <w:highlight w:val="none"/>
                <w:lang w:val="en-US" w:eastAsia="en-US" w:bidi="ar-SA"/>
              </w:rPr>
              <w:t>电机3KW，电机内部线圈纯铜。</w:t>
            </w:r>
          </w:p>
          <w:p w14:paraId="5258F8BE">
            <w:pPr>
              <w:pStyle w:val="36"/>
              <w:numPr>
                <w:ilvl w:val="0"/>
                <w:numId w:val="0"/>
              </w:numPr>
              <w:spacing w:before="30" w:line="219"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2"/>
                <w:sz w:val="24"/>
                <w:szCs w:val="24"/>
                <w:highlight w:val="none"/>
                <w:lang w:val="en-US" w:eastAsia="en-US" w:bidi="ar-SA"/>
              </w:rPr>
              <w:t>2叶轮后盘：3㎜（实际厚2.7㎜）；叶    片：3㎜（实际厚2.7㎜）前    盘：3㎜（实际厚2.7㎜）；进风口厚：2㎜（实际厚1.8㎜）。</w:t>
            </w:r>
          </w:p>
        </w:tc>
      </w:tr>
      <w:tr w14:paraId="3C0FCB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1048" w:hRule="atLeast"/>
        </w:trPr>
        <w:tc>
          <w:tcPr>
            <w:tcW w:w="542" w:type="dxa"/>
            <w:vAlign w:val="center"/>
          </w:tcPr>
          <w:p w14:paraId="111EF33A">
            <w:pPr>
              <w:jc w:val="center"/>
              <w:rPr>
                <w:rFonts w:hint="default"/>
                <w:sz w:val="22"/>
                <w:szCs w:val="22"/>
                <w:highlight w:val="none"/>
                <w:lang w:val="en-US" w:eastAsia="zh-CN"/>
              </w:rPr>
            </w:pPr>
            <w:r>
              <w:rPr>
                <w:rFonts w:hint="eastAsia"/>
                <w:sz w:val="22"/>
                <w:szCs w:val="22"/>
                <w:highlight w:val="none"/>
                <w:lang w:val="en-US" w:eastAsia="zh-CN"/>
              </w:rPr>
              <w:t>27</w:t>
            </w:r>
          </w:p>
        </w:tc>
        <w:tc>
          <w:tcPr>
            <w:tcW w:w="2226" w:type="dxa"/>
            <w:vAlign w:val="center"/>
          </w:tcPr>
          <w:p w14:paraId="59417240">
            <w:pPr>
              <w:jc w:val="center"/>
              <w:rPr>
                <w:rFonts w:hint="eastAsia"/>
                <w:highlight w:val="none"/>
              </w:rPr>
            </w:pPr>
            <w:r>
              <w:rPr>
                <w:rFonts w:hint="eastAsia"/>
                <w:highlight w:val="none"/>
              </w:rPr>
              <w:t>引风机</w:t>
            </w:r>
          </w:p>
        </w:tc>
        <w:tc>
          <w:tcPr>
            <w:tcW w:w="2075" w:type="dxa"/>
            <w:shd w:val="clear" w:color="auto" w:fill="auto"/>
            <w:vAlign w:val="center"/>
          </w:tcPr>
          <w:p w14:paraId="444E785C">
            <w:pPr>
              <w:jc w:val="center"/>
              <w:rPr>
                <w:rFonts w:hint="eastAsia"/>
                <w:szCs w:val="21"/>
                <w:highlight w:val="none"/>
                <w:lang w:val="en-US" w:eastAsia="zh-CN"/>
              </w:rPr>
            </w:pPr>
            <w:r>
              <w:rPr>
                <w:rFonts w:hint="eastAsia"/>
                <w:szCs w:val="21"/>
                <w:highlight w:val="none"/>
                <w:lang w:val="en-US" w:eastAsia="zh-CN"/>
              </w:rPr>
              <w:t>1台</w:t>
            </w:r>
          </w:p>
        </w:tc>
        <w:tc>
          <w:tcPr>
            <w:tcW w:w="9548" w:type="dxa"/>
            <w:shd w:val="clear" w:color="auto" w:fill="auto"/>
            <w:vAlign w:val="top"/>
          </w:tcPr>
          <w:p w14:paraId="40ABF1A3">
            <w:pPr>
              <w:jc w:val="left"/>
              <w:rPr>
                <w:rFonts w:hint="eastAsia" w:asciiTheme="minorEastAsia" w:hAnsiTheme="minorEastAsia" w:eastAsiaTheme="minorEastAsia" w:cstheme="minorEastAsia"/>
                <w:kern w:val="2"/>
                <w:sz w:val="24"/>
                <w:szCs w:val="24"/>
                <w:highlight w:val="none"/>
                <w:lang w:val="en-US" w:eastAsia="en-US" w:bidi="ar-SA"/>
              </w:rPr>
            </w:pPr>
            <w:r>
              <w:rPr>
                <w:rFonts w:hint="eastAsia" w:asciiTheme="minorEastAsia" w:hAnsiTheme="minorEastAsia" w:eastAsiaTheme="minorEastAsia" w:cstheme="minorEastAsia"/>
                <w:kern w:val="2"/>
                <w:sz w:val="24"/>
                <w:szCs w:val="24"/>
                <w:highlight w:val="none"/>
                <w:lang w:val="en-US" w:eastAsia="en-US" w:bidi="ar-SA"/>
              </w:rPr>
              <w:t>1、电机11KW，电机内部线圈纯铜。</w:t>
            </w:r>
          </w:p>
          <w:p w14:paraId="54428CB8">
            <w:pPr>
              <w:pStyle w:val="36"/>
              <w:numPr>
                <w:ilvl w:val="0"/>
                <w:numId w:val="0"/>
              </w:numPr>
              <w:spacing w:before="30" w:line="219" w:lineRule="auto"/>
              <w:rPr>
                <w:rFonts w:hint="eastAsia" w:asciiTheme="minorEastAsia" w:hAnsiTheme="minorEastAsia" w:eastAsiaTheme="minorEastAsia" w:cstheme="minorEastAsia"/>
                <w:kern w:val="2"/>
                <w:sz w:val="24"/>
                <w:szCs w:val="24"/>
                <w:highlight w:val="none"/>
                <w:lang w:val="en-US" w:eastAsia="en-US" w:bidi="ar-SA"/>
              </w:rPr>
            </w:pPr>
            <w:r>
              <w:rPr>
                <w:rFonts w:hint="eastAsia" w:asciiTheme="minorEastAsia" w:hAnsiTheme="minorEastAsia" w:eastAsiaTheme="minorEastAsia" w:cstheme="minorEastAsia"/>
                <w:kern w:val="2"/>
                <w:sz w:val="24"/>
                <w:szCs w:val="24"/>
                <w:highlight w:val="none"/>
                <w:lang w:val="en-US" w:eastAsia="en-US" w:bidi="ar-SA"/>
              </w:rPr>
              <w:t>2、板材:叶轮后盘：6㎜（实际厚5.5㎜）叶    片：4㎜（实际厚3.7㎜）前    盘：4㎜（实际厚3.7㎜）机壳侧板：4㎜（实际厚3.7㎜）进风口厚：3㎜（实际厚2.7㎜）蜗壳壳条：3㎜（实际厚2.7㎜）</w:t>
            </w:r>
          </w:p>
        </w:tc>
      </w:tr>
      <w:tr w14:paraId="4BDA6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607" w:hRule="atLeast"/>
        </w:trPr>
        <w:tc>
          <w:tcPr>
            <w:tcW w:w="542" w:type="dxa"/>
            <w:vAlign w:val="center"/>
          </w:tcPr>
          <w:p w14:paraId="100D06D0">
            <w:pPr>
              <w:jc w:val="center"/>
              <w:rPr>
                <w:rFonts w:hint="default"/>
                <w:sz w:val="22"/>
                <w:szCs w:val="22"/>
                <w:highlight w:val="none"/>
                <w:lang w:val="en-US" w:eastAsia="zh-CN"/>
              </w:rPr>
            </w:pPr>
            <w:r>
              <w:rPr>
                <w:rFonts w:hint="eastAsia"/>
                <w:sz w:val="22"/>
                <w:szCs w:val="22"/>
                <w:highlight w:val="none"/>
                <w:lang w:val="en-US" w:eastAsia="zh-CN"/>
              </w:rPr>
              <w:t>28</w:t>
            </w:r>
          </w:p>
        </w:tc>
        <w:tc>
          <w:tcPr>
            <w:tcW w:w="2226" w:type="dxa"/>
            <w:vAlign w:val="center"/>
          </w:tcPr>
          <w:p w14:paraId="4BB3799E">
            <w:pPr>
              <w:ind w:firstLine="210" w:firstLineChars="100"/>
              <w:jc w:val="both"/>
              <w:rPr>
                <w:rFonts w:hint="eastAsia"/>
                <w:highlight w:val="none"/>
              </w:rPr>
            </w:pPr>
            <w:r>
              <w:rPr>
                <w:rFonts w:hint="eastAsia"/>
                <w:highlight w:val="none"/>
                <w:lang w:val="en-US" w:eastAsia="zh-CN"/>
              </w:rPr>
              <w:t>不锈钢给</w:t>
            </w:r>
            <w:r>
              <w:rPr>
                <w:rFonts w:hint="eastAsia"/>
                <w:highlight w:val="none"/>
              </w:rPr>
              <w:t>水泵</w:t>
            </w:r>
          </w:p>
        </w:tc>
        <w:tc>
          <w:tcPr>
            <w:tcW w:w="2075" w:type="dxa"/>
            <w:shd w:val="clear" w:color="auto" w:fill="auto"/>
            <w:vAlign w:val="center"/>
          </w:tcPr>
          <w:p w14:paraId="2BCD71FA">
            <w:pPr>
              <w:jc w:val="center"/>
              <w:rPr>
                <w:rFonts w:hint="default"/>
                <w:szCs w:val="21"/>
                <w:highlight w:val="none"/>
                <w:lang w:val="en-US" w:eastAsia="zh-CN"/>
              </w:rPr>
            </w:pPr>
            <w:r>
              <w:rPr>
                <w:rFonts w:hint="eastAsia"/>
                <w:szCs w:val="21"/>
                <w:highlight w:val="none"/>
                <w:lang w:val="en-US" w:eastAsia="zh-CN"/>
              </w:rPr>
              <w:t>2台</w:t>
            </w:r>
          </w:p>
        </w:tc>
        <w:tc>
          <w:tcPr>
            <w:tcW w:w="9548" w:type="dxa"/>
            <w:shd w:val="clear" w:color="auto" w:fill="auto"/>
            <w:vAlign w:val="top"/>
          </w:tcPr>
          <w:p w14:paraId="7A6876E8">
            <w:pPr>
              <w:pStyle w:val="36"/>
              <w:numPr>
                <w:ilvl w:val="0"/>
                <w:numId w:val="0"/>
              </w:numPr>
              <w:spacing w:before="30" w:line="219"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泵身为不锈钢材质</w:t>
            </w:r>
          </w:p>
          <w:p w14:paraId="1848FA89">
            <w:pPr>
              <w:pStyle w:val="36"/>
              <w:numPr>
                <w:ilvl w:val="0"/>
                <w:numId w:val="0"/>
              </w:numPr>
              <w:spacing w:before="30" w:line="219"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2.电机5.5KW</w:t>
            </w:r>
          </w:p>
        </w:tc>
      </w:tr>
      <w:tr w14:paraId="51D951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607" w:hRule="atLeast"/>
        </w:trPr>
        <w:tc>
          <w:tcPr>
            <w:tcW w:w="542" w:type="dxa"/>
            <w:vAlign w:val="center"/>
          </w:tcPr>
          <w:p w14:paraId="01DD8F2A">
            <w:pPr>
              <w:jc w:val="center"/>
              <w:rPr>
                <w:rFonts w:hint="default"/>
                <w:sz w:val="22"/>
                <w:szCs w:val="22"/>
                <w:highlight w:val="none"/>
                <w:lang w:val="en-US" w:eastAsia="zh-CN"/>
              </w:rPr>
            </w:pPr>
            <w:r>
              <w:rPr>
                <w:rFonts w:hint="eastAsia"/>
                <w:sz w:val="22"/>
                <w:szCs w:val="22"/>
                <w:highlight w:val="none"/>
                <w:lang w:val="en-US" w:eastAsia="zh-CN"/>
              </w:rPr>
              <w:t>29</w:t>
            </w:r>
          </w:p>
        </w:tc>
        <w:tc>
          <w:tcPr>
            <w:tcW w:w="2226" w:type="dxa"/>
            <w:vAlign w:val="center"/>
          </w:tcPr>
          <w:p w14:paraId="24A4B820">
            <w:pPr>
              <w:jc w:val="center"/>
              <w:rPr>
                <w:rFonts w:hint="eastAsia"/>
                <w:highlight w:val="none"/>
              </w:rPr>
            </w:pPr>
            <w:r>
              <w:rPr>
                <w:rFonts w:hint="eastAsia"/>
                <w:highlight w:val="none"/>
              </w:rPr>
              <w:t>补水箱</w:t>
            </w:r>
          </w:p>
        </w:tc>
        <w:tc>
          <w:tcPr>
            <w:tcW w:w="2075" w:type="dxa"/>
            <w:shd w:val="clear" w:color="auto" w:fill="auto"/>
            <w:vAlign w:val="center"/>
          </w:tcPr>
          <w:p w14:paraId="5BA5ADA4">
            <w:pPr>
              <w:jc w:val="center"/>
              <w:rPr>
                <w:rFonts w:hint="eastAsia" w:eastAsia="微软雅黑"/>
                <w:szCs w:val="21"/>
                <w:highlight w:val="none"/>
                <w:lang w:val="en-US" w:eastAsia="zh-CN"/>
              </w:rPr>
            </w:pPr>
            <w:r>
              <w:rPr>
                <w:rFonts w:hint="eastAsia"/>
                <w:highlight w:val="none"/>
              </w:rPr>
              <w:t>1</w:t>
            </w:r>
            <w:r>
              <w:rPr>
                <w:rFonts w:hint="eastAsia"/>
                <w:highlight w:val="none"/>
                <w:lang w:val="en-US" w:eastAsia="zh-CN"/>
              </w:rPr>
              <w:t>台</w:t>
            </w:r>
          </w:p>
        </w:tc>
        <w:tc>
          <w:tcPr>
            <w:tcW w:w="9548" w:type="dxa"/>
            <w:shd w:val="clear" w:color="auto" w:fill="auto"/>
            <w:vAlign w:val="top"/>
          </w:tcPr>
          <w:p w14:paraId="34F2DBBD">
            <w:pPr>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、6mm钢板制成</w:t>
            </w:r>
          </w:p>
          <w:p w14:paraId="4853BFA6">
            <w:pPr>
              <w:pStyle w:val="36"/>
              <w:numPr>
                <w:ilvl w:val="0"/>
                <w:numId w:val="0"/>
              </w:numPr>
              <w:spacing w:before="30" w:line="219"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2、容积</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立方</w:t>
            </w:r>
          </w:p>
        </w:tc>
      </w:tr>
      <w:tr w14:paraId="773AEF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859" w:hRule="atLeast"/>
        </w:trPr>
        <w:tc>
          <w:tcPr>
            <w:tcW w:w="542" w:type="dxa"/>
            <w:vAlign w:val="center"/>
          </w:tcPr>
          <w:p w14:paraId="3A1322D6">
            <w:pPr>
              <w:jc w:val="center"/>
              <w:rPr>
                <w:rFonts w:hint="default"/>
                <w:sz w:val="22"/>
                <w:szCs w:val="22"/>
                <w:highlight w:val="none"/>
                <w:lang w:val="en-US" w:eastAsia="zh-CN"/>
              </w:rPr>
            </w:pPr>
            <w:r>
              <w:rPr>
                <w:rFonts w:hint="eastAsia"/>
                <w:sz w:val="22"/>
                <w:szCs w:val="22"/>
                <w:highlight w:val="none"/>
                <w:lang w:val="en-US" w:eastAsia="zh-CN"/>
              </w:rPr>
              <w:t>30</w:t>
            </w:r>
          </w:p>
        </w:tc>
        <w:tc>
          <w:tcPr>
            <w:tcW w:w="2226" w:type="dxa"/>
            <w:vAlign w:val="center"/>
          </w:tcPr>
          <w:p w14:paraId="4F65B60B">
            <w:pPr>
              <w:jc w:val="center"/>
              <w:rPr>
                <w:rFonts w:hint="default" w:eastAsia="微软雅黑"/>
                <w:highlight w:val="none"/>
                <w:lang w:val="en-US" w:eastAsia="zh-CN"/>
              </w:rPr>
            </w:pPr>
            <w:r>
              <w:rPr>
                <w:rFonts w:hint="eastAsia"/>
                <w:highlight w:val="none"/>
                <w:lang w:val="en-US" w:eastAsia="zh-CN"/>
              </w:rPr>
              <w:t>多管陶瓷除尘器</w:t>
            </w:r>
          </w:p>
        </w:tc>
        <w:tc>
          <w:tcPr>
            <w:tcW w:w="2075" w:type="dxa"/>
            <w:shd w:val="clear" w:color="auto" w:fill="auto"/>
            <w:vAlign w:val="center"/>
          </w:tcPr>
          <w:p w14:paraId="24AF148C">
            <w:pPr>
              <w:jc w:val="center"/>
              <w:rPr>
                <w:rFonts w:hint="default" w:eastAsia="微软雅黑"/>
                <w:highlight w:val="none"/>
                <w:lang w:val="en-US" w:eastAsia="zh-CN"/>
              </w:rPr>
            </w:pPr>
            <w:r>
              <w:rPr>
                <w:rFonts w:hint="eastAsia"/>
                <w:highlight w:val="none"/>
                <w:lang w:val="en-US" w:eastAsia="zh-CN"/>
              </w:rPr>
              <w:t>1台</w:t>
            </w:r>
          </w:p>
        </w:tc>
        <w:tc>
          <w:tcPr>
            <w:tcW w:w="9548" w:type="dxa"/>
            <w:shd w:val="clear" w:color="auto" w:fill="auto"/>
            <w:vAlign w:val="top"/>
          </w:tcPr>
          <w:p w14:paraId="62871F39">
            <w:pPr>
              <w:pStyle w:val="36"/>
              <w:numPr>
                <w:ilvl w:val="0"/>
                <w:numId w:val="7"/>
              </w:numPr>
              <w:spacing w:before="30" w:line="219"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材质：板材与陶瓷组成</w:t>
            </w:r>
          </w:p>
          <w:p w14:paraId="44C45767">
            <w:pPr>
              <w:pStyle w:val="36"/>
              <w:numPr>
                <w:ilvl w:val="0"/>
                <w:numId w:val="7"/>
              </w:numPr>
              <w:spacing w:before="30" w:line="219"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除尘效率：90%烟气阻力</w:t>
            </w:r>
          </w:p>
        </w:tc>
      </w:tr>
      <w:tr w14:paraId="68AF3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476" w:hRule="atLeast"/>
        </w:trPr>
        <w:tc>
          <w:tcPr>
            <w:tcW w:w="542" w:type="dxa"/>
            <w:vAlign w:val="center"/>
          </w:tcPr>
          <w:p w14:paraId="5C68E0A0">
            <w:pPr>
              <w:jc w:val="center"/>
              <w:rPr>
                <w:rFonts w:hint="default"/>
                <w:sz w:val="22"/>
                <w:szCs w:val="22"/>
                <w:highlight w:val="none"/>
                <w:lang w:val="en-US" w:eastAsia="zh-CN"/>
              </w:rPr>
            </w:pPr>
            <w:r>
              <w:rPr>
                <w:rFonts w:hint="eastAsia"/>
                <w:sz w:val="22"/>
                <w:szCs w:val="22"/>
                <w:highlight w:val="none"/>
                <w:lang w:val="en-US" w:eastAsia="zh-CN"/>
              </w:rPr>
              <w:t>31</w:t>
            </w:r>
          </w:p>
        </w:tc>
        <w:tc>
          <w:tcPr>
            <w:tcW w:w="2226" w:type="dxa"/>
            <w:vAlign w:val="center"/>
          </w:tcPr>
          <w:p w14:paraId="2D2B2BE6">
            <w:pPr>
              <w:jc w:val="center"/>
              <w:rPr>
                <w:rFonts w:hint="default" w:eastAsia="微软雅黑"/>
                <w:highlight w:val="none"/>
                <w:lang w:val="en-US" w:eastAsia="zh-CN"/>
              </w:rPr>
            </w:pPr>
            <w:r>
              <w:rPr>
                <w:rFonts w:hint="eastAsia"/>
                <w:highlight w:val="none"/>
                <w:lang w:val="en-US" w:eastAsia="zh-CN"/>
              </w:rPr>
              <w:t>全自动水处理</w:t>
            </w:r>
          </w:p>
        </w:tc>
        <w:tc>
          <w:tcPr>
            <w:tcW w:w="2075" w:type="dxa"/>
            <w:shd w:val="clear" w:color="auto" w:fill="auto"/>
            <w:vAlign w:val="center"/>
          </w:tcPr>
          <w:p w14:paraId="04F6D1CF">
            <w:pPr>
              <w:jc w:val="center"/>
              <w:rPr>
                <w:rFonts w:hint="default" w:eastAsia="微软雅黑"/>
                <w:highlight w:val="none"/>
                <w:lang w:val="en-US" w:eastAsia="zh-CN"/>
              </w:rPr>
            </w:pPr>
            <w:r>
              <w:rPr>
                <w:rFonts w:hint="eastAsia"/>
                <w:highlight w:val="none"/>
                <w:lang w:val="en-US" w:eastAsia="zh-CN"/>
              </w:rPr>
              <w:t>1台</w:t>
            </w:r>
          </w:p>
        </w:tc>
        <w:tc>
          <w:tcPr>
            <w:tcW w:w="9548" w:type="dxa"/>
            <w:shd w:val="clear" w:color="auto" w:fill="auto"/>
            <w:vAlign w:val="top"/>
          </w:tcPr>
          <w:p w14:paraId="1259CCF6">
            <w:pPr>
              <w:pStyle w:val="36"/>
              <w:numPr>
                <w:ilvl w:val="0"/>
                <w:numId w:val="0"/>
              </w:numPr>
              <w:spacing w:before="30" w:line="219"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1.全自动水处理出水量2吨/小时</w:t>
            </w:r>
          </w:p>
        </w:tc>
      </w:tr>
      <w:tr w14:paraId="257A0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970" w:hRule="atLeast"/>
        </w:trPr>
        <w:tc>
          <w:tcPr>
            <w:tcW w:w="542" w:type="dxa"/>
            <w:vAlign w:val="center"/>
          </w:tcPr>
          <w:p w14:paraId="467F63F5">
            <w:pPr>
              <w:jc w:val="center"/>
              <w:rPr>
                <w:rFonts w:hint="default"/>
                <w:sz w:val="22"/>
                <w:szCs w:val="22"/>
                <w:highlight w:val="none"/>
                <w:lang w:val="en-US" w:eastAsia="zh-CN"/>
              </w:rPr>
            </w:pPr>
            <w:r>
              <w:rPr>
                <w:rFonts w:hint="eastAsia"/>
                <w:sz w:val="22"/>
                <w:szCs w:val="22"/>
                <w:highlight w:val="none"/>
                <w:lang w:val="en-US" w:eastAsia="zh-CN"/>
              </w:rPr>
              <w:t>32</w:t>
            </w:r>
          </w:p>
        </w:tc>
        <w:tc>
          <w:tcPr>
            <w:tcW w:w="2226" w:type="dxa"/>
            <w:vAlign w:val="center"/>
          </w:tcPr>
          <w:p w14:paraId="47AD2592">
            <w:pPr>
              <w:jc w:val="center"/>
              <w:rPr>
                <w:rFonts w:hint="eastAsia"/>
                <w:highlight w:val="none"/>
              </w:rPr>
            </w:pPr>
            <w:r>
              <w:rPr>
                <w:rFonts w:hint="eastAsia"/>
                <w:highlight w:val="none"/>
              </w:rPr>
              <w:t>尾气吸收塔（脱硫塔）</w:t>
            </w:r>
          </w:p>
        </w:tc>
        <w:tc>
          <w:tcPr>
            <w:tcW w:w="2075" w:type="dxa"/>
            <w:shd w:val="clear" w:color="auto" w:fill="auto"/>
            <w:vAlign w:val="center"/>
          </w:tcPr>
          <w:p w14:paraId="6483C95F">
            <w:pPr>
              <w:jc w:val="center"/>
              <w:rPr>
                <w:rFonts w:hint="eastAsia"/>
                <w:szCs w:val="21"/>
                <w:highlight w:val="none"/>
                <w:lang w:val="en-US" w:eastAsia="zh-CN"/>
              </w:rPr>
            </w:pPr>
            <w:r>
              <w:rPr>
                <w:highlight w:val="none"/>
              </w:rPr>
              <w:t>1</w:t>
            </w:r>
            <w:r>
              <w:rPr>
                <w:rFonts w:hint="eastAsia"/>
                <w:highlight w:val="none"/>
              </w:rPr>
              <w:t>套</w:t>
            </w:r>
          </w:p>
        </w:tc>
        <w:tc>
          <w:tcPr>
            <w:tcW w:w="9548" w:type="dxa"/>
            <w:shd w:val="clear" w:color="auto" w:fill="auto"/>
            <w:vAlign w:val="top"/>
          </w:tcPr>
          <w:p w14:paraId="7A9FA108">
            <w:pPr>
              <w:pStyle w:val="38"/>
              <w:numPr>
                <w:ilvl w:val="0"/>
                <w:numId w:val="0"/>
              </w:numPr>
              <w:ind w:left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内径</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米、</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层喷淋、1层旋流板、1层除雾器、塔体</w:t>
            </w:r>
            <w:r>
              <w:rPr>
                <w:rFonts w:hint="eastAsia" w:asciiTheme="minorEastAsia" w:hAnsiTheme="minorEastAsia" w:eastAsiaTheme="minorEastAsia" w:cstheme="minorEastAsia"/>
                <w:sz w:val="24"/>
                <w:szCs w:val="24"/>
                <w:highlight w:val="none"/>
                <w:lang w:val="en-US" w:eastAsia="zh-CN"/>
              </w:rPr>
              <w:t>4.5</w:t>
            </w:r>
            <w:r>
              <w:rPr>
                <w:rFonts w:hint="eastAsia" w:asciiTheme="minorEastAsia" w:hAnsiTheme="minorEastAsia" w:eastAsiaTheme="minorEastAsia" w:cstheme="minorEastAsia"/>
                <w:sz w:val="24"/>
                <w:szCs w:val="24"/>
                <w:highlight w:val="none"/>
              </w:rPr>
              <w:t>米（外6㎜、内衬4㎜钢板）。烟囱4㎜钢板制成12米</w:t>
            </w:r>
          </w:p>
          <w:p w14:paraId="3576737C">
            <w:pPr>
              <w:pStyle w:val="36"/>
              <w:numPr>
                <w:ilvl w:val="0"/>
                <w:numId w:val="0"/>
              </w:numPr>
              <w:spacing w:before="30" w:line="219"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脱硫泵2台，</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KW</w:t>
            </w:r>
          </w:p>
        </w:tc>
      </w:tr>
      <w:tr w14:paraId="71A85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618" w:hRule="atLeast"/>
        </w:trPr>
        <w:tc>
          <w:tcPr>
            <w:tcW w:w="542" w:type="dxa"/>
            <w:vAlign w:val="center"/>
          </w:tcPr>
          <w:p w14:paraId="71DC1514">
            <w:pPr>
              <w:jc w:val="center"/>
              <w:rPr>
                <w:rFonts w:hint="default"/>
                <w:sz w:val="22"/>
                <w:szCs w:val="22"/>
                <w:highlight w:val="none"/>
                <w:lang w:val="en-US" w:eastAsia="zh-CN"/>
              </w:rPr>
            </w:pPr>
            <w:r>
              <w:rPr>
                <w:rFonts w:hint="eastAsia"/>
                <w:sz w:val="22"/>
                <w:szCs w:val="22"/>
                <w:highlight w:val="none"/>
                <w:lang w:val="en-US" w:eastAsia="zh-CN"/>
              </w:rPr>
              <w:t>33</w:t>
            </w:r>
          </w:p>
        </w:tc>
        <w:tc>
          <w:tcPr>
            <w:tcW w:w="2226" w:type="dxa"/>
            <w:vAlign w:val="center"/>
          </w:tcPr>
          <w:p w14:paraId="79D1EFC1">
            <w:pPr>
              <w:ind w:firstLine="420" w:firstLineChars="200"/>
              <w:rPr>
                <w:highlight w:val="none"/>
              </w:rPr>
            </w:pPr>
            <w:r>
              <w:rPr>
                <w:rFonts w:hint="eastAsia"/>
                <w:highlight w:val="none"/>
              </w:rPr>
              <w:t>电控柜</w:t>
            </w:r>
          </w:p>
          <w:p w14:paraId="338A0D3A">
            <w:pPr>
              <w:jc w:val="center"/>
              <w:rPr>
                <w:rFonts w:hint="eastAsia"/>
                <w:highlight w:val="none"/>
              </w:rPr>
            </w:pPr>
          </w:p>
        </w:tc>
        <w:tc>
          <w:tcPr>
            <w:tcW w:w="2075" w:type="dxa"/>
            <w:shd w:val="clear" w:color="auto" w:fill="auto"/>
            <w:vAlign w:val="center"/>
          </w:tcPr>
          <w:p w14:paraId="268BE588">
            <w:pPr>
              <w:jc w:val="center"/>
              <w:rPr>
                <w:rFonts w:hint="default"/>
                <w:szCs w:val="21"/>
                <w:highlight w:val="none"/>
                <w:lang w:val="en-US" w:eastAsia="zh-CN"/>
              </w:rPr>
            </w:pPr>
            <w:r>
              <w:rPr>
                <w:rFonts w:hint="eastAsia"/>
                <w:szCs w:val="21"/>
                <w:highlight w:val="none"/>
                <w:lang w:val="en-US" w:eastAsia="zh-CN"/>
              </w:rPr>
              <w:t>1台</w:t>
            </w:r>
          </w:p>
        </w:tc>
        <w:tc>
          <w:tcPr>
            <w:tcW w:w="9548" w:type="dxa"/>
            <w:shd w:val="clear" w:color="auto" w:fill="auto"/>
            <w:vAlign w:val="top"/>
          </w:tcPr>
          <w:p w14:paraId="2D33C064">
            <w:pPr>
              <w:pStyle w:val="38"/>
              <w:numPr>
                <w:ilvl w:val="0"/>
                <w:numId w:val="0"/>
              </w:numPr>
              <w:ind w:left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内置变频启动11kw(引风机)</w:t>
            </w:r>
          </w:p>
          <w:p w14:paraId="7DD7B3BF">
            <w:pPr>
              <w:pStyle w:val="36"/>
              <w:numPr>
                <w:ilvl w:val="0"/>
                <w:numId w:val="0"/>
              </w:numPr>
              <w:spacing w:before="30" w:line="219"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内置变频启动5.5kw（补水泵</w:t>
            </w:r>
          </w:p>
        </w:tc>
      </w:tr>
      <w:tr w14:paraId="572BC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59" w:hRule="atLeast"/>
        </w:trPr>
        <w:tc>
          <w:tcPr>
            <w:tcW w:w="542" w:type="dxa"/>
            <w:vAlign w:val="center"/>
          </w:tcPr>
          <w:p w14:paraId="1C89A0F0">
            <w:pPr>
              <w:jc w:val="center"/>
              <w:rPr>
                <w:rFonts w:hint="default"/>
                <w:sz w:val="22"/>
                <w:szCs w:val="22"/>
                <w:highlight w:val="none"/>
                <w:lang w:val="en-US" w:eastAsia="zh-CN"/>
              </w:rPr>
            </w:pPr>
            <w:r>
              <w:rPr>
                <w:rFonts w:hint="eastAsia"/>
                <w:sz w:val="22"/>
                <w:szCs w:val="22"/>
                <w:highlight w:val="none"/>
                <w:lang w:val="en-US" w:eastAsia="zh-CN"/>
              </w:rPr>
              <w:t>34</w:t>
            </w:r>
          </w:p>
        </w:tc>
        <w:tc>
          <w:tcPr>
            <w:tcW w:w="2226" w:type="dxa"/>
            <w:vAlign w:val="center"/>
          </w:tcPr>
          <w:p w14:paraId="208C84CE">
            <w:pPr>
              <w:jc w:val="center"/>
              <w:rPr>
                <w:rFonts w:hint="eastAsia"/>
                <w:highlight w:val="none"/>
              </w:rPr>
            </w:pPr>
            <w:r>
              <w:rPr>
                <w:rFonts w:hint="eastAsia"/>
                <w:highlight w:val="none"/>
              </w:rPr>
              <w:t>分气缸</w:t>
            </w:r>
          </w:p>
        </w:tc>
        <w:tc>
          <w:tcPr>
            <w:tcW w:w="2075" w:type="dxa"/>
            <w:shd w:val="clear" w:color="auto" w:fill="auto"/>
            <w:vAlign w:val="center"/>
          </w:tcPr>
          <w:p w14:paraId="6D80830C">
            <w:pPr>
              <w:jc w:val="center"/>
              <w:rPr>
                <w:rFonts w:hint="default"/>
                <w:szCs w:val="21"/>
                <w:highlight w:val="none"/>
                <w:lang w:val="en-US" w:eastAsia="zh-CN"/>
              </w:rPr>
            </w:pPr>
            <w:r>
              <w:rPr>
                <w:rFonts w:hint="eastAsia"/>
                <w:szCs w:val="21"/>
                <w:highlight w:val="none"/>
                <w:lang w:val="en-US" w:eastAsia="zh-CN"/>
              </w:rPr>
              <w:t>1个</w:t>
            </w:r>
          </w:p>
        </w:tc>
        <w:tc>
          <w:tcPr>
            <w:tcW w:w="9548" w:type="dxa"/>
            <w:shd w:val="clear" w:color="auto" w:fill="auto"/>
            <w:vAlign w:val="top"/>
          </w:tcPr>
          <w:p w14:paraId="3146E284">
            <w:pPr>
              <w:pStyle w:val="36"/>
              <w:numPr>
                <w:ilvl w:val="0"/>
                <w:numId w:val="0"/>
              </w:numPr>
              <w:spacing w:before="30" w:line="219"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材质Q245R</w:t>
            </w:r>
          </w:p>
        </w:tc>
      </w:tr>
      <w:tr w14:paraId="20D215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1787" w:hRule="atLeast"/>
        </w:trPr>
        <w:tc>
          <w:tcPr>
            <w:tcW w:w="542" w:type="dxa"/>
            <w:vAlign w:val="center"/>
          </w:tcPr>
          <w:p w14:paraId="2BA8DB76">
            <w:pPr>
              <w:jc w:val="center"/>
              <w:rPr>
                <w:rFonts w:hint="default"/>
                <w:sz w:val="22"/>
                <w:szCs w:val="22"/>
                <w:highlight w:val="none"/>
                <w:lang w:val="en-US" w:eastAsia="zh-CN"/>
              </w:rPr>
            </w:pPr>
            <w:r>
              <w:rPr>
                <w:rFonts w:hint="eastAsia"/>
                <w:sz w:val="22"/>
                <w:szCs w:val="22"/>
                <w:highlight w:val="none"/>
                <w:lang w:val="en-US" w:eastAsia="zh-CN"/>
              </w:rPr>
              <w:t>35</w:t>
            </w:r>
          </w:p>
        </w:tc>
        <w:tc>
          <w:tcPr>
            <w:tcW w:w="2226" w:type="dxa"/>
            <w:vAlign w:val="center"/>
          </w:tcPr>
          <w:p w14:paraId="40655BF9">
            <w:pPr>
              <w:jc w:val="center"/>
              <w:rPr>
                <w:rFonts w:hint="eastAsia"/>
                <w:highlight w:val="none"/>
              </w:rPr>
            </w:pPr>
            <w:r>
              <w:rPr>
                <w:rFonts w:hint="eastAsia"/>
                <w:highlight w:val="none"/>
              </w:rPr>
              <w:t>反渗透水处理</w:t>
            </w:r>
          </w:p>
        </w:tc>
        <w:tc>
          <w:tcPr>
            <w:tcW w:w="2075" w:type="dxa"/>
            <w:shd w:val="clear" w:color="auto" w:fill="auto"/>
            <w:vAlign w:val="center"/>
          </w:tcPr>
          <w:p w14:paraId="7A0CC4F9">
            <w:pPr>
              <w:jc w:val="center"/>
              <w:rPr>
                <w:rFonts w:hint="default"/>
                <w:szCs w:val="21"/>
                <w:highlight w:val="none"/>
                <w:lang w:val="en-US" w:eastAsia="zh-CN"/>
              </w:rPr>
            </w:pPr>
            <w:r>
              <w:rPr>
                <w:rFonts w:hint="eastAsia"/>
                <w:szCs w:val="21"/>
                <w:highlight w:val="none"/>
                <w:lang w:val="en-US" w:eastAsia="zh-CN"/>
              </w:rPr>
              <w:t>1套</w:t>
            </w:r>
          </w:p>
        </w:tc>
        <w:tc>
          <w:tcPr>
            <w:tcW w:w="9548" w:type="dxa"/>
            <w:shd w:val="clear" w:color="auto" w:fill="auto"/>
            <w:vAlign w:val="top"/>
          </w:tcPr>
          <w:p w14:paraId="1BABB034">
            <w:pPr>
              <w:pStyle w:val="36"/>
              <w:numPr>
                <w:ilvl w:val="0"/>
                <w:numId w:val="8"/>
              </w:numPr>
              <w:spacing w:before="30" w:line="219"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增压泵5.5KW1个</w:t>
            </w:r>
          </w:p>
          <w:p w14:paraId="549FF341">
            <w:pPr>
              <w:pStyle w:val="36"/>
              <w:numPr>
                <w:ilvl w:val="0"/>
                <w:numId w:val="8"/>
              </w:numPr>
              <w:spacing w:before="30" w:line="219"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石英砂400KG</w:t>
            </w:r>
          </w:p>
          <w:p w14:paraId="2B346B68">
            <w:pPr>
              <w:pStyle w:val="36"/>
              <w:numPr>
                <w:ilvl w:val="0"/>
                <w:numId w:val="8"/>
              </w:numPr>
              <w:spacing w:before="30" w:line="219"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活性炭200KG</w:t>
            </w:r>
          </w:p>
          <w:p w14:paraId="2B04AADA">
            <w:pPr>
              <w:pStyle w:val="36"/>
              <w:numPr>
                <w:ilvl w:val="0"/>
                <w:numId w:val="8"/>
              </w:numPr>
              <w:spacing w:before="30" w:line="219"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阻垢剂</w:t>
            </w:r>
          </w:p>
          <w:p w14:paraId="1E32F7BF">
            <w:pPr>
              <w:pStyle w:val="36"/>
              <w:numPr>
                <w:ilvl w:val="0"/>
                <w:numId w:val="8"/>
              </w:numPr>
              <w:spacing w:before="30" w:line="219"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RO膜*5支</w:t>
            </w:r>
          </w:p>
          <w:p w14:paraId="69DD3E80">
            <w:pPr>
              <w:pStyle w:val="36"/>
              <w:numPr>
                <w:ilvl w:val="0"/>
                <w:numId w:val="8"/>
              </w:numPr>
              <w:spacing w:before="30" w:line="219"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40寸PP棉*10支</w:t>
            </w:r>
          </w:p>
          <w:p w14:paraId="64209400">
            <w:pPr>
              <w:pStyle w:val="36"/>
              <w:numPr>
                <w:ilvl w:val="0"/>
                <w:numId w:val="8"/>
              </w:numPr>
              <w:spacing w:before="30" w:line="219"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原水泵1个</w:t>
            </w:r>
          </w:p>
        </w:tc>
      </w:tr>
      <w:tr w14:paraId="3B10F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2658" w:hRule="atLeast"/>
        </w:trPr>
        <w:tc>
          <w:tcPr>
            <w:tcW w:w="542" w:type="dxa"/>
            <w:vAlign w:val="center"/>
          </w:tcPr>
          <w:p w14:paraId="2E452750">
            <w:pPr>
              <w:jc w:val="center"/>
              <w:rPr>
                <w:rFonts w:hint="default"/>
                <w:sz w:val="22"/>
                <w:szCs w:val="22"/>
                <w:highlight w:val="none"/>
                <w:lang w:val="en-US" w:eastAsia="zh-CN"/>
              </w:rPr>
            </w:pPr>
            <w:r>
              <w:rPr>
                <w:rFonts w:hint="eastAsia"/>
                <w:sz w:val="22"/>
                <w:szCs w:val="22"/>
                <w:highlight w:val="none"/>
                <w:lang w:val="en-US" w:eastAsia="zh-CN"/>
              </w:rPr>
              <w:t>36</w:t>
            </w:r>
          </w:p>
        </w:tc>
        <w:tc>
          <w:tcPr>
            <w:tcW w:w="2226" w:type="dxa"/>
            <w:vAlign w:val="center"/>
          </w:tcPr>
          <w:p w14:paraId="6C75C7D3">
            <w:pPr>
              <w:jc w:val="center"/>
              <w:rPr>
                <w:rFonts w:hint="eastAsia"/>
                <w:szCs w:val="21"/>
                <w:highlight w:val="none"/>
              </w:rPr>
            </w:pPr>
            <w:r>
              <w:rPr>
                <w:rFonts w:hint="eastAsia" w:cs="Tahoma"/>
                <w:sz w:val="20"/>
                <w:szCs w:val="20"/>
                <w:highlight w:val="none"/>
              </w:rPr>
              <w:t>单层自动烘干机</w:t>
            </w:r>
          </w:p>
        </w:tc>
        <w:tc>
          <w:tcPr>
            <w:tcW w:w="2075" w:type="dxa"/>
            <w:shd w:val="clear" w:color="auto" w:fill="auto"/>
            <w:vAlign w:val="center"/>
          </w:tcPr>
          <w:p w14:paraId="734C24F4">
            <w:pPr>
              <w:jc w:val="center"/>
              <w:rPr>
                <w:rFonts w:hint="default"/>
                <w:szCs w:val="21"/>
                <w:highlight w:val="none"/>
                <w:lang w:val="en-US" w:eastAsia="zh-CN"/>
              </w:rPr>
            </w:pPr>
            <w:r>
              <w:rPr>
                <w:rFonts w:hint="eastAsia"/>
                <w:szCs w:val="21"/>
                <w:highlight w:val="none"/>
                <w:lang w:val="en-US" w:eastAsia="zh-CN"/>
              </w:rPr>
              <w:t>1台</w:t>
            </w:r>
          </w:p>
        </w:tc>
        <w:tc>
          <w:tcPr>
            <w:tcW w:w="9548" w:type="dxa"/>
            <w:shd w:val="clear" w:color="auto" w:fill="auto"/>
            <w:vAlign w:val="top"/>
          </w:tcPr>
          <w:p w14:paraId="2178FB86">
            <w:pPr>
              <w:jc w:val="left"/>
              <w:rPr>
                <w:rFonts w:hint="eastAsia" w:asciiTheme="minorEastAsia" w:hAnsiTheme="minorEastAsia" w:eastAsiaTheme="minorEastAsia" w:cstheme="minorEastAsia"/>
                <w:spacing w:val="9"/>
                <w:kern w:val="2"/>
                <w:sz w:val="24"/>
                <w:szCs w:val="24"/>
                <w:highlight w:val="none"/>
                <w:lang w:val="en-US" w:eastAsia="zh-CN" w:bidi="ar-SA"/>
              </w:rPr>
            </w:pPr>
            <w:r>
              <w:rPr>
                <w:rFonts w:hint="eastAsia" w:asciiTheme="minorEastAsia" w:hAnsiTheme="minorEastAsia" w:eastAsiaTheme="minorEastAsia" w:cstheme="minorEastAsia"/>
                <w:spacing w:val="9"/>
                <w:kern w:val="2"/>
                <w:sz w:val="24"/>
                <w:szCs w:val="24"/>
                <w:highlight w:val="none"/>
                <w:lang w:val="en-US" w:eastAsia="zh-CN" w:bidi="ar-SA"/>
              </w:rPr>
              <w:t xml:space="preserve">1、烘干机宽4000mm,单线长24000mm；                                                       2、链板宽度2200mm，串杆直径16mm，护板厚度4.0mm，链条节距101.6mm,冲孔板厚2.5mm,孔径5.0mm，材质316不锈钢，下支撑C型钢厚度10.0mm，材质304不锈钢，主传动轴2根，主传动链轮，被动传动轴6根，材质不锈钢316，烘干机内侧护板厚度5.0mm，烘干机包含绞龙分料器2只，平料器1只，翻料器7只，板链刮料绞龙1只，清洗毛刷辊2根，                 </w:t>
            </w:r>
          </w:p>
          <w:p w14:paraId="49661AF5">
            <w:pPr>
              <w:jc w:val="left"/>
              <w:rPr>
                <w:rFonts w:hint="eastAsia" w:asciiTheme="minorEastAsia" w:hAnsiTheme="minorEastAsia" w:eastAsiaTheme="minorEastAsia" w:cstheme="minorEastAsia"/>
                <w:spacing w:val="9"/>
                <w:kern w:val="2"/>
                <w:sz w:val="24"/>
                <w:szCs w:val="24"/>
                <w:highlight w:val="none"/>
                <w:lang w:val="en-US" w:eastAsia="zh-CN" w:bidi="ar-SA"/>
              </w:rPr>
            </w:pPr>
            <w:r>
              <w:rPr>
                <w:rFonts w:hint="eastAsia" w:asciiTheme="minorEastAsia" w:hAnsiTheme="minorEastAsia" w:eastAsiaTheme="minorEastAsia" w:cstheme="minorEastAsia"/>
                <w:spacing w:val="9"/>
                <w:kern w:val="2"/>
                <w:sz w:val="24"/>
                <w:szCs w:val="24"/>
                <w:highlight w:val="none"/>
                <w:lang w:val="en-US" w:eastAsia="zh-CN" w:bidi="ar-SA"/>
              </w:rPr>
              <w:t>3、7.5kw风机数量9台，材质304不锈钢，风机压力2600-2700，风量36000-38000</w:t>
            </w:r>
          </w:p>
          <w:p w14:paraId="46AD9F8D">
            <w:pPr>
              <w:jc w:val="left"/>
              <w:rPr>
                <w:rFonts w:hint="eastAsia" w:asciiTheme="minorEastAsia" w:hAnsiTheme="minorEastAsia" w:eastAsiaTheme="minorEastAsia" w:cstheme="minorEastAsia"/>
                <w:spacing w:val="9"/>
                <w:kern w:val="2"/>
                <w:sz w:val="24"/>
                <w:szCs w:val="24"/>
                <w:highlight w:val="none"/>
                <w:lang w:val="en-US" w:eastAsia="zh-CN" w:bidi="ar-SA"/>
              </w:rPr>
            </w:pPr>
            <w:r>
              <w:rPr>
                <w:rFonts w:hint="eastAsia" w:asciiTheme="minorEastAsia" w:hAnsiTheme="minorEastAsia" w:eastAsiaTheme="minorEastAsia" w:cstheme="minorEastAsia"/>
                <w:spacing w:val="9"/>
                <w:kern w:val="2"/>
                <w:sz w:val="24"/>
                <w:szCs w:val="24"/>
                <w:highlight w:val="none"/>
                <w:lang w:val="en-US" w:eastAsia="zh-CN" w:bidi="ar-SA"/>
              </w:rPr>
              <w:t>4、散热器数量9台，铜管铝片                                              5、支架方管为50*50*3.0mm，材质304不锈钢</w:t>
            </w:r>
          </w:p>
          <w:p w14:paraId="4B328D98">
            <w:pPr>
              <w:jc w:val="left"/>
              <w:rPr>
                <w:rFonts w:hint="eastAsia" w:asciiTheme="minorEastAsia" w:hAnsiTheme="minorEastAsia" w:eastAsiaTheme="minorEastAsia" w:cstheme="minorEastAsia"/>
                <w:spacing w:val="9"/>
                <w:kern w:val="2"/>
                <w:sz w:val="24"/>
                <w:szCs w:val="24"/>
                <w:highlight w:val="none"/>
                <w:lang w:val="en-US" w:eastAsia="zh-CN" w:bidi="ar-SA"/>
              </w:rPr>
            </w:pPr>
            <w:r>
              <w:rPr>
                <w:rFonts w:hint="eastAsia" w:asciiTheme="minorEastAsia" w:hAnsiTheme="minorEastAsia" w:eastAsiaTheme="minorEastAsia" w:cstheme="minorEastAsia"/>
                <w:spacing w:val="9"/>
                <w:kern w:val="2"/>
                <w:sz w:val="24"/>
                <w:szCs w:val="24"/>
                <w:highlight w:val="none"/>
                <w:lang w:val="en-US" w:eastAsia="zh-CN" w:bidi="ar-SA"/>
              </w:rPr>
              <w:t xml:space="preserve">6、烘干机护板厚度4.0mm，箱体厚度2.5mm，材质316，所有轴承座均为不锈钢304轴承                                             </w:t>
            </w:r>
          </w:p>
          <w:p w14:paraId="4F7177E6">
            <w:pPr>
              <w:jc w:val="left"/>
              <w:rPr>
                <w:rFonts w:hint="eastAsia" w:asciiTheme="minorEastAsia" w:hAnsiTheme="minorEastAsia" w:eastAsiaTheme="minorEastAsia" w:cstheme="minorEastAsia"/>
                <w:spacing w:val="9"/>
                <w:kern w:val="2"/>
                <w:sz w:val="24"/>
                <w:szCs w:val="24"/>
                <w:highlight w:val="none"/>
                <w:lang w:val="en-US" w:eastAsia="zh-CN" w:bidi="ar-SA"/>
              </w:rPr>
            </w:pPr>
            <w:r>
              <w:rPr>
                <w:rFonts w:hint="eastAsia" w:asciiTheme="minorEastAsia" w:hAnsiTheme="minorEastAsia" w:eastAsiaTheme="minorEastAsia" w:cstheme="minorEastAsia"/>
                <w:spacing w:val="9"/>
                <w:kern w:val="2"/>
                <w:sz w:val="24"/>
                <w:szCs w:val="24"/>
                <w:highlight w:val="none"/>
                <w:lang w:val="en-US" w:eastAsia="zh-CN" w:bidi="ar-SA"/>
              </w:rPr>
              <w:t>7、板链底部带有自动刮料装置，和清洗装置；板链正面带有自动翻料装置，确保含糖产品不粘连在板链上</w:t>
            </w:r>
          </w:p>
          <w:p w14:paraId="6E0D2B0F">
            <w:pPr>
              <w:jc w:val="left"/>
              <w:rPr>
                <w:rFonts w:hint="eastAsia" w:asciiTheme="minorEastAsia" w:hAnsiTheme="minorEastAsia" w:eastAsiaTheme="minorEastAsia" w:cstheme="minorEastAsia"/>
                <w:spacing w:val="9"/>
                <w:kern w:val="2"/>
                <w:sz w:val="24"/>
                <w:szCs w:val="24"/>
                <w:highlight w:val="none"/>
                <w:lang w:val="en-US" w:eastAsia="zh-CN" w:bidi="ar-SA"/>
              </w:rPr>
            </w:pPr>
            <w:r>
              <w:rPr>
                <w:rFonts w:hint="eastAsia" w:asciiTheme="minorEastAsia" w:hAnsiTheme="minorEastAsia" w:eastAsiaTheme="minorEastAsia" w:cstheme="minorEastAsia"/>
                <w:spacing w:val="9"/>
                <w:kern w:val="2"/>
                <w:sz w:val="24"/>
                <w:szCs w:val="24"/>
                <w:highlight w:val="none"/>
                <w:lang w:val="en-US" w:eastAsia="zh-CN" w:bidi="ar-SA"/>
              </w:rPr>
              <w:t>8、烘干线箱体内带有调风板装置，烘干线底部风量均匀                                                                                                                                                  9、进料口装有分料绞龙装置，确保料层分布均匀，运转时间可调含变频器，触摸屏可视化操作，所有电机装有保护装置，过载、缺相、过热情况下自动保护，且电控柜有报警指示灯，相应故障触摸屏及时显示。</w:t>
            </w:r>
          </w:p>
          <w:p w14:paraId="23F5EE67">
            <w:pPr>
              <w:jc w:val="left"/>
              <w:rPr>
                <w:rFonts w:hint="eastAsia" w:asciiTheme="minorEastAsia" w:hAnsiTheme="minorEastAsia" w:eastAsiaTheme="minorEastAsia" w:cstheme="minorEastAsia"/>
                <w:spacing w:val="9"/>
                <w:kern w:val="2"/>
                <w:sz w:val="24"/>
                <w:szCs w:val="24"/>
                <w:highlight w:val="none"/>
                <w:lang w:val="en-US" w:eastAsia="zh-CN" w:bidi="ar-SA"/>
              </w:rPr>
            </w:pPr>
            <w:r>
              <w:rPr>
                <w:rFonts w:hint="eastAsia" w:asciiTheme="minorEastAsia" w:hAnsiTheme="minorEastAsia" w:eastAsiaTheme="minorEastAsia" w:cstheme="minorEastAsia"/>
                <w:spacing w:val="9"/>
                <w:kern w:val="2"/>
                <w:sz w:val="24"/>
                <w:szCs w:val="24"/>
                <w:highlight w:val="none"/>
                <w:lang w:val="en-US" w:eastAsia="zh-CN" w:bidi="ar-SA"/>
              </w:rPr>
              <w:t>10、触摸屏操作，速度变频可调</w:t>
            </w:r>
          </w:p>
          <w:p w14:paraId="49F9537E">
            <w:pPr>
              <w:jc w:val="left"/>
              <w:rPr>
                <w:rFonts w:hint="eastAsia" w:asciiTheme="minorEastAsia" w:hAnsiTheme="minorEastAsia" w:eastAsiaTheme="minorEastAsia" w:cstheme="minorEastAsia"/>
                <w:spacing w:val="9"/>
                <w:kern w:val="2"/>
                <w:sz w:val="24"/>
                <w:szCs w:val="24"/>
                <w:highlight w:val="none"/>
                <w:lang w:val="en-US" w:eastAsia="zh-CN" w:bidi="ar-SA"/>
              </w:rPr>
            </w:pPr>
            <w:r>
              <w:rPr>
                <w:rFonts w:hint="eastAsia" w:asciiTheme="minorEastAsia" w:hAnsiTheme="minorEastAsia" w:eastAsiaTheme="minorEastAsia" w:cstheme="minorEastAsia"/>
                <w:spacing w:val="9"/>
                <w:kern w:val="2"/>
                <w:sz w:val="24"/>
                <w:szCs w:val="24"/>
                <w:highlight w:val="none"/>
                <w:lang w:val="en-US" w:eastAsia="zh-CN" w:bidi="ar-SA"/>
              </w:rPr>
              <w:t>11、总功率：88kw</w:t>
            </w:r>
          </w:p>
          <w:p w14:paraId="2FF72B4F">
            <w:pPr>
              <w:pStyle w:val="36"/>
              <w:numPr>
                <w:ilvl w:val="0"/>
                <w:numId w:val="0"/>
              </w:numPr>
              <w:spacing w:before="30" w:line="219" w:lineRule="auto"/>
              <w:rPr>
                <w:rFonts w:hint="eastAsia" w:asciiTheme="minorEastAsia" w:hAnsiTheme="minorEastAsia" w:eastAsiaTheme="minorEastAsia" w:cstheme="minorEastAsia"/>
                <w:spacing w:val="9"/>
                <w:kern w:val="2"/>
                <w:sz w:val="24"/>
                <w:szCs w:val="24"/>
                <w:highlight w:val="none"/>
                <w:lang w:val="en-US" w:eastAsia="zh-CN" w:bidi="ar-SA"/>
              </w:rPr>
            </w:pPr>
            <w:r>
              <w:rPr>
                <w:rFonts w:hint="eastAsia" w:asciiTheme="minorEastAsia" w:hAnsiTheme="minorEastAsia" w:eastAsiaTheme="minorEastAsia" w:cstheme="minorEastAsia"/>
                <w:spacing w:val="9"/>
                <w:kern w:val="2"/>
                <w:sz w:val="24"/>
                <w:szCs w:val="24"/>
                <w:highlight w:val="none"/>
                <w:lang w:val="en-US" w:eastAsia="zh-CN" w:bidi="ar-SA"/>
              </w:rPr>
              <w:t>12、需方配备蒸汽管路及阀门，电缆线及桥架部分</w:t>
            </w:r>
          </w:p>
        </w:tc>
      </w:tr>
      <w:tr w14:paraId="38870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2658" w:hRule="atLeast"/>
        </w:trPr>
        <w:tc>
          <w:tcPr>
            <w:tcW w:w="542" w:type="dxa"/>
            <w:vAlign w:val="center"/>
          </w:tcPr>
          <w:p w14:paraId="1ACD78E5">
            <w:pPr>
              <w:jc w:val="center"/>
              <w:rPr>
                <w:rFonts w:hint="default"/>
                <w:sz w:val="22"/>
                <w:szCs w:val="22"/>
                <w:highlight w:val="none"/>
                <w:lang w:val="en-US" w:eastAsia="zh-CN"/>
              </w:rPr>
            </w:pPr>
            <w:r>
              <w:rPr>
                <w:rFonts w:hint="eastAsia"/>
                <w:sz w:val="22"/>
                <w:szCs w:val="22"/>
                <w:highlight w:val="none"/>
                <w:lang w:val="en-US" w:eastAsia="zh-CN"/>
              </w:rPr>
              <w:t>37</w:t>
            </w:r>
          </w:p>
        </w:tc>
        <w:tc>
          <w:tcPr>
            <w:tcW w:w="2226" w:type="dxa"/>
            <w:vAlign w:val="center"/>
          </w:tcPr>
          <w:p w14:paraId="4705A409">
            <w:pPr>
              <w:jc w:val="center"/>
              <w:rPr>
                <w:rFonts w:hint="eastAsia"/>
                <w:szCs w:val="21"/>
                <w:highlight w:val="none"/>
              </w:rPr>
            </w:pPr>
            <w:r>
              <w:rPr>
                <w:rFonts w:hint="eastAsia" w:cs="Tahoma"/>
                <w:sz w:val="20"/>
                <w:szCs w:val="20"/>
                <w:highlight w:val="none"/>
              </w:rPr>
              <w:t>单层自动烘干机</w:t>
            </w:r>
          </w:p>
        </w:tc>
        <w:tc>
          <w:tcPr>
            <w:tcW w:w="2075" w:type="dxa"/>
            <w:shd w:val="clear" w:color="auto" w:fill="auto"/>
            <w:vAlign w:val="center"/>
          </w:tcPr>
          <w:p w14:paraId="2D2B34E7">
            <w:pPr>
              <w:jc w:val="center"/>
              <w:rPr>
                <w:rFonts w:hint="default"/>
                <w:szCs w:val="21"/>
                <w:highlight w:val="none"/>
                <w:lang w:val="en-US" w:eastAsia="zh-CN"/>
              </w:rPr>
            </w:pPr>
            <w:r>
              <w:rPr>
                <w:rFonts w:hint="eastAsia"/>
                <w:szCs w:val="21"/>
                <w:highlight w:val="none"/>
                <w:lang w:val="en-US" w:eastAsia="zh-CN"/>
              </w:rPr>
              <w:t>2台</w:t>
            </w:r>
          </w:p>
        </w:tc>
        <w:tc>
          <w:tcPr>
            <w:tcW w:w="9548" w:type="dxa"/>
            <w:shd w:val="clear" w:color="auto" w:fill="auto"/>
            <w:vAlign w:val="top"/>
          </w:tcPr>
          <w:p w14:paraId="3084ADC5">
            <w:pPr>
              <w:jc w:val="left"/>
              <w:rPr>
                <w:rFonts w:hint="eastAsia" w:asciiTheme="minorEastAsia" w:hAnsiTheme="minorEastAsia" w:eastAsiaTheme="minorEastAsia" w:cstheme="minorEastAsia"/>
                <w:spacing w:val="9"/>
                <w:kern w:val="2"/>
                <w:sz w:val="24"/>
                <w:szCs w:val="24"/>
                <w:highlight w:val="none"/>
                <w:lang w:val="en-US" w:eastAsia="zh-CN" w:bidi="ar-SA"/>
              </w:rPr>
            </w:pPr>
            <w:r>
              <w:rPr>
                <w:rFonts w:hint="eastAsia" w:asciiTheme="minorEastAsia" w:hAnsiTheme="minorEastAsia" w:eastAsiaTheme="minorEastAsia" w:cstheme="minorEastAsia"/>
                <w:spacing w:val="9"/>
                <w:kern w:val="2"/>
                <w:sz w:val="24"/>
                <w:szCs w:val="24"/>
                <w:highlight w:val="none"/>
                <w:lang w:val="en-US" w:eastAsia="zh-CN" w:bidi="ar-SA"/>
              </w:rPr>
              <w:t xml:space="preserve">1、烘干机宽4000mm,单线长17500mm；                                                       2、链板宽度2200mm，串杆直径16mm，护板厚度4.0mm，链条节距101.6mm,冲孔板厚2.5mm,孔径5.0mm，材质316不锈钢，下支撑C型钢厚度10.0mm，材质304不锈钢，主传动轴2根，主传动链轮，被动传动轴6根，材质不锈钢316，烘干机内侧护板厚度5.0mm，烘干机包含绞龙分料器2只，平料器1只，翻料器7只，板链刮料绞龙1只，清洗毛刷辊2根，                 </w:t>
            </w:r>
          </w:p>
          <w:p w14:paraId="71DBB1EE">
            <w:pPr>
              <w:jc w:val="left"/>
              <w:rPr>
                <w:rFonts w:hint="eastAsia" w:asciiTheme="minorEastAsia" w:hAnsiTheme="minorEastAsia" w:eastAsiaTheme="minorEastAsia" w:cstheme="minorEastAsia"/>
                <w:spacing w:val="9"/>
                <w:kern w:val="2"/>
                <w:sz w:val="24"/>
                <w:szCs w:val="24"/>
                <w:highlight w:val="none"/>
                <w:lang w:val="en-US" w:eastAsia="zh-CN" w:bidi="ar-SA"/>
              </w:rPr>
            </w:pPr>
            <w:r>
              <w:rPr>
                <w:rFonts w:hint="eastAsia" w:asciiTheme="minorEastAsia" w:hAnsiTheme="minorEastAsia" w:eastAsiaTheme="minorEastAsia" w:cstheme="minorEastAsia"/>
                <w:spacing w:val="9"/>
                <w:kern w:val="2"/>
                <w:sz w:val="24"/>
                <w:szCs w:val="24"/>
                <w:highlight w:val="none"/>
                <w:lang w:val="en-US" w:eastAsia="zh-CN" w:bidi="ar-SA"/>
              </w:rPr>
              <w:t>3、7.5kw风机数量9台，材质304不锈钢，风机压力2600-2700，风量36000-38000</w:t>
            </w:r>
          </w:p>
          <w:p w14:paraId="64A4E5FF">
            <w:pPr>
              <w:jc w:val="left"/>
              <w:rPr>
                <w:rFonts w:hint="eastAsia" w:asciiTheme="minorEastAsia" w:hAnsiTheme="minorEastAsia" w:eastAsiaTheme="minorEastAsia" w:cstheme="minorEastAsia"/>
                <w:spacing w:val="9"/>
                <w:kern w:val="2"/>
                <w:sz w:val="24"/>
                <w:szCs w:val="24"/>
                <w:highlight w:val="none"/>
                <w:lang w:val="en-US" w:eastAsia="zh-CN" w:bidi="ar-SA"/>
              </w:rPr>
            </w:pPr>
            <w:r>
              <w:rPr>
                <w:rFonts w:hint="eastAsia" w:asciiTheme="minorEastAsia" w:hAnsiTheme="minorEastAsia" w:eastAsiaTheme="minorEastAsia" w:cstheme="minorEastAsia"/>
                <w:spacing w:val="9"/>
                <w:kern w:val="2"/>
                <w:sz w:val="24"/>
                <w:szCs w:val="24"/>
                <w:highlight w:val="none"/>
                <w:lang w:val="en-US" w:eastAsia="zh-CN" w:bidi="ar-SA"/>
              </w:rPr>
              <w:t>4、散热器数量9台，铜管铝片                                              5、支架方管为50*50*3.0mm，材质304不锈钢</w:t>
            </w:r>
          </w:p>
          <w:p w14:paraId="67B8DF68">
            <w:pPr>
              <w:jc w:val="left"/>
              <w:rPr>
                <w:rFonts w:hint="eastAsia" w:asciiTheme="minorEastAsia" w:hAnsiTheme="minorEastAsia" w:eastAsiaTheme="minorEastAsia" w:cstheme="minorEastAsia"/>
                <w:spacing w:val="9"/>
                <w:kern w:val="2"/>
                <w:sz w:val="24"/>
                <w:szCs w:val="24"/>
                <w:highlight w:val="none"/>
                <w:lang w:val="en-US" w:eastAsia="zh-CN" w:bidi="ar-SA"/>
              </w:rPr>
            </w:pPr>
            <w:r>
              <w:rPr>
                <w:rFonts w:hint="eastAsia" w:asciiTheme="minorEastAsia" w:hAnsiTheme="minorEastAsia" w:eastAsiaTheme="minorEastAsia" w:cstheme="minorEastAsia"/>
                <w:spacing w:val="9"/>
                <w:kern w:val="2"/>
                <w:sz w:val="24"/>
                <w:szCs w:val="24"/>
                <w:highlight w:val="none"/>
                <w:lang w:val="en-US" w:eastAsia="zh-CN" w:bidi="ar-SA"/>
              </w:rPr>
              <w:t>6、烘干机护板厚度4.0mm，箱体厚度2.5mm，材质316，所有轴承座均为不锈钢304轴承                                             7、板链底部带有自动刮料装置，和清洗装置；板链正面带有自动翻料装置，确保含糖产品不粘连在板链上</w:t>
            </w:r>
          </w:p>
          <w:p w14:paraId="1554F926">
            <w:pPr>
              <w:jc w:val="left"/>
              <w:rPr>
                <w:rFonts w:hint="eastAsia" w:asciiTheme="minorEastAsia" w:hAnsiTheme="minorEastAsia" w:eastAsiaTheme="minorEastAsia" w:cstheme="minorEastAsia"/>
                <w:spacing w:val="9"/>
                <w:kern w:val="2"/>
                <w:sz w:val="24"/>
                <w:szCs w:val="24"/>
                <w:highlight w:val="none"/>
                <w:lang w:val="en-US" w:eastAsia="zh-CN" w:bidi="ar-SA"/>
              </w:rPr>
            </w:pPr>
            <w:r>
              <w:rPr>
                <w:rFonts w:hint="eastAsia" w:asciiTheme="minorEastAsia" w:hAnsiTheme="minorEastAsia" w:eastAsiaTheme="minorEastAsia" w:cstheme="minorEastAsia"/>
                <w:spacing w:val="9"/>
                <w:kern w:val="2"/>
                <w:sz w:val="24"/>
                <w:szCs w:val="24"/>
                <w:highlight w:val="none"/>
                <w:lang w:val="en-US" w:eastAsia="zh-CN" w:bidi="ar-SA"/>
              </w:rPr>
              <w:t>8、烘干线箱体内带有调风板装置，烘干线底部风量均匀                                                                                                                                                  9、进料口装有分料绞龙装置，确保料层分布均匀，运转时间可调含变频器，触摸屏可视化操作，所有电机装有保护装置，过载、缺相、过热情况下自动保护，且电控柜有报警指示灯，相应故障触摸屏及时显示。</w:t>
            </w:r>
          </w:p>
          <w:p w14:paraId="68B5FB9F">
            <w:pPr>
              <w:jc w:val="left"/>
              <w:rPr>
                <w:rFonts w:hint="eastAsia" w:asciiTheme="minorEastAsia" w:hAnsiTheme="minorEastAsia" w:eastAsiaTheme="minorEastAsia" w:cstheme="minorEastAsia"/>
                <w:spacing w:val="9"/>
                <w:kern w:val="2"/>
                <w:sz w:val="24"/>
                <w:szCs w:val="24"/>
                <w:highlight w:val="none"/>
                <w:lang w:val="en-US" w:eastAsia="zh-CN" w:bidi="ar-SA"/>
              </w:rPr>
            </w:pPr>
            <w:r>
              <w:rPr>
                <w:rFonts w:hint="eastAsia" w:asciiTheme="minorEastAsia" w:hAnsiTheme="minorEastAsia" w:eastAsiaTheme="minorEastAsia" w:cstheme="minorEastAsia"/>
                <w:spacing w:val="9"/>
                <w:kern w:val="2"/>
                <w:sz w:val="24"/>
                <w:szCs w:val="24"/>
                <w:highlight w:val="none"/>
                <w:lang w:val="en-US" w:eastAsia="zh-CN" w:bidi="ar-SA"/>
              </w:rPr>
              <w:t>10、触摸屏操作，速度变频可调</w:t>
            </w:r>
          </w:p>
          <w:p w14:paraId="16093087">
            <w:pPr>
              <w:jc w:val="left"/>
              <w:rPr>
                <w:rFonts w:hint="eastAsia" w:asciiTheme="minorEastAsia" w:hAnsiTheme="minorEastAsia" w:eastAsiaTheme="minorEastAsia" w:cstheme="minorEastAsia"/>
                <w:spacing w:val="9"/>
                <w:kern w:val="2"/>
                <w:sz w:val="24"/>
                <w:szCs w:val="24"/>
                <w:highlight w:val="none"/>
                <w:lang w:val="en-US" w:eastAsia="zh-CN" w:bidi="ar-SA"/>
              </w:rPr>
            </w:pPr>
            <w:r>
              <w:rPr>
                <w:rFonts w:hint="eastAsia" w:asciiTheme="minorEastAsia" w:hAnsiTheme="minorEastAsia" w:eastAsiaTheme="minorEastAsia" w:cstheme="minorEastAsia"/>
                <w:spacing w:val="9"/>
                <w:kern w:val="2"/>
                <w:sz w:val="24"/>
                <w:szCs w:val="24"/>
                <w:highlight w:val="none"/>
                <w:lang w:val="en-US" w:eastAsia="zh-CN" w:bidi="ar-SA"/>
              </w:rPr>
              <w:t>11、总功率：88kw</w:t>
            </w:r>
          </w:p>
          <w:p w14:paraId="44DAEA13">
            <w:pPr>
              <w:pStyle w:val="36"/>
              <w:numPr>
                <w:ilvl w:val="0"/>
                <w:numId w:val="0"/>
              </w:numPr>
              <w:spacing w:before="30" w:line="219" w:lineRule="auto"/>
              <w:rPr>
                <w:rFonts w:hint="eastAsia" w:asciiTheme="minorEastAsia" w:hAnsiTheme="minorEastAsia" w:eastAsiaTheme="minorEastAsia" w:cstheme="minorEastAsia"/>
                <w:spacing w:val="9"/>
                <w:kern w:val="2"/>
                <w:sz w:val="24"/>
                <w:szCs w:val="24"/>
                <w:highlight w:val="none"/>
                <w:lang w:val="en-US" w:eastAsia="zh-CN" w:bidi="ar-SA"/>
              </w:rPr>
            </w:pPr>
            <w:r>
              <w:rPr>
                <w:rFonts w:hint="eastAsia" w:asciiTheme="minorEastAsia" w:hAnsiTheme="minorEastAsia" w:eastAsiaTheme="minorEastAsia" w:cstheme="minorEastAsia"/>
                <w:spacing w:val="9"/>
                <w:kern w:val="2"/>
                <w:sz w:val="24"/>
                <w:szCs w:val="24"/>
                <w:highlight w:val="none"/>
                <w:lang w:val="en-US" w:eastAsia="zh-CN" w:bidi="ar-SA"/>
              </w:rPr>
              <w:t>12、需方配备蒸汽管路及阀门，电缆线及桥架部分</w:t>
            </w:r>
          </w:p>
        </w:tc>
      </w:tr>
      <w:tr w14:paraId="5A43C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45" w:hRule="atLeast"/>
        </w:trPr>
        <w:tc>
          <w:tcPr>
            <w:tcW w:w="542" w:type="dxa"/>
            <w:vAlign w:val="center"/>
          </w:tcPr>
          <w:p w14:paraId="6F4F20A3">
            <w:pPr>
              <w:jc w:val="center"/>
              <w:rPr>
                <w:rFonts w:hint="default"/>
                <w:sz w:val="22"/>
                <w:szCs w:val="22"/>
                <w:highlight w:val="none"/>
                <w:lang w:val="en-US" w:eastAsia="zh-CN"/>
              </w:rPr>
            </w:pPr>
            <w:r>
              <w:rPr>
                <w:rFonts w:hint="eastAsia"/>
                <w:sz w:val="22"/>
                <w:szCs w:val="22"/>
                <w:highlight w:val="none"/>
                <w:lang w:val="en-US" w:eastAsia="zh-CN"/>
              </w:rPr>
              <w:t>38</w:t>
            </w:r>
          </w:p>
        </w:tc>
        <w:tc>
          <w:tcPr>
            <w:tcW w:w="2226" w:type="dxa"/>
            <w:vAlign w:val="center"/>
          </w:tcPr>
          <w:p w14:paraId="0384E5A8">
            <w:pPr>
              <w:jc w:val="center"/>
              <w:rPr>
                <w:rFonts w:hint="eastAsia"/>
                <w:szCs w:val="21"/>
                <w:highlight w:val="none"/>
              </w:rPr>
            </w:pPr>
            <w:r>
              <w:rPr>
                <w:rFonts w:hint="eastAsia"/>
                <w:szCs w:val="21"/>
                <w:highlight w:val="none"/>
              </w:rPr>
              <w:t>在线式全自动铝箔封口机</w:t>
            </w:r>
          </w:p>
        </w:tc>
        <w:tc>
          <w:tcPr>
            <w:tcW w:w="2075" w:type="dxa"/>
            <w:shd w:val="clear" w:color="auto" w:fill="auto"/>
            <w:vAlign w:val="center"/>
          </w:tcPr>
          <w:p w14:paraId="7D610181">
            <w:pPr>
              <w:jc w:val="center"/>
              <w:rPr>
                <w:rFonts w:hint="default"/>
                <w:szCs w:val="21"/>
                <w:highlight w:val="none"/>
                <w:lang w:val="en-US" w:eastAsia="zh-CN"/>
              </w:rPr>
            </w:pPr>
            <w:r>
              <w:rPr>
                <w:rFonts w:hint="eastAsia"/>
                <w:szCs w:val="21"/>
                <w:highlight w:val="none"/>
                <w:lang w:val="en-US" w:eastAsia="zh-CN"/>
              </w:rPr>
              <w:t>1套</w:t>
            </w:r>
          </w:p>
        </w:tc>
        <w:tc>
          <w:tcPr>
            <w:tcW w:w="9548" w:type="dxa"/>
            <w:shd w:val="clear" w:color="auto" w:fill="auto"/>
            <w:vAlign w:val="top"/>
          </w:tcPr>
          <w:p w14:paraId="7363304E">
            <w:pPr>
              <w:pStyle w:val="36"/>
              <w:numPr>
                <w:ilvl w:val="0"/>
                <w:numId w:val="0"/>
              </w:numPr>
              <w:spacing w:before="30" w:line="219" w:lineRule="auto"/>
              <w:rPr>
                <w:rFonts w:hint="eastAsia" w:asciiTheme="minorEastAsia" w:hAnsiTheme="minorEastAsia" w:eastAsiaTheme="minorEastAsia" w:cstheme="minorEastAsia"/>
                <w:spacing w:val="9"/>
                <w:kern w:val="2"/>
                <w:sz w:val="24"/>
                <w:szCs w:val="24"/>
                <w:highlight w:val="none"/>
                <w:lang w:val="en-US" w:eastAsia="zh-CN" w:bidi="ar-SA"/>
              </w:rPr>
            </w:pPr>
            <w:r>
              <w:rPr>
                <w:rFonts w:hint="eastAsia" w:asciiTheme="minorEastAsia" w:hAnsiTheme="minorEastAsia" w:eastAsiaTheme="minorEastAsia" w:cstheme="minorEastAsia"/>
                <w:spacing w:val="9"/>
                <w:kern w:val="2"/>
                <w:sz w:val="24"/>
                <w:szCs w:val="24"/>
                <w:highlight w:val="none"/>
                <w:lang w:val="en-US" w:eastAsia="zh-CN" w:bidi="ar-SA"/>
              </w:rPr>
              <w:t>1.输入电源：AC220V±10% ，50Hz</w:t>
            </w:r>
          </w:p>
          <w:p w14:paraId="2E5615FF">
            <w:pPr>
              <w:pStyle w:val="36"/>
              <w:numPr>
                <w:ilvl w:val="0"/>
                <w:numId w:val="0"/>
              </w:numPr>
              <w:spacing w:before="30" w:line="219" w:lineRule="auto"/>
              <w:rPr>
                <w:rFonts w:hint="eastAsia" w:asciiTheme="minorEastAsia" w:hAnsiTheme="minorEastAsia" w:eastAsiaTheme="minorEastAsia" w:cstheme="minorEastAsia"/>
                <w:spacing w:val="9"/>
                <w:kern w:val="2"/>
                <w:sz w:val="24"/>
                <w:szCs w:val="24"/>
                <w:highlight w:val="none"/>
                <w:lang w:val="en-US" w:eastAsia="zh-CN" w:bidi="ar-SA"/>
              </w:rPr>
            </w:pPr>
            <w:r>
              <w:rPr>
                <w:rFonts w:hint="eastAsia" w:asciiTheme="minorEastAsia" w:hAnsiTheme="minorEastAsia" w:eastAsiaTheme="minorEastAsia" w:cstheme="minorEastAsia"/>
                <w:spacing w:val="9"/>
                <w:kern w:val="2"/>
                <w:sz w:val="24"/>
                <w:szCs w:val="24"/>
                <w:highlight w:val="none"/>
                <w:lang w:val="en-US" w:eastAsia="zh-CN" w:bidi="ar-SA"/>
              </w:rPr>
              <w:t>2.封口直径：</w:t>
            </w:r>
          </w:p>
          <w:p w14:paraId="6E959D85">
            <w:pPr>
              <w:pStyle w:val="36"/>
              <w:numPr>
                <w:ilvl w:val="0"/>
                <w:numId w:val="0"/>
              </w:numPr>
              <w:spacing w:before="30" w:line="219" w:lineRule="auto"/>
              <w:rPr>
                <w:rFonts w:hint="eastAsia" w:asciiTheme="minorEastAsia" w:hAnsiTheme="minorEastAsia" w:eastAsiaTheme="minorEastAsia" w:cstheme="minorEastAsia"/>
                <w:spacing w:val="9"/>
                <w:kern w:val="2"/>
                <w:sz w:val="24"/>
                <w:szCs w:val="24"/>
                <w:highlight w:val="none"/>
                <w:lang w:val="en-US" w:eastAsia="zh-CN" w:bidi="ar-SA"/>
              </w:rPr>
            </w:pPr>
            <w:r>
              <w:rPr>
                <w:rFonts w:hint="eastAsia" w:asciiTheme="minorEastAsia" w:hAnsiTheme="minorEastAsia" w:eastAsiaTheme="minorEastAsia" w:cstheme="minorEastAsia"/>
                <w:spacing w:val="9"/>
                <w:kern w:val="2"/>
                <w:sz w:val="24"/>
                <w:szCs w:val="24"/>
                <w:highlight w:val="none"/>
                <w:lang w:val="en-US" w:eastAsia="zh-CN" w:bidi="ar-SA"/>
              </w:rPr>
              <w:t>2200A：φ20～φ60mm</w:t>
            </w:r>
          </w:p>
          <w:p w14:paraId="597E0198">
            <w:pPr>
              <w:pStyle w:val="36"/>
              <w:numPr>
                <w:ilvl w:val="0"/>
                <w:numId w:val="0"/>
              </w:numPr>
              <w:spacing w:before="30" w:line="219" w:lineRule="auto"/>
              <w:rPr>
                <w:rFonts w:hint="eastAsia" w:asciiTheme="minorEastAsia" w:hAnsiTheme="minorEastAsia" w:eastAsiaTheme="minorEastAsia" w:cstheme="minorEastAsia"/>
                <w:spacing w:val="9"/>
                <w:kern w:val="2"/>
                <w:sz w:val="24"/>
                <w:szCs w:val="24"/>
                <w:highlight w:val="none"/>
                <w:lang w:val="en-US" w:eastAsia="zh-CN" w:bidi="ar-SA"/>
              </w:rPr>
            </w:pPr>
            <w:r>
              <w:rPr>
                <w:rFonts w:hint="eastAsia" w:asciiTheme="minorEastAsia" w:hAnsiTheme="minorEastAsia" w:eastAsiaTheme="minorEastAsia" w:cstheme="minorEastAsia"/>
                <w:spacing w:val="9"/>
                <w:kern w:val="2"/>
                <w:sz w:val="24"/>
                <w:szCs w:val="24"/>
                <w:highlight w:val="none"/>
                <w:lang w:val="en-US" w:eastAsia="zh-CN" w:bidi="ar-SA"/>
              </w:rPr>
              <w:t>2200B：φ30～φ150mm</w:t>
            </w:r>
          </w:p>
          <w:p w14:paraId="1923F94D">
            <w:pPr>
              <w:pStyle w:val="36"/>
              <w:numPr>
                <w:ilvl w:val="0"/>
                <w:numId w:val="0"/>
              </w:numPr>
              <w:spacing w:before="30" w:line="219" w:lineRule="auto"/>
              <w:rPr>
                <w:rFonts w:hint="eastAsia" w:asciiTheme="minorEastAsia" w:hAnsiTheme="minorEastAsia" w:eastAsiaTheme="minorEastAsia" w:cstheme="minorEastAsia"/>
                <w:spacing w:val="9"/>
                <w:kern w:val="2"/>
                <w:sz w:val="24"/>
                <w:szCs w:val="24"/>
                <w:highlight w:val="none"/>
                <w:lang w:val="en-US" w:eastAsia="zh-CN" w:bidi="ar-SA"/>
              </w:rPr>
            </w:pPr>
            <w:r>
              <w:rPr>
                <w:rFonts w:hint="eastAsia" w:asciiTheme="minorEastAsia" w:hAnsiTheme="minorEastAsia" w:eastAsiaTheme="minorEastAsia" w:cstheme="minorEastAsia"/>
                <w:spacing w:val="9"/>
                <w:kern w:val="2"/>
                <w:sz w:val="24"/>
                <w:szCs w:val="24"/>
                <w:highlight w:val="none"/>
                <w:lang w:val="en-US" w:eastAsia="zh-CN" w:bidi="ar-SA"/>
              </w:rPr>
              <w:t>2200C：φ20～φ50mm(可封尖嘴瓶盖)</w:t>
            </w:r>
          </w:p>
          <w:p w14:paraId="1D97064E">
            <w:pPr>
              <w:pStyle w:val="36"/>
              <w:numPr>
                <w:ilvl w:val="0"/>
                <w:numId w:val="0"/>
              </w:numPr>
              <w:spacing w:before="30" w:line="219" w:lineRule="auto"/>
              <w:rPr>
                <w:rFonts w:hint="eastAsia" w:asciiTheme="minorEastAsia" w:hAnsiTheme="minorEastAsia" w:eastAsiaTheme="minorEastAsia" w:cstheme="minorEastAsia"/>
                <w:spacing w:val="9"/>
                <w:kern w:val="2"/>
                <w:sz w:val="24"/>
                <w:szCs w:val="24"/>
                <w:highlight w:val="none"/>
                <w:lang w:val="en-US" w:eastAsia="zh-CN" w:bidi="ar-SA"/>
              </w:rPr>
            </w:pPr>
            <w:r>
              <w:rPr>
                <w:rFonts w:hint="eastAsia" w:asciiTheme="minorEastAsia" w:hAnsiTheme="minorEastAsia" w:eastAsiaTheme="minorEastAsia" w:cstheme="minorEastAsia"/>
                <w:spacing w:val="9"/>
                <w:kern w:val="2"/>
                <w:sz w:val="24"/>
                <w:szCs w:val="24"/>
                <w:highlight w:val="none"/>
                <w:lang w:val="en-US" w:eastAsia="zh-CN" w:bidi="ar-SA"/>
              </w:rPr>
              <w:t>3.感应头调节范围：</w:t>
            </w:r>
          </w:p>
          <w:p w14:paraId="169F3D7F">
            <w:pPr>
              <w:pStyle w:val="36"/>
              <w:numPr>
                <w:ilvl w:val="0"/>
                <w:numId w:val="0"/>
              </w:numPr>
              <w:spacing w:before="30" w:line="219" w:lineRule="auto"/>
              <w:rPr>
                <w:rFonts w:hint="eastAsia" w:asciiTheme="minorEastAsia" w:hAnsiTheme="minorEastAsia" w:eastAsiaTheme="minorEastAsia" w:cstheme="minorEastAsia"/>
                <w:spacing w:val="9"/>
                <w:kern w:val="2"/>
                <w:sz w:val="24"/>
                <w:szCs w:val="24"/>
                <w:highlight w:val="none"/>
                <w:lang w:val="en-US" w:eastAsia="zh-CN" w:bidi="ar-SA"/>
              </w:rPr>
            </w:pPr>
            <w:r>
              <w:rPr>
                <w:rFonts w:hint="eastAsia" w:asciiTheme="minorEastAsia" w:hAnsiTheme="minorEastAsia" w:eastAsiaTheme="minorEastAsia" w:cstheme="minorEastAsia"/>
                <w:spacing w:val="9"/>
                <w:kern w:val="2"/>
                <w:sz w:val="24"/>
                <w:szCs w:val="24"/>
                <w:highlight w:val="none"/>
                <w:lang w:val="en-US" w:eastAsia="zh-CN" w:bidi="ar-SA"/>
              </w:rPr>
              <w:t>高度：0～800mm</w:t>
            </w:r>
          </w:p>
          <w:p w14:paraId="475DF039">
            <w:pPr>
              <w:pStyle w:val="36"/>
              <w:numPr>
                <w:ilvl w:val="0"/>
                <w:numId w:val="0"/>
              </w:numPr>
              <w:spacing w:before="30" w:line="219" w:lineRule="auto"/>
              <w:rPr>
                <w:rFonts w:hint="eastAsia" w:asciiTheme="minorEastAsia" w:hAnsiTheme="minorEastAsia" w:eastAsiaTheme="minorEastAsia" w:cstheme="minorEastAsia"/>
                <w:spacing w:val="9"/>
                <w:kern w:val="2"/>
                <w:sz w:val="24"/>
                <w:szCs w:val="24"/>
                <w:highlight w:val="none"/>
                <w:lang w:val="en-US" w:eastAsia="zh-CN" w:bidi="ar-SA"/>
              </w:rPr>
            </w:pPr>
            <w:r>
              <w:rPr>
                <w:rFonts w:hint="eastAsia" w:asciiTheme="minorEastAsia" w:hAnsiTheme="minorEastAsia" w:eastAsiaTheme="minorEastAsia" w:cstheme="minorEastAsia"/>
                <w:spacing w:val="9"/>
                <w:kern w:val="2"/>
                <w:sz w:val="24"/>
                <w:szCs w:val="24"/>
                <w:highlight w:val="none"/>
                <w:lang w:val="en-US" w:eastAsia="zh-CN" w:bidi="ar-SA"/>
              </w:rPr>
              <w:t>前后：0～260mm</w:t>
            </w:r>
          </w:p>
          <w:p w14:paraId="34DFCDEC">
            <w:pPr>
              <w:pStyle w:val="36"/>
              <w:numPr>
                <w:ilvl w:val="0"/>
                <w:numId w:val="0"/>
              </w:numPr>
              <w:spacing w:before="30" w:line="219" w:lineRule="auto"/>
              <w:rPr>
                <w:rFonts w:hint="eastAsia" w:asciiTheme="minorEastAsia" w:hAnsiTheme="minorEastAsia" w:eastAsiaTheme="minorEastAsia" w:cstheme="minorEastAsia"/>
                <w:spacing w:val="9"/>
                <w:kern w:val="2"/>
                <w:sz w:val="24"/>
                <w:szCs w:val="24"/>
                <w:highlight w:val="none"/>
                <w:lang w:val="en-US" w:eastAsia="zh-CN" w:bidi="ar-SA"/>
              </w:rPr>
            </w:pPr>
            <w:r>
              <w:rPr>
                <w:rFonts w:hint="eastAsia" w:asciiTheme="minorEastAsia" w:hAnsiTheme="minorEastAsia" w:eastAsiaTheme="minorEastAsia" w:cstheme="minorEastAsia"/>
                <w:spacing w:val="9"/>
                <w:kern w:val="2"/>
                <w:sz w:val="24"/>
                <w:szCs w:val="24"/>
                <w:highlight w:val="none"/>
                <w:lang w:val="en-US" w:eastAsia="zh-CN" w:bidi="ar-SA"/>
              </w:rPr>
              <w:t>4.封口速度：80～300瓶/分钟</w:t>
            </w:r>
          </w:p>
          <w:p w14:paraId="230BECA9">
            <w:pPr>
              <w:pStyle w:val="36"/>
              <w:numPr>
                <w:ilvl w:val="0"/>
                <w:numId w:val="0"/>
              </w:numPr>
              <w:spacing w:before="30" w:line="219" w:lineRule="auto"/>
              <w:rPr>
                <w:rFonts w:hint="eastAsia" w:asciiTheme="minorEastAsia" w:hAnsiTheme="minorEastAsia" w:eastAsiaTheme="minorEastAsia" w:cstheme="minorEastAsia"/>
                <w:spacing w:val="9"/>
                <w:kern w:val="2"/>
                <w:sz w:val="24"/>
                <w:szCs w:val="24"/>
                <w:highlight w:val="none"/>
                <w:lang w:val="en-US" w:eastAsia="zh-CN" w:bidi="ar-SA"/>
              </w:rPr>
            </w:pPr>
            <w:r>
              <w:rPr>
                <w:rFonts w:hint="eastAsia" w:asciiTheme="minorEastAsia" w:hAnsiTheme="minorEastAsia" w:eastAsiaTheme="minorEastAsia" w:cstheme="minorEastAsia"/>
                <w:spacing w:val="9"/>
                <w:kern w:val="2"/>
                <w:sz w:val="24"/>
                <w:szCs w:val="24"/>
                <w:highlight w:val="none"/>
                <w:lang w:val="en-US" w:eastAsia="zh-CN" w:bidi="ar-SA"/>
              </w:rPr>
              <w:t>5.冷却方式：风冷</w:t>
            </w:r>
          </w:p>
          <w:p w14:paraId="380F9D76">
            <w:pPr>
              <w:pStyle w:val="36"/>
              <w:numPr>
                <w:ilvl w:val="0"/>
                <w:numId w:val="0"/>
              </w:numPr>
              <w:spacing w:before="30" w:line="219" w:lineRule="auto"/>
              <w:rPr>
                <w:rFonts w:hint="eastAsia" w:asciiTheme="minorEastAsia" w:hAnsiTheme="minorEastAsia" w:eastAsiaTheme="minorEastAsia" w:cstheme="minorEastAsia"/>
                <w:spacing w:val="9"/>
                <w:kern w:val="2"/>
                <w:sz w:val="24"/>
                <w:szCs w:val="24"/>
                <w:highlight w:val="none"/>
                <w:lang w:val="en-US" w:eastAsia="zh-CN" w:bidi="ar-SA"/>
              </w:rPr>
            </w:pPr>
            <w:r>
              <w:rPr>
                <w:rFonts w:hint="eastAsia" w:asciiTheme="minorEastAsia" w:hAnsiTheme="minorEastAsia" w:eastAsiaTheme="minorEastAsia" w:cstheme="minorEastAsia"/>
                <w:spacing w:val="9"/>
                <w:kern w:val="2"/>
                <w:sz w:val="24"/>
                <w:szCs w:val="24"/>
                <w:highlight w:val="none"/>
                <w:lang w:val="en-US" w:eastAsia="zh-CN" w:bidi="ar-SA"/>
              </w:rPr>
              <w:t>6.重量：净重45公斤、毛重71公斤</w:t>
            </w:r>
          </w:p>
          <w:p w14:paraId="183218E9">
            <w:pPr>
              <w:pStyle w:val="36"/>
              <w:numPr>
                <w:ilvl w:val="0"/>
                <w:numId w:val="0"/>
              </w:numPr>
              <w:spacing w:before="30" w:line="219" w:lineRule="auto"/>
              <w:rPr>
                <w:rFonts w:hint="eastAsia" w:asciiTheme="minorEastAsia" w:hAnsiTheme="minorEastAsia" w:eastAsiaTheme="minorEastAsia" w:cstheme="minorEastAsia"/>
                <w:spacing w:val="9"/>
                <w:kern w:val="2"/>
                <w:sz w:val="24"/>
                <w:szCs w:val="24"/>
                <w:highlight w:val="none"/>
                <w:lang w:val="en-US" w:eastAsia="zh-CN" w:bidi="ar-SA"/>
              </w:rPr>
            </w:pPr>
            <w:r>
              <w:rPr>
                <w:rFonts w:hint="eastAsia" w:asciiTheme="minorEastAsia" w:hAnsiTheme="minorEastAsia" w:eastAsiaTheme="minorEastAsia" w:cstheme="minorEastAsia"/>
                <w:spacing w:val="9"/>
                <w:kern w:val="2"/>
                <w:sz w:val="24"/>
                <w:szCs w:val="24"/>
                <w:highlight w:val="none"/>
                <w:lang w:val="en-US" w:eastAsia="zh-CN" w:bidi="ar-SA"/>
              </w:rPr>
              <w:t>7.尺寸：70×90×150CM、包装尺寸72×63×155CM</w:t>
            </w:r>
          </w:p>
          <w:p w14:paraId="4862FB2E">
            <w:pPr>
              <w:pStyle w:val="36"/>
              <w:numPr>
                <w:ilvl w:val="0"/>
                <w:numId w:val="0"/>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pacing w:val="9"/>
                <w:kern w:val="2"/>
                <w:sz w:val="24"/>
                <w:szCs w:val="24"/>
                <w:highlight w:val="none"/>
                <w:lang w:val="en-US" w:eastAsia="zh-CN" w:bidi="ar-SA"/>
              </w:rPr>
              <w:t>8.LGYF-2200</w:t>
            </w:r>
          </w:p>
        </w:tc>
      </w:tr>
      <w:tr w14:paraId="78F05D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1981" w:hRule="atLeast"/>
        </w:trPr>
        <w:tc>
          <w:tcPr>
            <w:tcW w:w="542" w:type="dxa"/>
            <w:vAlign w:val="center"/>
          </w:tcPr>
          <w:p w14:paraId="6745395E">
            <w:pPr>
              <w:jc w:val="center"/>
              <w:rPr>
                <w:rFonts w:hint="default"/>
                <w:sz w:val="22"/>
                <w:szCs w:val="22"/>
                <w:highlight w:val="none"/>
                <w:lang w:val="en-US" w:eastAsia="zh-CN"/>
              </w:rPr>
            </w:pPr>
            <w:r>
              <w:rPr>
                <w:rFonts w:hint="eastAsia"/>
                <w:sz w:val="22"/>
                <w:szCs w:val="22"/>
                <w:highlight w:val="none"/>
                <w:lang w:val="en-US" w:eastAsia="zh-CN"/>
              </w:rPr>
              <w:t>39</w:t>
            </w:r>
          </w:p>
        </w:tc>
        <w:tc>
          <w:tcPr>
            <w:tcW w:w="2226" w:type="dxa"/>
            <w:vAlign w:val="center"/>
          </w:tcPr>
          <w:p w14:paraId="1ABA9D97">
            <w:pPr>
              <w:jc w:val="center"/>
              <w:rPr>
                <w:rFonts w:hint="eastAsia"/>
                <w:szCs w:val="21"/>
                <w:highlight w:val="none"/>
              </w:rPr>
            </w:pPr>
            <w:r>
              <w:rPr>
                <w:rFonts w:hint="eastAsia"/>
                <w:szCs w:val="21"/>
                <w:highlight w:val="none"/>
              </w:rPr>
              <w:t>立式圆瓶贴标机</w:t>
            </w:r>
          </w:p>
        </w:tc>
        <w:tc>
          <w:tcPr>
            <w:tcW w:w="2075" w:type="dxa"/>
            <w:shd w:val="clear" w:color="auto" w:fill="auto"/>
            <w:vAlign w:val="center"/>
          </w:tcPr>
          <w:p w14:paraId="61FD9AE6">
            <w:pPr>
              <w:jc w:val="center"/>
              <w:rPr>
                <w:rFonts w:hint="eastAsia"/>
                <w:szCs w:val="21"/>
                <w:highlight w:val="none"/>
                <w:lang w:val="en-US" w:eastAsia="zh-CN"/>
              </w:rPr>
            </w:pPr>
            <w:r>
              <w:rPr>
                <w:rFonts w:hint="eastAsia"/>
                <w:szCs w:val="21"/>
                <w:highlight w:val="none"/>
                <w:lang w:val="en-US" w:eastAsia="zh-CN"/>
              </w:rPr>
              <w:t>1套</w:t>
            </w:r>
          </w:p>
        </w:tc>
        <w:tc>
          <w:tcPr>
            <w:tcW w:w="9548" w:type="dxa"/>
            <w:shd w:val="clear" w:color="auto" w:fill="auto"/>
            <w:vAlign w:val="top"/>
          </w:tcPr>
          <w:p w14:paraId="11863C88">
            <w:pPr>
              <w:pStyle w:val="36"/>
              <w:numPr>
                <w:ilvl w:val="0"/>
                <w:numId w:val="0"/>
              </w:numPr>
              <w:spacing w:before="30" w:line="219" w:lineRule="auto"/>
              <w:rPr>
                <w:rFonts w:hint="eastAsia" w:asciiTheme="minorEastAsia" w:hAnsiTheme="minorEastAsia" w:eastAsiaTheme="minorEastAsia" w:cstheme="minorEastAsia"/>
                <w:spacing w:val="9"/>
                <w:kern w:val="2"/>
                <w:sz w:val="24"/>
                <w:szCs w:val="24"/>
                <w:highlight w:val="none"/>
                <w:lang w:val="en-US" w:eastAsia="zh-CN" w:bidi="ar-SA"/>
              </w:rPr>
            </w:pPr>
            <w:r>
              <w:rPr>
                <w:rFonts w:hint="eastAsia" w:asciiTheme="minorEastAsia" w:hAnsiTheme="minorEastAsia" w:eastAsiaTheme="minorEastAsia" w:cstheme="minorEastAsia"/>
                <w:spacing w:val="9"/>
                <w:kern w:val="2"/>
                <w:sz w:val="24"/>
                <w:szCs w:val="24"/>
                <w:highlight w:val="none"/>
                <w:lang w:val="en-US" w:eastAsia="zh-CN" w:bidi="ar-SA"/>
              </w:rPr>
              <w:t>1.生产能力：50-100瓶/分（速度可调，视物件大小及标签长度而定）</w:t>
            </w:r>
          </w:p>
          <w:p w14:paraId="436C1A94">
            <w:pPr>
              <w:pStyle w:val="36"/>
              <w:numPr>
                <w:ilvl w:val="0"/>
                <w:numId w:val="0"/>
              </w:numPr>
              <w:spacing w:before="30" w:line="219" w:lineRule="auto"/>
              <w:rPr>
                <w:rFonts w:hint="eastAsia" w:asciiTheme="minorEastAsia" w:hAnsiTheme="minorEastAsia" w:eastAsiaTheme="minorEastAsia" w:cstheme="minorEastAsia"/>
                <w:spacing w:val="9"/>
                <w:kern w:val="2"/>
                <w:sz w:val="24"/>
                <w:szCs w:val="24"/>
                <w:highlight w:val="none"/>
                <w:lang w:val="en-US" w:eastAsia="zh-CN" w:bidi="ar-SA"/>
              </w:rPr>
            </w:pPr>
            <w:r>
              <w:rPr>
                <w:rFonts w:hint="eastAsia" w:asciiTheme="minorEastAsia" w:hAnsiTheme="minorEastAsia" w:eastAsiaTheme="minorEastAsia" w:cstheme="minorEastAsia"/>
                <w:spacing w:val="9"/>
                <w:kern w:val="2"/>
                <w:sz w:val="24"/>
                <w:szCs w:val="24"/>
                <w:highlight w:val="none"/>
                <w:lang w:val="en-US" w:eastAsia="zh-CN" w:bidi="ar-SA"/>
              </w:rPr>
              <w:t>2.贴标精度：±1.0mm（视瓶子圆真度，垂直度而定）</w:t>
            </w:r>
          </w:p>
          <w:p w14:paraId="3FA4629D">
            <w:pPr>
              <w:pStyle w:val="36"/>
              <w:numPr>
                <w:ilvl w:val="0"/>
                <w:numId w:val="0"/>
              </w:numPr>
              <w:spacing w:before="30" w:line="219" w:lineRule="auto"/>
              <w:rPr>
                <w:rFonts w:hint="eastAsia" w:asciiTheme="minorEastAsia" w:hAnsiTheme="minorEastAsia" w:eastAsiaTheme="minorEastAsia" w:cstheme="minorEastAsia"/>
                <w:spacing w:val="9"/>
                <w:kern w:val="2"/>
                <w:sz w:val="24"/>
                <w:szCs w:val="24"/>
                <w:highlight w:val="none"/>
                <w:lang w:val="en-US" w:eastAsia="zh-CN" w:bidi="ar-SA"/>
              </w:rPr>
            </w:pPr>
            <w:r>
              <w:rPr>
                <w:rFonts w:hint="eastAsia" w:asciiTheme="minorEastAsia" w:hAnsiTheme="minorEastAsia" w:eastAsiaTheme="minorEastAsia" w:cstheme="minorEastAsia"/>
                <w:spacing w:val="9"/>
                <w:kern w:val="2"/>
                <w:sz w:val="24"/>
                <w:szCs w:val="24"/>
                <w:highlight w:val="none"/>
                <w:lang w:val="en-US" w:eastAsia="zh-CN" w:bidi="ar-SA"/>
              </w:rPr>
              <w:t>3.打印批号：气动打码机</w:t>
            </w:r>
          </w:p>
          <w:p w14:paraId="73F174E8">
            <w:pPr>
              <w:pStyle w:val="36"/>
              <w:numPr>
                <w:ilvl w:val="0"/>
                <w:numId w:val="0"/>
              </w:numPr>
              <w:spacing w:before="30" w:line="219" w:lineRule="auto"/>
              <w:rPr>
                <w:rFonts w:hint="eastAsia" w:asciiTheme="minorEastAsia" w:hAnsiTheme="minorEastAsia" w:eastAsiaTheme="minorEastAsia" w:cstheme="minorEastAsia"/>
                <w:spacing w:val="9"/>
                <w:kern w:val="2"/>
                <w:sz w:val="24"/>
                <w:szCs w:val="24"/>
                <w:highlight w:val="none"/>
                <w:lang w:val="en-US" w:eastAsia="zh-CN" w:bidi="ar-SA"/>
              </w:rPr>
            </w:pPr>
            <w:r>
              <w:rPr>
                <w:rFonts w:hint="eastAsia" w:asciiTheme="minorEastAsia" w:hAnsiTheme="minorEastAsia" w:eastAsiaTheme="minorEastAsia" w:cstheme="minorEastAsia"/>
                <w:spacing w:val="9"/>
                <w:kern w:val="2"/>
                <w:sz w:val="24"/>
                <w:szCs w:val="24"/>
                <w:highlight w:val="none"/>
                <w:lang w:val="en-US" w:eastAsia="zh-CN" w:bidi="ar-SA"/>
              </w:rPr>
              <w:t>4.重    量：210Kg</w:t>
            </w:r>
          </w:p>
          <w:p w14:paraId="7D266BCC">
            <w:pPr>
              <w:pStyle w:val="36"/>
              <w:numPr>
                <w:ilvl w:val="0"/>
                <w:numId w:val="0"/>
              </w:numPr>
              <w:spacing w:before="30" w:line="219" w:lineRule="auto"/>
              <w:rPr>
                <w:rFonts w:hint="eastAsia" w:asciiTheme="minorEastAsia" w:hAnsiTheme="minorEastAsia" w:eastAsiaTheme="minorEastAsia" w:cstheme="minorEastAsia"/>
                <w:spacing w:val="9"/>
                <w:kern w:val="2"/>
                <w:sz w:val="24"/>
                <w:szCs w:val="24"/>
                <w:highlight w:val="none"/>
                <w:lang w:val="en-US" w:eastAsia="zh-CN" w:bidi="ar-SA"/>
              </w:rPr>
            </w:pPr>
            <w:r>
              <w:rPr>
                <w:rFonts w:hint="eastAsia" w:asciiTheme="minorEastAsia" w:hAnsiTheme="minorEastAsia" w:eastAsiaTheme="minorEastAsia" w:cstheme="minorEastAsia"/>
                <w:spacing w:val="9"/>
                <w:kern w:val="2"/>
                <w:sz w:val="24"/>
                <w:szCs w:val="24"/>
                <w:highlight w:val="none"/>
                <w:lang w:val="en-US" w:eastAsia="zh-CN" w:bidi="ar-SA"/>
              </w:rPr>
              <w:t>5.包装尺寸：2000mm×1100mm×1420mm</w:t>
            </w:r>
          </w:p>
          <w:p w14:paraId="06A9B872">
            <w:pPr>
              <w:pStyle w:val="36"/>
              <w:numPr>
                <w:ilvl w:val="0"/>
                <w:numId w:val="0"/>
              </w:numPr>
              <w:spacing w:before="30" w:line="219"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9"/>
                <w:kern w:val="2"/>
                <w:sz w:val="24"/>
                <w:szCs w:val="24"/>
                <w:highlight w:val="none"/>
                <w:lang w:val="en-US" w:eastAsia="zh-CN" w:bidi="ar-SA"/>
              </w:rPr>
              <w:t>6.机箱，采用不锈钢SUS304材料及T6铝合金，永不生锈，符合GMP规范</w:t>
            </w:r>
          </w:p>
        </w:tc>
      </w:tr>
      <w:tr w14:paraId="402E87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2566" w:hRule="atLeast"/>
        </w:trPr>
        <w:tc>
          <w:tcPr>
            <w:tcW w:w="542" w:type="dxa"/>
            <w:vAlign w:val="center"/>
          </w:tcPr>
          <w:p w14:paraId="083E3086">
            <w:pPr>
              <w:jc w:val="center"/>
              <w:rPr>
                <w:rFonts w:hint="default"/>
                <w:sz w:val="22"/>
                <w:szCs w:val="22"/>
                <w:highlight w:val="none"/>
                <w:lang w:val="en-US" w:eastAsia="zh-CN"/>
              </w:rPr>
            </w:pPr>
            <w:r>
              <w:rPr>
                <w:rFonts w:hint="eastAsia"/>
                <w:sz w:val="22"/>
                <w:szCs w:val="22"/>
                <w:highlight w:val="none"/>
                <w:lang w:val="en-US" w:eastAsia="zh-CN"/>
              </w:rPr>
              <w:t>40</w:t>
            </w:r>
          </w:p>
        </w:tc>
        <w:tc>
          <w:tcPr>
            <w:tcW w:w="2226" w:type="dxa"/>
            <w:vAlign w:val="center"/>
          </w:tcPr>
          <w:p w14:paraId="7D94823E">
            <w:pPr>
              <w:jc w:val="center"/>
              <w:rPr>
                <w:rFonts w:hint="eastAsia"/>
                <w:szCs w:val="21"/>
                <w:highlight w:val="none"/>
              </w:rPr>
            </w:pPr>
            <w:r>
              <w:rPr>
                <w:rFonts w:hint="eastAsia"/>
                <w:szCs w:val="21"/>
                <w:highlight w:val="none"/>
              </w:rPr>
              <w:t xml:space="preserve"> 封箱机</w:t>
            </w:r>
          </w:p>
        </w:tc>
        <w:tc>
          <w:tcPr>
            <w:tcW w:w="2075" w:type="dxa"/>
            <w:shd w:val="clear" w:color="auto" w:fill="auto"/>
            <w:vAlign w:val="center"/>
          </w:tcPr>
          <w:p w14:paraId="3BA1FA0C">
            <w:pPr>
              <w:jc w:val="center"/>
              <w:rPr>
                <w:rFonts w:hint="default"/>
                <w:szCs w:val="21"/>
                <w:highlight w:val="none"/>
                <w:lang w:val="en-US" w:eastAsia="zh-CN"/>
              </w:rPr>
            </w:pPr>
            <w:r>
              <w:rPr>
                <w:rFonts w:hint="eastAsia"/>
                <w:szCs w:val="21"/>
                <w:highlight w:val="none"/>
                <w:lang w:val="en-US" w:eastAsia="zh-CN"/>
              </w:rPr>
              <w:t>10台</w:t>
            </w:r>
          </w:p>
        </w:tc>
        <w:tc>
          <w:tcPr>
            <w:tcW w:w="9548" w:type="dxa"/>
            <w:shd w:val="clear" w:color="auto" w:fill="auto"/>
            <w:vAlign w:val="top"/>
          </w:tcPr>
          <w:p w14:paraId="0E469582">
            <w:pPr>
              <w:pStyle w:val="36"/>
              <w:numPr>
                <w:ilvl w:val="0"/>
                <w:numId w:val="0"/>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pacing w:val="9"/>
                <w:sz w:val="24"/>
                <w:szCs w:val="24"/>
                <w:highlight w:val="none"/>
                <w:lang w:val="en-US" w:eastAsia="zh-CN"/>
              </w:rPr>
              <w:t>1.封箱速度:0-20 boxes/min</w:t>
            </w:r>
          </w:p>
          <w:p w14:paraId="7BD8EE5C">
            <w:pPr>
              <w:pStyle w:val="36"/>
              <w:numPr>
                <w:ilvl w:val="0"/>
                <w:numId w:val="0"/>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pacing w:val="9"/>
                <w:sz w:val="24"/>
                <w:szCs w:val="24"/>
                <w:highlight w:val="none"/>
                <w:lang w:val="en-US" w:eastAsia="zh-CN"/>
              </w:rPr>
              <w:t>2.机器尺寸:1680X820X1260MM</w:t>
            </w:r>
          </w:p>
          <w:p w14:paraId="413A2BE8">
            <w:pPr>
              <w:pStyle w:val="36"/>
              <w:numPr>
                <w:ilvl w:val="0"/>
                <w:numId w:val="0"/>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pacing w:val="9"/>
                <w:sz w:val="24"/>
                <w:szCs w:val="24"/>
                <w:highlight w:val="none"/>
                <w:lang w:val="en-US" w:eastAsia="zh-CN"/>
              </w:rPr>
              <w:t>3.机器毛重:130kg</w:t>
            </w:r>
          </w:p>
          <w:p w14:paraId="758C933B">
            <w:pPr>
              <w:pStyle w:val="36"/>
              <w:numPr>
                <w:ilvl w:val="0"/>
                <w:numId w:val="0"/>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pacing w:val="9"/>
                <w:sz w:val="24"/>
                <w:szCs w:val="24"/>
                <w:highlight w:val="none"/>
                <w:lang w:val="en-US" w:eastAsia="zh-CN"/>
              </w:rPr>
              <w:t>4.适用纸箱:130x80X90-+--X290X370MM</w:t>
            </w:r>
          </w:p>
          <w:p w14:paraId="5C753B4F">
            <w:pPr>
              <w:pStyle w:val="36"/>
              <w:numPr>
                <w:ilvl w:val="0"/>
                <w:numId w:val="0"/>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pacing w:val="9"/>
                <w:sz w:val="24"/>
                <w:szCs w:val="24"/>
                <w:highlight w:val="none"/>
                <w:lang w:val="en-US" w:eastAsia="zh-CN"/>
              </w:rPr>
              <w:t>5.台面高度：560-750MM</w:t>
            </w:r>
          </w:p>
          <w:p w14:paraId="020CE1DB">
            <w:pPr>
              <w:pStyle w:val="36"/>
              <w:numPr>
                <w:ilvl w:val="0"/>
                <w:numId w:val="0"/>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pacing w:val="9"/>
                <w:sz w:val="24"/>
                <w:szCs w:val="24"/>
                <w:highlight w:val="none"/>
                <w:lang w:val="en-US" w:eastAsia="zh-CN"/>
              </w:rPr>
              <w:t>6.封箱宽度：80-500MM</w:t>
            </w:r>
          </w:p>
          <w:p w14:paraId="30E9DE4A">
            <w:pPr>
              <w:pStyle w:val="36"/>
              <w:numPr>
                <w:ilvl w:val="0"/>
                <w:numId w:val="0"/>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pacing w:val="9"/>
                <w:sz w:val="24"/>
                <w:szCs w:val="24"/>
                <w:highlight w:val="none"/>
                <w:lang w:val="en-US" w:eastAsia="zh-CN"/>
              </w:rPr>
              <w:t>7.封箱高度：90-500MM</w:t>
            </w:r>
          </w:p>
          <w:p w14:paraId="0CD576BD">
            <w:pPr>
              <w:pStyle w:val="36"/>
              <w:numPr>
                <w:ilvl w:val="0"/>
                <w:numId w:val="0"/>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pacing w:val="9"/>
                <w:sz w:val="24"/>
                <w:szCs w:val="24"/>
                <w:highlight w:val="none"/>
                <w:lang w:val="en-US" w:eastAsia="zh-CN"/>
              </w:rPr>
              <w:t>8.封箱长度：150-+0MM</w:t>
            </w:r>
          </w:p>
        </w:tc>
      </w:tr>
      <w:tr w14:paraId="2A9DD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1631" w:hRule="atLeast"/>
        </w:trPr>
        <w:tc>
          <w:tcPr>
            <w:tcW w:w="542" w:type="dxa"/>
            <w:vAlign w:val="center"/>
          </w:tcPr>
          <w:p w14:paraId="02DD5A48">
            <w:pPr>
              <w:jc w:val="center"/>
              <w:rPr>
                <w:rFonts w:hint="default"/>
                <w:szCs w:val="21"/>
                <w:highlight w:val="none"/>
                <w:lang w:val="en-US" w:eastAsia="zh-CN"/>
              </w:rPr>
            </w:pPr>
            <w:r>
              <w:rPr>
                <w:rFonts w:hint="eastAsia"/>
                <w:szCs w:val="21"/>
                <w:highlight w:val="none"/>
                <w:lang w:val="en-US" w:eastAsia="zh-CN"/>
              </w:rPr>
              <w:t>41</w:t>
            </w:r>
          </w:p>
        </w:tc>
        <w:tc>
          <w:tcPr>
            <w:tcW w:w="2226" w:type="dxa"/>
            <w:shd w:val="clear" w:color="auto" w:fill="auto"/>
            <w:vAlign w:val="center"/>
          </w:tcPr>
          <w:p w14:paraId="183F70F8">
            <w:pPr>
              <w:jc w:val="center"/>
              <w:rPr>
                <w:rFonts w:hint="eastAsia"/>
                <w:szCs w:val="21"/>
                <w:highlight w:val="none"/>
                <w:lang w:val="en-US" w:eastAsia="zh-CN"/>
              </w:rPr>
            </w:pPr>
            <w:r>
              <w:rPr>
                <w:rFonts w:hint="eastAsia"/>
                <w:szCs w:val="21"/>
                <w:highlight w:val="none"/>
                <w:lang w:val="en-US" w:eastAsia="zh-CN"/>
              </w:rPr>
              <w:t>型数控变频切菜机</w:t>
            </w:r>
          </w:p>
        </w:tc>
        <w:tc>
          <w:tcPr>
            <w:tcW w:w="2075" w:type="dxa"/>
            <w:shd w:val="clear" w:color="auto" w:fill="auto"/>
            <w:vAlign w:val="center"/>
          </w:tcPr>
          <w:p w14:paraId="3E38E6DE">
            <w:pPr>
              <w:jc w:val="center"/>
              <w:rPr>
                <w:rFonts w:hint="eastAsia"/>
                <w:szCs w:val="21"/>
                <w:highlight w:val="none"/>
                <w:lang w:val="en-US" w:eastAsia="zh-CN"/>
              </w:rPr>
            </w:pPr>
            <w:r>
              <w:rPr>
                <w:rFonts w:hint="eastAsia"/>
                <w:szCs w:val="21"/>
                <w:highlight w:val="none"/>
                <w:lang w:val="en-US" w:eastAsia="zh-CN"/>
              </w:rPr>
              <w:t>2台</w:t>
            </w:r>
          </w:p>
        </w:tc>
        <w:tc>
          <w:tcPr>
            <w:tcW w:w="9548" w:type="dxa"/>
            <w:shd w:val="clear" w:color="auto" w:fill="auto"/>
            <w:vAlign w:val="top"/>
          </w:tcPr>
          <w:p w14:paraId="6222E6B6">
            <w:pPr>
              <w:pStyle w:val="36"/>
              <w:numPr>
                <w:ilvl w:val="0"/>
                <w:numId w:val="0"/>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pacing w:val="9"/>
                <w:sz w:val="24"/>
                <w:szCs w:val="24"/>
                <w:highlight w:val="none"/>
                <w:lang w:val="en-US" w:eastAsia="zh-CN"/>
              </w:rPr>
              <w:t>1.机器毛重：105kg</w:t>
            </w:r>
          </w:p>
          <w:p w14:paraId="0DA86F02">
            <w:pPr>
              <w:pStyle w:val="36"/>
              <w:numPr>
                <w:ilvl w:val="0"/>
                <w:numId w:val="0"/>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pacing w:val="9"/>
                <w:sz w:val="24"/>
                <w:szCs w:val="24"/>
                <w:highlight w:val="none"/>
                <w:lang w:val="en-US" w:eastAsia="zh-CN"/>
              </w:rPr>
              <w:t>2.外形尺寸：720x590x980mm</w:t>
            </w:r>
          </w:p>
          <w:p w14:paraId="0E02E092">
            <w:pPr>
              <w:pStyle w:val="36"/>
              <w:numPr>
                <w:ilvl w:val="0"/>
                <w:numId w:val="0"/>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pacing w:val="9"/>
                <w:sz w:val="24"/>
                <w:szCs w:val="24"/>
                <w:highlight w:val="none"/>
                <w:lang w:val="en-US" w:eastAsia="zh-CN"/>
              </w:rPr>
              <w:t>3.产量：150-660kg/h</w:t>
            </w:r>
          </w:p>
          <w:p w14:paraId="3C106251">
            <w:pPr>
              <w:pStyle w:val="36"/>
              <w:numPr>
                <w:ilvl w:val="0"/>
                <w:numId w:val="0"/>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pacing w:val="9"/>
                <w:sz w:val="24"/>
                <w:szCs w:val="24"/>
                <w:highlight w:val="none"/>
                <w:lang w:val="en-US" w:eastAsia="zh-CN"/>
              </w:rPr>
              <w:t>4.机箱304材质</w:t>
            </w:r>
          </w:p>
          <w:p w14:paraId="54C96473">
            <w:pPr>
              <w:pStyle w:val="36"/>
              <w:numPr>
                <w:ilvl w:val="0"/>
                <w:numId w:val="0"/>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pacing w:val="9"/>
                <w:sz w:val="24"/>
                <w:szCs w:val="24"/>
                <w:highlight w:val="none"/>
                <w:lang w:val="en-US" w:eastAsia="zh-CN"/>
              </w:rPr>
              <w:t>5.功率1.5 220v/38050hz</w:t>
            </w:r>
          </w:p>
        </w:tc>
      </w:tr>
      <w:tr w14:paraId="127F9C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1616" w:hRule="atLeast"/>
        </w:trPr>
        <w:tc>
          <w:tcPr>
            <w:tcW w:w="542" w:type="dxa"/>
            <w:vAlign w:val="center"/>
          </w:tcPr>
          <w:p w14:paraId="1A4081E2">
            <w:pPr>
              <w:jc w:val="center"/>
              <w:rPr>
                <w:rFonts w:hint="default"/>
                <w:sz w:val="22"/>
                <w:szCs w:val="22"/>
                <w:highlight w:val="none"/>
                <w:lang w:val="en-US" w:eastAsia="zh-CN"/>
              </w:rPr>
            </w:pPr>
            <w:r>
              <w:rPr>
                <w:rFonts w:hint="eastAsia"/>
                <w:sz w:val="22"/>
                <w:szCs w:val="22"/>
                <w:highlight w:val="none"/>
                <w:lang w:val="en-US" w:eastAsia="zh-CN"/>
              </w:rPr>
              <w:t>42</w:t>
            </w:r>
          </w:p>
        </w:tc>
        <w:tc>
          <w:tcPr>
            <w:tcW w:w="2226" w:type="dxa"/>
            <w:vAlign w:val="center"/>
          </w:tcPr>
          <w:p w14:paraId="53205D08">
            <w:pPr>
              <w:jc w:val="center"/>
              <w:rPr>
                <w:rFonts w:hint="eastAsia"/>
                <w:szCs w:val="21"/>
                <w:highlight w:val="none"/>
              </w:rPr>
            </w:pPr>
            <w:r>
              <w:rPr>
                <w:rFonts w:hint="eastAsia"/>
                <w:szCs w:val="21"/>
                <w:highlight w:val="none"/>
              </w:rPr>
              <w:t>压榨机</w:t>
            </w:r>
          </w:p>
        </w:tc>
        <w:tc>
          <w:tcPr>
            <w:tcW w:w="2075" w:type="dxa"/>
            <w:shd w:val="clear" w:color="auto" w:fill="auto"/>
            <w:vAlign w:val="center"/>
          </w:tcPr>
          <w:p w14:paraId="299CA2F9">
            <w:pPr>
              <w:jc w:val="center"/>
              <w:rPr>
                <w:rFonts w:hint="eastAsia"/>
                <w:szCs w:val="21"/>
                <w:highlight w:val="none"/>
                <w:lang w:val="en-US" w:eastAsia="zh-CN"/>
              </w:rPr>
            </w:pPr>
            <w:r>
              <w:rPr>
                <w:rFonts w:hint="eastAsia"/>
                <w:szCs w:val="21"/>
                <w:highlight w:val="none"/>
                <w:lang w:val="en-US" w:eastAsia="zh-CN"/>
              </w:rPr>
              <w:t>1台</w:t>
            </w:r>
          </w:p>
        </w:tc>
        <w:tc>
          <w:tcPr>
            <w:tcW w:w="9548" w:type="dxa"/>
            <w:shd w:val="clear" w:color="auto" w:fill="auto"/>
            <w:vAlign w:val="top"/>
          </w:tcPr>
          <w:p w14:paraId="7C44FEEF">
            <w:pPr>
              <w:pStyle w:val="36"/>
              <w:numPr>
                <w:ilvl w:val="0"/>
                <w:numId w:val="0"/>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pacing w:val="9"/>
                <w:sz w:val="24"/>
                <w:szCs w:val="24"/>
                <w:highlight w:val="none"/>
                <w:lang w:val="en-US" w:eastAsia="zh-CN"/>
              </w:rPr>
              <w:t>1.外形尺寸：≈1250*1100*2050mm</w:t>
            </w:r>
          </w:p>
          <w:p w14:paraId="75069F66">
            <w:pPr>
              <w:pStyle w:val="36"/>
              <w:numPr>
                <w:ilvl w:val="0"/>
                <w:numId w:val="0"/>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pacing w:val="9"/>
                <w:sz w:val="24"/>
                <w:szCs w:val="24"/>
                <w:highlight w:val="none"/>
                <w:lang w:val="en-US" w:eastAsia="zh-CN"/>
              </w:rPr>
              <w:t>2.筒体板厚：3mm</w:t>
            </w:r>
          </w:p>
          <w:p w14:paraId="4D6CA885">
            <w:pPr>
              <w:pStyle w:val="36"/>
              <w:numPr>
                <w:ilvl w:val="0"/>
                <w:numId w:val="0"/>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pacing w:val="9"/>
                <w:sz w:val="24"/>
                <w:szCs w:val="24"/>
                <w:highlight w:val="none"/>
                <w:lang w:val="en-US" w:eastAsia="zh-CN"/>
              </w:rPr>
              <w:t>3.重量:≈380kg</w:t>
            </w:r>
          </w:p>
          <w:p w14:paraId="3C6C7020">
            <w:pPr>
              <w:pStyle w:val="36"/>
              <w:numPr>
                <w:ilvl w:val="0"/>
                <w:numId w:val="0"/>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pacing w:val="9"/>
                <w:sz w:val="24"/>
                <w:szCs w:val="24"/>
                <w:highlight w:val="none"/>
                <w:lang w:val="en-US" w:eastAsia="zh-CN"/>
              </w:rPr>
              <w:t>4.压榨桶、架体采用食品机优质SUS304不锈钢制作，符合国家食品行业使用标准；</w:t>
            </w:r>
          </w:p>
          <w:p w14:paraId="28517DCC">
            <w:pPr>
              <w:pStyle w:val="36"/>
              <w:numPr>
                <w:ilvl w:val="0"/>
                <w:numId w:val="0"/>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pacing w:val="9"/>
                <w:sz w:val="24"/>
                <w:szCs w:val="24"/>
                <w:highlight w:val="none"/>
                <w:lang w:val="en-US" w:eastAsia="zh-CN"/>
              </w:rPr>
              <w:t>5.功率1.5kw</w:t>
            </w:r>
          </w:p>
        </w:tc>
      </w:tr>
      <w:tr w14:paraId="2FDB28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2582" w:hRule="atLeast"/>
        </w:trPr>
        <w:tc>
          <w:tcPr>
            <w:tcW w:w="542" w:type="dxa"/>
            <w:vAlign w:val="center"/>
          </w:tcPr>
          <w:p w14:paraId="70860D55">
            <w:pPr>
              <w:jc w:val="center"/>
              <w:rPr>
                <w:rFonts w:hint="default"/>
                <w:sz w:val="22"/>
                <w:szCs w:val="22"/>
                <w:highlight w:val="none"/>
                <w:lang w:val="en-US" w:eastAsia="zh-CN"/>
              </w:rPr>
            </w:pPr>
            <w:r>
              <w:rPr>
                <w:rFonts w:hint="eastAsia"/>
                <w:sz w:val="22"/>
                <w:szCs w:val="22"/>
                <w:highlight w:val="none"/>
                <w:lang w:val="en-US" w:eastAsia="zh-CN"/>
              </w:rPr>
              <w:t>43</w:t>
            </w:r>
          </w:p>
        </w:tc>
        <w:tc>
          <w:tcPr>
            <w:tcW w:w="2226" w:type="dxa"/>
            <w:vAlign w:val="center"/>
          </w:tcPr>
          <w:p w14:paraId="59110546">
            <w:pPr>
              <w:jc w:val="center"/>
              <w:rPr>
                <w:rFonts w:hint="eastAsia"/>
                <w:szCs w:val="21"/>
                <w:highlight w:val="none"/>
              </w:rPr>
            </w:pPr>
            <w:r>
              <w:rPr>
                <w:rFonts w:hint="eastAsia"/>
                <w:szCs w:val="21"/>
                <w:highlight w:val="none"/>
              </w:rPr>
              <w:t>八角拌料机</w:t>
            </w:r>
          </w:p>
        </w:tc>
        <w:tc>
          <w:tcPr>
            <w:tcW w:w="2075" w:type="dxa"/>
            <w:shd w:val="clear" w:color="auto" w:fill="auto"/>
            <w:vAlign w:val="center"/>
          </w:tcPr>
          <w:p w14:paraId="0C1D3239">
            <w:pPr>
              <w:jc w:val="center"/>
              <w:rPr>
                <w:rFonts w:hint="eastAsia"/>
                <w:szCs w:val="21"/>
                <w:highlight w:val="none"/>
                <w:lang w:val="en-US" w:eastAsia="zh-CN"/>
              </w:rPr>
            </w:pPr>
            <w:r>
              <w:rPr>
                <w:rFonts w:hint="eastAsia"/>
                <w:szCs w:val="21"/>
                <w:highlight w:val="none"/>
                <w:lang w:val="en-US" w:eastAsia="zh-CN"/>
              </w:rPr>
              <w:t>1台</w:t>
            </w:r>
          </w:p>
        </w:tc>
        <w:tc>
          <w:tcPr>
            <w:tcW w:w="9548" w:type="dxa"/>
            <w:shd w:val="clear" w:color="auto" w:fill="auto"/>
            <w:vAlign w:val="top"/>
          </w:tcPr>
          <w:p w14:paraId="0BDA51B7">
            <w:pPr>
              <w:pStyle w:val="36"/>
              <w:numPr>
                <w:ilvl w:val="0"/>
                <w:numId w:val="0"/>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pacing w:val="9"/>
                <w:sz w:val="24"/>
                <w:szCs w:val="24"/>
                <w:highlight w:val="none"/>
                <w:lang w:val="en-US" w:eastAsia="zh-CN"/>
              </w:rPr>
              <w:t>1.采用优质不锈钢制作，经久耐用耐腐蚀不易生锈；</w:t>
            </w:r>
          </w:p>
          <w:p w14:paraId="4A74B754">
            <w:pPr>
              <w:pStyle w:val="36"/>
              <w:numPr>
                <w:ilvl w:val="0"/>
                <w:numId w:val="0"/>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pacing w:val="9"/>
                <w:sz w:val="24"/>
                <w:szCs w:val="24"/>
                <w:highlight w:val="none"/>
                <w:lang w:val="en-US" w:eastAsia="zh-CN"/>
              </w:rPr>
              <w:t>八角形设计料筒料物同时转动，使物料得到充分搅拌，搅拌均匀；</w:t>
            </w:r>
          </w:p>
          <w:p w14:paraId="1B4AB900">
            <w:pPr>
              <w:pStyle w:val="36"/>
              <w:numPr>
                <w:ilvl w:val="0"/>
                <w:numId w:val="0"/>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pacing w:val="9"/>
                <w:sz w:val="24"/>
                <w:szCs w:val="24"/>
                <w:highlight w:val="none"/>
                <w:lang w:val="en-US" w:eastAsia="zh-CN"/>
              </w:rPr>
              <w:t>2.出料方式：气动出料</w:t>
            </w:r>
          </w:p>
          <w:p w14:paraId="6BFAFF89">
            <w:pPr>
              <w:pStyle w:val="36"/>
              <w:numPr>
                <w:ilvl w:val="0"/>
                <w:numId w:val="0"/>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pacing w:val="9"/>
                <w:sz w:val="24"/>
                <w:szCs w:val="24"/>
                <w:highlight w:val="none"/>
                <w:lang w:val="en-US" w:eastAsia="zh-CN"/>
              </w:rPr>
              <w:t>3.转速：变频调速</w:t>
            </w:r>
          </w:p>
          <w:p w14:paraId="3AF480FC">
            <w:pPr>
              <w:pStyle w:val="36"/>
              <w:numPr>
                <w:ilvl w:val="0"/>
                <w:numId w:val="0"/>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pacing w:val="9"/>
                <w:sz w:val="24"/>
                <w:szCs w:val="24"/>
                <w:highlight w:val="none"/>
                <w:lang w:val="en-US" w:eastAsia="zh-CN"/>
              </w:rPr>
              <w:t>4.滚筒厚度：2mm</w:t>
            </w:r>
          </w:p>
          <w:p w14:paraId="6C0A8981">
            <w:pPr>
              <w:pStyle w:val="36"/>
              <w:numPr>
                <w:ilvl w:val="0"/>
                <w:numId w:val="0"/>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pacing w:val="9"/>
                <w:sz w:val="24"/>
                <w:szCs w:val="24"/>
                <w:highlight w:val="none"/>
                <w:lang w:val="en-US" w:eastAsia="zh-CN"/>
              </w:rPr>
              <w:t>5.外形尺寸：≈1400*950*1950mm</w:t>
            </w:r>
          </w:p>
          <w:p w14:paraId="213435B6">
            <w:pPr>
              <w:pStyle w:val="36"/>
              <w:numPr>
                <w:ilvl w:val="0"/>
                <w:numId w:val="0"/>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pacing w:val="9"/>
                <w:sz w:val="24"/>
                <w:szCs w:val="24"/>
                <w:highlight w:val="none"/>
                <w:lang w:val="en-US" w:eastAsia="zh-CN"/>
              </w:rPr>
              <w:t>6.重量：≈280kg</w:t>
            </w:r>
          </w:p>
          <w:p w14:paraId="6934B8F5">
            <w:pPr>
              <w:pStyle w:val="36"/>
              <w:numPr>
                <w:ilvl w:val="0"/>
                <w:numId w:val="0"/>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pacing w:val="9"/>
                <w:sz w:val="24"/>
                <w:szCs w:val="24"/>
                <w:highlight w:val="none"/>
                <w:lang w:val="en-US" w:eastAsia="zh-CN"/>
              </w:rPr>
              <w:t>7.功率：0.75kw</w:t>
            </w:r>
          </w:p>
        </w:tc>
      </w:tr>
      <w:tr w14:paraId="5D904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1022" w:hRule="atLeast"/>
        </w:trPr>
        <w:tc>
          <w:tcPr>
            <w:tcW w:w="542" w:type="dxa"/>
            <w:vAlign w:val="center"/>
          </w:tcPr>
          <w:p w14:paraId="5CEDD333">
            <w:pPr>
              <w:jc w:val="center"/>
              <w:rPr>
                <w:rFonts w:hint="default"/>
                <w:sz w:val="22"/>
                <w:szCs w:val="22"/>
                <w:highlight w:val="none"/>
                <w:lang w:val="en-US" w:eastAsia="zh-CN"/>
              </w:rPr>
            </w:pPr>
            <w:r>
              <w:rPr>
                <w:rFonts w:hint="eastAsia"/>
                <w:sz w:val="22"/>
                <w:szCs w:val="22"/>
                <w:highlight w:val="none"/>
                <w:lang w:val="en-US" w:eastAsia="zh-CN"/>
              </w:rPr>
              <w:t>44</w:t>
            </w:r>
          </w:p>
        </w:tc>
        <w:tc>
          <w:tcPr>
            <w:tcW w:w="2226" w:type="dxa"/>
            <w:vAlign w:val="center"/>
          </w:tcPr>
          <w:p w14:paraId="09176102">
            <w:pPr>
              <w:jc w:val="center"/>
              <w:rPr>
                <w:rFonts w:hint="eastAsia"/>
                <w:szCs w:val="21"/>
                <w:highlight w:val="none"/>
              </w:rPr>
            </w:pPr>
            <w:r>
              <w:rPr>
                <w:rFonts w:hint="eastAsia"/>
                <w:szCs w:val="21"/>
                <w:highlight w:val="none"/>
              </w:rPr>
              <w:t>气泡清洗机</w:t>
            </w:r>
          </w:p>
        </w:tc>
        <w:tc>
          <w:tcPr>
            <w:tcW w:w="2075" w:type="dxa"/>
            <w:shd w:val="clear" w:color="auto" w:fill="auto"/>
            <w:vAlign w:val="center"/>
          </w:tcPr>
          <w:p w14:paraId="66C1ADA0">
            <w:pPr>
              <w:jc w:val="center"/>
              <w:rPr>
                <w:rFonts w:hint="eastAsia"/>
                <w:szCs w:val="21"/>
                <w:highlight w:val="none"/>
                <w:lang w:val="en-US" w:eastAsia="zh-CN"/>
              </w:rPr>
            </w:pPr>
            <w:r>
              <w:rPr>
                <w:rFonts w:hint="eastAsia"/>
                <w:szCs w:val="21"/>
                <w:highlight w:val="none"/>
                <w:lang w:val="en-US" w:eastAsia="zh-CN"/>
              </w:rPr>
              <w:t>1台</w:t>
            </w:r>
          </w:p>
        </w:tc>
        <w:tc>
          <w:tcPr>
            <w:tcW w:w="9548" w:type="dxa"/>
            <w:shd w:val="clear" w:color="auto" w:fill="auto"/>
            <w:vAlign w:val="top"/>
          </w:tcPr>
          <w:p w14:paraId="1C365588">
            <w:pPr>
              <w:pStyle w:val="36"/>
              <w:numPr>
                <w:ilvl w:val="0"/>
                <w:numId w:val="0"/>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pacing w:val="9"/>
                <w:sz w:val="24"/>
                <w:szCs w:val="24"/>
                <w:highlight w:val="none"/>
                <w:lang w:val="en-US" w:eastAsia="zh-CN"/>
              </w:rPr>
              <w:t>1.气泡外箱体尺寸  1000×2000</w:t>
            </w:r>
          </w:p>
          <w:p w14:paraId="6C2D33DD">
            <w:pPr>
              <w:pStyle w:val="36"/>
              <w:numPr>
                <w:ilvl w:val="0"/>
                <w:numId w:val="0"/>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pacing w:val="9"/>
                <w:sz w:val="24"/>
                <w:szCs w:val="24"/>
                <w:highlight w:val="none"/>
                <w:lang w:val="en-US" w:eastAsia="zh-CN"/>
              </w:rPr>
              <w:t xml:space="preserve">2.内深孔网往上500mm、材质304 、厚度2mm </w:t>
            </w:r>
          </w:p>
          <w:p w14:paraId="58066FCD">
            <w:pPr>
              <w:pStyle w:val="36"/>
              <w:numPr>
                <w:ilvl w:val="0"/>
                <w:numId w:val="0"/>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pacing w:val="9"/>
                <w:sz w:val="24"/>
                <w:szCs w:val="24"/>
                <w:highlight w:val="none"/>
                <w:lang w:val="en-US" w:eastAsia="zh-CN"/>
              </w:rPr>
              <w:t>3.功率：3kw</w:t>
            </w:r>
          </w:p>
        </w:tc>
      </w:tr>
      <w:tr w14:paraId="5C12FB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1105" w:hRule="atLeast"/>
        </w:trPr>
        <w:tc>
          <w:tcPr>
            <w:tcW w:w="542" w:type="dxa"/>
            <w:vAlign w:val="center"/>
          </w:tcPr>
          <w:p w14:paraId="01C845D5">
            <w:pPr>
              <w:jc w:val="center"/>
              <w:rPr>
                <w:rFonts w:hint="default"/>
                <w:sz w:val="22"/>
                <w:szCs w:val="22"/>
                <w:highlight w:val="none"/>
                <w:lang w:val="en-US" w:eastAsia="zh-CN"/>
              </w:rPr>
            </w:pPr>
            <w:r>
              <w:rPr>
                <w:rFonts w:hint="eastAsia"/>
                <w:sz w:val="22"/>
                <w:szCs w:val="22"/>
                <w:highlight w:val="none"/>
                <w:lang w:val="en-US" w:eastAsia="zh-CN"/>
              </w:rPr>
              <w:t>45</w:t>
            </w:r>
          </w:p>
        </w:tc>
        <w:tc>
          <w:tcPr>
            <w:tcW w:w="2226" w:type="dxa"/>
            <w:vAlign w:val="center"/>
          </w:tcPr>
          <w:p w14:paraId="058CC372">
            <w:pPr>
              <w:jc w:val="center"/>
              <w:rPr>
                <w:rFonts w:hint="eastAsia"/>
                <w:szCs w:val="21"/>
                <w:highlight w:val="none"/>
              </w:rPr>
            </w:pPr>
            <w:r>
              <w:rPr>
                <w:rFonts w:hint="eastAsia"/>
                <w:szCs w:val="21"/>
                <w:highlight w:val="none"/>
              </w:rPr>
              <w:t>料车</w:t>
            </w:r>
          </w:p>
        </w:tc>
        <w:tc>
          <w:tcPr>
            <w:tcW w:w="2075" w:type="dxa"/>
            <w:shd w:val="clear" w:color="auto" w:fill="auto"/>
            <w:vAlign w:val="center"/>
          </w:tcPr>
          <w:p w14:paraId="629A53BB">
            <w:pPr>
              <w:jc w:val="center"/>
              <w:rPr>
                <w:rFonts w:hint="default"/>
                <w:szCs w:val="21"/>
                <w:highlight w:val="none"/>
                <w:lang w:val="en-US" w:eastAsia="zh-CN"/>
              </w:rPr>
            </w:pPr>
            <w:r>
              <w:rPr>
                <w:rFonts w:hint="eastAsia"/>
                <w:szCs w:val="21"/>
                <w:highlight w:val="none"/>
                <w:lang w:val="en-US" w:eastAsia="zh-CN"/>
              </w:rPr>
              <w:t>10个</w:t>
            </w:r>
          </w:p>
        </w:tc>
        <w:tc>
          <w:tcPr>
            <w:tcW w:w="9548" w:type="dxa"/>
            <w:shd w:val="clear" w:color="auto" w:fill="auto"/>
            <w:vAlign w:val="top"/>
          </w:tcPr>
          <w:p w14:paraId="56133C7F">
            <w:pPr>
              <w:pStyle w:val="36"/>
              <w:numPr>
                <w:ilvl w:val="0"/>
                <w:numId w:val="0"/>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pacing w:val="9"/>
                <w:sz w:val="24"/>
                <w:szCs w:val="24"/>
                <w:highlight w:val="none"/>
                <w:lang w:val="en-US" w:eastAsia="zh-CN"/>
              </w:rPr>
              <w:t>1.内径630x630x510mm</w:t>
            </w:r>
          </w:p>
          <w:p w14:paraId="605E3E8D">
            <w:pPr>
              <w:pStyle w:val="36"/>
              <w:numPr>
                <w:ilvl w:val="0"/>
                <w:numId w:val="0"/>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pacing w:val="9"/>
                <w:sz w:val="24"/>
                <w:szCs w:val="24"/>
                <w:highlight w:val="none"/>
                <w:lang w:val="en-US" w:eastAsia="zh-CN"/>
              </w:rPr>
              <w:t>2.外径780x714x680mm</w:t>
            </w:r>
          </w:p>
          <w:p w14:paraId="223BEC77">
            <w:pPr>
              <w:pStyle w:val="36"/>
              <w:numPr>
                <w:ilvl w:val="0"/>
                <w:numId w:val="0"/>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pacing w:val="9"/>
                <w:sz w:val="24"/>
                <w:szCs w:val="24"/>
                <w:highlight w:val="none"/>
                <w:lang w:val="en-US" w:eastAsia="zh-CN"/>
              </w:rPr>
              <w:t>3.材质usu304不锈钢 2mm厚度</w:t>
            </w:r>
          </w:p>
        </w:tc>
      </w:tr>
      <w:tr w14:paraId="105F60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2222" w:hRule="atLeast"/>
        </w:trPr>
        <w:tc>
          <w:tcPr>
            <w:tcW w:w="542" w:type="dxa"/>
            <w:vAlign w:val="center"/>
          </w:tcPr>
          <w:p w14:paraId="1E15B484">
            <w:pPr>
              <w:jc w:val="center"/>
              <w:rPr>
                <w:rFonts w:hint="default"/>
                <w:sz w:val="22"/>
                <w:szCs w:val="22"/>
                <w:highlight w:val="none"/>
                <w:lang w:val="en-US" w:eastAsia="zh-CN"/>
              </w:rPr>
            </w:pPr>
            <w:r>
              <w:rPr>
                <w:rFonts w:hint="eastAsia"/>
                <w:sz w:val="22"/>
                <w:szCs w:val="22"/>
                <w:highlight w:val="none"/>
                <w:lang w:val="en-US" w:eastAsia="zh-CN"/>
              </w:rPr>
              <w:t>46</w:t>
            </w:r>
          </w:p>
        </w:tc>
        <w:tc>
          <w:tcPr>
            <w:tcW w:w="2226" w:type="dxa"/>
            <w:vAlign w:val="center"/>
          </w:tcPr>
          <w:p w14:paraId="4DFA0B2E">
            <w:pPr>
              <w:jc w:val="center"/>
              <w:rPr>
                <w:rFonts w:hint="default" w:eastAsia="微软雅黑"/>
                <w:szCs w:val="21"/>
                <w:highlight w:val="none"/>
                <w:lang w:val="en-US" w:eastAsia="zh-CN"/>
              </w:rPr>
            </w:pPr>
            <w:r>
              <w:rPr>
                <w:rFonts w:hint="eastAsia"/>
                <w:szCs w:val="21"/>
                <w:highlight w:val="none"/>
                <w:lang w:val="en-US" w:eastAsia="zh-CN"/>
              </w:rPr>
              <w:t>风淋室</w:t>
            </w:r>
          </w:p>
        </w:tc>
        <w:tc>
          <w:tcPr>
            <w:tcW w:w="2075" w:type="dxa"/>
            <w:shd w:val="clear" w:color="auto" w:fill="auto"/>
            <w:vAlign w:val="center"/>
          </w:tcPr>
          <w:p w14:paraId="49D3B602">
            <w:pPr>
              <w:jc w:val="center"/>
              <w:rPr>
                <w:rFonts w:hint="default"/>
                <w:szCs w:val="21"/>
                <w:highlight w:val="none"/>
                <w:lang w:val="en-US" w:eastAsia="zh-CN"/>
              </w:rPr>
            </w:pPr>
            <w:r>
              <w:rPr>
                <w:rFonts w:hint="eastAsia"/>
                <w:szCs w:val="21"/>
                <w:highlight w:val="none"/>
                <w:lang w:val="en-US" w:eastAsia="zh-CN"/>
              </w:rPr>
              <w:t>3个</w:t>
            </w:r>
          </w:p>
        </w:tc>
        <w:tc>
          <w:tcPr>
            <w:tcW w:w="9548" w:type="dxa"/>
            <w:shd w:val="clear" w:color="auto" w:fill="auto"/>
            <w:vAlign w:val="top"/>
          </w:tcPr>
          <w:p w14:paraId="484CD786">
            <w:pPr>
              <w:pStyle w:val="36"/>
              <w:numPr>
                <w:ilvl w:val="0"/>
                <w:numId w:val="0"/>
              </w:numPr>
              <w:spacing w:before="30" w:line="219" w:lineRule="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pacing w:val="9"/>
                <w:sz w:val="24"/>
                <w:szCs w:val="24"/>
                <w:highlight w:val="none"/>
                <w:lang w:val="en-US" w:eastAsia="zh-CN"/>
              </w:rPr>
              <w:t>1.</w:t>
            </w:r>
            <w:r>
              <w:rPr>
                <w:rFonts w:hint="eastAsia" w:asciiTheme="minorEastAsia" w:hAnsiTheme="minorEastAsia" w:eastAsiaTheme="minorEastAsia" w:cstheme="minorEastAsia"/>
                <w:sz w:val="24"/>
                <w:szCs w:val="24"/>
                <w:highlight w:val="none"/>
                <w:vertAlign w:val="baseline"/>
                <w:lang w:val="en-US" w:eastAsia="zh-CN"/>
              </w:rPr>
              <w:t>1段手动门（每次通过1-2人）</w:t>
            </w:r>
          </w:p>
          <w:p w14:paraId="4138420B">
            <w:pPr>
              <w:pStyle w:val="36"/>
              <w:numPr>
                <w:ilvl w:val="0"/>
                <w:numId w:val="0"/>
              </w:numPr>
              <w:spacing w:before="30" w:line="219" w:lineRule="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2.功率：1.5kw（风机2台）</w:t>
            </w:r>
          </w:p>
          <w:p w14:paraId="468175D2">
            <w:pPr>
              <w:pStyle w:val="36"/>
              <w:numPr>
                <w:ilvl w:val="0"/>
                <w:numId w:val="0"/>
              </w:numPr>
              <w:spacing w:before="30" w:line="219" w:lineRule="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3.外形尺寸：990*1400*2200mm</w:t>
            </w:r>
          </w:p>
          <w:p w14:paraId="121EB188">
            <w:pPr>
              <w:pStyle w:val="36"/>
              <w:numPr>
                <w:ilvl w:val="0"/>
                <w:numId w:val="0"/>
              </w:numPr>
              <w:spacing w:before="30" w:line="219" w:lineRule="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4.通道尺寸：990*700*1930mm</w:t>
            </w:r>
          </w:p>
          <w:p w14:paraId="5E6D125B">
            <w:pPr>
              <w:pStyle w:val="36"/>
              <w:numPr>
                <w:ilvl w:val="0"/>
                <w:numId w:val="0"/>
              </w:numPr>
              <w:spacing w:before="30" w:line="219" w:lineRule="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5.出风口：20个</w:t>
            </w:r>
          </w:p>
          <w:p w14:paraId="546AF0AC">
            <w:pPr>
              <w:pStyle w:val="36"/>
              <w:numPr>
                <w:ilvl w:val="0"/>
                <w:numId w:val="0"/>
              </w:numPr>
              <w:spacing w:before="30" w:line="219" w:lineRule="auto"/>
              <w:rPr>
                <w:rFonts w:hint="eastAsia" w:asciiTheme="minorEastAsia" w:hAnsiTheme="minorEastAsia" w:eastAsiaTheme="minorEastAsia" w:cstheme="minorEastAsia"/>
                <w:sz w:val="24"/>
                <w:szCs w:val="24"/>
                <w:highlight w:val="none"/>
                <w:vertAlign w:val="baseline"/>
                <w:lang w:eastAsia="zh-CN"/>
              </w:rPr>
            </w:pPr>
            <w:r>
              <w:rPr>
                <w:rFonts w:hint="eastAsia" w:asciiTheme="minorEastAsia" w:hAnsiTheme="minorEastAsia" w:eastAsiaTheme="minorEastAsia" w:cstheme="minorEastAsia"/>
                <w:sz w:val="24"/>
                <w:szCs w:val="24"/>
                <w:highlight w:val="none"/>
                <w:vertAlign w:val="baseline"/>
                <w:lang w:val="en-US" w:eastAsia="zh-CN"/>
              </w:rPr>
              <w:t>6.控制器：</w:t>
            </w:r>
            <w:r>
              <w:rPr>
                <w:rFonts w:hint="eastAsia" w:asciiTheme="minorEastAsia" w:hAnsiTheme="minorEastAsia" w:eastAsiaTheme="minorEastAsia" w:cstheme="minorEastAsia"/>
                <w:sz w:val="24"/>
                <w:szCs w:val="24"/>
                <w:highlight w:val="none"/>
                <w:vertAlign w:val="baseline"/>
                <w:lang w:eastAsia="zh-CN"/>
              </w:rPr>
              <w:t>半自动电脑板</w:t>
            </w:r>
          </w:p>
          <w:p w14:paraId="0CDB497F">
            <w:pPr>
              <w:pStyle w:val="36"/>
              <w:numPr>
                <w:ilvl w:val="0"/>
                <w:numId w:val="0"/>
              </w:numPr>
              <w:spacing w:before="30" w:line="219" w:lineRule="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7.材质：304不锈钢（外站板1mm内站板0.8mm)</w:t>
            </w:r>
          </w:p>
        </w:tc>
      </w:tr>
      <w:tr w14:paraId="418F2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2658" w:hRule="atLeast"/>
        </w:trPr>
        <w:tc>
          <w:tcPr>
            <w:tcW w:w="542" w:type="dxa"/>
            <w:vAlign w:val="center"/>
          </w:tcPr>
          <w:p w14:paraId="574D7C54">
            <w:pPr>
              <w:jc w:val="center"/>
              <w:rPr>
                <w:rFonts w:hint="default"/>
                <w:sz w:val="22"/>
                <w:szCs w:val="22"/>
                <w:highlight w:val="none"/>
                <w:lang w:val="en-US" w:eastAsia="zh-CN"/>
              </w:rPr>
            </w:pPr>
            <w:r>
              <w:rPr>
                <w:rFonts w:hint="eastAsia"/>
                <w:sz w:val="22"/>
                <w:szCs w:val="22"/>
                <w:highlight w:val="none"/>
                <w:lang w:val="en-US" w:eastAsia="zh-CN"/>
              </w:rPr>
              <w:t>47</w:t>
            </w:r>
          </w:p>
        </w:tc>
        <w:tc>
          <w:tcPr>
            <w:tcW w:w="2226" w:type="dxa"/>
            <w:vAlign w:val="center"/>
          </w:tcPr>
          <w:p w14:paraId="41619BD6">
            <w:pPr>
              <w:jc w:val="center"/>
              <w:rPr>
                <w:rFonts w:hint="eastAsia"/>
                <w:szCs w:val="21"/>
                <w:highlight w:val="none"/>
                <w:lang w:val="en-US" w:eastAsia="zh-CN"/>
              </w:rPr>
            </w:pPr>
            <w:r>
              <w:rPr>
                <w:rFonts w:hint="eastAsia"/>
                <w:bCs/>
                <w:sz w:val="20"/>
                <w:szCs w:val="20"/>
                <w:highlight w:val="none"/>
              </w:rPr>
              <w:t>多层烘干</w:t>
            </w:r>
            <w:r>
              <w:rPr>
                <w:rFonts w:hint="eastAsia"/>
                <w:bCs/>
                <w:sz w:val="20"/>
                <w:szCs w:val="20"/>
                <w:highlight w:val="none"/>
                <w:lang w:eastAsia="zh-CN"/>
              </w:rPr>
              <w:t>机</w:t>
            </w:r>
            <w:r>
              <w:rPr>
                <w:rFonts w:hint="eastAsia"/>
                <w:bCs/>
                <w:sz w:val="20"/>
                <w:szCs w:val="20"/>
                <w:highlight w:val="none"/>
              </w:rPr>
              <w:t>（</w:t>
            </w:r>
            <w:r>
              <w:rPr>
                <w:rFonts w:hint="eastAsia"/>
                <w:bCs/>
                <w:sz w:val="20"/>
                <w:szCs w:val="20"/>
                <w:highlight w:val="none"/>
                <w:lang w:val="en-US" w:eastAsia="zh-CN"/>
              </w:rPr>
              <w:t>4</w:t>
            </w:r>
            <w:r>
              <w:rPr>
                <w:rFonts w:hint="eastAsia"/>
                <w:bCs/>
                <w:sz w:val="20"/>
                <w:szCs w:val="20"/>
                <w:highlight w:val="none"/>
              </w:rPr>
              <w:t>层）</w:t>
            </w:r>
          </w:p>
        </w:tc>
        <w:tc>
          <w:tcPr>
            <w:tcW w:w="2075" w:type="dxa"/>
            <w:shd w:val="clear" w:color="auto" w:fill="auto"/>
            <w:vAlign w:val="center"/>
          </w:tcPr>
          <w:p w14:paraId="07850954">
            <w:pPr>
              <w:jc w:val="center"/>
              <w:rPr>
                <w:rFonts w:hint="default"/>
                <w:szCs w:val="21"/>
                <w:highlight w:val="none"/>
                <w:lang w:val="en-US" w:eastAsia="zh-CN"/>
              </w:rPr>
            </w:pPr>
            <w:r>
              <w:rPr>
                <w:rFonts w:hint="eastAsia"/>
                <w:szCs w:val="21"/>
                <w:highlight w:val="none"/>
                <w:lang w:val="en-US" w:eastAsia="zh-CN"/>
              </w:rPr>
              <w:t>1台</w:t>
            </w:r>
          </w:p>
        </w:tc>
        <w:tc>
          <w:tcPr>
            <w:tcW w:w="9548" w:type="dxa"/>
            <w:shd w:val="clear" w:color="auto" w:fill="auto"/>
            <w:vAlign w:val="top"/>
          </w:tcPr>
          <w:p w14:paraId="2D3C5599">
            <w:pPr>
              <w:pStyle w:val="36"/>
              <w:keepNext w:val="0"/>
              <w:keepLines w:val="0"/>
              <w:pageBreakBefore w:val="0"/>
              <w:widowControl w:val="0"/>
              <w:numPr>
                <w:ilvl w:val="0"/>
                <w:numId w:val="9"/>
              </w:numPr>
              <w:kinsoku/>
              <w:wordWrap w:val="0"/>
              <w:overflowPunct/>
              <w:topLinePunct w:val="0"/>
              <w:autoSpaceDE/>
              <w:autoSpaceDN/>
              <w:bidi w:val="0"/>
              <w:adjustRightInd/>
              <w:snapToGrid/>
              <w:spacing w:before="30" w:line="219" w:lineRule="auto"/>
              <w:textAlignment w:val="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pacing w:val="9"/>
                <w:sz w:val="24"/>
                <w:szCs w:val="24"/>
                <w:highlight w:val="none"/>
                <w:lang w:val="en-US" w:eastAsia="zh-CN"/>
              </w:rPr>
              <w:t>外形尺寸：18000*3500*4200mm，不锈钢材质国标304，,板材2-4mm           2.链条宽度2980mm，镀锌管直径25mm，管厚2.5mm，</w:t>
            </w:r>
            <w:r>
              <w:rPr>
                <w:rFonts w:hint="eastAsia" w:asciiTheme="minorEastAsia" w:hAnsiTheme="minorEastAsia" w:eastAsiaTheme="minorEastAsia" w:cstheme="minorEastAsia"/>
                <w:spacing w:val="9"/>
                <w:sz w:val="24"/>
                <w:szCs w:val="24"/>
                <w:highlight w:val="none"/>
                <w:lang w:val="en-US" w:eastAsia="zh-CN"/>
              </w:rPr>
              <w:br w:type="textWrapping"/>
            </w:r>
            <w:r>
              <w:rPr>
                <w:rFonts w:hint="eastAsia" w:asciiTheme="minorEastAsia" w:hAnsiTheme="minorEastAsia" w:eastAsiaTheme="minorEastAsia" w:cstheme="minorEastAsia"/>
                <w:spacing w:val="9"/>
                <w:sz w:val="24"/>
                <w:szCs w:val="24"/>
                <w:highlight w:val="none"/>
                <w:lang w:val="en-US" w:eastAsia="zh-CN"/>
              </w:rPr>
              <w:t>3.链条节距50.8mm,聚氨酯网丝,孔径2.5*2.5mm，链条材质为316不锈钢，</w:t>
            </w:r>
            <w:r>
              <w:rPr>
                <w:rFonts w:hint="eastAsia" w:asciiTheme="minorEastAsia" w:hAnsiTheme="minorEastAsia" w:eastAsiaTheme="minorEastAsia" w:cstheme="minorEastAsia"/>
                <w:spacing w:val="9"/>
                <w:sz w:val="24"/>
                <w:szCs w:val="24"/>
                <w:highlight w:val="none"/>
                <w:lang w:val="en-US" w:eastAsia="zh-CN"/>
              </w:rPr>
              <w:br w:type="textWrapping"/>
            </w:r>
            <w:r>
              <w:rPr>
                <w:rFonts w:hint="eastAsia" w:asciiTheme="minorEastAsia" w:hAnsiTheme="minorEastAsia" w:eastAsiaTheme="minorEastAsia" w:cstheme="minorEastAsia"/>
                <w:spacing w:val="9"/>
                <w:sz w:val="24"/>
                <w:szCs w:val="24"/>
                <w:highlight w:val="none"/>
                <w:lang w:val="en-US" w:eastAsia="zh-CN"/>
              </w:rPr>
              <w:t xml:space="preserve">4.传动轴材质不锈钢，链轮碳钢，两侧护板厚度1.5mm，                      5.风机功率180kw，材质碳钢，带调节风门，变频调速                        6.支架方管为75*45*2.5mm，材质为316不锈钢。7.散热器6排钢管铝片，外形尺寸：2400*2400*2台；                                  </w:t>
            </w:r>
          </w:p>
          <w:p w14:paraId="3183F78D">
            <w:pPr>
              <w:pStyle w:val="36"/>
              <w:keepNext w:val="0"/>
              <w:keepLines w:val="0"/>
              <w:pageBreakBefore w:val="0"/>
              <w:widowControl w:val="0"/>
              <w:numPr>
                <w:ilvl w:val="0"/>
                <w:numId w:val="0"/>
              </w:numPr>
              <w:kinsoku/>
              <w:wordWrap w:val="0"/>
              <w:overflowPunct/>
              <w:topLinePunct w:val="0"/>
              <w:autoSpaceDE/>
              <w:autoSpaceDN/>
              <w:bidi w:val="0"/>
              <w:adjustRightInd/>
              <w:snapToGrid/>
              <w:spacing w:before="30" w:line="219" w:lineRule="auto"/>
              <w:textAlignment w:val="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pacing w:val="9"/>
                <w:sz w:val="24"/>
                <w:szCs w:val="24"/>
                <w:highlight w:val="none"/>
                <w:lang w:val="en-US" w:eastAsia="zh-CN"/>
              </w:rPr>
              <w:t>8.每层传动单独控制，运转时间可调含变频器，触摸屏可视化操作，所有电机装有保护装置，过载、缺相、过热情况下自动保护，且电控柜有报警指示灯，相应故障触摸屏及时显示，降低故障率及维修成本。烘干线进风口带有调风板装置，确保烘干线底部风量均匀。</w:t>
            </w:r>
          </w:p>
          <w:p w14:paraId="39FF96A7">
            <w:pPr>
              <w:pStyle w:val="36"/>
              <w:keepNext w:val="0"/>
              <w:keepLines w:val="0"/>
              <w:pageBreakBefore w:val="0"/>
              <w:widowControl w:val="0"/>
              <w:numPr>
                <w:ilvl w:val="0"/>
                <w:numId w:val="0"/>
              </w:numPr>
              <w:kinsoku/>
              <w:wordWrap w:val="0"/>
              <w:overflowPunct/>
              <w:topLinePunct w:val="0"/>
              <w:autoSpaceDE/>
              <w:autoSpaceDN/>
              <w:bidi w:val="0"/>
              <w:adjustRightInd/>
              <w:snapToGrid/>
              <w:spacing w:before="30" w:line="219" w:lineRule="auto"/>
              <w:textAlignment w:val="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pacing w:val="9"/>
                <w:sz w:val="24"/>
                <w:szCs w:val="24"/>
                <w:highlight w:val="none"/>
                <w:lang w:val="en-US" w:eastAsia="zh-CN"/>
              </w:rPr>
              <w:t>9.包含上料输送及出料板链输送</w:t>
            </w:r>
          </w:p>
        </w:tc>
      </w:tr>
      <w:tr w14:paraId="191E9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88" w:hRule="atLeast"/>
        </w:trPr>
        <w:tc>
          <w:tcPr>
            <w:tcW w:w="542" w:type="dxa"/>
            <w:vAlign w:val="center"/>
          </w:tcPr>
          <w:p w14:paraId="01B555DA">
            <w:pPr>
              <w:jc w:val="center"/>
              <w:rPr>
                <w:rFonts w:hint="default"/>
                <w:sz w:val="22"/>
                <w:szCs w:val="22"/>
                <w:highlight w:val="none"/>
                <w:lang w:val="en-US" w:eastAsia="zh-CN"/>
              </w:rPr>
            </w:pPr>
            <w:r>
              <w:rPr>
                <w:rFonts w:hint="eastAsia"/>
                <w:sz w:val="22"/>
                <w:szCs w:val="22"/>
                <w:highlight w:val="none"/>
                <w:lang w:val="en-US" w:eastAsia="zh-CN"/>
              </w:rPr>
              <w:t>48</w:t>
            </w:r>
          </w:p>
        </w:tc>
        <w:tc>
          <w:tcPr>
            <w:tcW w:w="2226" w:type="dxa"/>
            <w:vAlign w:val="center"/>
          </w:tcPr>
          <w:p w14:paraId="2BCA2B3E">
            <w:pPr>
              <w:jc w:val="center"/>
              <w:rPr>
                <w:rFonts w:hint="eastAsia"/>
                <w:szCs w:val="21"/>
                <w:highlight w:val="none"/>
                <w:lang w:val="en-US" w:eastAsia="zh-CN"/>
              </w:rPr>
            </w:pPr>
            <w:r>
              <w:rPr>
                <w:rFonts w:hint="eastAsia"/>
                <w:szCs w:val="21"/>
                <w:highlight w:val="none"/>
                <w:lang w:val="en-US" w:eastAsia="zh-CN"/>
              </w:rPr>
              <w:t>双层工作台</w:t>
            </w:r>
          </w:p>
        </w:tc>
        <w:tc>
          <w:tcPr>
            <w:tcW w:w="2075" w:type="dxa"/>
            <w:shd w:val="clear" w:color="auto" w:fill="auto"/>
            <w:vAlign w:val="center"/>
          </w:tcPr>
          <w:p w14:paraId="3DBE1BCD">
            <w:pPr>
              <w:jc w:val="center"/>
              <w:rPr>
                <w:rFonts w:hint="default"/>
                <w:szCs w:val="21"/>
                <w:highlight w:val="none"/>
                <w:lang w:val="en-US" w:eastAsia="zh-CN"/>
              </w:rPr>
            </w:pPr>
            <w:r>
              <w:rPr>
                <w:rFonts w:hint="eastAsia"/>
                <w:szCs w:val="21"/>
                <w:highlight w:val="none"/>
                <w:lang w:val="en-US" w:eastAsia="zh-CN"/>
              </w:rPr>
              <w:t>15个</w:t>
            </w:r>
          </w:p>
        </w:tc>
        <w:tc>
          <w:tcPr>
            <w:tcW w:w="9548" w:type="dxa"/>
            <w:shd w:val="clear" w:color="auto" w:fill="auto"/>
            <w:vAlign w:val="top"/>
          </w:tcPr>
          <w:p w14:paraId="55CA975B">
            <w:pPr>
              <w:pStyle w:val="36"/>
              <w:numPr>
                <w:ilvl w:val="0"/>
                <w:numId w:val="0"/>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pacing w:val="9"/>
                <w:sz w:val="24"/>
                <w:szCs w:val="24"/>
                <w:highlight w:val="none"/>
                <w:lang w:val="en-US" w:eastAsia="zh-CN"/>
              </w:rPr>
              <w:t>长1800*宽800*高800mm，201加厚不锈钢</w:t>
            </w:r>
          </w:p>
        </w:tc>
      </w:tr>
      <w:tr w14:paraId="06D58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542" w:type="dxa"/>
            <w:vAlign w:val="center"/>
          </w:tcPr>
          <w:p w14:paraId="24409859">
            <w:pPr>
              <w:jc w:val="center"/>
              <w:rPr>
                <w:rFonts w:hint="default"/>
                <w:sz w:val="22"/>
                <w:szCs w:val="22"/>
                <w:highlight w:val="none"/>
                <w:lang w:val="en-US" w:eastAsia="zh-CN"/>
              </w:rPr>
            </w:pPr>
            <w:r>
              <w:rPr>
                <w:rFonts w:hint="eastAsia"/>
                <w:sz w:val="22"/>
                <w:szCs w:val="22"/>
                <w:highlight w:val="none"/>
                <w:lang w:val="en-US" w:eastAsia="zh-CN"/>
              </w:rPr>
              <w:t>49</w:t>
            </w:r>
          </w:p>
        </w:tc>
        <w:tc>
          <w:tcPr>
            <w:tcW w:w="2226" w:type="dxa"/>
            <w:vAlign w:val="center"/>
          </w:tcPr>
          <w:p w14:paraId="523B6C11">
            <w:pPr>
              <w:jc w:val="center"/>
              <w:rPr>
                <w:rFonts w:hint="eastAsia"/>
                <w:szCs w:val="21"/>
                <w:highlight w:val="none"/>
                <w:lang w:val="en-US" w:eastAsia="zh-CN"/>
              </w:rPr>
            </w:pPr>
            <w:r>
              <w:rPr>
                <w:rFonts w:hint="eastAsia"/>
                <w:szCs w:val="21"/>
                <w:highlight w:val="none"/>
                <w:lang w:val="en-US" w:eastAsia="zh-CN"/>
              </w:rPr>
              <w:t>单拉门工作台</w:t>
            </w:r>
          </w:p>
        </w:tc>
        <w:tc>
          <w:tcPr>
            <w:tcW w:w="2075" w:type="dxa"/>
            <w:shd w:val="clear" w:color="auto" w:fill="auto"/>
            <w:vAlign w:val="center"/>
          </w:tcPr>
          <w:p w14:paraId="1EB6B1B3">
            <w:pPr>
              <w:jc w:val="center"/>
              <w:rPr>
                <w:rFonts w:hint="default"/>
                <w:szCs w:val="21"/>
                <w:highlight w:val="none"/>
                <w:lang w:val="en-US" w:eastAsia="zh-CN"/>
              </w:rPr>
            </w:pPr>
            <w:r>
              <w:rPr>
                <w:rFonts w:hint="eastAsia"/>
                <w:szCs w:val="21"/>
                <w:highlight w:val="none"/>
                <w:lang w:val="en-US" w:eastAsia="zh-CN"/>
              </w:rPr>
              <w:t>6个</w:t>
            </w:r>
          </w:p>
        </w:tc>
        <w:tc>
          <w:tcPr>
            <w:tcW w:w="9548" w:type="dxa"/>
            <w:shd w:val="clear" w:color="auto" w:fill="auto"/>
            <w:vAlign w:val="top"/>
          </w:tcPr>
          <w:p w14:paraId="6BD31DCA">
            <w:pPr>
              <w:pStyle w:val="36"/>
              <w:numPr>
                <w:ilvl w:val="0"/>
                <w:numId w:val="0"/>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pacing w:val="9"/>
                <w:sz w:val="24"/>
                <w:szCs w:val="24"/>
                <w:highlight w:val="none"/>
                <w:lang w:val="en-US" w:eastAsia="zh-CN"/>
              </w:rPr>
              <w:t>长1800*宽800*高800mm，201加厚不锈钢</w:t>
            </w:r>
          </w:p>
        </w:tc>
      </w:tr>
      <w:tr w14:paraId="30DB5B3D">
        <w:tblPrEx>
          <w:tblCellMar>
            <w:top w:w="57" w:type="dxa"/>
            <w:left w:w="108" w:type="dxa"/>
            <w:bottom w:w="57" w:type="dxa"/>
            <w:right w:w="108" w:type="dxa"/>
          </w:tblCellMar>
        </w:tblPrEx>
        <w:trPr>
          <w:trHeight w:val="715" w:hRule="atLeast"/>
        </w:trPr>
        <w:tc>
          <w:tcPr>
            <w:tcW w:w="542" w:type="dxa"/>
            <w:vAlign w:val="center"/>
          </w:tcPr>
          <w:p w14:paraId="7F94F8B5">
            <w:pPr>
              <w:jc w:val="center"/>
              <w:rPr>
                <w:rFonts w:hint="default"/>
                <w:sz w:val="22"/>
                <w:szCs w:val="22"/>
                <w:highlight w:val="none"/>
                <w:lang w:val="en-US" w:eastAsia="zh-CN"/>
              </w:rPr>
            </w:pPr>
            <w:r>
              <w:rPr>
                <w:rFonts w:hint="eastAsia"/>
                <w:sz w:val="22"/>
                <w:szCs w:val="22"/>
                <w:highlight w:val="none"/>
                <w:lang w:val="en-US" w:eastAsia="zh-CN"/>
              </w:rPr>
              <w:t>50</w:t>
            </w:r>
          </w:p>
        </w:tc>
        <w:tc>
          <w:tcPr>
            <w:tcW w:w="2226" w:type="dxa"/>
            <w:vAlign w:val="center"/>
          </w:tcPr>
          <w:p w14:paraId="65AA4D3C">
            <w:pPr>
              <w:jc w:val="center"/>
              <w:rPr>
                <w:rFonts w:hint="eastAsia"/>
                <w:szCs w:val="21"/>
                <w:highlight w:val="none"/>
                <w:lang w:val="en-US" w:eastAsia="zh-CN"/>
              </w:rPr>
            </w:pPr>
            <w:r>
              <w:rPr>
                <w:rFonts w:hint="eastAsia"/>
                <w:szCs w:val="21"/>
                <w:highlight w:val="none"/>
                <w:lang w:val="en-US" w:eastAsia="zh-CN"/>
              </w:rPr>
              <w:t>单通水池（不含水龙头）</w:t>
            </w:r>
          </w:p>
        </w:tc>
        <w:tc>
          <w:tcPr>
            <w:tcW w:w="2075" w:type="dxa"/>
            <w:shd w:val="clear" w:color="auto" w:fill="auto"/>
            <w:vAlign w:val="center"/>
          </w:tcPr>
          <w:p w14:paraId="0F3D955E">
            <w:pPr>
              <w:jc w:val="center"/>
              <w:rPr>
                <w:rFonts w:hint="eastAsia"/>
                <w:szCs w:val="21"/>
                <w:highlight w:val="none"/>
                <w:lang w:val="en-US" w:eastAsia="zh-CN"/>
              </w:rPr>
            </w:pPr>
            <w:r>
              <w:rPr>
                <w:rFonts w:hint="eastAsia"/>
                <w:szCs w:val="21"/>
                <w:highlight w:val="none"/>
                <w:lang w:val="en-US" w:eastAsia="zh-CN"/>
              </w:rPr>
              <w:t>4个</w:t>
            </w:r>
          </w:p>
        </w:tc>
        <w:tc>
          <w:tcPr>
            <w:tcW w:w="9548" w:type="dxa"/>
            <w:shd w:val="clear" w:color="auto" w:fill="auto"/>
            <w:vAlign w:val="top"/>
          </w:tcPr>
          <w:p w14:paraId="2AB59FE0">
            <w:pPr>
              <w:pStyle w:val="36"/>
              <w:numPr>
                <w:ilvl w:val="0"/>
                <w:numId w:val="0"/>
              </w:numPr>
              <w:spacing w:before="30" w:line="219" w:lineRule="auto"/>
              <w:rPr>
                <w:rFonts w:hint="eastAsia" w:asciiTheme="minorEastAsia" w:hAnsiTheme="minorEastAsia" w:eastAsiaTheme="minorEastAsia" w:cstheme="minorEastAsia"/>
                <w:spacing w:val="9"/>
                <w:sz w:val="24"/>
                <w:szCs w:val="24"/>
                <w:highlight w:val="none"/>
                <w:lang w:val="en-US" w:eastAsia="zh-CN"/>
              </w:rPr>
            </w:pPr>
          </w:p>
          <w:p w14:paraId="525EE343">
            <w:pPr>
              <w:pStyle w:val="36"/>
              <w:numPr>
                <w:ilvl w:val="0"/>
                <w:numId w:val="0"/>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pacing w:val="9"/>
                <w:sz w:val="24"/>
                <w:szCs w:val="24"/>
                <w:highlight w:val="none"/>
                <w:lang w:val="en-US" w:eastAsia="zh-CN"/>
              </w:rPr>
              <w:t>长1800*宽600*高800mm，201加厚不锈钢</w:t>
            </w:r>
          </w:p>
        </w:tc>
      </w:tr>
      <w:tr w14:paraId="188BCA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90" w:hRule="atLeast"/>
        </w:trPr>
        <w:tc>
          <w:tcPr>
            <w:tcW w:w="542" w:type="dxa"/>
            <w:vAlign w:val="center"/>
          </w:tcPr>
          <w:p w14:paraId="1ED9949F">
            <w:pPr>
              <w:jc w:val="both"/>
              <w:rPr>
                <w:rFonts w:hint="default"/>
                <w:sz w:val="22"/>
                <w:szCs w:val="22"/>
                <w:highlight w:val="none"/>
                <w:lang w:val="en-US" w:eastAsia="zh-CN"/>
              </w:rPr>
            </w:pPr>
            <w:r>
              <w:rPr>
                <w:rFonts w:hint="eastAsia"/>
                <w:sz w:val="22"/>
                <w:szCs w:val="22"/>
                <w:highlight w:val="none"/>
                <w:lang w:val="en-US" w:eastAsia="zh-CN"/>
              </w:rPr>
              <w:t>51</w:t>
            </w:r>
          </w:p>
        </w:tc>
        <w:tc>
          <w:tcPr>
            <w:tcW w:w="2226" w:type="dxa"/>
            <w:shd w:val="clear" w:color="auto" w:fill="auto"/>
            <w:vAlign w:val="center"/>
          </w:tcPr>
          <w:p w14:paraId="14F41973">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双温工作台</w:t>
            </w:r>
          </w:p>
        </w:tc>
        <w:tc>
          <w:tcPr>
            <w:tcW w:w="2075" w:type="dxa"/>
            <w:shd w:val="clear" w:color="auto" w:fill="auto"/>
            <w:vAlign w:val="center"/>
          </w:tcPr>
          <w:p w14:paraId="4E2D8B2D">
            <w:pPr>
              <w:jc w:val="center"/>
              <w:rPr>
                <w:rFonts w:hint="eastAsia"/>
                <w:szCs w:val="21"/>
                <w:highlight w:val="none"/>
                <w:lang w:val="en-US" w:eastAsia="zh-CN"/>
              </w:rPr>
            </w:pPr>
            <w:r>
              <w:rPr>
                <w:rFonts w:hint="eastAsia"/>
                <w:szCs w:val="21"/>
                <w:highlight w:val="none"/>
                <w:lang w:val="en-US" w:eastAsia="zh-CN"/>
              </w:rPr>
              <w:t>4个</w:t>
            </w:r>
          </w:p>
        </w:tc>
        <w:tc>
          <w:tcPr>
            <w:tcW w:w="9548" w:type="dxa"/>
            <w:shd w:val="clear" w:color="auto" w:fill="auto"/>
            <w:vAlign w:val="center"/>
          </w:tcPr>
          <w:p w14:paraId="41131D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长1800*宽800*高800mm，一边冷藏，一边冷冻，全钢铜管，220V电压，300w</w:t>
            </w:r>
          </w:p>
        </w:tc>
      </w:tr>
      <w:tr w14:paraId="63D040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90" w:hRule="atLeast"/>
        </w:trPr>
        <w:tc>
          <w:tcPr>
            <w:tcW w:w="542" w:type="dxa"/>
            <w:vAlign w:val="center"/>
          </w:tcPr>
          <w:p w14:paraId="5D7EAA53">
            <w:pPr>
              <w:jc w:val="center"/>
              <w:rPr>
                <w:rFonts w:hint="default"/>
                <w:sz w:val="22"/>
                <w:szCs w:val="22"/>
                <w:highlight w:val="none"/>
                <w:lang w:val="en-US" w:eastAsia="zh-CN"/>
              </w:rPr>
            </w:pPr>
            <w:r>
              <w:rPr>
                <w:rFonts w:hint="eastAsia"/>
                <w:sz w:val="22"/>
                <w:szCs w:val="22"/>
                <w:highlight w:val="none"/>
                <w:lang w:val="en-US" w:eastAsia="zh-CN"/>
              </w:rPr>
              <w:t>52</w:t>
            </w:r>
          </w:p>
        </w:tc>
        <w:tc>
          <w:tcPr>
            <w:tcW w:w="2226" w:type="dxa"/>
            <w:shd w:val="clear" w:color="auto" w:fill="auto"/>
            <w:vAlign w:val="center"/>
          </w:tcPr>
          <w:p w14:paraId="73BB50A8">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六门更衣柜</w:t>
            </w:r>
          </w:p>
        </w:tc>
        <w:tc>
          <w:tcPr>
            <w:tcW w:w="2075" w:type="dxa"/>
            <w:shd w:val="clear" w:color="auto" w:fill="auto"/>
            <w:vAlign w:val="center"/>
          </w:tcPr>
          <w:p w14:paraId="7127D788">
            <w:pPr>
              <w:jc w:val="center"/>
              <w:rPr>
                <w:rFonts w:hint="eastAsia"/>
                <w:szCs w:val="21"/>
                <w:highlight w:val="none"/>
                <w:lang w:val="en-US" w:eastAsia="zh-CN"/>
              </w:rPr>
            </w:pPr>
            <w:r>
              <w:rPr>
                <w:rFonts w:hint="eastAsia"/>
                <w:szCs w:val="21"/>
                <w:highlight w:val="none"/>
                <w:lang w:val="en-US" w:eastAsia="zh-CN"/>
              </w:rPr>
              <w:t>4个</w:t>
            </w:r>
          </w:p>
        </w:tc>
        <w:tc>
          <w:tcPr>
            <w:tcW w:w="9548" w:type="dxa"/>
            <w:shd w:val="clear" w:color="auto" w:fill="auto"/>
            <w:vAlign w:val="center"/>
          </w:tcPr>
          <w:p w14:paraId="63D461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长1200*宽500*高1800mm（生产周期10-12天）</w:t>
            </w:r>
          </w:p>
        </w:tc>
      </w:tr>
      <w:tr w14:paraId="239BB7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589" w:hRule="atLeast"/>
        </w:trPr>
        <w:tc>
          <w:tcPr>
            <w:tcW w:w="542" w:type="dxa"/>
            <w:vAlign w:val="center"/>
          </w:tcPr>
          <w:p w14:paraId="66F1AD22">
            <w:pPr>
              <w:jc w:val="center"/>
              <w:rPr>
                <w:rFonts w:hint="default"/>
                <w:sz w:val="22"/>
                <w:szCs w:val="22"/>
                <w:highlight w:val="none"/>
                <w:lang w:val="en-US" w:eastAsia="zh-CN"/>
              </w:rPr>
            </w:pPr>
            <w:r>
              <w:rPr>
                <w:rFonts w:hint="eastAsia"/>
                <w:sz w:val="22"/>
                <w:szCs w:val="22"/>
                <w:highlight w:val="none"/>
                <w:lang w:val="en-US" w:eastAsia="zh-CN"/>
              </w:rPr>
              <w:t>53</w:t>
            </w:r>
          </w:p>
        </w:tc>
        <w:tc>
          <w:tcPr>
            <w:tcW w:w="2226" w:type="dxa"/>
            <w:shd w:val="clear" w:color="auto" w:fill="auto"/>
            <w:vAlign w:val="center"/>
          </w:tcPr>
          <w:p w14:paraId="6873288D">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四层货架</w:t>
            </w:r>
          </w:p>
        </w:tc>
        <w:tc>
          <w:tcPr>
            <w:tcW w:w="2075" w:type="dxa"/>
            <w:shd w:val="clear" w:color="auto" w:fill="auto"/>
            <w:vAlign w:val="center"/>
          </w:tcPr>
          <w:p w14:paraId="7D9FDF03">
            <w:pPr>
              <w:jc w:val="center"/>
              <w:rPr>
                <w:rFonts w:hint="eastAsia"/>
                <w:szCs w:val="21"/>
                <w:highlight w:val="none"/>
                <w:lang w:val="en-US" w:eastAsia="zh-CN"/>
              </w:rPr>
            </w:pPr>
            <w:r>
              <w:rPr>
                <w:rFonts w:hint="eastAsia"/>
                <w:szCs w:val="21"/>
                <w:highlight w:val="none"/>
                <w:lang w:val="en-US" w:eastAsia="zh-CN"/>
              </w:rPr>
              <w:t>10个</w:t>
            </w:r>
          </w:p>
        </w:tc>
        <w:tc>
          <w:tcPr>
            <w:tcW w:w="9548" w:type="dxa"/>
            <w:shd w:val="clear" w:color="auto" w:fill="auto"/>
            <w:vAlign w:val="center"/>
          </w:tcPr>
          <w:p w14:paraId="0DE131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长1800*宽500*高1550mm，201加厚不锈钢</w:t>
            </w:r>
          </w:p>
        </w:tc>
      </w:tr>
      <w:tr w14:paraId="58815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2500" w:hRule="atLeast"/>
        </w:trPr>
        <w:tc>
          <w:tcPr>
            <w:tcW w:w="542" w:type="dxa"/>
            <w:vAlign w:val="center"/>
          </w:tcPr>
          <w:p w14:paraId="501CCBB5">
            <w:pPr>
              <w:jc w:val="center"/>
              <w:rPr>
                <w:rFonts w:hint="default"/>
                <w:sz w:val="22"/>
                <w:szCs w:val="22"/>
                <w:highlight w:val="none"/>
                <w:lang w:val="en-US" w:eastAsia="zh-CN"/>
              </w:rPr>
            </w:pPr>
            <w:r>
              <w:rPr>
                <w:rFonts w:hint="eastAsia"/>
                <w:sz w:val="22"/>
                <w:szCs w:val="22"/>
                <w:highlight w:val="none"/>
                <w:lang w:val="en-US" w:eastAsia="zh-CN"/>
              </w:rPr>
              <w:t>54</w:t>
            </w:r>
          </w:p>
        </w:tc>
        <w:tc>
          <w:tcPr>
            <w:tcW w:w="2226" w:type="dxa"/>
            <w:vAlign w:val="center"/>
          </w:tcPr>
          <w:p w14:paraId="0BD9459F">
            <w:pPr>
              <w:jc w:val="center"/>
              <w:rPr>
                <w:rFonts w:hint="eastAsia"/>
                <w:szCs w:val="21"/>
                <w:highlight w:val="none"/>
                <w:lang w:val="en-US" w:eastAsia="zh-CN"/>
              </w:rPr>
            </w:pPr>
            <w:r>
              <w:rPr>
                <w:rFonts w:hint="eastAsia"/>
                <w:szCs w:val="21"/>
                <w:highlight w:val="none"/>
                <w:lang w:val="en-US" w:eastAsia="zh-CN"/>
              </w:rPr>
              <w:t>锅炉主机</w:t>
            </w:r>
          </w:p>
        </w:tc>
        <w:tc>
          <w:tcPr>
            <w:tcW w:w="2075" w:type="dxa"/>
            <w:shd w:val="clear" w:color="auto" w:fill="auto"/>
            <w:vAlign w:val="center"/>
          </w:tcPr>
          <w:p w14:paraId="64C49D1D">
            <w:pPr>
              <w:jc w:val="center"/>
              <w:rPr>
                <w:rFonts w:hint="default"/>
                <w:szCs w:val="21"/>
                <w:highlight w:val="none"/>
                <w:lang w:val="en-US" w:eastAsia="zh-CN"/>
              </w:rPr>
            </w:pPr>
            <w:r>
              <w:rPr>
                <w:rFonts w:hint="eastAsia"/>
                <w:szCs w:val="21"/>
                <w:highlight w:val="none"/>
                <w:lang w:val="en-US" w:eastAsia="zh-CN"/>
              </w:rPr>
              <w:t>1台</w:t>
            </w:r>
          </w:p>
        </w:tc>
        <w:tc>
          <w:tcPr>
            <w:tcW w:w="9548" w:type="dxa"/>
            <w:shd w:val="clear" w:color="auto" w:fill="auto"/>
            <w:vAlign w:val="top"/>
          </w:tcPr>
          <w:p w14:paraId="49A32B56">
            <w:pPr>
              <w:numPr>
                <w:ilvl w:val="0"/>
                <w:numId w:val="0"/>
              </w:numPr>
              <w:tabs>
                <w:tab w:val="left" w:pos="3400"/>
              </w:tabs>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上锅筒L=6893 Φ=900*16</w:t>
            </w:r>
          </w:p>
          <w:p w14:paraId="7B34B4CA">
            <w:pPr>
              <w:numPr>
                <w:ilvl w:val="0"/>
                <w:numId w:val="0"/>
              </w:numPr>
              <w:tabs>
                <w:tab w:val="left" w:pos="3400"/>
              </w:tabs>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下锅筒L=3367 Φ=900*16</w:t>
            </w:r>
          </w:p>
          <w:p w14:paraId="3C8AB941">
            <w:pPr>
              <w:pStyle w:val="36"/>
              <w:numPr>
                <w:ilvl w:val="0"/>
                <w:numId w:val="0"/>
              </w:numPr>
              <w:spacing w:before="30" w:line="219"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材质Q245R"</w:t>
            </w:r>
          </w:p>
          <w:p w14:paraId="7511C12E">
            <w:pPr>
              <w:pStyle w:val="36"/>
              <w:numPr>
                <w:ilvl w:val="0"/>
                <w:numId w:val="0"/>
              </w:numPr>
              <w:spacing w:before="30" w:line="219"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4.螺纹烟管/对流管束：Ф51X3.630根材质 GB3087/20#</w:t>
            </w:r>
          </w:p>
          <w:p w14:paraId="61B8B49C">
            <w:pPr>
              <w:pStyle w:val="36"/>
              <w:numPr>
                <w:ilvl w:val="0"/>
                <w:numId w:val="0"/>
              </w:numPr>
              <w:spacing w:before="30" w:line="219"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5.水冷避管：Ф51X3212根材质GB3087/20#</w:t>
            </w:r>
          </w:p>
          <w:p w14:paraId="5A13D688">
            <w:pPr>
              <w:pStyle w:val="36"/>
              <w:numPr>
                <w:ilvl w:val="0"/>
                <w:numId w:val="0"/>
              </w:numPr>
              <w:spacing w:before="30" w:line="219"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6.出汽管座：DN150</w:t>
            </w:r>
          </w:p>
          <w:p w14:paraId="71D57208">
            <w:pPr>
              <w:pStyle w:val="36"/>
              <w:numPr>
                <w:ilvl w:val="0"/>
                <w:numId w:val="0"/>
              </w:numPr>
              <w:spacing w:before="30" w:line="219"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7.给水管座：DN50</w:t>
            </w:r>
          </w:p>
          <w:p w14:paraId="24D29410">
            <w:pPr>
              <w:pStyle w:val="36"/>
              <w:numPr>
                <w:ilvl w:val="0"/>
                <w:numId w:val="0"/>
              </w:numPr>
              <w:spacing w:before="30" w:line="219"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8.安全阀：DN802支</w:t>
            </w:r>
          </w:p>
        </w:tc>
      </w:tr>
      <w:tr w14:paraId="4DCA9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872" w:hRule="atLeast"/>
        </w:trPr>
        <w:tc>
          <w:tcPr>
            <w:tcW w:w="542" w:type="dxa"/>
            <w:vAlign w:val="center"/>
          </w:tcPr>
          <w:p w14:paraId="08DBA6C7">
            <w:pPr>
              <w:jc w:val="center"/>
              <w:rPr>
                <w:rFonts w:hint="default"/>
                <w:sz w:val="22"/>
                <w:szCs w:val="22"/>
                <w:highlight w:val="none"/>
                <w:lang w:val="en-US" w:eastAsia="zh-CN"/>
              </w:rPr>
            </w:pPr>
            <w:r>
              <w:rPr>
                <w:rFonts w:hint="eastAsia"/>
                <w:sz w:val="22"/>
                <w:szCs w:val="22"/>
                <w:highlight w:val="none"/>
                <w:lang w:val="en-US" w:eastAsia="zh-CN"/>
              </w:rPr>
              <w:t>55</w:t>
            </w:r>
          </w:p>
        </w:tc>
        <w:tc>
          <w:tcPr>
            <w:tcW w:w="2226" w:type="dxa"/>
            <w:vAlign w:val="center"/>
          </w:tcPr>
          <w:p w14:paraId="70A3262E">
            <w:pPr>
              <w:jc w:val="center"/>
              <w:rPr>
                <w:rFonts w:hint="eastAsia"/>
                <w:szCs w:val="21"/>
                <w:highlight w:val="none"/>
                <w:lang w:val="en-US" w:eastAsia="zh-CN"/>
              </w:rPr>
            </w:pPr>
            <w:r>
              <w:rPr>
                <w:rFonts w:hint="eastAsia"/>
                <w:highlight w:val="none"/>
              </w:rPr>
              <w:t>上煤机</w:t>
            </w:r>
          </w:p>
        </w:tc>
        <w:tc>
          <w:tcPr>
            <w:tcW w:w="2075" w:type="dxa"/>
            <w:shd w:val="clear" w:color="auto" w:fill="auto"/>
            <w:vAlign w:val="center"/>
          </w:tcPr>
          <w:p w14:paraId="69F06DD1">
            <w:pPr>
              <w:jc w:val="center"/>
              <w:rPr>
                <w:rFonts w:hint="default"/>
                <w:szCs w:val="21"/>
                <w:highlight w:val="none"/>
                <w:lang w:val="en-US" w:eastAsia="zh-CN"/>
              </w:rPr>
            </w:pPr>
            <w:r>
              <w:rPr>
                <w:rFonts w:hint="eastAsia"/>
                <w:szCs w:val="21"/>
                <w:highlight w:val="none"/>
                <w:lang w:val="en-US" w:eastAsia="zh-CN"/>
              </w:rPr>
              <w:t>1个</w:t>
            </w:r>
          </w:p>
        </w:tc>
        <w:tc>
          <w:tcPr>
            <w:tcW w:w="9548" w:type="dxa"/>
            <w:shd w:val="clear" w:color="auto" w:fill="auto"/>
            <w:vAlign w:val="top"/>
          </w:tcPr>
          <w:p w14:paraId="3FFC4DFE">
            <w:pPr>
              <w:tabs>
                <w:tab w:val="left" w:pos="3400"/>
              </w:tabs>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材质钢板3mm制成；</w:t>
            </w:r>
          </w:p>
          <w:p w14:paraId="7852EBF3">
            <w:pPr>
              <w:pStyle w:val="36"/>
              <w:numPr>
                <w:ilvl w:val="0"/>
                <w:numId w:val="0"/>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rPr>
              <w:t>2.1KW电机</w:t>
            </w:r>
          </w:p>
        </w:tc>
      </w:tr>
      <w:tr w14:paraId="2419B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1009" w:hRule="atLeast"/>
        </w:trPr>
        <w:tc>
          <w:tcPr>
            <w:tcW w:w="542" w:type="dxa"/>
            <w:vAlign w:val="center"/>
          </w:tcPr>
          <w:p w14:paraId="5327E581">
            <w:pPr>
              <w:jc w:val="center"/>
              <w:rPr>
                <w:rFonts w:hint="default"/>
                <w:sz w:val="22"/>
                <w:szCs w:val="22"/>
                <w:highlight w:val="none"/>
                <w:lang w:val="en-US" w:eastAsia="zh-CN"/>
              </w:rPr>
            </w:pPr>
            <w:r>
              <w:rPr>
                <w:rFonts w:hint="eastAsia"/>
                <w:sz w:val="22"/>
                <w:szCs w:val="22"/>
                <w:highlight w:val="none"/>
                <w:lang w:val="en-US" w:eastAsia="zh-CN"/>
              </w:rPr>
              <w:t>56</w:t>
            </w:r>
          </w:p>
        </w:tc>
        <w:tc>
          <w:tcPr>
            <w:tcW w:w="2226" w:type="dxa"/>
            <w:vAlign w:val="center"/>
          </w:tcPr>
          <w:p w14:paraId="08D3C79E">
            <w:pPr>
              <w:jc w:val="center"/>
              <w:rPr>
                <w:rFonts w:hint="eastAsia"/>
                <w:highlight w:val="none"/>
              </w:rPr>
            </w:pPr>
            <w:r>
              <w:rPr>
                <w:rFonts w:hint="eastAsia"/>
                <w:highlight w:val="none"/>
              </w:rPr>
              <w:t>减速机</w:t>
            </w:r>
          </w:p>
        </w:tc>
        <w:tc>
          <w:tcPr>
            <w:tcW w:w="2075" w:type="dxa"/>
            <w:shd w:val="clear" w:color="auto" w:fill="auto"/>
            <w:vAlign w:val="center"/>
          </w:tcPr>
          <w:p w14:paraId="3513FEDF">
            <w:pPr>
              <w:jc w:val="center"/>
              <w:rPr>
                <w:rFonts w:hint="eastAsia"/>
                <w:szCs w:val="21"/>
                <w:highlight w:val="none"/>
                <w:lang w:val="en-US" w:eastAsia="zh-CN"/>
              </w:rPr>
            </w:pPr>
            <w:r>
              <w:rPr>
                <w:rFonts w:hint="eastAsia"/>
                <w:szCs w:val="21"/>
                <w:highlight w:val="none"/>
                <w:lang w:val="en-US" w:eastAsia="zh-CN"/>
              </w:rPr>
              <w:t>1个</w:t>
            </w:r>
          </w:p>
        </w:tc>
        <w:tc>
          <w:tcPr>
            <w:tcW w:w="9548" w:type="dxa"/>
            <w:shd w:val="clear" w:color="auto" w:fill="auto"/>
            <w:vAlign w:val="top"/>
          </w:tcPr>
          <w:p w14:paraId="44AD27CD">
            <w:pPr>
              <w:tabs>
                <w:tab w:val="left" w:pos="3400"/>
              </w:tabs>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rPr>
              <w:t>铸铁制成变速箱</w:t>
            </w:r>
          </w:p>
          <w:p w14:paraId="48BA5967">
            <w:pPr>
              <w:tabs>
                <w:tab w:val="left" w:pos="3400"/>
              </w:tabs>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rPr>
              <w:t>1.5KW电机</w:t>
            </w:r>
          </w:p>
        </w:tc>
      </w:tr>
      <w:tr w14:paraId="74CDC3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726" w:hRule="atLeast"/>
        </w:trPr>
        <w:tc>
          <w:tcPr>
            <w:tcW w:w="542" w:type="dxa"/>
            <w:vAlign w:val="center"/>
          </w:tcPr>
          <w:p w14:paraId="582C1F59">
            <w:pPr>
              <w:jc w:val="center"/>
              <w:rPr>
                <w:rFonts w:hint="default"/>
                <w:sz w:val="22"/>
                <w:szCs w:val="22"/>
                <w:highlight w:val="none"/>
                <w:lang w:val="en-US" w:eastAsia="zh-CN"/>
              </w:rPr>
            </w:pPr>
            <w:r>
              <w:rPr>
                <w:rFonts w:hint="eastAsia"/>
                <w:sz w:val="22"/>
                <w:szCs w:val="22"/>
                <w:highlight w:val="none"/>
                <w:lang w:val="en-US" w:eastAsia="zh-CN"/>
              </w:rPr>
              <w:t>57</w:t>
            </w:r>
          </w:p>
        </w:tc>
        <w:tc>
          <w:tcPr>
            <w:tcW w:w="2226" w:type="dxa"/>
            <w:vAlign w:val="center"/>
          </w:tcPr>
          <w:p w14:paraId="0030524E">
            <w:pPr>
              <w:jc w:val="center"/>
              <w:rPr>
                <w:rFonts w:hint="default" w:eastAsia="微软雅黑"/>
                <w:szCs w:val="21"/>
                <w:highlight w:val="none"/>
                <w:lang w:val="en-US" w:eastAsia="zh-CN"/>
              </w:rPr>
            </w:pPr>
            <w:r>
              <w:rPr>
                <w:rFonts w:hint="eastAsia"/>
                <w:highlight w:val="none"/>
              </w:rPr>
              <w:t>除渣机</w:t>
            </w:r>
          </w:p>
        </w:tc>
        <w:tc>
          <w:tcPr>
            <w:tcW w:w="2075" w:type="dxa"/>
            <w:shd w:val="clear" w:color="auto" w:fill="auto"/>
            <w:vAlign w:val="center"/>
          </w:tcPr>
          <w:p w14:paraId="7A5F2CE2">
            <w:pPr>
              <w:jc w:val="center"/>
              <w:rPr>
                <w:rFonts w:hint="default"/>
                <w:szCs w:val="21"/>
                <w:highlight w:val="none"/>
                <w:lang w:val="en-US" w:eastAsia="zh-CN"/>
              </w:rPr>
            </w:pPr>
            <w:r>
              <w:rPr>
                <w:rFonts w:hint="eastAsia"/>
                <w:szCs w:val="21"/>
                <w:highlight w:val="none"/>
                <w:lang w:val="en-US" w:eastAsia="zh-CN"/>
              </w:rPr>
              <w:t>1套</w:t>
            </w:r>
          </w:p>
        </w:tc>
        <w:tc>
          <w:tcPr>
            <w:tcW w:w="9548" w:type="dxa"/>
            <w:shd w:val="clear" w:color="auto" w:fill="auto"/>
            <w:vAlign w:val="top"/>
          </w:tcPr>
          <w:p w14:paraId="5FD88CBE">
            <w:pPr>
              <w:tabs>
                <w:tab w:val="left" w:pos="3400"/>
              </w:tabs>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材质：1</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rPr>
              <w:t>钢板</w:t>
            </w:r>
            <w:r>
              <w:rPr>
                <w:rFonts w:hint="eastAsia" w:asciiTheme="minorEastAsia" w:hAnsiTheme="minorEastAsia" w:eastAsiaTheme="minorEastAsia" w:cstheme="minorEastAsia"/>
                <w:sz w:val="24"/>
                <w:szCs w:val="24"/>
                <w:highlight w:val="none"/>
                <w:lang w:val="en-US" w:eastAsia="zh-CN"/>
              </w:rPr>
              <w:t>8</w:t>
            </w:r>
            <w:r>
              <w:rPr>
                <w:rFonts w:hint="eastAsia" w:asciiTheme="minorEastAsia" w:hAnsiTheme="minorEastAsia" w:eastAsiaTheme="minorEastAsia" w:cstheme="minorEastAsia"/>
                <w:sz w:val="24"/>
                <w:szCs w:val="24"/>
                <w:highlight w:val="none"/>
              </w:rPr>
              <w:t>mm</w:t>
            </w:r>
            <w:r>
              <w:rPr>
                <w:rFonts w:hint="eastAsia" w:asciiTheme="minorEastAsia" w:hAnsiTheme="minorEastAsia" w:eastAsiaTheme="minorEastAsia" w:cstheme="minorEastAsia"/>
                <w:sz w:val="24"/>
                <w:szCs w:val="24"/>
                <w:highlight w:val="none"/>
                <w:lang w:val="en-US" w:eastAsia="zh-CN"/>
              </w:rPr>
              <w:t>钢板焊接组成</w:t>
            </w:r>
          </w:p>
          <w:p w14:paraId="095E6EE5">
            <w:pPr>
              <w:pStyle w:val="36"/>
              <w:numPr>
                <w:ilvl w:val="0"/>
                <w:numId w:val="0"/>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rPr>
              <w:t>2.2KW电机</w:t>
            </w:r>
          </w:p>
        </w:tc>
      </w:tr>
      <w:tr w14:paraId="44220D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90" w:hRule="atLeast"/>
        </w:trPr>
        <w:tc>
          <w:tcPr>
            <w:tcW w:w="542" w:type="dxa"/>
            <w:vAlign w:val="center"/>
          </w:tcPr>
          <w:p w14:paraId="7CD9035A">
            <w:pPr>
              <w:jc w:val="center"/>
              <w:rPr>
                <w:rFonts w:hint="default"/>
                <w:sz w:val="22"/>
                <w:szCs w:val="22"/>
                <w:highlight w:val="none"/>
                <w:lang w:val="en-US" w:eastAsia="zh-CN"/>
              </w:rPr>
            </w:pPr>
            <w:r>
              <w:rPr>
                <w:rFonts w:hint="eastAsia"/>
                <w:sz w:val="22"/>
                <w:szCs w:val="22"/>
                <w:highlight w:val="none"/>
                <w:lang w:val="en-US" w:eastAsia="zh-CN"/>
              </w:rPr>
              <w:t>58</w:t>
            </w:r>
          </w:p>
        </w:tc>
        <w:tc>
          <w:tcPr>
            <w:tcW w:w="2226" w:type="dxa"/>
            <w:vAlign w:val="center"/>
          </w:tcPr>
          <w:p w14:paraId="469C6A52">
            <w:pPr>
              <w:jc w:val="center"/>
              <w:rPr>
                <w:rFonts w:hint="eastAsia" w:eastAsia="微软雅黑"/>
                <w:szCs w:val="21"/>
                <w:highlight w:val="none"/>
                <w:lang w:val="en-US" w:eastAsia="zh-CN"/>
              </w:rPr>
            </w:pPr>
            <w:r>
              <w:rPr>
                <w:rFonts w:hint="eastAsia"/>
                <w:szCs w:val="21"/>
                <w:highlight w:val="none"/>
                <w:lang w:val="en-US" w:eastAsia="zh-CN"/>
              </w:rPr>
              <w:t>引风机</w:t>
            </w:r>
          </w:p>
        </w:tc>
        <w:tc>
          <w:tcPr>
            <w:tcW w:w="2075" w:type="dxa"/>
            <w:shd w:val="clear" w:color="auto" w:fill="auto"/>
            <w:vAlign w:val="center"/>
          </w:tcPr>
          <w:p w14:paraId="0C28D60B">
            <w:pPr>
              <w:jc w:val="center"/>
              <w:rPr>
                <w:rFonts w:hint="default"/>
                <w:szCs w:val="21"/>
                <w:highlight w:val="none"/>
                <w:lang w:val="en-US" w:eastAsia="zh-CN"/>
              </w:rPr>
            </w:pPr>
            <w:r>
              <w:rPr>
                <w:rFonts w:hint="eastAsia"/>
                <w:szCs w:val="21"/>
                <w:highlight w:val="none"/>
                <w:lang w:val="en-US" w:eastAsia="zh-CN"/>
              </w:rPr>
              <w:t>1套</w:t>
            </w:r>
          </w:p>
        </w:tc>
        <w:tc>
          <w:tcPr>
            <w:tcW w:w="9548" w:type="dxa"/>
            <w:shd w:val="clear" w:color="auto" w:fill="auto"/>
            <w:vAlign w:val="top"/>
          </w:tcPr>
          <w:p w14:paraId="02C62C28">
            <w:pPr>
              <w:tabs>
                <w:tab w:val="left" w:pos="3400"/>
              </w:tabs>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1.电机110KW，电机线圈为铜芯</w:t>
            </w:r>
          </w:p>
          <w:p w14:paraId="03995C7D">
            <w:pPr>
              <w:tabs>
                <w:tab w:val="left" w:pos="3400"/>
              </w:tabs>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2.材质：叶轮后盘8mm，叶片6mm，前盘4mm,机壳侧板4mm,蜗壳壳厚3mm,进风口厚3mm</w:t>
            </w:r>
          </w:p>
        </w:tc>
      </w:tr>
      <w:tr w14:paraId="2CEFD0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90" w:hRule="atLeast"/>
        </w:trPr>
        <w:tc>
          <w:tcPr>
            <w:tcW w:w="542" w:type="dxa"/>
            <w:vAlign w:val="center"/>
          </w:tcPr>
          <w:p w14:paraId="6335B922">
            <w:pPr>
              <w:jc w:val="center"/>
              <w:rPr>
                <w:rFonts w:hint="default"/>
                <w:sz w:val="22"/>
                <w:szCs w:val="22"/>
                <w:highlight w:val="none"/>
                <w:lang w:val="en-US" w:eastAsia="zh-CN"/>
              </w:rPr>
            </w:pPr>
            <w:r>
              <w:rPr>
                <w:rFonts w:hint="eastAsia"/>
                <w:sz w:val="22"/>
                <w:szCs w:val="22"/>
                <w:highlight w:val="none"/>
                <w:lang w:val="en-US" w:eastAsia="zh-CN"/>
              </w:rPr>
              <w:t>59</w:t>
            </w:r>
          </w:p>
        </w:tc>
        <w:tc>
          <w:tcPr>
            <w:tcW w:w="2226" w:type="dxa"/>
            <w:vAlign w:val="center"/>
          </w:tcPr>
          <w:p w14:paraId="19B8213C">
            <w:pPr>
              <w:jc w:val="center"/>
              <w:rPr>
                <w:rFonts w:hint="default"/>
                <w:szCs w:val="21"/>
                <w:highlight w:val="none"/>
                <w:lang w:val="en-US" w:eastAsia="zh-CN"/>
              </w:rPr>
            </w:pPr>
            <w:r>
              <w:rPr>
                <w:rFonts w:hint="eastAsia"/>
                <w:szCs w:val="21"/>
                <w:highlight w:val="none"/>
                <w:lang w:val="en-US" w:eastAsia="zh-CN"/>
              </w:rPr>
              <w:t>鼓风机</w:t>
            </w:r>
          </w:p>
        </w:tc>
        <w:tc>
          <w:tcPr>
            <w:tcW w:w="2075" w:type="dxa"/>
            <w:shd w:val="clear" w:color="auto" w:fill="auto"/>
            <w:vAlign w:val="center"/>
          </w:tcPr>
          <w:p w14:paraId="71BFB861">
            <w:pPr>
              <w:jc w:val="center"/>
              <w:rPr>
                <w:rFonts w:hint="default"/>
                <w:szCs w:val="21"/>
                <w:highlight w:val="none"/>
                <w:lang w:val="en-US" w:eastAsia="zh-CN"/>
              </w:rPr>
            </w:pPr>
            <w:r>
              <w:rPr>
                <w:rFonts w:hint="eastAsia"/>
                <w:szCs w:val="21"/>
                <w:highlight w:val="none"/>
                <w:lang w:val="en-US" w:eastAsia="zh-CN"/>
              </w:rPr>
              <w:t>1套</w:t>
            </w:r>
          </w:p>
        </w:tc>
        <w:tc>
          <w:tcPr>
            <w:tcW w:w="9548" w:type="dxa"/>
            <w:shd w:val="clear" w:color="auto" w:fill="auto"/>
            <w:vAlign w:val="top"/>
          </w:tcPr>
          <w:p w14:paraId="0AFDACE9">
            <w:pPr>
              <w:tabs>
                <w:tab w:val="left" w:pos="3400"/>
              </w:tabs>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val="en-US" w:eastAsia="zh-CN"/>
              </w:rPr>
              <w:t>.18kw电机，线为铜芯</w:t>
            </w:r>
          </w:p>
          <w:p w14:paraId="2894D7C9">
            <w:pPr>
              <w:tabs>
                <w:tab w:val="left" w:pos="3400"/>
              </w:tabs>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2.材质：叶轮后盘6mm,叶片4mm,前盘4mm,侧板4mm,蜗壳壳条3mm,进风口厚3mm</w:t>
            </w:r>
          </w:p>
        </w:tc>
      </w:tr>
      <w:tr w14:paraId="24C23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710" w:hRule="atLeast"/>
        </w:trPr>
        <w:tc>
          <w:tcPr>
            <w:tcW w:w="542" w:type="dxa"/>
            <w:vAlign w:val="center"/>
          </w:tcPr>
          <w:p w14:paraId="4C1E066C">
            <w:pPr>
              <w:jc w:val="center"/>
              <w:rPr>
                <w:rFonts w:hint="default"/>
                <w:sz w:val="22"/>
                <w:szCs w:val="22"/>
                <w:highlight w:val="none"/>
                <w:lang w:val="en-US" w:eastAsia="zh-CN"/>
              </w:rPr>
            </w:pPr>
            <w:r>
              <w:rPr>
                <w:rFonts w:hint="eastAsia"/>
                <w:sz w:val="22"/>
                <w:szCs w:val="22"/>
                <w:highlight w:val="none"/>
                <w:lang w:val="en-US" w:eastAsia="zh-CN"/>
              </w:rPr>
              <w:t>60</w:t>
            </w:r>
          </w:p>
        </w:tc>
        <w:tc>
          <w:tcPr>
            <w:tcW w:w="2226" w:type="dxa"/>
            <w:vAlign w:val="center"/>
          </w:tcPr>
          <w:p w14:paraId="7F70D72A">
            <w:pPr>
              <w:jc w:val="center"/>
              <w:rPr>
                <w:rFonts w:hint="default"/>
                <w:szCs w:val="21"/>
                <w:highlight w:val="none"/>
                <w:lang w:val="en-US" w:eastAsia="zh-CN"/>
              </w:rPr>
            </w:pPr>
            <w:r>
              <w:rPr>
                <w:rFonts w:hint="eastAsia"/>
                <w:highlight w:val="none"/>
              </w:rPr>
              <w:t>多管除尘器</w:t>
            </w:r>
          </w:p>
        </w:tc>
        <w:tc>
          <w:tcPr>
            <w:tcW w:w="2075" w:type="dxa"/>
            <w:shd w:val="clear" w:color="auto" w:fill="auto"/>
            <w:vAlign w:val="center"/>
          </w:tcPr>
          <w:p w14:paraId="7C1FFBB8">
            <w:pPr>
              <w:jc w:val="center"/>
              <w:rPr>
                <w:rFonts w:hint="default"/>
                <w:szCs w:val="21"/>
                <w:highlight w:val="none"/>
                <w:lang w:val="en-US" w:eastAsia="zh-CN"/>
              </w:rPr>
            </w:pPr>
            <w:r>
              <w:rPr>
                <w:rFonts w:hint="eastAsia"/>
                <w:szCs w:val="21"/>
                <w:highlight w:val="none"/>
                <w:lang w:val="en-US" w:eastAsia="zh-CN"/>
              </w:rPr>
              <w:t>1台</w:t>
            </w:r>
          </w:p>
        </w:tc>
        <w:tc>
          <w:tcPr>
            <w:tcW w:w="9548" w:type="dxa"/>
            <w:shd w:val="clear" w:color="auto" w:fill="auto"/>
            <w:vAlign w:val="top"/>
          </w:tcPr>
          <w:p w14:paraId="7C8ACF5B">
            <w:pPr>
              <w:tabs>
                <w:tab w:val="left" w:pos="3400"/>
              </w:tabs>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1.钢板与陶瓷组成，钢板厚1-</w:t>
            </w:r>
            <w:r>
              <w:rPr>
                <w:rFonts w:hint="eastAsia" w:asciiTheme="minorEastAsia" w:hAnsiTheme="minorEastAsia" w:eastAsiaTheme="minorEastAsia" w:cstheme="minorEastAsia"/>
                <w:sz w:val="24"/>
                <w:szCs w:val="24"/>
                <w:highlight w:val="none"/>
              </w:rPr>
              <w:t>3mm</w:t>
            </w:r>
          </w:p>
          <w:p w14:paraId="0E791E52">
            <w:pPr>
              <w:pStyle w:val="36"/>
              <w:numPr>
                <w:ilvl w:val="0"/>
                <w:numId w:val="0"/>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2.处理风量：2400m3/h,除尘效率90%，烟气阻力：900P,</w:t>
            </w:r>
            <w:r>
              <w:rPr>
                <w:rFonts w:hint="eastAsia" w:asciiTheme="minorEastAsia" w:hAnsiTheme="minorEastAsia" w:eastAsiaTheme="minorEastAsia" w:cstheme="minorEastAsia"/>
                <w:sz w:val="24"/>
                <w:szCs w:val="24"/>
                <w:highlight w:val="none"/>
              </w:rPr>
              <w:t>陶瓷管9支</w:t>
            </w:r>
          </w:p>
        </w:tc>
      </w:tr>
      <w:tr w14:paraId="29F86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878" w:hRule="atLeast"/>
        </w:trPr>
        <w:tc>
          <w:tcPr>
            <w:tcW w:w="542" w:type="dxa"/>
            <w:vAlign w:val="center"/>
          </w:tcPr>
          <w:p w14:paraId="2CB9BAFE">
            <w:pPr>
              <w:jc w:val="center"/>
              <w:rPr>
                <w:rFonts w:hint="default"/>
                <w:sz w:val="22"/>
                <w:szCs w:val="22"/>
                <w:highlight w:val="none"/>
                <w:lang w:val="en-US" w:eastAsia="zh-CN"/>
              </w:rPr>
            </w:pPr>
            <w:r>
              <w:rPr>
                <w:rFonts w:hint="eastAsia"/>
                <w:sz w:val="22"/>
                <w:szCs w:val="22"/>
                <w:highlight w:val="none"/>
                <w:lang w:val="en-US" w:eastAsia="zh-CN"/>
              </w:rPr>
              <w:t>61</w:t>
            </w:r>
          </w:p>
        </w:tc>
        <w:tc>
          <w:tcPr>
            <w:tcW w:w="2226" w:type="dxa"/>
            <w:vAlign w:val="center"/>
          </w:tcPr>
          <w:p w14:paraId="045089E6">
            <w:pPr>
              <w:jc w:val="center"/>
              <w:rPr>
                <w:rFonts w:hint="default"/>
                <w:szCs w:val="21"/>
                <w:highlight w:val="none"/>
                <w:lang w:val="en-US" w:eastAsia="zh-CN"/>
              </w:rPr>
            </w:pPr>
            <w:r>
              <w:rPr>
                <w:rFonts w:hint="eastAsia"/>
                <w:highlight w:val="none"/>
              </w:rPr>
              <w:t>控制柜</w:t>
            </w:r>
          </w:p>
        </w:tc>
        <w:tc>
          <w:tcPr>
            <w:tcW w:w="2075" w:type="dxa"/>
            <w:shd w:val="clear" w:color="auto" w:fill="auto"/>
            <w:vAlign w:val="center"/>
          </w:tcPr>
          <w:p w14:paraId="70BD08EB">
            <w:pPr>
              <w:jc w:val="center"/>
              <w:rPr>
                <w:rFonts w:hint="default"/>
                <w:szCs w:val="21"/>
                <w:highlight w:val="none"/>
                <w:lang w:val="en-US" w:eastAsia="zh-CN"/>
              </w:rPr>
            </w:pPr>
            <w:r>
              <w:rPr>
                <w:rFonts w:hint="eastAsia"/>
                <w:szCs w:val="21"/>
                <w:highlight w:val="none"/>
                <w:lang w:val="en-US" w:eastAsia="zh-CN"/>
              </w:rPr>
              <w:t>1台</w:t>
            </w:r>
          </w:p>
        </w:tc>
        <w:tc>
          <w:tcPr>
            <w:tcW w:w="9548" w:type="dxa"/>
            <w:shd w:val="clear" w:color="auto" w:fill="auto"/>
            <w:vAlign w:val="top"/>
          </w:tcPr>
          <w:p w14:paraId="1FB56610">
            <w:pPr>
              <w:pStyle w:val="36"/>
              <w:numPr>
                <w:ilvl w:val="0"/>
                <w:numId w:val="0"/>
              </w:numPr>
              <w:spacing w:before="30" w:line="219"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1.材质2mm板材</w:t>
            </w:r>
          </w:p>
          <w:p w14:paraId="64583A82">
            <w:pPr>
              <w:pStyle w:val="36"/>
              <w:numPr>
                <w:ilvl w:val="0"/>
                <w:numId w:val="0"/>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内置一台110KW变频启动；一台22KW变频启动；</w:t>
            </w:r>
          </w:p>
        </w:tc>
      </w:tr>
      <w:tr w14:paraId="0FF51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826" w:hRule="atLeast"/>
        </w:trPr>
        <w:tc>
          <w:tcPr>
            <w:tcW w:w="542" w:type="dxa"/>
            <w:vAlign w:val="center"/>
          </w:tcPr>
          <w:p w14:paraId="3C203FC1">
            <w:pPr>
              <w:jc w:val="center"/>
              <w:rPr>
                <w:rFonts w:hint="default"/>
                <w:sz w:val="22"/>
                <w:szCs w:val="22"/>
                <w:highlight w:val="none"/>
                <w:lang w:val="en-US" w:eastAsia="zh-CN"/>
              </w:rPr>
            </w:pPr>
            <w:r>
              <w:rPr>
                <w:rFonts w:hint="eastAsia"/>
                <w:sz w:val="22"/>
                <w:szCs w:val="22"/>
                <w:highlight w:val="none"/>
                <w:lang w:val="en-US" w:eastAsia="zh-CN"/>
              </w:rPr>
              <w:t>62</w:t>
            </w:r>
          </w:p>
        </w:tc>
        <w:tc>
          <w:tcPr>
            <w:tcW w:w="2226" w:type="dxa"/>
            <w:vAlign w:val="center"/>
          </w:tcPr>
          <w:p w14:paraId="2CA546D8">
            <w:pPr>
              <w:jc w:val="center"/>
              <w:rPr>
                <w:rFonts w:hint="default"/>
                <w:szCs w:val="21"/>
                <w:highlight w:val="none"/>
                <w:lang w:val="en-US" w:eastAsia="zh-CN"/>
              </w:rPr>
            </w:pPr>
            <w:r>
              <w:rPr>
                <w:rFonts w:hint="eastAsia"/>
                <w:highlight w:val="none"/>
              </w:rPr>
              <w:t>不锈钢给水泵</w:t>
            </w:r>
          </w:p>
        </w:tc>
        <w:tc>
          <w:tcPr>
            <w:tcW w:w="2075" w:type="dxa"/>
            <w:shd w:val="clear" w:color="auto" w:fill="auto"/>
            <w:vAlign w:val="center"/>
          </w:tcPr>
          <w:p w14:paraId="393959A9">
            <w:pPr>
              <w:jc w:val="center"/>
              <w:rPr>
                <w:rFonts w:hint="default"/>
                <w:szCs w:val="21"/>
                <w:highlight w:val="none"/>
                <w:lang w:val="en-US" w:eastAsia="zh-CN"/>
              </w:rPr>
            </w:pPr>
            <w:r>
              <w:rPr>
                <w:rFonts w:hint="eastAsia"/>
                <w:szCs w:val="21"/>
                <w:highlight w:val="none"/>
                <w:lang w:val="en-US" w:eastAsia="zh-CN"/>
              </w:rPr>
              <w:t>2台</w:t>
            </w:r>
          </w:p>
        </w:tc>
        <w:tc>
          <w:tcPr>
            <w:tcW w:w="9548" w:type="dxa"/>
            <w:shd w:val="clear" w:color="auto" w:fill="auto"/>
            <w:vAlign w:val="top"/>
          </w:tcPr>
          <w:p w14:paraId="37E1BEEF">
            <w:pPr>
              <w:tabs>
                <w:tab w:val="left" w:pos="3400"/>
              </w:tabs>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1、电机7.5KW线圈为铜芯</w:t>
            </w:r>
          </w:p>
          <w:p w14:paraId="05642C9E">
            <w:pPr>
              <w:pStyle w:val="36"/>
              <w:numPr>
                <w:ilvl w:val="0"/>
                <w:numId w:val="0"/>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z w:val="24"/>
                <w:szCs w:val="24"/>
                <w:highlight w:val="none"/>
              </w:rPr>
              <w:t>2、泵体为不锈钢材质</w:t>
            </w:r>
          </w:p>
        </w:tc>
      </w:tr>
      <w:tr w14:paraId="1557C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621" w:hRule="atLeast"/>
        </w:trPr>
        <w:tc>
          <w:tcPr>
            <w:tcW w:w="542" w:type="dxa"/>
            <w:vAlign w:val="center"/>
          </w:tcPr>
          <w:p w14:paraId="429F498A">
            <w:pPr>
              <w:jc w:val="center"/>
              <w:rPr>
                <w:rFonts w:hint="default"/>
                <w:sz w:val="22"/>
                <w:szCs w:val="22"/>
                <w:highlight w:val="none"/>
                <w:lang w:val="en-US" w:eastAsia="zh-CN"/>
              </w:rPr>
            </w:pPr>
            <w:r>
              <w:rPr>
                <w:rFonts w:hint="eastAsia"/>
                <w:sz w:val="22"/>
                <w:szCs w:val="22"/>
                <w:highlight w:val="none"/>
                <w:lang w:val="en-US" w:eastAsia="zh-CN"/>
              </w:rPr>
              <w:t>63</w:t>
            </w:r>
          </w:p>
        </w:tc>
        <w:tc>
          <w:tcPr>
            <w:tcW w:w="2226" w:type="dxa"/>
            <w:vAlign w:val="center"/>
          </w:tcPr>
          <w:p w14:paraId="516780B5">
            <w:pPr>
              <w:jc w:val="center"/>
              <w:rPr>
                <w:rFonts w:hint="default"/>
                <w:szCs w:val="21"/>
                <w:highlight w:val="none"/>
                <w:lang w:val="en-US" w:eastAsia="zh-CN"/>
              </w:rPr>
            </w:pPr>
            <w:r>
              <w:rPr>
                <w:rFonts w:hint="eastAsia"/>
                <w:highlight w:val="none"/>
              </w:rPr>
              <w:t>节能热水箱</w:t>
            </w:r>
          </w:p>
        </w:tc>
        <w:tc>
          <w:tcPr>
            <w:tcW w:w="2075" w:type="dxa"/>
            <w:shd w:val="clear" w:color="auto" w:fill="auto"/>
            <w:vAlign w:val="center"/>
          </w:tcPr>
          <w:p w14:paraId="16C0FADC">
            <w:pPr>
              <w:jc w:val="center"/>
              <w:rPr>
                <w:rFonts w:hint="default"/>
                <w:szCs w:val="21"/>
                <w:highlight w:val="none"/>
                <w:lang w:val="en-US" w:eastAsia="zh-CN"/>
              </w:rPr>
            </w:pPr>
            <w:r>
              <w:rPr>
                <w:rFonts w:hint="eastAsia"/>
                <w:szCs w:val="21"/>
                <w:highlight w:val="none"/>
                <w:lang w:val="en-US" w:eastAsia="zh-CN"/>
              </w:rPr>
              <w:t>1套</w:t>
            </w:r>
          </w:p>
        </w:tc>
        <w:tc>
          <w:tcPr>
            <w:tcW w:w="9548" w:type="dxa"/>
            <w:shd w:val="clear" w:color="auto" w:fill="auto"/>
            <w:vAlign w:val="top"/>
          </w:tcPr>
          <w:p w14:paraId="1E22F0E9">
            <w:pPr>
              <w:pStyle w:val="36"/>
              <w:numPr>
                <w:ilvl w:val="0"/>
                <w:numId w:val="0"/>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z w:val="24"/>
                <w:szCs w:val="24"/>
                <w:highlight w:val="none"/>
              </w:rPr>
              <w:t>材质：钢板6mm;GT3087管材制成。1*1.2*1.2（长宽高）</w:t>
            </w:r>
          </w:p>
        </w:tc>
      </w:tr>
      <w:tr w14:paraId="32FF35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1031" w:hRule="atLeast"/>
        </w:trPr>
        <w:tc>
          <w:tcPr>
            <w:tcW w:w="542" w:type="dxa"/>
            <w:vAlign w:val="center"/>
          </w:tcPr>
          <w:p w14:paraId="3E5C0163">
            <w:pPr>
              <w:jc w:val="center"/>
              <w:rPr>
                <w:rFonts w:hint="default"/>
                <w:sz w:val="22"/>
                <w:szCs w:val="22"/>
                <w:highlight w:val="none"/>
                <w:lang w:val="en-US" w:eastAsia="zh-CN"/>
              </w:rPr>
            </w:pPr>
            <w:r>
              <w:rPr>
                <w:rFonts w:hint="eastAsia"/>
                <w:sz w:val="22"/>
                <w:szCs w:val="22"/>
                <w:highlight w:val="none"/>
                <w:lang w:val="en-US" w:eastAsia="zh-CN"/>
              </w:rPr>
              <w:t>64</w:t>
            </w:r>
          </w:p>
        </w:tc>
        <w:tc>
          <w:tcPr>
            <w:tcW w:w="2226" w:type="dxa"/>
            <w:shd w:val="clear" w:color="auto" w:fill="auto"/>
            <w:vAlign w:val="center"/>
          </w:tcPr>
          <w:p w14:paraId="5BB97200">
            <w:pPr>
              <w:jc w:val="center"/>
              <w:rPr>
                <w:rFonts w:hint="eastAsia" w:ascii="Calibri" w:hAnsi="Calibri" w:eastAsia="微软雅黑" w:cs="Times New Roman"/>
                <w:kern w:val="2"/>
                <w:sz w:val="21"/>
                <w:szCs w:val="22"/>
                <w:highlight w:val="none"/>
                <w:lang w:val="en-US" w:eastAsia="zh-CN" w:bidi="ar-SA"/>
              </w:rPr>
            </w:pPr>
            <w:r>
              <w:rPr>
                <w:rFonts w:hint="eastAsia"/>
                <w:highlight w:val="none"/>
              </w:rPr>
              <w:t>尾气吸收塔（脱硫塔）</w:t>
            </w:r>
          </w:p>
        </w:tc>
        <w:tc>
          <w:tcPr>
            <w:tcW w:w="2075" w:type="dxa"/>
            <w:shd w:val="clear" w:color="auto" w:fill="auto"/>
            <w:vAlign w:val="center"/>
          </w:tcPr>
          <w:p w14:paraId="1D36820E">
            <w:pPr>
              <w:jc w:val="center"/>
              <w:rPr>
                <w:rFonts w:hint="eastAsia" w:ascii="Calibri" w:hAnsi="Calibri" w:eastAsia="微软雅黑" w:cs="Times New Roman"/>
                <w:kern w:val="2"/>
                <w:sz w:val="21"/>
                <w:szCs w:val="21"/>
                <w:highlight w:val="none"/>
                <w:lang w:val="en-US" w:eastAsia="zh-CN" w:bidi="ar-SA"/>
              </w:rPr>
            </w:pPr>
            <w:r>
              <w:rPr>
                <w:highlight w:val="none"/>
              </w:rPr>
              <w:t>1</w:t>
            </w:r>
            <w:r>
              <w:rPr>
                <w:rFonts w:hint="eastAsia"/>
                <w:highlight w:val="none"/>
              </w:rPr>
              <w:t>套</w:t>
            </w:r>
          </w:p>
        </w:tc>
        <w:tc>
          <w:tcPr>
            <w:tcW w:w="9548" w:type="dxa"/>
            <w:shd w:val="clear" w:color="auto" w:fill="auto"/>
            <w:vAlign w:val="top"/>
          </w:tcPr>
          <w:p w14:paraId="54A9D853">
            <w:pPr>
              <w:pStyle w:val="38"/>
              <w:numPr>
                <w:ilvl w:val="0"/>
                <w:numId w:val="0"/>
              </w:numPr>
              <w:ind w:left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内径</w:t>
            </w:r>
            <w:r>
              <w:rPr>
                <w:rFonts w:hint="eastAsia" w:asciiTheme="minorEastAsia" w:hAnsiTheme="minorEastAsia" w:eastAsiaTheme="minorEastAsia" w:cstheme="minorEastAsia"/>
                <w:sz w:val="24"/>
                <w:szCs w:val="24"/>
                <w:highlight w:val="none"/>
                <w:lang w:val="en-US" w:eastAsia="zh-CN"/>
              </w:rPr>
              <w:t>2.4</w:t>
            </w:r>
            <w:r>
              <w:rPr>
                <w:rFonts w:hint="eastAsia" w:asciiTheme="minorEastAsia" w:hAnsiTheme="minorEastAsia" w:eastAsiaTheme="minorEastAsia" w:cstheme="minorEastAsia"/>
                <w:sz w:val="24"/>
                <w:szCs w:val="24"/>
                <w:highlight w:val="none"/>
              </w:rPr>
              <w:t>米、</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层喷淋、1层旋流板、1层除雾器、塔体</w:t>
            </w:r>
            <w:r>
              <w:rPr>
                <w:rFonts w:hint="eastAsia" w:asciiTheme="minorEastAsia" w:hAnsiTheme="minorEastAsia" w:eastAsiaTheme="minorEastAsia" w:cstheme="minorEastAsia"/>
                <w:sz w:val="24"/>
                <w:szCs w:val="24"/>
                <w:highlight w:val="none"/>
                <w:lang w:val="en-US" w:eastAsia="zh-CN"/>
              </w:rPr>
              <w:t>10</w:t>
            </w:r>
            <w:r>
              <w:rPr>
                <w:rFonts w:hint="eastAsia" w:asciiTheme="minorEastAsia" w:hAnsiTheme="minorEastAsia" w:eastAsiaTheme="minorEastAsia" w:cstheme="minorEastAsia"/>
                <w:sz w:val="24"/>
                <w:szCs w:val="24"/>
                <w:highlight w:val="none"/>
              </w:rPr>
              <w:t>米（外6㎜、内衬4㎜钢板）。烟囱4㎜钢板制成12米</w:t>
            </w:r>
          </w:p>
          <w:p w14:paraId="72653BF7">
            <w:pPr>
              <w:pStyle w:val="36"/>
              <w:numPr>
                <w:ilvl w:val="0"/>
                <w:numId w:val="0"/>
              </w:numPr>
              <w:spacing w:before="30" w:line="219" w:lineRule="auto"/>
              <w:ind w:left="0" w:leftChars="0" w:firstLine="0" w:firstLineChars="0"/>
              <w:rPr>
                <w:rFonts w:hint="eastAsia" w:asciiTheme="minorEastAsia" w:hAnsiTheme="minorEastAsia" w:eastAsiaTheme="minorEastAsia" w:cstheme="minorEastAsia"/>
                <w:kern w:val="2"/>
                <w:sz w:val="24"/>
                <w:szCs w:val="24"/>
                <w:highlight w:val="none"/>
                <w:lang w:val="en-US" w:eastAsia="en-US" w:bidi="ar-SA"/>
              </w:rPr>
            </w:pP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脱硫泵2台，</w:t>
            </w:r>
            <w:r>
              <w:rPr>
                <w:rFonts w:hint="eastAsia" w:asciiTheme="minorEastAsia" w:hAnsiTheme="minorEastAsia" w:eastAsiaTheme="minorEastAsia" w:cstheme="minorEastAsia"/>
                <w:sz w:val="24"/>
                <w:szCs w:val="24"/>
                <w:highlight w:val="none"/>
                <w:lang w:val="en-US" w:eastAsia="zh-CN"/>
              </w:rPr>
              <w:t>5.5</w:t>
            </w:r>
            <w:r>
              <w:rPr>
                <w:rFonts w:hint="eastAsia" w:asciiTheme="minorEastAsia" w:hAnsiTheme="minorEastAsia" w:eastAsiaTheme="minorEastAsia" w:cstheme="minorEastAsia"/>
                <w:sz w:val="24"/>
                <w:szCs w:val="24"/>
                <w:highlight w:val="none"/>
              </w:rPr>
              <w:t>KW</w:t>
            </w:r>
          </w:p>
        </w:tc>
      </w:tr>
      <w:tr w14:paraId="1BC03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807" w:hRule="atLeast"/>
        </w:trPr>
        <w:tc>
          <w:tcPr>
            <w:tcW w:w="542" w:type="dxa"/>
            <w:vAlign w:val="center"/>
          </w:tcPr>
          <w:p w14:paraId="355D29DE">
            <w:pPr>
              <w:jc w:val="center"/>
              <w:rPr>
                <w:rFonts w:hint="default"/>
                <w:sz w:val="22"/>
                <w:szCs w:val="22"/>
                <w:highlight w:val="none"/>
                <w:lang w:val="en-US" w:eastAsia="zh-CN"/>
              </w:rPr>
            </w:pPr>
            <w:r>
              <w:rPr>
                <w:rFonts w:hint="eastAsia"/>
                <w:sz w:val="22"/>
                <w:szCs w:val="22"/>
                <w:highlight w:val="none"/>
                <w:lang w:val="en-US" w:eastAsia="zh-CN"/>
              </w:rPr>
              <w:t>65</w:t>
            </w:r>
          </w:p>
        </w:tc>
        <w:tc>
          <w:tcPr>
            <w:tcW w:w="2226" w:type="dxa"/>
            <w:shd w:val="clear" w:color="auto" w:fill="auto"/>
            <w:vAlign w:val="center"/>
          </w:tcPr>
          <w:p w14:paraId="7F598568">
            <w:pPr>
              <w:jc w:val="center"/>
              <w:rPr>
                <w:rFonts w:hint="eastAsia" w:ascii="Calibri" w:hAnsi="Calibri" w:eastAsia="微软雅黑" w:cs="Times New Roman"/>
                <w:kern w:val="2"/>
                <w:sz w:val="21"/>
                <w:szCs w:val="22"/>
                <w:highlight w:val="none"/>
                <w:lang w:val="en-US" w:eastAsia="zh-CN" w:bidi="ar-SA"/>
              </w:rPr>
            </w:pPr>
            <w:r>
              <w:rPr>
                <w:rFonts w:hint="eastAsia"/>
                <w:highlight w:val="none"/>
                <w:lang w:val="en-US" w:eastAsia="zh-CN"/>
              </w:rPr>
              <w:t>全自动水处理</w:t>
            </w:r>
          </w:p>
        </w:tc>
        <w:tc>
          <w:tcPr>
            <w:tcW w:w="2075" w:type="dxa"/>
            <w:shd w:val="clear" w:color="auto" w:fill="auto"/>
            <w:vAlign w:val="center"/>
          </w:tcPr>
          <w:p w14:paraId="054773D2">
            <w:pPr>
              <w:jc w:val="center"/>
              <w:rPr>
                <w:rFonts w:hint="eastAsia" w:ascii="Calibri" w:hAnsi="Calibri" w:eastAsia="微软雅黑" w:cs="Times New Roman"/>
                <w:kern w:val="2"/>
                <w:sz w:val="21"/>
                <w:szCs w:val="22"/>
                <w:highlight w:val="none"/>
                <w:lang w:val="en-US" w:eastAsia="zh-CN" w:bidi="ar-SA"/>
              </w:rPr>
            </w:pPr>
            <w:r>
              <w:rPr>
                <w:rFonts w:hint="eastAsia"/>
                <w:highlight w:val="none"/>
                <w:lang w:val="en-US" w:eastAsia="zh-CN"/>
              </w:rPr>
              <w:t>1台</w:t>
            </w:r>
          </w:p>
        </w:tc>
        <w:tc>
          <w:tcPr>
            <w:tcW w:w="9548" w:type="dxa"/>
            <w:shd w:val="clear" w:color="auto" w:fill="auto"/>
            <w:vAlign w:val="top"/>
          </w:tcPr>
          <w:p w14:paraId="7B6ED10A">
            <w:pPr>
              <w:pStyle w:val="36"/>
              <w:numPr>
                <w:ilvl w:val="0"/>
                <w:numId w:val="10"/>
              </w:numPr>
              <w:spacing w:before="30" w:line="219" w:lineRule="auto"/>
              <w:ind w:left="0" w:leftChars="0" w:firstLine="0"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全自动水处理出水量10吨/小时</w:t>
            </w:r>
          </w:p>
          <w:p w14:paraId="709FBC07">
            <w:pPr>
              <w:pStyle w:val="36"/>
              <w:numPr>
                <w:ilvl w:val="0"/>
                <w:numId w:val="10"/>
              </w:numPr>
              <w:spacing w:before="30" w:line="219" w:lineRule="auto"/>
              <w:ind w:left="0" w:leftChars="0" w:firstLine="0"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水循环系统</w:t>
            </w:r>
          </w:p>
        </w:tc>
      </w:tr>
      <w:tr w14:paraId="5362C2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472" w:hRule="atLeast"/>
        </w:trPr>
        <w:tc>
          <w:tcPr>
            <w:tcW w:w="542" w:type="dxa"/>
            <w:vAlign w:val="center"/>
          </w:tcPr>
          <w:p w14:paraId="430F718E">
            <w:pPr>
              <w:jc w:val="center"/>
              <w:rPr>
                <w:rFonts w:hint="default"/>
                <w:sz w:val="22"/>
                <w:szCs w:val="22"/>
                <w:highlight w:val="none"/>
                <w:lang w:val="en-US" w:eastAsia="zh-CN"/>
              </w:rPr>
            </w:pPr>
            <w:r>
              <w:rPr>
                <w:rFonts w:hint="eastAsia"/>
                <w:sz w:val="22"/>
                <w:szCs w:val="22"/>
                <w:highlight w:val="none"/>
                <w:lang w:val="en-US" w:eastAsia="zh-CN"/>
              </w:rPr>
              <w:t>66</w:t>
            </w:r>
          </w:p>
        </w:tc>
        <w:tc>
          <w:tcPr>
            <w:tcW w:w="2226" w:type="dxa"/>
            <w:shd w:val="clear" w:color="auto" w:fill="auto"/>
            <w:vAlign w:val="center"/>
          </w:tcPr>
          <w:p w14:paraId="6CA1D470">
            <w:pPr>
              <w:jc w:val="center"/>
              <w:rPr>
                <w:rFonts w:hint="eastAsia" w:ascii="Calibri" w:hAnsi="Calibri" w:eastAsia="微软雅黑" w:cs="Times New Roman"/>
                <w:kern w:val="2"/>
                <w:sz w:val="21"/>
                <w:szCs w:val="22"/>
                <w:highlight w:val="none"/>
                <w:lang w:val="en-US" w:eastAsia="zh-CN" w:bidi="ar-SA"/>
              </w:rPr>
            </w:pPr>
            <w:r>
              <w:rPr>
                <w:rFonts w:hint="eastAsia"/>
                <w:highlight w:val="none"/>
              </w:rPr>
              <w:t>分气缸</w:t>
            </w:r>
          </w:p>
        </w:tc>
        <w:tc>
          <w:tcPr>
            <w:tcW w:w="2075" w:type="dxa"/>
            <w:shd w:val="clear" w:color="auto" w:fill="auto"/>
            <w:vAlign w:val="center"/>
          </w:tcPr>
          <w:p w14:paraId="058EFCA4">
            <w:pPr>
              <w:jc w:val="center"/>
              <w:rPr>
                <w:rFonts w:hint="eastAsia" w:ascii="Calibri" w:hAnsi="Calibri" w:eastAsia="微软雅黑" w:cs="Times New Roman"/>
                <w:kern w:val="2"/>
                <w:sz w:val="21"/>
                <w:szCs w:val="21"/>
                <w:highlight w:val="none"/>
                <w:lang w:val="en-US" w:eastAsia="zh-CN" w:bidi="ar-SA"/>
              </w:rPr>
            </w:pPr>
            <w:r>
              <w:rPr>
                <w:rFonts w:hint="eastAsia"/>
                <w:szCs w:val="21"/>
                <w:highlight w:val="none"/>
                <w:lang w:val="en-US" w:eastAsia="zh-CN"/>
              </w:rPr>
              <w:t>2个</w:t>
            </w:r>
          </w:p>
        </w:tc>
        <w:tc>
          <w:tcPr>
            <w:tcW w:w="9548" w:type="dxa"/>
            <w:shd w:val="clear" w:color="auto" w:fill="auto"/>
            <w:vAlign w:val="top"/>
          </w:tcPr>
          <w:p w14:paraId="29380103">
            <w:pPr>
              <w:pStyle w:val="36"/>
              <w:numPr>
                <w:ilvl w:val="0"/>
                <w:numId w:val="0"/>
              </w:numPr>
              <w:spacing w:before="30" w:line="219" w:lineRule="auto"/>
              <w:ind w:left="0" w:leftChars="0" w:firstLine="0" w:firstLineChars="0"/>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材质Q245R</w:t>
            </w:r>
          </w:p>
        </w:tc>
      </w:tr>
      <w:tr w14:paraId="37316D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706" w:hRule="atLeast"/>
        </w:trPr>
        <w:tc>
          <w:tcPr>
            <w:tcW w:w="542" w:type="dxa"/>
            <w:vAlign w:val="center"/>
          </w:tcPr>
          <w:p w14:paraId="6B2EDFD9">
            <w:pPr>
              <w:jc w:val="center"/>
              <w:rPr>
                <w:rFonts w:hint="default"/>
                <w:sz w:val="22"/>
                <w:szCs w:val="22"/>
                <w:highlight w:val="none"/>
                <w:lang w:val="en-US" w:eastAsia="zh-CN"/>
              </w:rPr>
            </w:pPr>
            <w:r>
              <w:rPr>
                <w:rFonts w:hint="eastAsia"/>
                <w:sz w:val="22"/>
                <w:szCs w:val="22"/>
                <w:highlight w:val="none"/>
                <w:lang w:val="en-US" w:eastAsia="zh-CN"/>
              </w:rPr>
              <w:t>67</w:t>
            </w:r>
          </w:p>
        </w:tc>
        <w:tc>
          <w:tcPr>
            <w:tcW w:w="2226" w:type="dxa"/>
            <w:shd w:val="clear" w:color="auto" w:fill="auto"/>
            <w:vAlign w:val="center"/>
          </w:tcPr>
          <w:p w14:paraId="2E579C89">
            <w:pPr>
              <w:jc w:val="center"/>
              <w:rPr>
                <w:rFonts w:hint="eastAsia" w:ascii="Calibri" w:hAnsi="Calibri" w:eastAsia="微软雅黑" w:cs="Times New Roman"/>
                <w:kern w:val="2"/>
                <w:sz w:val="21"/>
                <w:szCs w:val="22"/>
                <w:highlight w:val="none"/>
                <w:lang w:val="en-US" w:eastAsia="zh-CN" w:bidi="ar-SA"/>
              </w:rPr>
            </w:pPr>
            <w:r>
              <w:rPr>
                <w:rFonts w:hint="eastAsia"/>
                <w:highlight w:val="none"/>
              </w:rPr>
              <w:t>补水箱</w:t>
            </w:r>
          </w:p>
        </w:tc>
        <w:tc>
          <w:tcPr>
            <w:tcW w:w="2075" w:type="dxa"/>
            <w:shd w:val="clear" w:color="auto" w:fill="auto"/>
            <w:vAlign w:val="center"/>
          </w:tcPr>
          <w:p w14:paraId="63A03139">
            <w:pPr>
              <w:jc w:val="center"/>
              <w:rPr>
                <w:rFonts w:hint="eastAsia" w:ascii="Calibri" w:hAnsi="Calibri" w:eastAsia="微软雅黑" w:cs="Times New Roman"/>
                <w:kern w:val="2"/>
                <w:sz w:val="21"/>
                <w:szCs w:val="21"/>
                <w:highlight w:val="none"/>
                <w:lang w:val="en-US" w:eastAsia="zh-CN" w:bidi="ar-SA"/>
              </w:rPr>
            </w:pPr>
            <w:r>
              <w:rPr>
                <w:rFonts w:hint="eastAsia"/>
                <w:highlight w:val="none"/>
              </w:rPr>
              <w:t>1</w:t>
            </w:r>
            <w:r>
              <w:rPr>
                <w:rFonts w:hint="eastAsia"/>
                <w:highlight w:val="none"/>
                <w:lang w:val="en-US" w:eastAsia="zh-CN"/>
              </w:rPr>
              <w:t>台</w:t>
            </w:r>
          </w:p>
        </w:tc>
        <w:tc>
          <w:tcPr>
            <w:tcW w:w="9548" w:type="dxa"/>
            <w:shd w:val="clear" w:color="auto" w:fill="auto"/>
            <w:vAlign w:val="top"/>
          </w:tcPr>
          <w:p w14:paraId="7DAEBC67">
            <w:pPr>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材质8</w:t>
            </w:r>
            <w:r>
              <w:rPr>
                <w:rFonts w:hint="eastAsia" w:asciiTheme="minorEastAsia" w:hAnsiTheme="minorEastAsia" w:eastAsiaTheme="minorEastAsia" w:cstheme="minorEastAsia"/>
                <w:sz w:val="24"/>
                <w:szCs w:val="24"/>
                <w:highlight w:val="none"/>
              </w:rPr>
              <w:t>mm钢板制成</w:t>
            </w:r>
          </w:p>
          <w:p w14:paraId="1CF4E7A4">
            <w:pPr>
              <w:pStyle w:val="36"/>
              <w:numPr>
                <w:ilvl w:val="0"/>
                <w:numId w:val="0"/>
              </w:numPr>
              <w:spacing w:before="30" w:line="219" w:lineRule="auto"/>
              <w:ind w:left="0" w:leftChars="0" w:firstLine="0" w:firstLineChars="0"/>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rPr>
              <w:t>2、容积</w:t>
            </w:r>
            <w:r>
              <w:rPr>
                <w:rFonts w:hint="eastAsia" w:asciiTheme="minorEastAsia" w:hAnsiTheme="minorEastAsia" w:eastAsiaTheme="minorEastAsia" w:cstheme="minorEastAsia"/>
                <w:sz w:val="24"/>
                <w:szCs w:val="24"/>
                <w:highlight w:val="none"/>
                <w:lang w:val="en-US" w:eastAsia="zh-CN"/>
              </w:rPr>
              <w:t>10</w:t>
            </w:r>
            <w:r>
              <w:rPr>
                <w:rFonts w:hint="eastAsia" w:asciiTheme="minorEastAsia" w:hAnsiTheme="minorEastAsia" w:eastAsiaTheme="minorEastAsia" w:cstheme="minorEastAsia"/>
                <w:sz w:val="24"/>
                <w:szCs w:val="24"/>
                <w:highlight w:val="none"/>
              </w:rPr>
              <w:t>立方</w:t>
            </w:r>
          </w:p>
        </w:tc>
      </w:tr>
      <w:tr w14:paraId="2CB38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90" w:hRule="atLeast"/>
        </w:trPr>
        <w:tc>
          <w:tcPr>
            <w:tcW w:w="542" w:type="dxa"/>
            <w:vAlign w:val="center"/>
          </w:tcPr>
          <w:p w14:paraId="1F7C68A6">
            <w:pPr>
              <w:jc w:val="center"/>
              <w:rPr>
                <w:rFonts w:hint="default"/>
                <w:sz w:val="22"/>
                <w:szCs w:val="22"/>
                <w:highlight w:val="none"/>
                <w:lang w:val="en-US" w:eastAsia="zh-CN"/>
              </w:rPr>
            </w:pPr>
            <w:r>
              <w:rPr>
                <w:rFonts w:hint="eastAsia"/>
                <w:sz w:val="22"/>
                <w:szCs w:val="22"/>
                <w:highlight w:val="none"/>
                <w:lang w:val="en-US" w:eastAsia="zh-CN"/>
              </w:rPr>
              <w:t>68</w:t>
            </w:r>
          </w:p>
        </w:tc>
        <w:tc>
          <w:tcPr>
            <w:tcW w:w="2226" w:type="dxa"/>
            <w:vAlign w:val="center"/>
          </w:tcPr>
          <w:p w14:paraId="482C3F83">
            <w:pPr>
              <w:tabs>
                <w:tab w:val="center" w:pos="894"/>
                <w:tab w:val="right" w:pos="1668"/>
              </w:tabs>
              <w:jc w:val="left"/>
              <w:rPr>
                <w:rFonts w:hint="default" w:eastAsia="微软雅黑"/>
                <w:szCs w:val="21"/>
                <w:highlight w:val="none"/>
                <w:lang w:val="en-US" w:eastAsia="zh-CN"/>
              </w:rPr>
            </w:pPr>
            <w:r>
              <w:rPr>
                <w:rFonts w:hint="eastAsia"/>
                <w:highlight w:val="none"/>
                <w:lang w:eastAsia="zh-CN"/>
              </w:rPr>
              <w:tab/>
            </w:r>
            <w:r>
              <w:rPr>
                <w:rFonts w:hint="eastAsia"/>
                <w:highlight w:val="none"/>
                <w:lang w:val="en-US" w:eastAsia="zh-CN"/>
              </w:rPr>
              <w:t>分气缸出气阀</w:t>
            </w:r>
          </w:p>
        </w:tc>
        <w:tc>
          <w:tcPr>
            <w:tcW w:w="2075" w:type="dxa"/>
            <w:shd w:val="clear" w:color="auto" w:fill="auto"/>
            <w:vAlign w:val="center"/>
          </w:tcPr>
          <w:p w14:paraId="6E545CCA">
            <w:pPr>
              <w:jc w:val="center"/>
              <w:rPr>
                <w:rFonts w:hint="default"/>
                <w:szCs w:val="21"/>
                <w:highlight w:val="none"/>
                <w:lang w:val="en-US" w:eastAsia="zh-CN"/>
              </w:rPr>
            </w:pPr>
            <w:r>
              <w:rPr>
                <w:rFonts w:hint="eastAsia" w:ascii="宋体" w:hAnsi="宋体" w:eastAsia="宋体" w:cs="宋体"/>
                <w:szCs w:val="21"/>
                <w:highlight w:val="none"/>
                <w:lang w:val="en-US" w:eastAsia="zh-CN"/>
              </w:rPr>
              <w:t>8m</w:t>
            </w:r>
          </w:p>
        </w:tc>
        <w:tc>
          <w:tcPr>
            <w:tcW w:w="9548" w:type="dxa"/>
            <w:shd w:val="clear" w:color="auto" w:fill="auto"/>
            <w:vAlign w:val="top"/>
          </w:tcPr>
          <w:p w14:paraId="244CC3B7">
            <w:pPr>
              <w:pStyle w:val="36"/>
              <w:numPr>
                <w:ilvl w:val="0"/>
                <w:numId w:val="0"/>
              </w:numPr>
              <w:spacing w:before="30" w:line="219" w:lineRule="auto"/>
              <w:rPr>
                <w:rFonts w:hint="eastAsia" w:asciiTheme="minorEastAsia" w:hAnsiTheme="minorEastAsia" w:eastAsiaTheme="minorEastAsia" w:cstheme="minorEastAsia"/>
                <w:spacing w:val="9"/>
                <w:sz w:val="24"/>
                <w:szCs w:val="24"/>
                <w:highlight w:val="none"/>
                <w:lang w:val="en-US" w:eastAsia="zh-CN"/>
              </w:rPr>
            </w:pPr>
            <w:r>
              <w:rPr>
                <w:rFonts w:hint="eastAsia" w:asciiTheme="minorEastAsia" w:hAnsiTheme="minorEastAsia" w:eastAsiaTheme="minorEastAsia" w:cstheme="minorEastAsia"/>
                <w:spacing w:val="9"/>
                <w:sz w:val="24"/>
                <w:szCs w:val="24"/>
                <w:highlight w:val="none"/>
                <w:lang w:val="en-US" w:eastAsia="zh-CN"/>
              </w:rPr>
              <w:t>含法兰、弯头、垫片(国标）</w:t>
            </w:r>
          </w:p>
        </w:tc>
      </w:tr>
      <w:tr w14:paraId="2A981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547" w:hRule="atLeast"/>
        </w:trPr>
        <w:tc>
          <w:tcPr>
            <w:tcW w:w="542" w:type="dxa"/>
            <w:vAlign w:val="center"/>
          </w:tcPr>
          <w:p w14:paraId="63F6F27C">
            <w:pPr>
              <w:jc w:val="center"/>
              <w:rPr>
                <w:rFonts w:hint="default"/>
                <w:sz w:val="22"/>
                <w:szCs w:val="22"/>
                <w:highlight w:val="none"/>
                <w:lang w:val="en-US" w:eastAsia="zh-CN"/>
              </w:rPr>
            </w:pPr>
            <w:r>
              <w:rPr>
                <w:rFonts w:hint="eastAsia"/>
                <w:sz w:val="22"/>
                <w:szCs w:val="22"/>
                <w:highlight w:val="none"/>
                <w:lang w:val="en-US" w:eastAsia="zh-CN"/>
              </w:rPr>
              <w:t>69</w:t>
            </w:r>
          </w:p>
        </w:tc>
        <w:tc>
          <w:tcPr>
            <w:tcW w:w="2226" w:type="dxa"/>
            <w:vAlign w:val="center"/>
          </w:tcPr>
          <w:p w14:paraId="3F4371DA">
            <w:pPr>
              <w:jc w:val="center"/>
              <w:rPr>
                <w:rFonts w:hint="default" w:eastAsia="微软雅黑"/>
                <w:highlight w:val="none"/>
                <w:lang w:val="en-US" w:eastAsia="zh-CN"/>
              </w:rPr>
            </w:pPr>
            <w:r>
              <w:rPr>
                <w:rFonts w:hint="eastAsia"/>
                <w:highlight w:val="none"/>
                <w:lang w:val="en-US" w:eastAsia="zh-CN"/>
              </w:rPr>
              <w:t>车间水管道</w:t>
            </w:r>
          </w:p>
        </w:tc>
        <w:tc>
          <w:tcPr>
            <w:tcW w:w="2075" w:type="dxa"/>
            <w:shd w:val="clear" w:color="auto" w:fill="auto"/>
            <w:vAlign w:val="center"/>
          </w:tcPr>
          <w:p w14:paraId="10E7AD2D">
            <w:pPr>
              <w:jc w:val="center"/>
              <w:rPr>
                <w:rFonts w:hint="eastAsia"/>
                <w:highlight w:val="none"/>
              </w:rPr>
            </w:pPr>
            <w:r>
              <w:rPr>
                <w:rFonts w:hint="eastAsia" w:ascii="宋体" w:hAnsi="宋体"/>
                <w:szCs w:val="21"/>
                <w:highlight w:val="none"/>
                <w:lang w:val="en-US" w:eastAsia="zh-CN"/>
              </w:rPr>
              <w:t>100</w:t>
            </w:r>
            <w:r>
              <w:rPr>
                <w:rFonts w:hint="eastAsia" w:ascii="宋体" w:hAnsi="宋体" w:eastAsia="宋体" w:cs="宋体"/>
                <w:szCs w:val="21"/>
                <w:highlight w:val="none"/>
                <w:lang w:val="en-US" w:eastAsia="zh-CN"/>
              </w:rPr>
              <w:t>m</w:t>
            </w:r>
          </w:p>
        </w:tc>
        <w:tc>
          <w:tcPr>
            <w:tcW w:w="9548" w:type="dxa"/>
            <w:shd w:val="clear" w:color="auto" w:fill="auto"/>
            <w:vAlign w:val="top"/>
          </w:tcPr>
          <w:p w14:paraId="26C439C0">
            <w:pPr>
              <w:pStyle w:val="36"/>
              <w:numPr>
                <w:ilvl w:val="0"/>
                <w:numId w:val="0"/>
              </w:numPr>
              <w:spacing w:before="30" w:line="219"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含弯头、阀门（国标）</w:t>
            </w:r>
          </w:p>
        </w:tc>
      </w:tr>
      <w:tr w14:paraId="33F259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488" w:hRule="atLeast"/>
        </w:trPr>
        <w:tc>
          <w:tcPr>
            <w:tcW w:w="542" w:type="dxa"/>
            <w:vAlign w:val="center"/>
          </w:tcPr>
          <w:p w14:paraId="487E405C">
            <w:pPr>
              <w:jc w:val="center"/>
              <w:rPr>
                <w:rFonts w:hint="default"/>
                <w:sz w:val="22"/>
                <w:szCs w:val="22"/>
                <w:highlight w:val="none"/>
                <w:lang w:val="en-US" w:eastAsia="zh-CN"/>
              </w:rPr>
            </w:pPr>
            <w:r>
              <w:rPr>
                <w:rFonts w:hint="eastAsia"/>
                <w:sz w:val="22"/>
                <w:szCs w:val="22"/>
                <w:highlight w:val="none"/>
                <w:lang w:val="en-US" w:eastAsia="zh-CN"/>
              </w:rPr>
              <w:t>70</w:t>
            </w:r>
          </w:p>
        </w:tc>
        <w:tc>
          <w:tcPr>
            <w:tcW w:w="2226" w:type="dxa"/>
            <w:vAlign w:val="center"/>
          </w:tcPr>
          <w:p w14:paraId="5F2CE4F6">
            <w:pPr>
              <w:jc w:val="center"/>
              <w:rPr>
                <w:rFonts w:hint="eastAsia" w:eastAsia="微软雅黑"/>
                <w:highlight w:val="none"/>
                <w:lang w:val="en-US" w:eastAsia="zh-CN"/>
              </w:rPr>
            </w:pPr>
            <w:r>
              <w:rPr>
                <w:rFonts w:hint="eastAsia"/>
                <w:highlight w:val="none"/>
                <w:lang w:val="en-US" w:eastAsia="zh-CN"/>
              </w:rPr>
              <w:t>桥架</w:t>
            </w:r>
          </w:p>
        </w:tc>
        <w:tc>
          <w:tcPr>
            <w:tcW w:w="2075" w:type="dxa"/>
            <w:shd w:val="clear" w:color="auto" w:fill="auto"/>
            <w:vAlign w:val="center"/>
          </w:tcPr>
          <w:p w14:paraId="4567EC7F">
            <w:pPr>
              <w:jc w:val="center"/>
              <w:rPr>
                <w:rFonts w:hint="eastAsia"/>
                <w:highlight w:val="none"/>
              </w:rPr>
            </w:pPr>
            <w:r>
              <w:rPr>
                <w:rFonts w:hint="eastAsia" w:ascii="宋体" w:hAnsi="宋体" w:eastAsia="宋体" w:cs="宋体"/>
                <w:szCs w:val="21"/>
                <w:highlight w:val="none"/>
                <w:lang w:val="en-US" w:eastAsia="zh-CN"/>
              </w:rPr>
              <w:t>300m</w:t>
            </w:r>
          </w:p>
        </w:tc>
        <w:tc>
          <w:tcPr>
            <w:tcW w:w="9548" w:type="dxa"/>
            <w:shd w:val="clear" w:color="auto" w:fill="auto"/>
            <w:vAlign w:val="top"/>
          </w:tcPr>
          <w:p w14:paraId="35A97570">
            <w:pPr>
              <w:pStyle w:val="36"/>
              <w:numPr>
                <w:ilvl w:val="0"/>
                <w:numId w:val="0"/>
              </w:numPr>
              <w:spacing w:before="30" w:line="219"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200*200mm，含弯头，接头（国标）</w:t>
            </w:r>
          </w:p>
        </w:tc>
      </w:tr>
      <w:tr w14:paraId="4D9224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723" w:hRule="atLeast"/>
        </w:trPr>
        <w:tc>
          <w:tcPr>
            <w:tcW w:w="542" w:type="dxa"/>
            <w:vAlign w:val="center"/>
          </w:tcPr>
          <w:p w14:paraId="7D6310F2">
            <w:pPr>
              <w:jc w:val="center"/>
              <w:rPr>
                <w:rFonts w:hint="default"/>
                <w:sz w:val="22"/>
                <w:szCs w:val="22"/>
                <w:highlight w:val="none"/>
                <w:lang w:val="en-US" w:eastAsia="zh-CN"/>
              </w:rPr>
            </w:pPr>
            <w:r>
              <w:rPr>
                <w:rFonts w:hint="eastAsia"/>
                <w:sz w:val="22"/>
                <w:szCs w:val="22"/>
                <w:highlight w:val="none"/>
                <w:lang w:val="en-US" w:eastAsia="zh-CN"/>
              </w:rPr>
              <w:t>71</w:t>
            </w:r>
          </w:p>
        </w:tc>
        <w:tc>
          <w:tcPr>
            <w:tcW w:w="2226" w:type="dxa"/>
            <w:vAlign w:val="center"/>
          </w:tcPr>
          <w:p w14:paraId="65F31417">
            <w:pPr>
              <w:jc w:val="center"/>
              <w:rPr>
                <w:rFonts w:hint="default"/>
                <w:highlight w:val="none"/>
                <w:lang w:val="en-US" w:eastAsia="zh-CN"/>
              </w:rPr>
            </w:pPr>
            <w:r>
              <w:rPr>
                <w:rFonts w:hint="eastAsia"/>
                <w:highlight w:val="none"/>
                <w:lang w:val="en-US" w:eastAsia="zh-CN"/>
              </w:rPr>
              <w:t>PLC控制柜（车间分柜）</w:t>
            </w:r>
          </w:p>
        </w:tc>
        <w:tc>
          <w:tcPr>
            <w:tcW w:w="2075" w:type="dxa"/>
            <w:shd w:val="clear" w:color="auto" w:fill="auto"/>
            <w:vAlign w:val="center"/>
          </w:tcPr>
          <w:p w14:paraId="64285EC7">
            <w:pPr>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6只</w:t>
            </w:r>
          </w:p>
        </w:tc>
        <w:tc>
          <w:tcPr>
            <w:tcW w:w="9548" w:type="dxa"/>
            <w:shd w:val="clear" w:color="auto" w:fill="auto"/>
            <w:vAlign w:val="top"/>
          </w:tcPr>
          <w:p w14:paraId="2DD4C2F6">
            <w:pPr>
              <w:pStyle w:val="36"/>
              <w:numPr>
                <w:ilvl w:val="0"/>
                <w:numId w:val="0"/>
              </w:numPr>
              <w:spacing w:before="30" w:line="219"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不锈钢材质SUS304（国标），1.5mm板材</w:t>
            </w:r>
          </w:p>
        </w:tc>
      </w:tr>
      <w:tr w14:paraId="6B66D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649" w:hRule="atLeast"/>
        </w:trPr>
        <w:tc>
          <w:tcPr>
            <w:tcW w:w="542" w:type="dxa"/>
            <w:vAlign w:val="center"/>
          </w:tcPr>
          <w:p w14:paraId="6D472B8E">
            <w:pPr>
              <w:jc w:val="center"/>
              <w:rPr>
                <w:rFonts w:hint="default"/>
                <w:sz w:val="22"/>
                <w:szCs w:val="22"/>
                <w:highlight w:val="none"/>
                <w:lang w:val="en-US" w:eastAsia="zh-CN"/>
              </w:rPr>
            </w:pPr>
            <w:r>
              <w:rPr>
                <w:rFonts w:hint="eastAsia"/>
                <w:sz w:val="22"/>
                <w:szCs w:val="22"/>
                <w:highlight w:val="none"/>
                <w:lang w:val="en-US" w:eastAsia="zh-CN"/>
              </w:rPr>
              <w:t>72</w:t>
            </w:r>
          </w:p>
        </w:tc>
        <w:tc>
          <w:tcPr>
            <w:tcW w:w="2226" w:type="dxa"/>
            <w:vAlign w:val="center"/>
          </w:tcPr>
          <w:p w14:paraId="14AA4108">
            <w:pPr>
              <w:jc w:val="center"/>
              <w:rPr>
                <w:rFonts w:hint="eastAsia"/>
                <w:highlight w:val="none"/>
                <w:lang w:val="en-US" w:eastAsia="zh-CN"/>
              </w:rPr>
            </w:pPr>
            <w:r>
              <w:rPr>
                <w:rFonts w:hint="eastAsia"/>
                <w:highlight w:val="none"/>
                <w:lang w:val="en-US" w:eastAsia="zh-CN"/>
              </w:rPr>
              <w:t>PLC控制柜（车间总柜）</w:t>
            </w:r>
          </w:p>
        </w:tc>
        <w:tc>
          <w:tcPr>
            <w:tcW w:w="2075" w:type="dxa"/>
            <w:shd w:val="clear" w:color="auto" w:fill="auto"/>
            <w:vAlign w:val="center"/>
          </w:tcPr>
          <w:p w14:paraId="09EF1447">
            <w:pPr>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2只</w:t>
            </w:r>
          </w:p>
        </w:tc>
        <w:tc>
          <w:tcPr>
            <w:tcW w:w="9548" w:type="dxa"/>
            <w:shd w:val="clear" w:color="auto" w:fill="auto"/>
            <w:vAlign w:val="top"/>
          </w:tcPr>
          <w:p w14:paraId="7FD7755F">
            <w:pPr>
              <w:pStyle w:val="36"/>
              <w:numPr>
                <w:ilvl w:val="0"/>
                <w:numId w:val="0"/>
              </w:numPr>
              <w:spacing w:before="30" w:line="219"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不锈钢材质SUS304（国标），1.5mm板材</w:t>
            </w:r>
          </w:p>
        </w:tc>
      </w:tr>
      <w:tr w14:paraId="111E63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882" w:hRule="atLeast"/>
        </w:trPr>
        <w:tc>
          <w:tcPr>
            <w:tcW w:w="542" w:type="dxa"/>
            <w:shd w:val="clear" w:color="auto" w:fill="auto"/>
            <w:vAlign w:val="center"/>
          </w:tcPr>
          <w:p w14:paraId="30B9848B">
            <w:pPr>
              <w:jc w:val="center"/>
              <w:rPr>
                <w:rFonts w:hint="eastAsia" w:ascii="Calibri" w:hAnsi="Calibri" w:eastAsia="微软雅黑" w:cs="Times New Roman"/>
                <w:kern w:val="2"/>
                <w:sz w:val="22"/>
                <w:szCs w:val="22"/>
                <w:highlight w:val="none"/>
                <w:lang w:val="en-US" w:eastAsia="zh-CN" w:bidi="ar-SA"/>
              </w:rPr>
            </w:pPr>
            <w:r>
              <w:rPr>
                <w:rFonts w:hint="eastAsia"/>
                <w:sz w:val="22"/>
                <w:szCs w:val="22"/>
                <w:highlight w:val="none"/>
                <w:lang w:val="en-US" w:eastAsia="zh-CN"/>
              </w:rPr>
              <w:t>73</w:t>
            </w:r>
          </w:p>
        </w:tc>
        <w:tc>
          <w:tcPr>
            <w:tcW w:w="2226" w:type="dxa"/>
            <w:vAlign w:val="center"/>
          </w:tcPr>
          <w:p w14:paraId="05B8627C">
            <w:pPr>
              <w:jc w:val="center"/>
              <w:rPr>
                <w:rFonts w:hint="eastAsia"/>
                <w:highlight w:val="none"/>
                <w:lang w:val="en-US" w:eastAsia="zh-CN"/>
              </w:rPr>
            </w:pPr>
            <w:r>
              <w:rPr>
                <w:rFonts w:hint="eastAsia"/>
                <w:highlight w:val="none"/>
                <w:lang w:val="en-US" w:eastAsia="zh-CN"/>
              </w:rPr>
              <w:t>电线电缆</w:t>
            </w:r>
          </w:p>
        </w:tc>
        <w:tc>
          <w:tcPr>
            <w:tcW w:w="2075" w:type="dxa"/>
            <w:shd w:val="clear" w:color="auto" w:fill="auto"/>
            <w:vAlign w:val="center"/>
          </w:tcPr>
          <w:p w14:paraId="2ECAFC00">
            <w:pPr>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500m</w:t>
            </w:r>
          </w:p>
        </w:tc>
        <w:tc>
          <w:tcPr>
            <w:tcW w:w="9548" w:type="dxa"/>
            <w:shd w:val="clear" w:color="auto" w:fill="auto"/>
            <w:vAlign w:val="top"/>
          </w:tcPr>
          <w:p w14:paraId="5446D7D8">
            <w:pPr>
              <w:pStyle w:val="36"/>
              <w:numPr>
                <w:ilvl w:val="0"/>
                <w:numId w:val="0"/>
              </w:numPr>
              <w:spacing w:before="30" w:line="219"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3*1.5²（国标）</w:t>
            </w:r>
          </w:p>
        </w:tc>
      </w:tr>
      <w:tr w14:paraId="5614D0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701" w:hRule="atLeast"/>
        </w:trPr>
        <w:tc>
          <w:tcPr>
            <w:tcW w:w="542" w:type="dxa"/>
            <w:shd w:val="clear" w:color="auto" w:fill="auto"/>
            <w:vAlign w:val="center"/>
          </w:tcPr>
          <w:p w14:paraId="1824A287">
            <w:pPr>
              <w:jc w:val="center"/>
              <w:rPr>
                <w:rFonts w:hint="eastAsia" w:ascii="Calibri" w:hAnsi="Calibri" w:eastAsia="微软雅黑" w:cs="Times New Roman"/>
                <w:kern w:val="2"/>
                <w:sz w:val="22"/>
                <w:szCs w:val="22"/>
                <w:highlight w:val="none"/>
                <w:lang w:val="en-US" w:eastAsia="zh-CN" w:bidi="ar-SA"/>
              </w:rPr>
            </w:pPr>
            <w:r>
              <w:rPr>
                <w:rFonts w:hint="eastAsia"/>
                <w:sz w:val="22"/>
                <w:szCs w:val="22"/>
                <w:highlight w:val="none"/>
                <w:lang w:val="en-US" w:eastAsia="zh-CN"/>
              </w:rPr>
              <w:t>74</w:t>
            </w:r>
          </w:p>
        </w:tc>
        <w:tc>
          <w:tcPr>
            <w:tcW w:w="2226" w:type="dxa"/>
            <w:vAlign w:val="center"/>
          </w:tcPr>
          <w:p w14:paraId="6482635D">
            <w:pPr>
              <w:jc w:val="center"/>
              <w:rPr>
                <w:rFonts w:hint="eastAsia"/>
                <w:highlight w:val="none"/>
                <w:lang w:val="en-US" w:eastAsia="zh-CN"/>
              </w:rPr>
            </w:pPr>
            <w:r>
              <w:rPr>
                <w:rFonts w:hint="eastAsia"/>
                <w:highlight w:val="none"/>
                <w:lang w:val="en-US" w:eastAsia="zh-CN"/>
              </w:rPr>
              <w:t>电线电缆</w:t>
            </w:r>
          </w:p>
        </w:tc>
        <w:tc>
          <w:tcPr>
            <w:tcW w:w="2075" w:type="dxa"/>
            <w:shd w:val="clear" w:color="auto" w:fill="auto"/>
            <w:vAlign w:val="center"/>
          </w:tcPr>
          <w:p w14:paraId="18749CC3">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500m</w:t>
            </w:r>
          </w:p>
        </w:tc>
        <w:tc>
          <w:tcPr>
            <w:tcW w:w="9548" w:type="dxa"/>
            <w:shd w:val="clear" w:color="auto" w:fill="auto"/>
            <w:vAlign w:val="top"/>
          </w:tcPr>
          <w:p w14:paraId="44B4683D">
            <w:pPr>
              <w:pStyle w:val="36"/>
              <w:numPr>
                <w:ilvl w:val="0"/>
                <w:numId w:val="0"/>
              </w:numPr>
              <w:spacing w:before="30" w:line="219"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3*4²（国标）</w:t>
            </w:r>
          </w:p>
        </w:tc>
      </w:tr>
      <w:tr w14:paraId="44BD42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776" w:hRule="atLeast"/>
        </w:trPr>
        <w:tc>
          <w:tcPr>
            <w:tcW w:w="542" w:type="dxa"/>
            <w:shd w:val="clear" w:color="auto" w:fill="auto"/>
            <w:vAlign w:val="center"/>
          </w:tcPr>
          <w:p w14:paraId="72DAA061">
            <w:pPr>
              <w:jc w:val="center"/>
              <w:rPr>
                <w:rFonts w:hint="default" w:ascii="Calibri" w:hAnsi="Calibri" w:eastAsia="微软雅黑" w:cs="Times New Roman"/>
                <w:kern w:val="2"/>
                <w:sz w:val="22"/>
                <w:szCs w:val="22"/>
                <w:highlight w:val="none"/>
                <w:lang w:val="en-US" w:eastAsia="zh-CN" w:bidi="ar-SA"/>
              </w:rPr>
            </w:pPr>
            <w:r>
              <w:rPr>
                <w:rFonts w:hint="eastAsia"/>
                <w:sz w:val="22"/>
                <w:szCs w:val="22"/>
                <w:highlight w:val="none"/>
                <w:lang w:val="en-US" w:eastAsia="zh-CN"/>
              </w:rPr>
              <w:t>75</w:t>
            </w:r>
          </w:p>
        </w:tc>
        <w:tc>
          <w:tcPr>
            <w:tcW w:w="2226" w:type="dxa"/>
            <w:vAlign w:val="center"/>
          </w:tcPr>
          <w:p w14:paraId="7F21F052">
            <w:pPr>
              <w:jc w:val="center"/>
              <w:rPr>
                <w:rFonts w:hint="default" w:eastAsia="微软雅黑"/>
                <w:highlight w:val="none"/>
                <w:lang w:val="en-US" w:eastAsia="zh-CN"/>
              </w:rPr>
            </w:pPr>
            <w:r>
              <w:rPr>
                <w:rFonts w:hint="eastAsia"/>
                <w:highlight w:val="none"/>
                <w:lang w:val="en-US" w:eastAsia="zh-CN"/>
              </w:rPr>
              <w:t>电线电缆</w:t>
            </w:r>
          </w:p>
        </w:tc>
        <w:tc>
          <w:tcPr>
            <w:tcW w:w="2075" w:type="dxa"/>
            <w:shd w:val="clear" w:color="auto" w:fill="auto"/>
            <w:vAlign w:val="center"/>
          </w:tcPr>
          <w:p w14:paraId="6EC2887A">
            <w:pPr>
              <w:jc w:val="center"/>
              <w:rPr>
                <w:rFonts w:hint="eastAsia"/>
                <w:highlight w:val="none"/>
              </w:rPr>
            </w:pPr>
            <w:r>
              <w:rPr>
                <w:rFonts w:hint="eastAsia" w:ascii="宋体" w:hAnsi="宋体" w:eastAsia="宋体" w:cs="宋体"/>
                <w:szCs w:val="21"/>
                <w:highlight w:val="none"/>
                <w:lang w:val="en-US" w:eastAsia="zh-CN"/>
              </w:rPr>
              <w:t>500m</w:t>
            </w:r>
          </w:p>
        </w:tc>
        <w:tc>
          <w:tcPr>
            <w:tcW w:w="9548" w:type="dxa"/>
            <w:shd w:val="clear" w:color="auto" w:fill="auto"/>
            <w:vAlign w:val="top"/>
          </w:tcPr>
          <w:p w14:paraId="4D9CBCAC">
            <w:pPr>
              <w:pStyle w:val="36"/>
              <w:numPr>
                <w:ilvl w:val="0"/>
                <w:numId w:val="0"/>
              </w:numPr>
              <w:spacing w:before="30" w:line="219"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3*16²+1*6（国标）</w:t>
            </w:r>
          </w:p>
        </w:tc>
      </w:tr>
      <w:tr w14:paraId="7D1018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680" w:hRule="atLeast"/>
        </w:trPr>
        <w:tc>
          <w:tcPr>
            <w:tcW w:w="542" w:type="dxa"/>
            <w:vAlign w:val="center"/>
          </w:tcPr>
          <w:p w14:paraId="453AE6E5">
            <w:pPr>
              <w:jc w:val="center"/>
              <w:rPr>
                <w:rFonts w:hint="default"/>
                <w:sz w:val="22"/>
                <w:szCs w:val="22"/>
                <w:highlight w:val="none"/>
                <w:lang w:val="en-US" w:eastAsia="zh-CN"/>
              </w:rPr>
            </w:pPr>
            <w:r>
              <w:rPr>
                <w:rFonts w:hint="eastAsia"/>
                <w:sz w:val="22"/>
                <w:szCs w:val="22"/>
                <w:highlight w:val="none"/>
                <w:lang w:val="en-US" w:eastAsia="zh-CN"/>
              </w:rPr>
              <w:t>76</w:t>
            </w:r>
          </w:p>
        </w:tc>
        <w:tc>
          <w:tcPr>
            <w:tcW w:w="2226" w:type="dxa"/>
            <w:vAlign w:val="center"/>
          </w:tcPr>
          <w:p w14:paraId="49596F08">
            <w:pPr>
              <w:jc w:val="center"/>
              <w:rPr>
                <w:rFonts w:hint="eastAsia"/>
                <w:highlight w:val="none"/>
              </w:rPr>
            </w:pPr>
            <w:r>
              <w:rPr>
                <w:rFonts w:hint="eastAsia"/>
                <w:highlight w:val="none"/>
                <w:lang w:val="en-US" w:eastAsia="zh-CN"/>
              </w:rPr>
              <w:t>电线电缆</w:t>
            </w:r>
          </w:p>
        </w:tc>
        <w:tc>
          <w:tcPr>
            <w:tcW w:w="2075" w:type="dxa"/>
            <w:shd w:val="clear" w:color="auto" w:fill="auto"/>
            <w:vAlign w:val="center"/>
          </w:tcPr>
          <w:p w14:paraId="13BD29F2">
            <w:pPr>
              <w:jc w:val="center"/>
              <w:rPr>
                <w:rFonts w:hint="eastAsia"/>
                <w:highlight w:val="none"/>
              </w:rPr>
            </w:pPr>
            <w:r>
              <w:rPr>
                <w:rFonts w:hint="eastAsia" w:ascii="宋体" w:hAnsi="宋体" w:eastAsia="宋体" w:cs="宋体"/>
                <w:szCs w:val="21"/>
                <w:highlight w:val="none"/>
                <w:lang w:val="en-US" w:eastAsia="zh-CN"/>
              </w:rPr>
              <w:t>300m</w:t>
            </w:r>
          </w:p>
        </w:tc>
        <w:tc>
          <w:tcPr>
            <w:tcW w:w="9548" w:type="dxa"/>
            <w:shd w:val="clear" w:color="auto" w:fill="auto"/>
            <w:vAlign w:val="top"/>
          </w:tcPr>
          <w:p w14:paraId="38663100">
            <w:pPr>
              <w:pStyle w:val="36"/>
              <w:numPr>
                <w:ilvl w:val="0"/>
                <w:numId w:val="0"/>
              </w:numPr>
              <w:spacing w:before="30" w:line="219"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1*90²（国标）</w:t>
            </w:r>
          </w:p>
        </w:tc>
      </w:tr>
      <w:tr w14:paraId="6AC24E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810" w:hRule="atLeast"/>
        </w:trPr>
        <w:tc>
          <w:tcPr>
            <w:tcW w:w="542" w:type="dxa"/>
            <w:vAlign w:val="center"/>
          </w:tcPr>
          <w:p w14:paraId="0D66D1E1">
            <w:pPr>
              <w:jc w:val="center"/>
              <w:rPr>
                <w:rFonts w:hint="default"/>
                <w:sz w:val="22"/>
                <w:szCs w:val="22"/>
                <w:highlight w:val="none"/>
                <w:lang w:val="en-US" w:eastAsia="zh-CN"/>
              </w:rPr>
            </w:pPr>
            <w:r>
              <w:rPr>
                <w:rFonts w:hint="eastAsia"/>
                <w:sz w:val="22"/>
                <w:szCs w:val="22"/>
                <w:highlight w:val="none"/>
                <w:lang w:val="en-US" w:eastAsia="zh-CN"/>
              </w:rPr>
              <w:t>77</w:t>
            </w:r>
          </w:p>
        </w:tc>
        <w:tc>
          <w:tcPr>
            <w:tcW w:w="2226" w:type="dxa"/>
            <w:vAlign w:val="center"/>
          </w:tcPr>
          <w:p w14:paraId="2FABF1EE">
            <w:pPr>
              <w:jc w:val="center"/>
              <w:rPr>
                <w:rFonts w:hint="eastAsia"/>
                <w:highlight w:val="none"/>
                <w:lang w:val="en-US" w:eastAsia="zh-CN"/>
              </w:rPr>
            </w:pPr>
            <w:r>
              <w:rPr>
                <w:rFonts w:hint="eastAsia"/>
                <w:highlight w:val="none"/>
                <w:lang w:val="en-US" w:eastAsia="zh-CN"/>
              </w:rPr>
              <w:t>电线电缆</w:t>
            </w:r>
          </w:p>
        </w:tc>
        <w:tc>
          <w:tcPr>
            <w:tcW w:w="2075" w:type="dxa"/>
            <w:shd w:val="clear" w:color="auto" w:fill="auto"/>
            <w:vAlign w:val="center"/>
          </w:tcPr>
          <w:p w14:paraId="51B9EF8F">
            <w:pPr>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300m</w:t>
            </w:r>
          </w:p>
        </w:tc>
        <w:tc>
          <w:tcPr>
            <w:tcW w:w="9548" w:type="dxa"/>
            <w:shd w:val="clear" w:color="auto" w:fill="auto"/>
            <w:vAlign w:val="top"/>
          </w:tcPr>
          <w:p w14:paraId="38A85C07">
            <w:pPr>
              <w:pStyle w:val="36"/>
              <w:numPr>
                <w:ilvl w:val="0"/>
                <w:numId w:val="0"/>
              </w:numPr>
              <w:spacing w:before="30" w:line="219"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1*150²（国标）</w:t>
            </w:r>
          </w:p>
        </w:tc>
      </w:tr>
    </w:tbl>
    <w:p w14:paraId="5D45EC26">
      <w:pPr>
        <w:tabs>
          <w:tab w:val="left" w:pos="751"/>
        </w:tabs>
        <w:bidi w:val="0"/>
        <w:jc w:val="left"/>
        <w:rPr>
          <w:rFonts w:hint="default"/>
          <w:highlight w:val="none"/>
          <w:lang w:eastAsia="zh-CN"/>
        </w:rPr>
      </w:pPr>
    </w:p>
    <w:p w14:paraId="073DFAB6">
      <w:pPr>
        <w:rPr>
          <w:rFonts w:hint="eastAsia"/>
          <w:highlight w:val="none"/>
        </w:rPr>
        <w:sectPr>
          <w:pgSz w:w="16838" w:h="11906" w:orient="landscape"/>
          <w:pgMar w:top="1417" w:right="1417" w:bottom="1417" w:left="1417" w:header="851" w:footer="992" w:gutter="0"/>
          <w:pgNumType w:fmt="decimal"/>
          <w:cols w:space="720" w:num="1"/>
          <w:docGrid w:linePitch="312" w:charSpace="0"/>
        </w:sectPr>
      </w:pPr>
    </w:p>
    <w:p w14:paraId="148567A7">
      <w:pPr>
        <w:pStyle w:val="7"/>
        <w:spacing w:before="78" w:line="221" w:lineRule="auto"/>
        <w:ind w:left="123"/>
        <w:rPr>
          <w:sz w:val="24"/>
          <w:szCs w:val="24"/>
          <w:highlight w:val="none"/>
        </w:rPr>
      </w:pPr>
      <w:r>
        <w:rPr>
          <w:b/>
          <w:bCs/>
          <w:spacing w:val="-7"/>
          <w:sz w:val="24"/>
          <w:szCs w:val="24"/>
          <w:highlight w:val="none"/>
        </w:rPr>
        <w:t>备注：</w:t>
      </w:r>
    </w:p>
    <w:p w14:paraId="5BBC823A">
      <w:pPr>
        <w:pStyle w:val="7"/>
        <w:spacing w:before="180" w:line="219" w:lineRule="auto"/>
        <w:ind w:left="124"/>
        <w:rPr>
          <w:sz w:val="24"/>
          <w:szCs w:val="24"/>
          <w:highlight w:val="none"/>
        </w:rPr>
      </w:pPr>
      <w:r>
        <w:rPr>
          <w:b/>
          <w:bCs/>
          <w:spacing w:val="-2"/>
          <w:sz w:val="24"/>
          <w:szCs w:val="24"/>
          <w:highlight w:val="none"/>
        </w:rPr>
        <w:t>必读:</w:t>
      </w:r>
      <w:r>
        <w:rPr>
          <w:spacing w:val="-2"/>
          <w:sz w:val="24"/>
          <w:szCs w:val="24"/>
          <w:highlight w:val="none"/>
        </w:rPr>
        <w:t xml:space="preserve"> </w:t>
      </w:r>
      <w:r>
        <w:rPr>
          <w:b/>
          <w:bCs/>
          <w:spacing w:val="-2"/>
          <w:sz w:val="24"/>
          <w:szCs w:val="24"/>
          <w:highlight w:val="none"/>
        </w:rPr>
        <w:t>1.参数无指向任何品牌型号，如参数与某家参数雷同，仅供参考。</w:t>
      </w:r>
    </w:p>
    <w:p w14:paraId="4DD322DC">
      <w:pPr>
        <w:pStyle w:val="7"/>
        <w:spacing w:before="180" w:line="219" w:lineRule="auto"/>
        <w:ind w:left="123"/>
        <w:rPr>
          <w:sz w:val="24"/>
          <w:szCs w:val="24"/>
          <w:highlight w:val="none"/>
        </w:rPr>
      </w:pPr>
      <w:r>
        <w:rPr>
          <w:b/>
          <w:bCs/>
          <w:spacing w:val="-2"/>
          <w:sz w:val="24"/>
          <w:szCs w:val="24"/>
          <w:highlight w:val="none"/>
        </w:rPr>
        <w:t>2.投标人应确保投标产品质量，禁止投标人所供的物资以次</w:t>
      </w:r>
      <w:r>
        <w:rPr>
          <w:b/>
          <w:bCs/>
          <w:spacing w:val="-3"/>
          <w:sz w:val="24"/>
          <w:szCs w:val="24"/>
          <w:highlight w:val="none"/>
        </w:rPr>
        <w:t>充好。</w:t>
      </w:r>
    </w:p>
    <w:p w14:paraId="2CAAE00A">
      <w:pPr>
        <w:pStyle w:val="7"/>
        <w:spacing w:before="184" w:line="219" w:lineRule="auto"/>
        <w:ind w:left="125"/>
        <w:rPr>
          <w:sz w:val="24"/>
          <w:szCs w:val="24"/>
          <w:highlight w:val="none"/>
        </w:rPr>
      </w:pPr>
      <w:r>
        <w:rPr>
          <w:b/>
          <w:bCs/>
          <w:spacing w:val="-4"/>
          <w:sz w:val="24"/>
          <w:szCs w:val="24"/>
          <w:highlight w:val="none"/>
        </w:rPr>
        <w:t>3.安全性能要好。</w:t>
      </w:r>
    </w:p>
    <w:p w14:paraId="74DA2A9B">
      <w:pPr>
        <w:pStyle w:val="7"/>
        <w:spacing w:before="182" w:line="289" w:lineRule="auto"/>
        <w:ind w:left="121" w:right="113" w:firstLine="3"/>
        <w:rPr>
          <w:sz w:val="24"/>
          <w:szCs w:val="24"/>
          <w:highlight w:val="none"/>
        </w:rPr>
      </w:pPr>
      <w:r>
        <w:rPr>
          <w:rFonts w:hint="eastAsia"/>
          <w:b/>
          <w:bCs/>
          <w:spacing w:val="-2"/>
          <w:sz w:val="24"/>
          <w:szCs w:val="24"/>
          <w:highlight w:val="none"/>
          <w:lang w:val="en-US" w:eastAsia="zh-CN"/>
        </w:rPr>
        <w:t>4</w:t>
      </w:r>
      <w:r>
        <w:rPr>
          <w:b/>
          <w:bCs/>
          <w:spacing w:val="-2"/>
          <w:sz w:val="24"/>
          <w:szCs w:val="24"/>
          <w:highlight w:val="none"/>
        </w:rPr>
        <w:t>.凡技术参数指标执行的国家相关标准、行业标准、地方标准或者其他标准、规范，如产品</w:t>
      </w:r>
      <w:r>
        <w:rPr>
          <w:spacing w:val="1"/>
          <w:sz w:val="24"/>
          <w:szCs w:val="24"/>
          <w:highlight w:val="none"/>
        </w:rPr>
        <w:t xml:space="preserve"> </w:t>
      </w:r>
      <w:r>
        <w:rPr>
          <w:b/>
          <w:bCs/>
          <w:spacing w:val="-2"/>
          <w:sz w:val="24"/>
          <w:szCs w:val="24"/>
          <w:highlight w:val="none"/>
        </w:rPr>
        <w:t>有任何质量以及包装问题造成的影响和损失全部有供应商承</w:t>
      </w:r>
      <w:r>
        <w:rPr>
          <w:b/>
          <w:bCs/>
          <w:spacing w:val="-3"/>
          <w:sz w:val="24"/>
          <w:szCs w:val="24"/>
          <w:highlight w:val="none"/>
        </w:rPr>
        <w:t>担。</w:t>
      </w:r>
    </w:p>
    <w:p w14:paraId="62321618">
      <w:pPr>
        <w:pStyle w:val="7"/>
        <w:spacing w:before="180" w:line="313" w:lineRule="auto"/>
        <w:ind w:left="119" w:right="113" w:firstLine="3"/>
        <w:rPr>
          <w:sz w:val="24"/>
          <w:szCs w:val="24"/>
          <w:highlight w:val="none"/>
        </w:rPr>
      </w:pPr>
      <w:r>
        <w:rPr>
          <w:rFonts w:hint="eastAsia"/>
          <w:b/>
          <w:bCs/>
          <w:spacing w:val="-2"/>
          <w:sz w:val="24"/>
          <w:szCs w:val="24"/>
          <w:highlight w:val="none"/>
          <w:lang w:val="en-US" w:eastAsia="zh-CN"/>
        </w:rPr>
        <w:t>5</w:t>
      </w:r>
      <w:r>
        <w:rPr>
          <w:b/>
          <w:bCs/>
          <w:spacing w:val="-2"/>
          <w:sz w:val="24"/>
          <w:szCs w:val="24"/>
          <w:highlight w:val="none"/>
        </w:rPr>
        <w:t>.投标人需要按招标文件要求提供投标产品经国家认可的质量检测机构出具的有效检测报告</w:t>
      </w:r>
      <w:r>
        <w:rPr>
          <w:spacing w:val="4"/>
          <w:sz w:val="24"/>
          <w:szCs w:val="24"/>
          <w:highlight w:val="none"/>
        </w:rPr>
        <w:t xml:space="preserve"> </w:t>
      </w:r>
      <w:r>
        <w:rPr>
          <w:b/>
          <w:bCs/>
          <w:spacing w:val="-2"/>
          <w:sz w:val="24"/>
          <w:szCs w:val="24"/>
          <w:highlight w:val="none"/>
        </w:rPr>
        <w:t>佐证投标产品是否响应项目规格参数要求，如投标人技术响应与检测报告不一致，将以检测</w:t>
      </w:r>
      <w:r>
        <w:rPr>
          <w:spacing w:val="9"/>
          <w:sz w:val="24"/>
          <w:szCs w:val="24"/>
          <w:highlight w:val="none"/>
        </w:rPr>
        <w:t xml:space="preserve"> </w:t>
      </w:r>
      <w:r>
        <w:rPr>
          <w:b/>
          <w:bCs/>
          <w:spacing w:val="-2"/>
          <w:sz w:val="24"/>
          <w:szCs w:val="24"/>
          <w:highlight w:val="none"/>
        </w:rPr>
        <w:t>报告为准；投标人未按要求提供所投产品检测报告将被认定为投标无效。对于规格参数中标</w:t>
      </w:r>
    </w:p>
    <w:p w14:paraId="7FC8B208">
      <w:pPr>
        <w:pStyle w:val="7"/>
        <w:spacing w:before="180" w:line="218" w:lineRule="auto"/>
        <w:ind w:left="6"/>
        <w:rPr>
          <w:sz w:val="24"/>
          <w:szCs w:val="24"/>
          <w:highlight w:val="none"/>
        </w:rPr>
      </w:pPr>
      <w:r>
        <w:rPr>
          <w:rFonts w:hint="eastAsia"/>
          <w:b/>
          <w:bCs/>
          <w:spacing w:val="-2"/>
          <w:sz w:val="24"/>
          <w:szCs w:val="24"/>
          <w:highlight w:val="none"/>
          <w:lang w:val="en-US" w:eastAsia="zh-CN"/>
        </w:rPr>
        <w:t>6</w:t>
      </w:r>
      <w:r>
        <w:rPr>
          <w:b/>
          <w:bCs/>
          <w:spacing w:val="-2"/>
          <w:sz w:val="24"/>
          <w:szCs w:val="24"/>
          <w:highlight w:val="none"/>
        </w:rPr>
        <w:t>.投标人投标总报价应包含本项目所有货物及货物安装的全</w:t>
      </w:r>
      <w:r>
        <w:rPr>
          <w:b/>
          <w:bCs/>
          <w:spacing w:val="-3"/>
          <w:sz w:val="24"/>
          <w:szCs w:val="24"/>
          <w:highlight w:val="none"/>
        </w:rPr>
        <w:t>部费用。</w:t>
      </w:r>
    </w:p>
    <w:p w14:paraId="424049B3">
      <w:pPr>
        <w:pStyle w:val="7"/>
        <w:spacing w:before="228" w:line="219" w:lineRule="auto"/>
        <w:ind w:left="23"/>
        <w:rPr>
          <w:b/>
          <w:bCs/>
          <w:spacing w:val="9"/>
          <w:sz w:val="24"/>
          <w:szCs w:val="24"/>
          <w:highlight w:val="none"/>
        </w:rPr>
      </w:pPr>
    </w:p>
    <w:p w14:paraId="1AB200E7">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二</w:t>
      </w:r>
      <w:r>
        <w:rPr>
          <w:rFonts w:hint="eastAsia" w:ascii="仿宋" w:hAnsi="仿宋" w:eastAsia="仿宋" w:cs="仿宋"/>
          <w:color w:val="auto"/>
          <w:sz w:val="28"/>
          <w:szCs w:val="28"/>
          <w:highlight w:val="none"/>
        </w:rPr>
        <w:t>、技术要求</w:t>
      </w:r>
    </w:p>
    <w:p w14:paraId="0A7992D8">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1、投标报价:</w:t>
      </w:r>
    </w:p>
    <w:p w14:paraId="2929F751">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 本次报价为人民币报价，投标报价应包括：货物本身价格、货物购置成本税、管理 费、仓储、运杂费、保险、第三方检测机构产品质量检测费、装卸费、配送费、保险费、检 验费、售后服务等一切与本次项目相关的费用，投标报价包含本项目相关所有费用，以供应 商中标价签订本项目采购合同，除签约价款采购方不再支付任何费用。</w:t>
      </w:r>
    </w:p>
    <w:p w14:paraId="7A7F9B1A">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 如因货物运输、储存等原因造成货物堆积，产生的仓储、储存等费用。</w:t>
      </w:r>
    </w:p>
    <w:p w14:paraId="72AF86AF">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 外包装相关费用，供方应承担由于其包装或其防护措施不妥而引起货物锈蚀、损坏 和丢失的任何损失的责任或费用。</w:t>
      </w:r>
    </w:p>
    <w:p w14:paraId="7A63428E">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2、交付地点：叶城县宗朗乡人民政府。</w:t>
      </w:r>
    </w:p>
    <w:p w14:paraId="3A35411B">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3、交货期限：合同签订后</w:t>
      </w:r>
      <w:r>
        <w:rPr>
          <w:rFonts w:hint="eastAsia" w:ascii="仿宋" w:hAnsi="仿宋" w:eastAsia="仿宋" w:cs="仿宋"/>
          <w:color w:val="E54C5E" w:themeColor="accent6"/>
          <w:sz w:val="28"/>
          <w:szCs w:val="28"/>
          <w:highlight w:val="none"/>
          <w14:textFill>
            <w14:solidFill>
              <w14:schemeClr w14:val="accent6"/>
            </w14:solidFill>
          </w14:textFill>
        </w:rPr>
        <w:t xml:space="preserve"> </w:t>
      </w:r>
      <w:r>
        <w:rPr>
          <w:rFonts w:hint="eastAsia" w:ascii="仿宋" w:hAnsi="仿宋" w:eastAsia="仿宋" w:cs="仿宋"/>
          <w:color w:val="000000" w:themeColor="text1"/>
          <w:sz w:val="28"/>
          <w:szCs w:val="28"/>
          <w:highlight w:val="none"/>
          <w:lang w:val="en-US" w:eastAsia="zh-CN"/>
          <w14:textFill>
            <w14:solidFill>
              <w14:schemeClr w14:val="tx1"/>
            </w14:solidFill>
          </w14:textFill>
        </w:rPr>
        <w:t>90</w:t>
      </w:r>
      <w:r>
        <w:rPr>
          <w:rFonts w:hint="eastAsia" w:ascii="仿宋" w:hAnsi="仿宋" w:eastAsia="仿宋" w:cs="仿宋"/>
          <w:color w:val="000000" w:themeColor="text1"/>
          <w:sz w:val="28"/>
          <w:szCs w:val="28"/>
          <w:highlight w:val="none"/>
          <w14:textFill>
            <w14:solidFill>
              <w14:schemeClr w14:val="tx1"/>
            </w14:solidFill>
          </w14:textFill>
        </w:rPr>
        <w:t xml:space="preserve"> 日</w:t>
      </w:r>
      <w:r>
        <w:rPr>
          <w:rFonts w:hint="eastAsia" w:ascii="仿宋" w:hAnsi="仿宋" w:eastAsia="仿宋" w:cs="仿宋"/>
          <w:color w:val="auto"/>
          <w:sz w:val="28"/>
          <w:szCs w:val="28"/>
          <w:highlight w:val="none"/>
        </w:rPr>
        <w:t>内完成供货。</w:t>
      </w:r>
    </w:p>
    <w:p w14:paraId="75C4F50E">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4、质量保修期：货物的免费质量保修期为验收合格后 3 年。若厂家规定的质量保修期或 合同货物主要部件的质量保修期长于本合同质量保修期，应适用其质量保修期。产品调拨使 用过程中发现缺少零部件或产品损害问题，中标方须免费提供货物更换及维修服务。质量保 修期内出现任何质量问题（人为破坏或自然灾害等不可抗力除外)，由中标人无条件包换新、 包维修、包整改。</w:t>
      </w:r>
    </w:p>
    <w:p w14:paraId="3705D6FE">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5、验收标准和方法</w:t>
      </w:r>
    </w:p>
    <w:p w14:paraId="3E7DD350">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5.1 验收标准：按国家有关规定以及甲方招标文件的要求和技术指标、乙方的投标文件 及承诺与本项目合同约定标准进行验收；甲乙双方如对质量要求和技术指标的约定标准有相 互抵触或异议的事项，由甲方在招标与投标文件中按质量要求和技术指标比较优胜的原则确 定该项的约定标准进行验收。所供产品必须具备产品合格证或产品检测报告等相关资料，配 备专用工具（如使用过程需要安装须提供相应工具）。</w:t>
      </w:r>
    </w:p>
    <w:p w14:paraId="07A6633C">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5.2 组织履约验收：货物抵达交货地点后，买卖双方共同派员参加验收，如供方在接到买方通知之日起三日内无法派员抵达现场，则视为同意买方自行验收的结果（含装卸费）， 验收过程中产生的相关费用由中标人承担。</w:t>
      </w:r>
    </w:p>
    <w:p w14:paraId="63A749A5">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5.3 验收方式：由采购人、实际使用人等组成不少于三人的单数验收小组，并出具验收 意见作为验收书的参考资料；</w:t>
      </w:r>
    </w:p>
    <w:p w14:paraId="2B7BCB57">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5.4 开展履约验收：验收小组按照采购合同的约定对供应商履约情况进行验收。验收时, 按照采购合同的约定对每一项技术、服务、安全标准的履约情况进行确认。验收结束后,出具验收书,列明各项标准的验收情况及项目总体评价,由验收双方共同签署。履约验收的各项资 料存档备查；</w:t>
      </w:r>
    </w:p>
    <w:p w14:paraId="5D9E7E90">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5.5 履约验收责任：验收合格的项目,采购人应当根据采购合同的约定及时向供应商支付 采购资金、退还履约保证金。验收不合格的项目,采购人应当依法及时处理。采购合同的履行、 违约责任和解决争议的方式等适用《中华人民共和国民法典》。供应商在履约过程中有政府  采购法律法规规定的违法违规情形的,采购人及时报告本级财政部门。</w:t>
      </w:r>
    </w:p>
    <w:p w14:paraId="4128F530">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5.6 货物在验收、交付业主方使用之前，丢失、遗失、损坏、损失等由中标单位自行</w:t>
      </w:r>
      <w:r>
        <w:rPr>
          <w:rFonts w:hint="eastAsia" w:ascii="仿宋" w:hAnsi="仿宋" w:eastAsia="仿宋" w:cs="仿宋"/>
          <w:color w:val="auto"/>
          <w:sz w:val="28"/>
          <w:szCs w:val="28"/>
          <w:highlight w:val="none"/>
          <w:lang w:val="en-US" w:eastAsia="zh-CN"/>
        </w:rPr>
        <w:t>乘</w:t>
      </w:r>
      <w:r>
        <w:rPr>
          <w:rFonts w:hint="eastAsia" w:ascii="仿宋" w:hAnsi="仿宋" w:eastAsia="仿宋" w:cs="仿宋"/>
          <w:color w:val="auto"/>
          <w:sz w:val="28"/>
          <w:szCs w:val="28"/>
          <w:highlight w:val="none"/>
        </w:rPr>
        <w:t>担。</w:t>
      </w:r>
    </w:p>
    <w:p w14:paraId="1B7C5C4C">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5.7 上述检验和验收不能代替质量保修期内制造性能质量考核。</w:t>
      </w:r>
    </w:p>
    <w:p w14:paraId="2998E303">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5.8 中标人的所供物资入库后如有必要将部分产品随机抽样送国家认可的质量监督检验 部门质检（质检费用由中标人承担，如检测导致产品损耗，中标人须无条件对该产品库存进 行补充），经质检产品质量不达标或与投标人提供的检测报告原件不符的，造成的损失全部 由供应商承担，并由相关部门追究法律责任；具体以签订合同为准。</w:t>
      </w:r>
    </w:p>
    <w:p w14:paraId="0AF1765B">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auto"/>
          <w:sz w:val="28"/>
          <w:szCs w:val="28"/>
          <w:highlight w:val="none"/>
        </w:rPr>
        <w:t>6、付款方式：中标单位确定后，中标单位按照中标价向采购单位指定账户缴纳</w:t>
      </w:r>
      <w:r>
        <w:rPr>
          <w:rFonts w:hint="eastAsia" w:ascii="仿宋" w:hAnsi="仿宋" w:eastAsia="仿宋" w:cs="仿宋"/>
          <w:color w:val="000000" w:themeColor="text1"/>
          <w:sz w:val="28"/>
          <w:szCs w:val="28"/>
          <w:highlight w:val="none"/>
          <w14:textFill>
            <w14:solidFill>
              <w14:schemeClr w14:val="tx1"/>
            </w14:solidFill>
          </w14:textFill>
        </w:rPr>
        <w:t xml:space="preserve"> 5%履约</w:t>
      </w:r>
      <w:r>
        <w:rPr>
          <w:rFonts w:hint="eastAsia" w:ascii="仿宋" w:hAnsi="仿宋" w:eastAsia="仿宋" w:cs="仿宋"/>
          <w:color w:val="E54C5E" w:themeColor="accent6"/>
          <w:sz w:val="28"/>
          <w:szCs w:val="28"/>
          <w:highlight w:val="none"/>
          <w14:textFill>
            <w14:solidFill>
              <w14:schemeClr w14:val="accent6"/>
            </w14:solidFill>
          </w14:textFill>
        </w:rPr>
        <w:t xml:space="preserve"> </w:t>
      </w:r>
      <w:r>
        <w:rPr>
          <w:rFonts w:hint="eastAsia" w:ascii="仿宋" w:hAnsi="仿宋" w:eastAsia="仿宋" w:cs="仿宋"/>
          <w:color w:val="auto"/>
          <w:sz w:val="28"/>
          <w:szCs w:val="28"/>
          <w:highlight w:val="none"/>
        </w:rPr>
        <w:t>金后签订合同。甲乙双方确认本合同约定费用按照分期付款方式予以结算。</w:t>
      </w:r>
      <w:r>
        <w:rPr>
          <w:rFonts w:hint="eastAsia" w:ascii="仿宋" w:hAnsi="仿宋" w:eastAsia="仿宋" w:cs="仿宋"/>
          <w:color w:val="000000" w:themeColor="text1"/>
          <w:sz w:val="28"/>
          <w:szCs w:val="28"/>
          <w:highlight w:val="none"/>
          <w14:textFill>
            <w14:solidFill>
              <w14:schemeClr w14:val="tx1"/>
            </w14:solidFill>
          </w14:textFill>
        </w:rPr>
        <w:t xml:space="preserve">合同生效之日且财政账户之日起_10_ 日内甲方向乙方预付价款 </w:t>
      </w:r>
      <w:r>
        <w:rPr>
          <w:rFonts w:hint="eastAsia" w:ascii="仿宋" w:hAnsi="仿宋" w:eastAsia="仿宋" w:cs="仿宋"/>
          <w:color w:val="000000" w:themeColor="text1"/>
          <w:sz w:val="28"/>
          <w:szCs w:val="28"/>
          <w:highlight w:val="none"/>
          <w:lang w:val="en-US" w:eastAsia="zh-CN"/>
          <w14:textFill>
            <w14:solidFill>
              <w14:schemeClr w14:val="tx1"/>
            </w14:solidFill>
          </w14:textFill>
        </w:rPr>
        <w:t>50</w:t>
      </w:r>
      <w:r>
        <w:rPr>
          <w:rFonts w:hint="eastAsia" w:ascii="仿宋" w:hAnsi="仿宋" w:eastAsia="仿宋" w:cs="仿宋"/>
          <w:color w:val="000000" w:themeColor="text1"/>
          <w:sz w:val="28"/>
          <w:szCs w:val="28"/>
          <w:highlight w:val="none"/>
          <w14:textFill>
            <w14:solidFill>
              <w14:schemeClr w14:val="tx1"/>
            </w14:solidFill>
          </w14:textFill>
        </w:rPr>
        <w:t xml:space="preserve"> ％</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货到安装完成验收合格后支付剩余款项的50%</w:t>
      </w:r>
      <w:r>
        <w:rPr>
          <w:rFonts w:hint="eastAsia" w:ascii="仿宋" w:hAnsi="仿宋" w:eastAsia="仿宋" w:cs="仿宋"/>
          <w:color w:val="000000" w:themeColor="text1"/>
          <w:sz w:val="28"/>
          <w:szCs w:val="28"/>
          <w:highlight w:val="none"/>
          <w14:textFill>
            <w14:solidFill>
              <w14:schemeClr w14:val="tx1"/>
            </w14:solidFill>
          </w14:textFill>
        </w:rPr>
        <w:t>（具体以签订合同为准）</w:t>
      </w:r>
    </w:p>
    <w:p w14:paraId="2FFB86B3">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7、签订合同：在中标通知书发出之日起 30 日内签订政府采购合同，若第一中标人拒绝 签订政府采购合同，将取消中标资格，应当承担相应的法律责任。采购人可以按照评审报告 推荐的中标候选人名单排序，确定下一候选人为中标人，也可以重新开展政府采购活动。</w:t>
      </w:r>
    </w:p>
    <w:p w14:paraId="07F22653">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auto"/>
          <w:sz w:val="28"/>
          <w:szCs w:val="28"/>
          <w:highlight w:val="none"/>
        </w:rPr>
        <w:t>8、</w:t>
      </w:r>
      <w:r>
        <w:rPr>
          <w:rFonts w:hint="eastAsia" w:ascii="仿宋" w:hAnsi="仿宋" w:eastAsia="仿宋" w:cs="仿宋"/>
          <w:color w:val="000000" w:themeColor="text1"/>
          <w:sz w:val="28"/>
          <w:szCs w:val="28"/>
          <w:highlight w:val="none"/>
          <w14:textFill>
            <w14:solidFill>
              <w14:schemeClr w14:val="tx1"/>
            </w14:solidFill>
          </w14:textFill>
        </w:rPr>
        <w:t>实施方案</w:t>
      </w:r>
    </w:p>
    <w:p w14:paraId="72CEAE4E">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8.1 项目详细工作内容：①项目实施的步骤及规划；②项目进度计划及人员配置（包括 1. 配置技术服务人员不少于 4 人，2.配置售后服务人员不少于 3 人）；③质量保证措施、备品备件情况(质量保证标准、遵循的依据、产品的质量检查措施、针对产品质量的跟踪及不合格产品的处理措施、备品备件情况)；④项目安全措施：⑤应急处理（为保障设备的运行正常加强对突发事件、紧急事件的控制，须供应商制定本项目的突发事件处置预案，写明面对突发事件的应急处理方法。建立完善的预防机制，指定专人负责，对潜在危险可能出现的紧急情况，制定相应的处理办法）。</w:t>
      </w:r>
    </w:p>
    <w:p w14:paraId="5200A46F">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8.2 供货方案：供货方案需包含：①供货进度安排；②货物包装、装卸货措施；③路途人员安全保障措 施及安全教育培训、运途紧急情况应对措施；④货物验收组织；⑤货物仓储、调试、产品使 用培训。</w:t>
      </w:r>
    </w:p>
    <w:p w14:paraId="0F9E4AAB">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9、标志、包装、运输</w:t>
      </w:r>
    </w:p>
    <w:p w14:paraId="39528FBF">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9.1 除合同另有约定外,提供的全部货物,均应采用本行业通用的方式进行包装，且该包  装应符合国家有关包装的法律、法规的规定。包装应适应于远距离运输、防潮、防震、防锈  和防粗暴装卸，确保货物安全无损，运抵现场，交付时应保持包装完好，满足采购人指定收  货单位储存和再次拨发的要求。由于包装不善所引起的货物锈蚀、损坏和损失均由乙方承担。 每件包装箱内应附一份详细装箱单和产品合格证。</w:t>
      </w:r>
    </w:p>
    <w:p w14:paraId="60AB4CCD">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10、售后服务</w:t>
      </w:r>
    </w:p>
    <w:p w14:paraId="275F7BBE">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10.1 投标人须承诺中标后所交付产品质量保修期，并根据提供的售后服务方案，内容包 含但不仅限于：①售后服务内容及承诺；②售后服务人员的配备、人员分工明细、售后服务 联系方式；；③售后服务响应时间；④现场技术服务保障；⑤服务响应流程。</w:t>
      </w:r>
    </w:p>
    <w:p w14:paraId="01262982">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10.2 如果质量保修期内出现质量问题（人为破坏或自然灾害等不可抗力除外)，必须无 条件包换新、包维修、包整改，超过保质期后出现的质量问题，根据该物品的国家标准或行 业标准，若质量下降幅度在一定阈值内，物品尚未丧失基本使用功能，可采取补救整改措施 的，中标人需积极配合物品整改；提供相应售后承诺。</w:t>
      </w:r>
    </w:p>
    <w:p w14:paraId="29A3C6D6">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10.3 质量保修期内，投标人应提供 7*24 小时的技术支持服务，投标人需提供服务热线 及联系人（质量保修期内未经采购人同意不得随意更换联系人）；并配合及指导接收单位不 定期维护及保养；提供相关技术资料和操作手册。</w:t>
      </w:r>
    </w:p>
    <w:p w14:paraId="146C3262">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10.4 在货物的质量保修期内免费为采购人提供货物的技术指导，在紧急的情况下采购人 提出技术指导需求后在 1 小时内到达现场并提供解决方案，3 小时内落实方案内容并解除问  题，费用由供应商承担; 日常情况下，12 小时内到达现场并提供解决方案，24 小时内落实方 案内容并解除问题，费用由供应商承担；提供相应售后承诺。</w:t>
      </w:r>
    </w:p>
    <w:p w14:paraId="722029B8">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10.5 提供每半年定期服务保障及 1 年以上未使用保养方案。</w:t>
      </w:r>
    </w:p>
    <w:p w14:paraId="08789277">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五、其他要求</w:t>
      </w:r>
    </w:p>
    <w:p w14:paraId="22C8D676">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1、类似业绩要求</w:t>
      </w:r>
    </w:p>
    <w:p w14:paraId="197838AD">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w:t>
      </w:r>
      <w:r>
        <w:rPr>
          <w:rFonts w:hint="eastAsia" w:ascii="仿宋" w:hAnsi="仿宋" w:eastAsia="仿宋" w:cs="仿宋"/>
          <w:color w:val="E54C5E" w:themeColor="accent6"/>
          <w:sz w:val="28"/>
          <w:szCs w:val="28"/>
          <w:highlight w:val="none"/>
          <w14:textFill>
            <w14:solidFill>
              <w14:schemeClr w14:val="accent6"/>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投标人提供</w:t>
      </w:r>
      <w:r>
        <w:rPr>
          <w:rFonts w:hint="eastAsia" w:ascii="仿宋" w:hAnsi="仿宋" w:eastAsia="仿宋" w:cs="仿宋"/>
          <w:color w:val="000000" w:themeColor="text1"/>
          <w:sz w:val="28"/>
          <w:szCs w:val="28"/>
          <w:highlight w:val="none"/>
          <w:lang w:val="en-US" w:eastAsia="zh-CN"/>
          <w14:textFill>
            <w14:solidFill>
              <w14:schemeClr w14:val="tx1"/>
            </w14:solidFill>
          </w14:textFill>
        </w:rPr>
        <w:t>近三年</w:t>
      </w:r>
      <w:r>
        <w:rPr>
          <w:rFonts w:hint="eastAsia" w:ascii="仿宋" w:hAnsi="仿宋" w:eastAsia="仿宋" w:cs="仿宋"/>
          <w:color w:val="000000" w:themeColor="text1"/>
          <w:sz w:val="28"/>
          <w:szCs w:val="28"/>
          <w:highlight w:val="none"/>
          <w14:textFill>
            <w14:solidFill>
              <w14:schemeClr w14:val="tx1"/>
            </w14:solidFill>
          </w14:textFill>
        </w:rPr>
        <w:t>类似业绩</w:t>
      </w:r>
      <w:r>
        <w:rPr>
          <w:rFonts w:hint="eastAsia" w:ascii="仿宋" w:hAnsi="仿宋" w:eastAsia="仿宋" w:cs="仿宋"/>
          <w:color w:val="000000" w:themeColor="text1"/>
          <w:sz w:val="28"/>
          <w:szCs w:val="28"/>
          <w:highlight w:val="none"/>
          <w:lang w:val="en-US" w:eastAsia="zh-CN"/>
          <w14:textFill>
            <w14:solidFill>
              <w14:schemeClr w14:val="tx1"/>
            </w14:solidFill>
          </w14:textFill>
        </w:rPr>
        <w:t>（投标截止日算起）</w:t>
      </w:r>
      <w:r>
        <w:rPr>
          <w:rFonts w:hint="eastAsia" w:ascii="仿宋" w:hAnsi="仿宋" w:eastAsia="仿宋" w:cs="仿宋"/>
          <w:color w:val="auto"/>
          <w:sz w:val="28"/>
          <w:szCs w:val="28"/>
          <w:highlight w:val="none"/>
        </w:rPr>
        <w:t>，证明材料中标通知书 （或网站可查中标结果公示截图）及项目合同，采购人及评标委员会有权核查业绩真伪，投标人对业绩真实性负责。</w:t>
      </w:r>
    </w:p>
    <w:p w14:paraId="6E45C212">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1.2 类似业绩指：包含本项目采购的核心产品即可</w:t>
      </w:r>
      <w:r>
        <w:rPr>
          <w:rFonts w:hint="eastAsia" w:ascii="仿宋" w:hAnsi="仿宋" w:eastAsia="仿宋" w:cs="仿宋"/>
          <w:color w:val="auto"/>
          <w:sz w:val="28"/>
          <w:szCs w:val="28"/>
          <w:highlight w:val="none"/>
          <w:lang w:eastAsia="zh-CN"/>
        </w:rPr>
        <w:t>。</w:t>
      </w:r>
      <w:bookmarkStart w:id="771" w:name="bookmark52"/>
      <w:bookmarkEnd w:id="771"/>
    </w:p>
    <w:p w14:paraId="27401D0A">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2、产品专利</w:t>
      </w:r>
    </w:p>
    <w:p w14:paraId="07AA47F8">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lang w:eastAsia="zh-CN"/>
        </w:rPr>
        <w:sectPr>
          <w:footerReference r:id="rId13" w:type="default"/>
          <w:pgSz w:w="11907" w:h="16840"/>
          <w:pgMar w:top="1440" w:right="1800" w:bottom="1440" w:left="1800" w:header="0" w:footer="982" w:gutter="0"/>
          <w:cols w:space="720" w:num="1"/>
        </w:sectPr>
      </w:pPr>
      <w:r>
        <w:rPr>
          <w:rFonts w:hint="eastAsia" w:ascii="仿宋" w:hAnsi="仿宋" w:eastAsia="仿宋" w:cs="仿宋"/>
          <w:color w:val="auto"/>
          <w:sz w:val="28"/>
          <w:szCs w:val="28"/>
          <w:highlight w:val="none"/>
        </w:rPr>
        <w:t>2.1 中标方保证合同项下提供的货物不侵犯任何第三方的专利或商标或版权。否则， 中标人须承担对第三方的专利或版权的侵权责任并承担因此而发生的所有费用</w:t>
      </w:r>
    </w:p>
    <w:bookmarkEnd w:id="750"/>
    <w:bookmarkEnd w:id="751"/>
    <w:bookmarkEnd w:id="752"/>
    <w:bookmarkEnd w:id="753"/>
    <w:bookmarkEnd w:id="754"/>
    <w:bookmarkEnd w:id="755"/>
    <w:bookmarkEnd w:id="756"/>
    <w:bookmarkEnd w:id="757"/>
    <w:bookmarkEnd w:id="758"/>
    <w:bookmarkEnd w:id="759"/>
    <w:bookmarkEnd w:id="760"/>
    <w:bookmarkEnd w:id="767"/>
    <w:bookmarkEnd w:id="768"/>
    <w:bookmarkEnd w:id="769"/>
    <w:bookmarkEnd w:id="770"/>
    <w:p w14:paraId="52B7A3CC">
      <w:pPr>
        <w:rPr>
          <w:rFonts w:hint="eastAsia" w:ascii="仿宋" w:hAnsi="仿宋" w:eastAsia="仿宋" w:cs="仿宋"/>
          <w:color w:val="auto"/>
          <w:kern w:val="0"/>
          <w:sz w:val="36"/>
          <w:szCs w:val="22"/>
          <w:highlight w:val="none"/>
        </w:rPr>
      </w:pPr>
      <w:bookmarkStart w:id="772" w:name="_Toc218935355"/>
      <w:bookmarkStart w:id="773" w:name="_Toc30491"/>
      <w:bookmarkStart w:id="774" w:name="_Toc6189"/>
      <w:bookmarkStart w:id="775" w:name="_Toc219175639"/>
      <w:bookmarkStart w:id="776" w:name="_Toc3812"/>
      <w:bookmarkStart w:id="777" w:name="_Toc216582826"/>
      <w:bookmarkStart w:id="778" w:name="_Toc951"/>
    </w:p>
    <w:p w14:paraId="7C256AA5">
      <w:pPr>
        <w:pStyle w:val="2"/>
        <w:tabs>
          <w:tab w:val="left" w:pos="0"/>
        </w:tabs>
        <w:spacing w:before="0" w:after="0" w:line="240" w:lineRule="atLeast"/>
        <w:ind w:firstLine="1807" w:firstLineChars="500"/>
        <w:jc w:val="both"/>
        <w:outlineLvl w:val="0"/>
        <w:rPr>
          <w:rFonts w:hint="eastAsia" w:ascii="仿宋" w:hAnsi="仿宋" w:eastAsia="仿宋" w:cs="仿宋"/>
          <w:color w:val="auto"/>
          <w:kern w:val="0"/>
          <w:sz w:val="36"/>
          <w:szCs w:val="22"/>
          <w:highlight w:val="none"/>
        </w:rPr>
      </w:pPr>
      <w:bookmarkStart w:id="779" w:name="_Toc18642"/>
      <w:r>
        <w:rPr>
          <w:rFonts w:hint="eastAsia" w:ascii="仿宋" w:hAnsi="仿宋" w:eastAsia="仿宋" w:cs="仿宋"/>
          <w:color w:val="auto"/>
          <w:kern w:val="0"/>
          <w:sz w:val="36"/>
          <w:szCs w:val="22"/>
          <w:highlight w:val="none"/>
        </w:rPr>
        <w:t xml:space="preserve">第六章  </w:t>
      </w:r>
      <w:bookmarkStart w:id="780" w:name="_Toc507399907"/>
      <w:bookmarkStart w:id="781" w:name="_Toc518923127"/>
      <w:bookmarkStart w:id="782" w:name="_Toc10220"/>
      <w:r>
        <w:rPr>
          <w:rFonts w:hint="eastAsia" w:ascii="仿宋" w:hAnsi="仿宋" w:eastAsia="仿宋" w:cs="仿宋"/>
          <w:color w:val="auto"/>
          <w:kern w:val="0"/>
          <w:sz w:val="36"/>
          <w:szCs w:val="22"/>
          <w:highlight w:val="none"/>
        </w:rPr>
        <w:t>评标方法和标准</w:t>
      </w:r>
      <w:bookmarkEnd w:id="772"/>
      <w:bookmarkEnd w:id="773"/>
      <w:bookmarkEnd w:id="774"/>
      <w:bookmarkEnd w:id="775"/>
      <w:bookmarkEnd w:id="776"/>
      <w:bookmarkEnd w:id="777"/>
      <w:bookmarkEnd w:id="778"/>
      <w:bookmarkEnd w:id="779"/>
      <w:bookmarkEnd w:id="780"/>
      <w:bookmarkEnd w:id="781"/>
      <w:bookmarkEnd w:id="782"/>
    </w:p>
    <w:p w14:paraId="761DEC51">
      <w:pPr>
        <w:pStyle w:val="7"/>
        <w:tabs>
          <w:tab w:val="clear" w:pos="567"/>
        </w:tabs>
        <w:spacing w:before="0" w:line="240" w:lineRule="atLeast"/>
        <w:ind w:firstLine="630" w:firstLineChars="225"/>
        <w:rPr>
          <w:rFonts w:hint="eastAsia" w:ascii="仿宋" w:hAnsi="仿宋" w:eastAsia="仿宋" w:cs="仿宋"/>
          <w:color w:val="auto"/>
          <w:sz w:val="28"/>
          <w:szCs w:val="28"/>
          <w:highlight w:val="none"/>
        </w:rPr>
      </w:pPr>
    </w:p>
    <w:p w14:paraId="7EA20376">
      <w:pPr>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本项目将按照招标文件第一章投标人须知中“五 开标及评标”、“六 确定中标”及本章的规定评标。</w:t>
      </w:r>
    </w:p>
    <w:p w14:paraId="4D8703C8">
      <w:pPr>
        <w:spacing w:before="0" w:line="240" w:lineRule="atLeast"/>
        <w:jc w:val="left"/>
        <w:outlineLvl w:val="9"/>
        <w:rPr>
          <w:rFonts w:hint="eastAsia" w:ascii="仿宋" w:hAnsi="仿宋" w:eastAsia="仿宋" w:cs="仿宋"/>
          <w:color w:val="auto"/>
          <w:sz w:val="28"/>
          <w:szCs w:val="28"/>
          <w:highlight w:val="none"/>
        </w:rPr>
      </w:pPr>
      <w:bookmarkStart w:id="783" w:name="_Toc26438"/>
      <w:r>
        <w:rPr>
          <w:rFonts w:hint="eastAsia" w:ascii="仿宋" w:hAnsi="仿宋" w:eastAsia="仿宋" w:cs="仿宋"/>
          <w:color w:val="auto"/>
          <w:sz w:val="28"/>
          <w:szCs w:val="28"/>
          <w:highlight w:val="none"/>
        </w:rPr>
        <w:t>一、开标</w:t>
      </w:r>
      <w:bookmarkEnd w:id="783"/>
    </w:p>
    <w:p w14:paraId="643EE0B7">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1.采购人和采购代理机构将按投标人须知资料表中规定的开标时间和地点组织公开开标并邀请所有投标人代表参加。</w:t>
      </w:r>
    </w:p>
    <w:p w14:paraId="1BC5C680">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投标人不足3家的，不得开标。</w:t>
      </w:r>
    </w:p>
    <w:p w14:paraId="1774AE60">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2.开标前由主持人宣读开标纪律等要求。</w:t>
      </w:r>
    </w:p>
    <w:p w14:paraId="53EDD6AD">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开标时，由投标人或其推选的代表检查自己或所代表的投标文件的密封情况，经记录后，由采购人或采购代理机构当众拆封投标文件，宣读投标人名称、投标价格及招标文件规定的内容。对于投标人在投标截止期前递交的投标声明，在开标时当众宣读，评标时有效。</w:t>
      </w:r>
    </w:p>
    <w:p w14:paraId="679D3E5E">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未宣读投标价格、价格折扣等实质内容，评标时不予承认。</w:t>
      </w:r>
    </w:p>
    <w:p w14:paraId="39E10CC9">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4.采购人或采购代理机构将对开标过程进行记录，由参加开标的各投标人代表和相关工作人员签字确认，并存档备查。</w:t>
      </w:r>
    </w:p>
    <w:p w14:paraId="4321ED0C">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5.投标人代表对开标过程和开标记录有疑义，以及认为采购人、采购代理机构相关工作人员有需要回避的情形的，应当场提出询问或者回避申请。</w:t>
      </w:r>
    </w:p>
    <w:p w14:paraId="339FE52E">
      <w:pPr>
        <w:spacing w:before="0" w:line="240" w:lineRule="atLeast"/>
        <w:jc w:val="left"/>
        <w:outlineLvl w:val="9"/>
        <w:rPr>
          <w:rFonts w:hint="eastAsia" w:ascii="仿宋" w:hAnsi="仿宋" w:eastAsia="仿宋" w:cs="仿宋"/>
          <w:color w:val="auto"/>
          <w:sz w:val="28"/>
          <w:szCs w:val="28"/>
          <w:highlight w:val="none"/>
        </w:rPr>
      </w:pPr>
      <w:bookmarkStart w:id="784" w:name="_Toc7776"/>
      <w:r>
        <w:rPr>
          <w:rFonts w:hint="eastAsia" w:ascii="仿宋" w:hAnsi="仿宋" w:eastAsia="仿宋" w:cs="仿宋"/>
          <w:color w:val="auto"/>
          <w:sz w:val="28"/>
          <w:szCs w:val="28"/>
          <w:highlight w:val="none"/>
        </w:rPr>
        <w:t>二、评标</w:t>
      </w:r>
      <w:bookmarkEnd w:id="784"/>
    </w:p>
    <w:p w14:paraId="703CE39A">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1.评标会开始前主持人宣读《新疆政府采购评审专家管理实施办法》</w:t>
      </w:r>
    </w:p>
    <w:p w14:paraId="6B42A170">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2.评标委员会对投标人的技术投标文件进行评审。</w:t>
      </w:r>
    </w:p>
    <w:p w14:paraId="30079F32">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3.评标委员会对投标人的商务文件进行评审。</w:t>
      </w:r>
    </w:p>
    <w:p w14:paraId="7009D063">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4.评标委员会个人对投标人打分。</w:t>
      </w:r>
    </w:p>
    <w:p w14:paraId="4203587F">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5.将评标委员会个人打分进行汇总并计算各投标人最后综合得分。</w:t>
      </w:r>
    </w:p>
    <w:p w14:paraId="2A4DE1F2">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6.按照投标人的得分高低顺序确定并公布本次招标的中标候选人。</w:t>
      </w:r>
    </w:p>
    <w:p w14:paraId="4E21A986">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7.招标人根据评标情况写出评标报告，并由监督人及评标委员会签字确认。</w:t>
      </w:r>
    </w:p>
    <w:p w14:paraId="6DAA4747">
      <w:pPr>
        <w:spacing w:before="0" w:line="240" w:lineRule="atLeast"/>
        <w:jc w:val="left"/>
        <w:outlineLvl w:val="9"/>
        <w:rPr>
          <w:rFonts w:hint="eastAsia" w:ascii="仿宋" w:hAnsi="仿宋" w:eastAsia="仿宋" w:cs="仿宋"/>
          <w:color w:val="auto"/>
          <w:sz w:val="28"/>
          <w:szCs w:val="28"/>
          <w:highlight w:val="none"/>
        </w:rPr>
      </w:pPr>
      <w:bookmarkStart w:id="785" w:name="_Toc9170"/>
      <w:r>
        <w:rPr>
          <w:rFonts w:hint="eastAsia" w:ascii="仿宋" w:hAnsi="仿宋" w:eastAsia="仿宋" w:cs="仿宋"/>
          <w:color w:val="auto"/>
          <w:sz w:val="28"/>
          <w:szCs w:val="28"/>
          <w:highlight w:val="none"/>
        </w:rPr>
        <w:t>三、定标</w:t>
      </w:r>
      <w:bookmarkEnd w:id="785"/>
    </w:p>
    <w:p w14:paraId="7DB235D2">
      <w:pPr>
        <w:pStyle w:val="7"/>
        <w:tabs>
          <w:tab w:val="clear" w:pos="567"/>
        </w:tabs>
        <w:spacing w:before="0" w:line="400" w:lineRule="exact"/>
        <w:ind w:firstLine="632" w:firstLineChars="225"/>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本项目采用招标方式：公开招标，评分方法：综合评分法</w:t>
      </w:r>
    </w:p>
    <w:p w14:paraId="2F76E6A4">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1.中标候选人确定方式：采购代理机构应当自评审结束之日起2个工作日内将评审报告送交采购人。采购人应当自收到评审报告之日起5个工作日内确定中标人。</w:t>
      </w:r>
    </w:p>
    <w:p w14:paraId="40E627C1">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除第一章第28条规定外，对实质上响应招标文件的供应商按下列方法进行排序，确定投标候选人：</w:t>
      </w:r>
    </w:p>
    <w:p w14:paraId="6DE2AFC1">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采用最低评标价法的，除了算术修正和落实政府采购政策需进行的价格扣除外，不对投标人的投标价格进行任何调整。评标结果按修正和扣除后的投标报价由低到高顺序排列。报价相同的处理方式详见招标文件第6章。</w:t>
      </w:r>
    </w:p>
    <w:p w14:paraId="318851B8">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（2）采用综合评分法的，评标结果按评审后得分由高到低顺序排列。得分相同的，按修正和扣除后的投标报价由低到高顺序排列。</w:t>
      </w:r>
    </w:p>
    <w:p w14:paraId="6B32B3F0">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2.中标候选人并列式时的处理方式：</w:t>
      </w:r>
    </w:p>
    <w:p w14:paraId="515842DB">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按得分高低）</w:t>
      </w:r>
    </w:p>
    <w:p w14:paraId="73263C59">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3.若出现同品牌处理办法：</w:t>
      </w:r>
    </w:p>
    <w:p w14:paraId="11B83ED8">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B85474B">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4.评标委员会决定投标的响应性只根据招标文件要求、投标文件内容及财政主管部门指定相关信息发布媒体。</w:t>
      </w:r>
    </w:p>
    <w:p w14:paraId="0CC77854">
      <w:pPr>
        <w:spacing w:before="0" w:line="240" w:lineRule="atLeast"/>
        <w:jc w:val="left"/>
        <w:outlineLvl w:val="9"/>
        <w:rPr>
          <w:rFonts w:hint="eastAsia" w:ascii="仿宋" w:hAnsi="仿宋" w:eastAsia="仿宋" w:cs="仿宋"/>
          <w:color w:val="auto"/>
          <w:sz w:val="28"/>
          <w:szCs w:val="28"/>
          <w:highlight w:val="none"/>
        </w:rPr>
      </w:pPr>
      <w:bookmarkStart w:id="786" w:name="_Toc2924"/>
      <w:r>
        <w:rPr>
          <w:rFonts w:hint="eastAsia" w:ascii="仿宋" w:hAnsi="仿宋" w:eastAsia="仿宋" w:cs="仿宋"/>
          <w:color w:val="auto"/>
          <w:sz w:val="28"/>
          <w:szCs w:val="28"/>
          <w:highlight w:val="none"/>
        </w:rPr>
        <w:t>四、投标无效</w:t>
      </w:r>
      <w:bookmarkEnd w:id="786"/>
    </w:p>
    <w:p w14:paraId="3D29F62C">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1.投标无效的情形：</w:t>
      </w:r>
    </w:p>
    <w:p w14:paraId="50E32BDA">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（1）单位负责人为同一人或者存在直接控股、管理关系的不同供应商，其相关投标将被认定为投标无效。</w:t>
      </w:r>
    </w:p>
    <w:p w14:paraId="6FC86884">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（2）若供应商须知资料表中未写明允许采购产品，如供应商所投产品为产品，其投标将被认定为投标无效。</w:t>
      </w:r>
    </w:p>
    <w:p w14:paraId="7DF0AFC6">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（3）供应商在投标过程中不得向采购人提供、给予任何有价值的物品，影响其正常决策行为。一经发现，其将被认定为投标无效。</w:t>
      </w:r>
    </w:p>
    <w:p w14:paraId="3891E3A0">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（4）供应商报价超过招标文件规定的预算金额或者分项、分包最高限价的，其投标将被认定为投标无效。</w:t>
      </w:r>
    </w:p>
    <w:p w14:paraId="30C02023">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供应商应认真阅读招标文件所有的事项、格式、条款和技术规范等。如供应商没有按照招标文件要求提交全部资料，或者投标文件没有对招标文件在各方面都做出实质性响应，可能导致其投标将被认定为投标无效。</w:t>
      </w:r>
    </w:p>
    <w:p w14:paraId="25FB4CC3">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（6）供应商应当对招标文件中“货物需求一览表及技术规格”所列的所有内容进行投标，如仅响应某一包中的部分内容，其该包投标将被认定为投标无效。</w:t>
      </w:r>
    </w:p>
    <w:p w14:paraId="673C299E">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（7）供应商未按本须知第12.1和12.3条规定提交投标保证金的，其投标将被认定为投标无效。</w:t>
      </w:r>
    </w:p>
    <w:p w14:paraId="1ADD14FA">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所有投标均以人民币报价。供应商的投标报价应遵守《中华人民共和国价格法》。同时，根据《中华人民共和国政府采购法》第二条的规定，为保证公平竞争，如有货物主体部分的赠与行为，其投标将被认定为投标无效。</w:t>
      </w:r>
    </w:p>
    <w:p w14:paraId="3891CDCF">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（9）供应商所报的各分项投标单价在合同履行过程中是固定不变的，不得以任何理由予以变更。任何包含价格调整要求的投标，其投标将被认定为投标无效。</w:t>
      </w:r>
    </w:p>
    <w:p w14:paraId="16F47DFD">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（10）投标应在供应商须知资料表中规定时间内保持有效。投标有效期不满足要求的投标，其投标将被认定为投标无效。</w:t>
      </w:r>
    </w:p>
    <w:p w14:paraId="4C7AF142">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（11）所有投标文件采用不可拆装的胶订方式装订，否则其投标将被认定为投标无效。</w:t>
      </w:r>
    </w:p>
    <w:p w14:paraId="14F19B51">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（12）采购人或采购代理机构将在开标前1个工作日至投标截止后1小时的期间内查询供应商的信用记录。供应商存在不良信用记录的，其投标将被认定为投标无效。</w:t>
      </w:r>
    </w:p>
    <w:p w14:paraId="34A47B7C">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总价金额与按单价汇总金额不一致的，以单价金额计算结果为准。同时出现两种以上不一致的，按照前款规定的顺序修正。修正后的报价按照第20.2条的规定经供应商确认后产生约束力，供应商不确认的，其投标将被认定为投标无效。</w:t>
      </w:r>
    </w:p>
    <w:p w14:paraId="2359030C">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（14）如采购人所采购产品为政府强制采购的节能产品，供应商所投产品的品牌及型号必须为清单中有效期内产品并提供证明文件，否则其投标将被认定为投标无效。</w:t>
      </w:r>
    </w:p>
    <w:p w14:paraId="61B28938">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（15）如发现下列情况之一的，其投标将被认定为投标无效：</w:t>
      </w:r>
    </w:p>
    <w:p w14:paraId="17BA8FD7">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未按招标文件规定的形式和金额提交投标保证金的；未按照招标文件规定要求签署、盖章的；未满足招标文件中技术条款的实质性要求；与其他供应商串通投标，或者与招标人串通投标；属于招标文件规定的其他投标无效情形；评标委员会认为供应商的报价明显低于其他通过符合性检查供应商的报价，有可能影响履约的，且供应商未按照规定证明其报价合理性的；投标文件含有采购人不能接受的附加条件的；不符合法规和招标文件中规定的其他实质性要求的。</w:t>
      </w:r>
    </w:p>
    <w:p w14:paraId="06768A30">
      <w:pPr>
        <w:spacing w:before="0" w:line="240" w:lineRule="atLeast"/>
        <w:jc w:val="left"/>
        <w:outlineLvl w:val="9"/>
        <w:rPr>
          <w:rFonts w:hint="eastAsia" w:ascii="仿宋" w:hAnsi="仿宋" w:eastAsia="仿宋" w:cs="仿宋"/>
          <w:color w:val="auto"/>
          <w:sz w:val="28"/>
          <w:szCs w:val="28"/>
          <w:highlight w:val="none"/>
        </w:rPr>
      </w:pPr>
      <w:bookmarkStart w:id="787" w:name="_Toc17472"/>
      <w:r>
        <w:rPr>
          <w:rFonts w:hint="eastAsia" w:ascii="仿宋" w:hAnsi="仿宋" w:eastAsia="仿宋" w:cs="仿宋"/>
          <w:color w:val="auto"/>
          <w:sz w:val="28"/>
          <w:szCs w:val="28"/>
          <w:highlight w:val="none"/>
        </w:rPr>
        <w:t>五、对中小企业政府采购政策</w:t>
      </w:r>
      <w:bookmarkEnd w:id="787"/>
    </w:p>
    <w:p w14:paraId="6F1CA579">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1、根据财政部、工业和信息化部关于印发《政府采购促进中小企业发展管理办法》的通知（财库〔2020〕46号）：</w:t>
      </w:r>
    </w:p>
    <w:p w14:paraId="0BAE0590">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w:t>
      </w:r>
    </w:p>
    <w:p w14:paraId="27E2D8CA">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关于落实好政府采购支持中小企业发展的通知》（新财购〔2022〕22号）采购人和采购代理机构对于非预留预算份额的采购项目或采购包，应当明确有关价格扣除比例或者价格分加分比例。适用政府采购法的政府采购项目对小微企业报价给予</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20%的扣除；大中型企业与小微企业组成联合体或大中型企业向小微企业分包的，评审给予6%的价格扣除，用扣除后的价格参与评审。</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本项目不适用，本项目专门面向中小微企业</w:t>
      </w:r>
      <w:r>
        <w:rPr>
          <w:rFonts w:hint="eastAsia" w:ascii="仿宋" w:hAnsi="仿宋" w:eastAsia="仿宋" w:cs="仿宋"/>
          <w:color w:val="auto"/>
          <w:sz w:val="28"/>
          <w:szCs w:val="28"/>
          <w:highlight w:val="none"/>
          <w:lang w:eastAsia="zh-CN"/>
        </w:rPr>
        <w:t>）</w:t>
      </w:r>
    </w:p>
    <w:p w14:paraId="50FAC906">
      <w:pPr>
        <w:pStyle w:val="7"/>
        <w:tabs>
          <w:tab w:val="clear" w:pos="567"/>
        </w:tabs>
        <w:spacing w:before="0" w:line="400" w:lineRule="exact"/>
        <w:ind w:firstLine="632" w:firstLineChars="225"/>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对满足上述价格扣除条件且在投标文件中提交了《企业类型声明函》、《中小企业声明函》证明文件的投标人，其投标报价扣除：本项目非专门面向中小企业，</w:t>
      </w:r>
      <w:r>
        <w:rPr>
          <w:rFonts w:hint="eastAsia" w:ascii="仿宋" w:hAnsi="仿宋" w:eastAsia="仿宋" w:cs="仿宋"/>
          <w:b/>
          <w:bCs/>
          <w:color w:val="auto"/>
          <w:sz w:val="28"/>
          <w:szCs w:val="28"/>
          <w:highlight w:val="none"/>
          <w:lang w:val="en-US" w:eastAsia="zh-CN"/>
        </w:rPr>
        <w:t>部分信息化类产品生产厂家企业类型不作为判断依据，以投标人企业类型为准，属于小微企业的，需提供公开网站可查询的证明文件，投标</w:t>
      </w:r>
      <w:r>
        <w:rPr>
          <w:rFonts w:hint="eastAsia" w:ascii="仿宋" w:hAnsi="仿宋" w:eastAsia="仿宋" w:cs="仿宋"/>
          <w:b/>
          <w:bCs/>
          <w:color w:val="auto"/>
          <w:sz w:val="28"/>
          <w:szCs w:val="28"/>
          <w:highlight w:val="none"/>
        </w:rPr>
        <w:t>报价</w:t>
      </w:r>
      <w:r>
        <w:rPr>
          <w:rFonts w:hint="eastAsia" w:ascii="仿宋" w:hAnsi="仿宋" w:eastAsia="仿宋" w:cs="仿宋"/>
          <w:b/>
          <w:bCs/>
          <w:color w:val="auto"/>
          <w:sz w:val="28"/>
          <w:szCs w:val="28"/>
          <w:highlight w:val="none"/>
          <w:lang w:val="en-US" w:eastAsia="zh-CN"/>
        </w:rPr>
        <w:t>可</w:t>
      </w:r>
      <w:r>
        <w:rPr>
          <w:rFonts w:hint="eastAsia" w:ascii="仿宋" w:hAnsi="仿宋" w:eastAsia="仿宋" w:cs="仿宋"/>
          <w:b/>
          <w:bCs/>
          <w:color w:val="auto"/>
          <w:sz w:val="28"/>
          <w:szCs w:val="28"/>
          <w:highlight w:val="none"/>
        </w:rPr>
        <w:t>给予</w:t>
      </w:r>
      <w:r>
        <w:rPr>
          <w:rFonts w:hint="eastAsia" w:ascii="仿宋" w:hAnsi="仿宋" w:eastAsia="仿宋" w:cs="仿宋"/>
          <w:b/>
          <w:bCs/>
          <w:color w:val="auto"/>
          <w:sz w:val="28"/>
          <w:szCs w:val="28"/>
          <w:highlight w:val="none"/>
          <w:u w:val="single"/>
          <w:lang w:val="en-US" w:eastAsia="zh-CN"/>
        </w:rPr>
        <w:t>/</w:t>
      </w:r>
      <w:r>
        <w:rPr>
          <w:rFonts w:hint="eastAsia" w:ascii="仿宋" w:hAnsi="仿宋" w:eastAsia="仿宋" w:cs="仿宋"/>
          <w:b/>
          <w:bCs/>
          <w:color w:val="auto"/>
          <w:sz w:val="28"/>
          <w:szCs w:val="28"/>
          <w:highlight w:val="none"/>
          <w:u w:val="single"/>
        </w:rPr>
        <w:t>%</w:t>
      </w:r>
      <w:r>
        <w:rPr>
          <w:rFonts w:hint="eastAsia" w:ascii="仿宋" w:hAnsi="仿宋" w:eastAsia="仿宋" w:cs="仿宋"/>
          <w:b/>
          <w:bCs/>
          <w:color w:val="auto"/>
          <w:sz w:val="28"/>
          <w:szCs w:val="28"/>
          <w:highlight w:val="none"/>
        </w:rPr>
        <w:t>的价格扣除，用扣除后的价格</w:t>
      </w:r>
      <w:r>
        <w:rPr>
          <w:rFonts w:hint="eastAsia" w:ascii="仿宋" w:hAnsi="仿宋" w:eastAsia="仿宋" w:cs="仿宋"/>
          <w:b/>
          <w:bCs/>
          <w:color w:val="auto"/>
          <w:sz w:val="28"/>
          <w:szCs w:val="28"/>
          <w:highlight w:val="none"/>
          <w:lang w:val="en-US" w:eastAsia="zh-CN"/>
        </w:rPr>
        <w:t>作为评审报价</w:t>
      </w:r>
      <w:r>
        <w:rPr>
          <w:rFonts w:hint="eastAsia" w:ascii="仿宋" w:hAnsi="仿宋" w:eastAsia="仿宋" w:cs="仿宋"/>
          <w:b/>
          <w:bCs/>
          <w:color w:val="auto"/>
          <w:sz w:val="28"/>
          <w:szCs w:val="28"/>
          <w:highlight w:val="none"/>
        </w:rPr>
        <w:t>参与评审。</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本项目不适用，本项目专门面向中小微企业</w:t>
      </w:r>
      <w:r>
        <w:rPr>
          <w:rFonts w:hint="eastAsia" w:ascii="仿宋" w:hAnsi="仿宋" w:eastAsia="仿宋" w:cs="仿宋"/>
          <w:color w:val="auto"/>
          <w:sz w:val="28"/>
          <w:szCs w:val="28"/>
          <w:highlight w:val="none"/>
          <w:lang w:eastAsia="zh-CN"/>
        </w:rPr>
        <w:t>）</w:t>
      </w:r>
    </w:p>
    <w:p w14:paraId="2D098885">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2.联合协议中约定，小型、微型企业的协议合同金额占到联合体协议合同总金额30%以上的，可给予联合体</w:t>
      </w:r>
      <w:r>
        <w:rPr>
          <w:rFonts w:hint="eastAsia" w:ascii="仿宋" w:hAnsi="仿宋" w:eastAsia="仿宋" w:cs="仿宋"/>
          <w:b/>
          <w:bCs/>
          <w:color w:val="auto"/>
          <w:sz w:val="28"/>
          <w:szCs w:val="28"/>
          <w:highlight w:val="none"/>
          <w:u w:val="single"/>
        </w:rPr>
        <w:t xml:space="preserve"> 0 %</w:t>
      </w:r>
      <w:r>
        <w:rPr>
          <w:rFonts w:hint="eastAsia" w:ascii="仿宋" w:hAnsi="仿宋" w:eastAsia="仿宋" w:cs="仿宋"/>
          <w:color w:val="auto"/>
          <w:sz w:val="28"/>
          <w:szCs w:val="28"/>
          <w:highlight w:val="none"/>
        </w:rPr>
        <w:t>的价格扣除。（本项目不适用）</w:t>
      </w:r>
    </w:p>
    <w:p w14:paraId="696F0015">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联合体各方均为小型、微型企业，联合体视同为小型、微型企业。</w:t>
      </w:r>
    </w:p>
    <w:p w14:paraId="7FB6A1EC">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3、供应商所投产品如被列入财政部与国家主管部门颁发的节能产品目录或环境标志产品目录或无线局域网产品目录，应提供相关证明，在评标时予以优先采购，具体优惠措施为： 投标商所投产品应优先选择《财政部国家发展改革委关于调整公布第二十四期节能产品政府采购清单的通知》、关于《财政部环境保护部关于调整公布第二十二期环境标志产品政府采购清单的通知》目录内的产品（须提供节能、环保认证证书复印件加盖公章）。</w:t>
      </w:r>
    </w:p>
    <w:p w14:paraId="740E30D2">
      <w:pPr>
        <w:spacing w:before="0" w:line="240" w:lineRule="atLeast"/>
        <w:jc w:val="left"/>
        <w:outlineLvl w:val="9"/>
        <w:rPr>
          <w:rFonts w:hint="eastAsia" w:ascii="仿宋" w:hAnsi="仿宋" w:eastAsia="仿宋" w:cs="仿宋"/>
          <w:color w:val="auto"/>
          <w:sz w:val="28"/>
          <w:szCs w:val="28"/>
          <w:highlight w:val="none"/>
        </w:rPr>
      </w:pPr>
      <w:bookmarkStart w:id="788" w:name="_Toc1165"/>
      <w:r>
        <w:rPr>
          <w:rFonts w:hint="eastAsia" w:ascii="仿宋" w:hAnsi="仿宋" w:eastAsia="仿宋" w:cs="仿宋"/>
          <w:color w:val="auto"/>
          <w:sz w:val="28"/>
          <w:szCs w:val="28"/>
          <w:highlight w:val="none"/>
        </w:rPr>
        <w:t>六.详细的评标标准：（具体内容详见综合评分表）</w:t>
      </w:r>
      <w:bookmarkEnd w:id="788"/>
    </w:p>
    <w:p w14:paraId="14DCD648">
      <w:pPr>
        <w:pStyle w:val="7"/>
        <w:tabs>
          <w:tab w:val="clear" w:pos="567"/>
        </w:tabs>
        <w:spacing w:before="0" w:line="400" w:lineRule="exact"/>
        <w:ind w:firstLine="632" w:firstLineChars="225"/>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本项目采用招标方式：公开招标，评分方法：综合评分法</w:t>
      </w:r>
    </w:p>
    <w:p w14:paraId="4FE3184E">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对投标文件的评估和比较分为两步进行，评标委员会按照采购文件要求对投标文件中的投标商资格、投标商资格证明文件、重要技术指标以及技术和商务上要求的其它重要内容进行审核，审核合格后即视为实质性响应的投标文件，进行第二个步骤：对实质性响应的投标文件进行评估和比较采用综合评分法进行打分评比，打分方法：详见打分表。</w:t>
      </w:r>
    </w:p>
    <w:p w14:paraId="5B1C8E52">
      <w:pPr>
        <w:outlineLvl w:val="9"/>
        <w:rPr>
          <w:rFonts w:hint="eastAsia" w:ascii="仿宋" w:hAnsi="仿宋" w:eastAsia="仿宋" w:cs="仿宋"/>
          <w:color w:val="auto"/>
          <w:sz w:val="28"/>
          <w:szCs w:val="28"/>
          <w:highlight w:val="none"/>
        </w:rPr>
      </w:pPr>
    </w:p>
    <w:p w14:paraId="3C56C0C6">
      <w:pPr>
        <w:spacing w:before="0" w:line="240" w:lineRule="atLeast"/>
        <w:jc w:val="left"/>
        <w:outlineLvl w:val="9"/>
        <w:rPr>
          <w:rFonts w:hint="eastAsia" w:ascii="仿宋" w:hAnsi="仿宋" w:eastAsia="仿宋" w:cs="仿宋"/>
          <w:color w:val="auto"/>
          <w:sz w:val="28"/>
          <w:szCs w:val="28"/>
          <w:highlight w:val="none"/>
        </w:rPr>
      </w:pPr>
      <w:bookmarkStart w:id="789" w:name="_Toc5694"/>
      <w:r>
        <w:rPr>
          <w:rFonts w:hint="eastAsia" w:ascii="仿宋" w:hAnsi="仿宋" w:eastAsia="仿宋" w:cs="仿宋"/>
          <w:color w:val="auto"/>
          <w:sz w:val="28"/>
          <w:szCs w:val="28"/>
          <w:highlight w:val="none"/>
        </w:rPr>
        <w:t>七、投标文件的澄清和补正</w:t>
      </w:r>
      <w:bookmarkEnd w:id="789"/>
    </w:p>
    <w:p w14:paraId="39918EF7">
      <w:pPr>
        <w:pStyle w:val="18"/>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1．澄清、说明或补正的形式</w:t>
      </w:r>
    </w:p>
    <w:p w14:paraId="2BB2C170">
      <w:pPr>
        <w:pStyle w:val="18"/>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1.1评标委员会</w:t>
      </w:r>
      <w:r>
        <w:rPr>
          <w:rFonts w:hint="eastAsia" w:ascii="仿宋" w:hAnsi="仿宋" w:eastAsia="仿宋" w:cs="仿宋"/>
          <w:color w:val="auto"/>
          <w:sz w:val="28"/>
          <w:szCs w:val="28"/>
          <w:highlight w:val="none"/>
          <w:lang w:eastAsia="zh-CN"/>
        </w:rPr>
        <w:t>认为</w:t>
      </w:r>
      <w:r>
        <w:rPr>
          <w:rFonts w:hint="eastAsia" w:ascii="仿宋" w:hAnsi="仿宋" w:eastAsia="仿宋" w:cs="仿宋"/>
          <w:color w:val="auto"/>
          <w:sz w:val="28"/>
          <w:szCs w:val="28"/>
          <w:highlight w:val="none"/>
        </w:rPr>
        <w:t>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4AFB7D10">
      <w:pPr>
        <w:pStyle w:val="18"/>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14:paraId="18B80B50">
      <w:pPr>
        <w:pStyle w:val="18"/>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7FCB9BD1">
      <w:pPr>
        <w:pStyle w:val="18"/>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2．错误修正的原则</w:t>
      </w:r>
    </w:p>
    <w:p w14:paraId="6B0239AC">
      <w:pPr>
        <w:pStyle w:val="18"/>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电子交易平台客户端里开标一览表录入的投标报价或优惠率与扫描上传的报价文件信息不一致的，以扫描上传的报价文件信息为准进行修正。</w:t>
      </w:r>
    </w:p>
    <w:p w14:paraId="75A51576">
      <w:pPr>
        <w:pStyle w:val="18"/>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投标文件报价出现前后不一致的，除采购文件另有规定外，按照下列规定修正：</w:t>
      </w:r>
    </w:p>
    <w:p w14:paraId="4529E34D">
      <w:pPr>
        <w:pStyle w:val="18"/>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 投标函中表述的内容与开标一览表中不一致的，以开标一览表为准；开标一览表中的内容与报价明细表不一致的，以开标一览表为准；</w:t>
      </w:r>
    </w:p>
    <w:p w14:paraId="6386E090">
      <w:pPr>
        <w:pStyle w:val="18"/>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 投标文件中的大写金额和小写金额不一致的，以大写金额为准；</w:t>
      </w:r>
    </w:p>
    <w:p w14:paraId="3B7F2EFA">
      <w:pPr>
        <w:pStyle w:val="18"/>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2.3 单价金额小数点或者百分比有明显错位的，以开标一览表的总价为准，并修改单价；</w:t>
      </w:r>
    </w:p>
    <w:p w14:paraId="728CCEEA">
      <w:pPr>
        <w:pStyle w:val="18"/>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2.4 总价金额与按单价汇总金额不一致的，以单价金额计算结果为准；</w:t>
      </w:r>
    </w:p>
    <w:p w14:paraId="30E4F5CB">
      <w:pPr>
        <w:pStyle w:val="18"/>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2.5 若用文字表示的数值与用数字表示的数值不一致，以文字表示的数值为准；</w:t>
      </w:r>
    </w:p>
    <w:p w14:paraId="34FD1215">
      <w:pPr>
        <w:pStyle w:val="18"/>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2.6 如有多报（指数量超出采购文件需求）、重报（指同一货物重复报价），其投标总价在评标过程中不予调整，如其中标，其合同价按其投标单价予以调整；</w:t>
      </w:r>
    </w:p>
    <w:p w14:paraId="100D3C75">
      <w:pPr>
        <w:pStyle w:val="18"/>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2.7 对不同文字文本投标文件的解释发生异议的，以中文文本为准；</w:t>
      </w:r>
    </w:p>
    <w:p w14:paraId="31044A37">
      <w:pPr>
        <w:pStyle w:val="18"/>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同时出现两种以上不一致的，按照前款规定的顺序修正。按上述修正错误的原则及方法调整或修正投标文件的投标报价，供应商确认后，以调整或修正后的投标报价为准。如供应商拒绝调整或修正的，其投标文件按</w:t>
      </w:r>
      <w:r>
        <w:rPr>
          <w:rFonts w:hint="eastAsia" w:ascii="仿宋" w:hAnsi="仿宋" w:eastAsia="仿宋" w:cs="仿宋"/>
          <w:b/>
          <w:bCs/>
          <w:color w:val="auto"/>
          <w:sz w:val="28"/>
          <w:szCs w:val="28"/>
          <w:highlight w:val="none"/>
        </w:rPr>
        <w:t>无效标处理</w:t>
      </w:r>
      <w:r>
        <w:rPr>
          <w:rFonts w:hint="eastAsia" w:ascii="仿宋" w:hAnsi="仿宋" w:eastAsia="仿宋" w:cs="仿宋"/>
          <w:color w:val="auto"/>
          <w:sz w:val="28"/>
          <w:szCs w:val="28"/>
          <w:highlight w:val="none"/>
        </w:rPr>
        <w:t>。修正应当采用电子询标的形式，并加盖公章（电子印章）。</w:t>
      </w:r>
    </w:p>
    <w:p w14:paraId="3616E4C7">
      <w:pPr>
        <w:pStyle w:val="18"/>
        <w:outlineLvl w:val="9"/>
        <w:rPr>
          <w:rFonts w:hint="eastAsia" w:ascii="仿宋" w:hAnsi="仿宋" w:eastAsia="仿宋" w:cs="仿宋"/>
          <w:color w:val="auto"/>
          <w:sz w:val="24"/>
          <w:highlight w:val="none"/>
        </w:rPr>
      </w:pPr>
    </w:p>
    <w:p w14:paraId="14A65C65">
      <w:pPr>
        <w:widowControl/>
        <w:jc w:val="center"/>
        <w:outlineLvl w:val="9"/>
        <w:rPr>
          <w:rFonts w:hint="eastAsia" w:ascii="仿宋" w:hAnsi="仿宋" w:eastAsia="仿宋" w:cs="仿宋"/>
          <w:color w:val="auto"/>
          <w:szCs w:val="21"/>
          <w:highlight w:val="none"/>
        </w:rPr>
      </w:pPr>
    </w:p>
    <w:p w14:paraId="219D7A0A">
      <w:pPr>
        <w:widowControl/>
        <w:jc w:val="center"/>
        <w:outlineLvl w:val="1"/>
        <w:rPr>
          <w:rFonts w:hint="eastAsia" w:ascii="仿宋" w:hAnsi="仿宋" w:eastAsia="仿宋" w:cs="仿宋"/>
          <w:b/>
          <w:color w:val="auto"/>
          <w:kern w:val="0"/>
          <w:sz w:val="28"/>
          <w:szCs w:val="28"/>
          <w:highlight w:val="none"/>
          <w:lang w:val="en-US" w:eastAsia="zh-CN" w:bidi="ar-SA"/>
        </w:rPr>
        <w:sectPr>
          <w:footerReference r:id="rId14" w:type="default"/>
          <w:pgSz w:w="11907" w:h="16840"/>
          <w:pgMar w:top="1440" w:right="1800" w:bottom="1440" w:left="1800" w:header="0" w:footer="1059" w:gutter="0"/>
          <w:pgNumType w:fmt="decimal"/>
          <w:cols w:space="720" w:num="1"/>
        </w:sectPr>
      </w:pPr>
      <w:bookmarkStart w:id="790" w:name="_Toc28817"/>
      <w:bookmarkStart w:id="791" w:name="_Toc19765"/>
      <w:bookmarkStart w:id="792" w:name="_Toc28305"/>
    </w:p>
    <w:p w14:paraId="2D6607C1">
      <w:pPr>
        <w:widowControl/>
        <w:jc w:val="center"/>
        <w:outlineLvl w:val="1"/>
        <w:rPr>
          <w:rFonts w:hint="eastAsia" w:ascii="仿宋" w:hAnsi="仿宋" w:eastAsia="仿宋" w:cs="仿宋"/>
          <w:b/>
          <w:color w:val="auto"/>
          <w:kern w:val="0"/>
          <w:sz w:val="28"/>
          <w:szCs w:val="28"/>
          <w:highlight w:val="none"/>
          <w:lang w:val="en-US" w:eastAsia="zh-CN" w:bidi="ar-SA"/>
        </w:rPr>
      </w:pPr>
      <w:r>
        <w:rPr>
          <w:rFonts w:hint="eastAsia" w:ascii="仿宋" w:hAnsi="仿宋" w:eastAsia="仿宋" w:cs="仿宋"/>
          <w:b/>
          <w:color w:val="auto"/>
          <w:kern w:val="0"/>
          <w:sz w:val="28"/>
          <w:szCs w:val="28"/>
          <w:highlight w:val="none"/>
          <w:lang w:val="en-US" w:eastAsia="zh-CN" w:bidi="ar-SA"/>
        </w:rPr>
        <w:t>符合性审查表</w:t>
      </w:r>
      <w:bookmarkEnd w:id="790"/>
      <w:bookmarkEnd w:id="791"/>
      <w:bookmarkEnd w:id="792"/>
    </w:p>
    <w:tbl>
      <w:tblPr>
        <w:tblStyle w:val="20"/>
        <w:tblW w:w="0" w:type="auto"/>
        <w:tblInd w:w="0" w:type="dxa"/>
        <w:tblLayout w:type="fixed"/>
        <w:tblCellMar>
          <w:top w:w="0" w:type="dxa"/>
          <w:left w:w="108" w:type="dxa"/>
          <w:bottom w:w="0" w:type="dxa"/>
          <w:right w:w="108" w:type="dxa"/>
        </w:tblCellMar>
      </w:tblPr>
      <w:tblGrid>
        <w:gridCol w:w="2927"/>
        <w:gridCol w:w="4870"/>
        <w:gridCol w:w="537"/>
        <w:gridCol w:w="498"/>
        <w:gridCol w:w="455"/>
      </w:tblGrid>
      <w:tr w14:paraId="22C5510A">
        <w:tblPrEx>
          <w:tblCellMar>
            <w:top w:w="0" w:type="dxa"/>
            <w:left w:w="108" w:type="dxa"/>
            <w:bottom w:w="0" w:type="dxa"/>
            <w:right w:w="108" w:type="dxa"/>
          </w:tblCellMar>
        </w:tblPrEx>
        <w:trPr>
          <w:trHeight w:val="564" w:hRule="atLeast"/>
        </w:trPr>
        <w:tc>
          <w:tcPr>
            <w:tcW w:w="7797" w:type="dxa"/>
            <w:gridSpan w:val="2"/>
            <w:tcBorders>
              <w:top w:val="single" w:color="auto" w:sz="4" w:space="0"/>
              <w:left w:val="single" w:color="auto" w:sz="4" w:space="0"/>
              <w:bottom w:val="single" w:color="auto" w:sz="4" w:space="0"/>
              <w:right w:val="single" w:color="auto" w:sz="4" w:space="0"/>
            </w:tcBorders>
            <w:noWrap w:val="0"/>
            <w:vAlign w:val="center"/>
          </w:tcPr>
          <w:p w14:paraId="0980E3A3">
            <w:pPr>
              <w:keepNext w:val="0"/>
              <w:keepLines w:val="0"/>
              <w:widowControl/>
              <w:suppressLineNumbers w:val="0"/>
              <w:spacing w:before="0" w:beforeAutospacing="0" w:after="0" w:afterAutospacing="0"/>
              <w:ind w:left="0" w:right="0"/>
              <w:jc w:val="center"/>
              <w:outlineLvl w:val="9"/>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审查事项</w:t>
            </w:r>
          </w:p>
        </w:tc>
        <w:tc>
          <w:tcPr>
            <w:tcW w:w="1490" w:type="dxa"/>
            <w:gridSpan w:val="3"/>
            <w:tcBorders>
              <w:top w:val="single" w:color="auto" w:sz="4" w:space="0"/>
              <w:left w:val="single" w:color="auto" w:sz="4" w:space="0"/>
              <w:bottom w:val="single" w:color="auto" w:sz="4" w:space="0"/>
              <w:right w:val="single" w:color="auto" w:sz="4" w:space="0"/>
            </w:tcBorders>
            <w:noWrap w:val="0"/>
            <w:vAlign w:val="center"/>
          </w:tcPr>
          <w:p w14:paraId="2CAABC48">
            <w:pPr>
              <w:keepNext w:val="0"/>
              <w:keepLines w:val="0"/>
              <w:widowControl/>
              <w:suppressLineNumbers w:val="0"/>
              <w:spacing w:before="0" w:beforeAutospacing="0" w:after="0" w:afterAutospacing="0"/>
              <w:ind w:left="0" w:right="0"/>
              <w:jc w:val="center"/>
              <w:outlineLvl w:val="9"/>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投标人名称及审查情况</w:t>
            </w:r>
          </w:p>
        </w:tc>
      </w:tr>
      <w:tr w14:paraId="27B9077A">
        <w:tblPrEx>
          <w:tblCellMar>
            <w:top w:w="0" w:type="dxa"/>
            <w:left w:w="108" w:type="dxa"/>
            <w:bottom w:w="0" w:type="dxa"/>
            <w:right w:w="108" w:type="dxa"/>
          </w:tblCellMar>
        </w:tblPrEx>
        <w:trPr>
          <w:trHeight w:val="570" w:hRule="atLeast"/>
        </w:trPr>
        <w:tc>
          <w:tcPr>
            <w:tcW w:w="2927" w:type="dxa"/>
            <w:tcBorders>
              <w:top w:val="single" w:color="auto" w:sz="4" w:space="0"/>
              <w:left w:val="single" w:color="auto" w:sz="4" w:space="0"/>
              <w:bottom w:val="single" w:color="auto" w:sz="4" w:space="0"/>
              <w:right w:val="single" w:color="auto" w:sz="4" w:space="0"/>
            </w:tcBorders>
            <w:noWrap w:val="0"/>
            <w:vAlign w:val="center"/>
          </w:tcPr>
          <w:p w14:paraId="0BB717DF">
            <w:pPr>
              <w:keepNext w:val="0"/>
              <w:keepLines w:val="0"/>
              <w:widowControl/>
              <w:suppressLineNumbers w:val="0"/>
              <w:spacing w:before="0" w:beforeAutospacing="0" w:after="0" w:afterAutospacing="0"/>
              <w:ind w:left="0" w:right="0"/>
              <w:jc w:val="left"/>
              <w:outlineLvl w:val="9"/>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招标文件条款（投标人须知、投标人须知资料表条款号）</w:t>
            </w:r>
          </w:p>
        </w:tc>
        <w:tc>
          <w:tcPr>
            <w:tcW w:w="4870" w:type="dxa"/>
            <w:tcBorders>
              <w:top w:val="single" w:color="auto" w:sz="4" w:space="0"/>
              <w:left w:val="single" w:color="auto" w:sz="4" w:space="0"/>
              <w:bottom w:val="single" w:color="auto" w:sz="4" w:space="0"/>
              <w:right w:val="single" w:color="auto" w:sz="4" w:space="0"/>
            </w:tcBorders>
            <w:noWrap w:val="0"/>
            <w:vAlign w:val="center"/>
          </w:tcPr>
          <w:p w14:paraId="16C7C1C6">
            <w:pPr>
              <w:keepNext w:val="0"/>
              <w:keepLines w:val="0"/>
              <w:widowControl/>
              <w:suppressLineNumbers w:val="0"/>
              <w:spacing w:before="0" w:beforeAutospacing="0" w:after="0" w:afterAutospacing="0"/>
              <w:ind w:left="0" w:right="0"/>
              <w:jc w:val="center"/>
              <w:outlineLvl w:val="9"/>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本项目要求</w:t>
            </w:r>
          </w:p>
        </w:tc>
        <w:tc>
          <w:tcPr>
            <w:tcW w:w="537" w:type="dxa"/>
            <w:tcBorders>
              <w:top w:val="single" w:color="auto" w:sz="4" w:space="0"/>
              <w:left w:val="single" w:color="auto" w:sz="4" w:space="0"/>
              <w:bottom w:val="single" w:color="auto" w:sz="4" w:space="0"/>
              <w:right w:val="single" w:color="auto" w:sz="4" w:space="0"/>
            </w:tcBorders>
            <w:noWrap w:val="0"/>
            <w:vAlign w:val="center"/>
          </w:tcPr>
          <w:p w14:paraId="3B5BAE9B">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98" w:type="dxa"/>
            <w:tcBorders>
              <w:top w:val="single" w:color="auto" w:sz="4" w:space="0"/>
              <w:left w:val="nil"/>
              <w:bottom w:val="single" w:color="auto" w:sz="4" w:space="0"/>
              <w:right w:val="single" w:color="auto" w:sz="4" w:space="0"/>
            </w:tcBorders>
            <w:noWrap w:val="0"/>
            <w:vAlign w:val="center"/>
          </w:tcPr>
          <w:p w14:paraId="19AB4E3A">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55" w:type="dxa"/>
            <w:tcBorders>
              <w:top w:val="single" w:color="auto" w:sz="4" w:space="0"/>
              <w:left w:val="nil"/>
              <w:bottom w:val="single" w:color="auto" w:sz="4" w:space="0"/>
              <w:right w:val="single" w:color="auto" w:sz="4" w:space="0"/>
            </w:tcBorders>
            <w:noWrap w:val="0"/>
            <w:vAlign w:val="center"/>
          </w:tcPr>
          <w:p w14:paraId="4EC7902C">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14:paraId="23B02E79">
        <w:tblPrEx>
          <w:tblCellMar>
            <w:top w:w="0" w:type="dxa"/>
            <w:left w:w="108" w:type="dxa"/>
            <w:bottom w:w="0" w:type="dxa"/>
            <w:right w:w="108" w:type="dxa"/>
          </w:tblCellMar>
        </w:tblPrEx>
        <w:trPr>
          <w:trHeight w:val="510" w:hRule="atLeast"/>
        </w:trPr>
        <w:tc>
          <w:tcPr>
            <w:tcW w:w="2927" w:type="dxa"/>
            <w:tcBorders>
              <w:top w:val="single" w:color="auto" w:sz="4" w:space="0"/>
              <w:left w:val="single" w:color="auto" w:sz="4" w:space="0"/>
              <w:bottom w:val="single" w:color="auto" w:sz="4" w:space="0"/>
              <w:right w:val="single" w:color="auto" w:sz="4" w:space="0"/>
            </w:tcBorders>
            <w:noWrap w:val="0"/>
            <w:vAlign w:val="center"/>
          </w:tcPr>
          <w:p w14:paraId="63081529">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投标报价</w:t>
            </w:r>
          </w:p>
        </w:tc>
        <w:tc>
          <w:tcPr>
            <w:tcW w:w="4870" w:type="dxa"/>
            <w:tcBorders>
              <w:top w:val="single" w:color="auto" w:sz="4" w:space="0"/>
              <w:left w:val="nil"/>
              <w:bottom w:val="single" w:color="auto" w:sz="4" w:space="0"/>
              <w:right w:val="single" w:color="auto" w:sz="4" w:space="0"/>
            </w:tcBorders>
            <w:noWrap w:val="0"/>
            <w:vAlign w:val="center"/>
          </w:tcPr>
          <w:p w14:paraId="55CB5F94">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投标报价未高于</w:t>
            </w:r>
            <w:r>
              <w:rPr>
                <w:rFonts w:hint="eastAsia" w:ascii="仿宋" w:hAnsi="仿宋" w:eastAsia="仿宋" w:cs="仿宋"/>
                <w:color w:val="auto"/>
                <w:kern w:val="0"/>
                <w:szCs w:val="21"/>
                <w:highlight w:val="none"/>
                <w:lang w:eastAsia="zh-CN"/>
              </w:rPr>
              <w:t>最高限价</w:t>
            </w:r>
            <w:r>
              <w:rPr>
                <w:rFonts w:hint="eastAsia" w:ascii="仿宋" w:hAnsi="仿宋" w:eastAsia="仿宋" w:cs="仿宋"/>
                <w:color w:val="auto"/>
                <w:kern w:val="0"/>
                <w:szCs w:val="21"/>
                <w:highlight w:val="none"/>
              </w:rPr>
              <w:t>；</w:t>
            </w:r>
          </w:p>
        </w:tc>
        <w:tc>
          <w:tcPr>
            <w:tcW w:w="537" w:type="dxa"/>
            <w:tcBorders>
              <w:top w:val="single" w:color="auto" w:sz="4" w:space="0"/>
              <w:left w:val="nil"/>
              <w:bottom w:val="single" w:color="auto" w:sz="4" w:space="0"/>
              <w:right w:val="single" w:color="auto" w:sz="4" w:space="0"/>
            </w:tcBorders>
            <w:noWrap w:val="0"/>
            <w:vAlign w:val="center"/>
          </w:tcPr>
          <w:p w14:paraId="3988F069">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p>
        </w:tc>
        <w:tc>
          <w:tcPr>
            <w:tcW w:w="498" w:type="dxa"/>
            <w:tcBorders>
              <w:top w:val="single" w:color="auto" w:sz="4" w:space="0"/>
              <w:left w:val="nil"/>
              <w:bottom w:val="single" w:color="auto" w:sz="4" w:space="0"/>
              <w:right w:val="single" w:color="auto" w:sz="4" w:space="0"/>
            </w:tcBorders>
            <w:noWrap w:val="0"/>
            <w:vAlign w:val="center"/>
          </w:tcPr>
          <w:p w14:paraId="4F8807D1">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p>
        </w:tc>
        <w:tc>
          <w:tcPr>
            <w:tcW w:w="455" w:type="dxa"/>
            <w:tcBorders>
              <w:top w:val="single" w:color="auto" w:sz="4" w:space="0"/>
              <w:left w:val="nil"/>
              <w:bottom w:val="single" w:color="auto" w:sz="4" w:space="0"/>
              <w:right w:val="single" w:color="auto" w:sz="4" w:space="0"/>
            </w:tcBorders>
            <w:noWrap w:val="0"/>
            <w:vAlign w:val="center"/>
          </w:tcPr>
          <w:p w14:paraId="00A7C61C">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p>
        </w:tc>
      </w:tr>
      <w:tr w14:paraId="0EC8B274">
        <w:tblPrEx>
          <w:tblCellMar>
            <w:top w:w="0" w:type="dxa"/>
            <w:left w:w="108" w:type="dxa"/>
            <w:bottom w:w="0" w:type="dxa"/>
            <w:right w:w="108" w:type="dxa"/>
          </w:tblCellMar>
        </w:tblPrEx>
        <w:trPr>
          <w:trHeight w:val="510" w:hRule="atLeast"/>
        </w:trPr>
        <w:tc>
          <w:tcPr>
            <w:tcW w:w="2927" w:type="dxa"/>
            <w:tcBorders>
              <w:top w:val="single" w:color="auto" w:sz="4" w:space="0"/>
              <w:left w:val="single" w:color="auto" w:sz="4" w:space="0"/>
              <w:bottom w:val="single" w:color="auto" w:sz="4" w:space="0"/>
              <w:right w:val="single" w:color="auto" w:sz="4" w:space="0"/>
            </w:tcBorders>
            <w:noWrap w:val="0"/>
            <w:vAlign w:val="center"/>
          </w:tcPr>
          <w:p w14:paraId="43EEDEF3">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联合体投标规定</w:t>
            </w:r>
          </w:p>
          <w:p w14:paraId="7DE1AC76">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（1.4）</w:t>
            </w:r>
          </w:p>
        </w:tc>
        <w:tc>
          <w:tcPr>
            <w:tcW w:w="4870" w:type="dxa"/>
            <w:tcBorders>
              <w:top w:val="single" w:color="auto" w:sz="4" w:space="0"/>
              <w:left w:val="nil"/>
              <w:bottom w:val="single" w:color="auto" w:sz="4" w:space="0"/>
              <w:right w:val="single" w:color="auto" w:sz="4" w:space="0"/>
            </w:tcBorders>
            <w:noWrap w:val="0"/>
            <w:vAlign w:val="center"/>
          </w:tcPr>
          <w:p w14:paraId="205344C9">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本项目</w:t>
            </w:r>
            <w:r>
              <w:rPr>
                <w:rFonts w:hint="eastAsia" w:ascii="仿宋" w:hAnsi="仿宋" w:eastAsia="仿宋" w:cs="仿宋"/>
                <w:i/>
                <w:color w:val="auto"/>
                <w:kern w:val="0"/>
                <w:szCs w:val="21"/>
                <w:highlight w:val="none"/>
                <w:u w:val="single"/>
              </w:rPr>
              <w:t>不接受联合体投标</w:t>
            </w:r>
          </w:p>
        </w:tc>
        <w:tc>
          <w:tcPr>
            <w:tcW w:w="537" w:type="dxa"/>
            <w:tcBorders>
              <w:top w:val="single" w:color="auto" w:sz="4" w:space="0"/>
              <w:left w:val="nil"/>
              <w:bottom w:val="single" w:color="auto" w:sz="4" w:space="0"/>
              <w:right w:val="single" w:color="auto" w:sz="4" w:space="0"/>
            </w:tcBorders>
            <w:noWrap w:val="0"/>
            <w:vAlign w:val="center"/>
          </w:tcPr>
          <w:p w14:paraId="5D850D07">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98" w:type="dxa"/>
            <w:tcBorders>
              <w:top w:val="single" w:color="auto" w:sz="4" w:space="0"/>
              <w:left w:val="nil"/>
              <w:bottom w:val="single" w:color="auto" w:sz="4" w:space="0"/>
              <w:right w:val="single" w:color="auto" w:sz="4" w:space="0"/>
            </w:tcBorders>
            <w:noWrap w:val="0"/>
            <w:vAlign w:val="center"/>
          </w:tcPr>
          <w:p w14:paraId="0A45CC9B">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55" w:type="dxa"/>
            <w:tcBorders>
              <w:top w:val="single" w:color="auto" w:sz="4" w:space="0"/>
              <w:left w:val="nil"/>
              <w:bottom w:val="single" w:color="auto" w:sz="4" w:space="0"/>
              <w:right w:val="single" w:color="auto" w:sz="4" w:space="0"/>
            </w:tcBorders>
            <w:noWrap w:val="0"/>
            <w:vAlign w:val="center"/>
          </w:tcPr>
          <w:p w14:paraId="5F039D59">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14:paraId="2D6C939D">
        <w:tblPrEx>
          <w:tblCellMar>
            <w:top w:w="0" w:type="dxa"/>
            <w:left w:w="108" w:type="dxa"/>
            <w:bottom w:w="0" w:type="dxa"/>
            <w:right w:w="108" w:type="dxa"/>
          </w:tblCellMar>
        </w:tblPrEx>
        <w:trPr>
          <w:trHeight w:val="510" w:hRule="atLeast"/>
        </w:trPr>
        <w:tc>
          <w:tcPr>
            <w:tcW w:w="2927" w:type="dxa"/>
            <w:tcBorders>
              <w:top w:val="single" w:color="auto" w:sz="4" w:space="0"/>
              <w:left w:val="single" w:color="auto" w:sz="4" w:space="0"/>
              <w:bottom w:val="single" w:color="auto" w:sz="4" w:space="0"/>
              <w:right w:val="single" w:color="auto" w:sz="4" w:space="0"/>
            </w:tcBorders>
            <w:noWrap w:val="0"/>
            <w:vAlign w:val="center"/>
          </w:tcPr>
          <w:p w14:paraId="18CDC5BF">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投标人的关联性</w:t>
            </w:r>
          </w:p>
          <w:p w14:paraId="5A68CA9E">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（1.5）</w:t>
            </w:r>
          </w:p>
        </w:tc>
        <w:tc>
          <w:tcPr>
            <w:tcW w:w="4870" w:type="dxa"/>
            <w:tcBorders>
              <w:top w:val="single" w:color="auto" w:sz="4" w:space="0"/>
              <w:left w:val="nil"/>
              <w:bottom w:val="single" w:color="auto" w:sz="4" w:space="0"/>
              <w:right w:val="single" w:color="auto" w:sz="4" w:space="0"/>
            </w:tcBorders>
            <w:noWrap w:val="0"/>
            <w:vAlign w:val="center"/>
          </w:tcPr>
          <w:p w14:paraId="0BA1846F">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在同一标包内，单位负责人非同一人或者不存在直接控股、管理关系的不同供应商。 </w:t>
            </w:r>
          </w:p>
        </w:tc>
        <w:tc>
          <w:tcPr>
            <w:tcW w:w="537" w:type="dxa"/>
            <w:tcBorders>
              <w:top w:val="single" w:color="auto" w:sz="4" w:space="0"/>
              <w:left w:val="nil"/>
              <w:bottom w:val="single" w:color="auto" w:sz="4" w:space="0"/>
              <w:right w:val="single" w:color="auto" w:sz="4" w:space="0"/>
            </w:tcBorders>
            <w:noWrap w:val="0"/>
            <w:vAlign w:val="center"/>
          </w:tcPr>
          <w:p w14:paraId="637D3DEB">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98" w:type="dxa"/>
            <w:tcBorders>
              <w:top w:val="single" w:color="auto" w:sz="4" w:space="0"/>
              <w:left w:val="nil"/>
              <w:bottom w:val="single" w:color="auto" w:sz="4" w:space="0"/>
              <w:right w:val="single" w:color="auto" w:sz="4" w:space="0"/>
            </w:tcBorders>
            <w:noWrap w:val="0"/>
            <w:vAlign w:val="center"/>
          </w:tcPr>
          <w:p w14:paraId="4FB2036A">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55" w:type="dxa"/>
            <w:tcBorders>
              <w:top w:val="single" w:color="auto" w:sz="4" w:space="0"/>
              <w:left w:val="nil"/>
              <w:bottom w:val="single" w:color="auto" w:sz="4" w:space="0"/>
              <w:right w:val="single" w:color="auto" w:sz="4" w:space="0"/>
            </w:tcBorders>
            <w:noWrap w:val="0"/>
            <w:vAlign w:val="center"/>
          </w:tcPr>
          <w:p w14:paraId="3F498E8F">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14:paraId="66480CC0">
        <w:tblPrEx>
          <w:tblCellMar>
            <w:top w:w="0" w:type="dxa"/>
            <w:left w:w="108" w:type="dxa"/>
            <w:bottom w:w="0" w:type="dxa"/>
            <w:right w:w="108" w:type="dxa"/>
          </w:tblCellMar>
        </w:tblPrEx>
        <w:trPr>
          <w:trHeight w:val="510" w:hRule="atLeast"/>
        </w:trPr>
        <w:tc>
          <w:tcPr>
            <w:tcW w:w="2927" w:type="dxa"/>
            <w:tcBorders>
              <w:top w:val="single" w:color="auto" w:sz="4" w:space="0"/>
              <w:left w:val="single" w:color="auto" w:sz="4" w:space="0"/>
              <w:bottom w:val="single" w:color="auto" w:sz="4" w:space="0"/>
              <w:right w:val="single" w:color="auto" w:sz="4" w:space="0"/>
            </w:tcBorders>
            <w:noWrap w:val="0"/>
            <w:vAlign w:val="center"/>
          </w:tcPr>
          <w:p w14:paraId="6481363F">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未发现影响采购人决策行为（1.7）</w:t>
            </w:r>
          </w:p>
        </w:tc>
        <w:tc>
          <w:tcPr>
            <w:tcW w:w="4870" w:type="dxa"/>
            <w:tcBorders>
              <w:top w:val="single" w:color="auto" w:sz="4" w:space="0"/>
              <w:left w:val="nil"/>
              <w:bottom w:val="single" w:color="auto" w:sz="4" w:space="0"/>
              <w:right w:val="single" w:color="auto" w:sz="4" w:space="0"/>
            </w:tcBorders>
            <w:noWrap w:val="0"/>
            <w:vAlign w:val="center"/>
          </w:tcPr>
          <w:p w14:paraId="55AE7ED5">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投标人在投标过程中未向采购人提供、给予任何有价值的物品，影响其正常决策行为。</w:t>
            </w:r>
          </w:p>
        </w:tc>
        <w:tc>
          <w:tcPr>
            <w:tcW w:w="537" w:type="dxa"/>
            <w:tcBorders>
              <w:top w:val="single" w:color="auto" w:sz="4" w:space="0"/>
              <w:left w:val="nil"/>
              <w:bottom w:val="single" w:color="auto" w:sz="4" w:space="0"/>
              <w:right w:val="single" w:color="auto" w:sz="4" w:space="0"/>
            </w:tcBorders>
            <w:noWrap w:val="0"/>
            <w:vAlign w:val="center"/>
          </w:tcPr>
          <w:p w14:paraId="6DA9CB69">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98" w:type="dxa"/>
            <w:tcBorders>
              <w:top w:val="single" w:color="auto" w:sz="4" w:space="0"/>
              <w:left w:val="nil"/>
              <w:bottom w:val="single" w:color="auto" w:sz="4" w:space="0"/>
              <w:right w:val="single" w:color="auto" w:sz="4" w:space="0"/>
            </w:tcBorders>
            <w:noWrap w:val="0"/>
            <w:vAlign w:val="center"/>
          </w:tcPr>
          <w:p w14:paraId="3D16E213">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55" w:type="dxa"/>
            <w:tcBorders>
              <w:top w:val="single" w:color="auto" w:sz="4" w:space="0"/>
              <w:left w:val="nil"/>
              <w:bottom w:val="single" w:color="auto" w:sz="4" w:space="0"/>
              <w:right w:val="single" w:color="auto" w:sz="4" w:space="0"/>
            </w:tcBorders>
            <w:noWrap w:val="0"/>
            <w:vAlign w:val="center"/>
          </w:tcPr>
          <w:p w14:paraId="6027E05D">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14:paraId="5FB32648">
        <w:tblPrEx>
          <w:tblCellMar>
            <w:top w:w="0" w:type="dxa"/>
            <w:left w:w="108" w:type="dxa"/>
            <w:bottom w:w="0" w:type="dxa"/>
            <w:right w:w="108" w:type="dxa"/>
          </w:tblCellMar>
        </w:tblPrEx>
        <w:trPr>
          <w:trHeight w:val="510" w:hRule="atLeast"/>
        </w:trPr>
        <w:tc>
          <w:tcPr>
            <w:tcW w:w="2927" w:type="dxa"/>
            <w:tcBorders>
              <w:top w:val="single" w:color="auto" w:sz="4" w:space="0"/>
              <w:left w:val="single" w:color="auto" w:sz="4" w:space="0"/>
              <w:bottom w:val="single" w:color="auto" w:sz="4" w:space="0"/>
              <w:right w:val="single" w:color="auto" w:sz="4" w:space="0"/>
            </w:tcBorders>
            <w:noWrap w:val="0"/>
            <w:vAlign w:val="center"/>
          </w:tcPr>
          <w:p w14:paraId="2F5B9859">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满足投标范围的完整性要求</w:t>
            </w:r>
          </w:p>
          <w:p w14:paraId="50C3E4DC">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（8.1）</w:t>
            </w:r>
          </w:p>
        </w:tc>
        <w:tc>
          <w:tcPr>
            <w:tcW w:w="4870" w:type="dxa"/>
            <w:tcBorders>
              <w:top w:val="single" w:color="auto" w:sz="4" w:space="0"/>
              <w:left w:val="nil"/>
              <w:bottom w:val="single" w:color="auto" w:sz="4" w:space="0"/>
              <w:right w:val="single" w:color="auto" w:sz="4" w:space="0"/>
            </w:tcBorders>
            <w:noWrap w:val="0"/>
            <w:vAlign w:val="center"/>
          </w:tcPr>
          <w:p w14:paraId="568446F2">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投标人对所投分包招标文件中所列的所有服务内容进行投标。</w:t>
            </w:r>
          </w:p>
        </w:tc>
        <w:tc>
          <w:tcPr>
            <w:tcW w:w="537" w:type="dxa"/>
            <w:tcBorders>
              <w:top w:val="single" w:color="auto" w:sz="4" w:space="0"/>
              <w:left w:val="nil"/>
              <w:bottom w:val="single" w:color="auto" w:sz="4" w:space="0"/>
              <w:right w:val="single" w:color="auto" w:sz="4" w:space="0"/>
            </w:tcBorders>
            <w:noWrap w:val="0"/>
            <w:vAlign w:val="center"/>
          </w:tcPr>
          <w:p w14:paraId="2986CA70">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p>
        </w:tc>
        <w:tc>
          <w:tcPr>
            <w:tcW w:w="498" w:type="dxa"/>
            <w:tcBorders>
              <w:top w:val="single" w:color="auto" w:sz="4" w:space="0"/>
              <w:left w:val="nil"/>
              <w:bottom w:val="single" w:color="auto" w:sz="4" w:space="0"/>
              <w:right w:val="single" w:color="auto" w:sz="4" w:space="0"/>
            </w:tcBorders>
            <w:noWrap w:val="0"/>
            <w:vAlign w:val="center"/>
          </w:tcPr>
          <w:p w14:paraId="7A6335E1">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p>
        </w:tc>
        <w:tc>
          <w:tcPr>
            <w:tcW w:w="455" w:type="dxa"/>
            <w:tcBorders>
              <w:top w:val="single" w:color="auto" w:sz="4" w:space="0"/>
              <w:left w:val="nil"/>
              <w:bottom w:val="single" w:color="auto" w:sz="4" w:space="0"/>
              <w:right w:val="single" w:color="auto" w:sz="4" w:space="0"/>
            </w:tcBorders>
            <w:noWrap w:val="0"/>
            <w:vAlign w:val="center"/>
          </w:tcPr>
          <w:p w14:paraId="4D44F9EA">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p>
        </w:tc>
      </w:tr>
      <w:tr w14:paraId="34E76274">
        <w:tblPrEx>
          <w:tblCellMar>
            <w:top w:w="0" w:type="dxa"/>
            <w:left w:w="108" w:type="dxa"/>
            <w:bottom w:w="0" w:type="dxa"/>
            <w:right w:w="108" w:type="dxa"/>
          </w:tblCellMar>
        </w:tblPrEx>
        <w:trPr>
          <w:trHeight w:val="510" w:hRule="atLeast"/>
        </w:trPr>
        <w:tc>
          <w:tcPr>
            <w:tcW w:w="2927" w:type="dxa"/>
            <w:tcBorders>
              <w:top w:val="single" w:color="auto" w:sz="4" w:space="0"/>
              <w:left w:val="single" w:color="auto" w:sz="4" w:space="0"/>
              <w:bottom w:val="single" w:color="auto" w:sz="4" w:space="0"/>
              <w:right w:val="single" w:color="auto" w:sz="4" w:space="0"/>
            </w:tcBorders>
            <w:noWrap w:val="0"/>
            <w:vAlign w:val="center"/>
          </w:tcPr>
          <w:p w14:paraId="1F91B4D1">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未包含价格调整要求</w:t>
            </w:r>
          </w:p>
          <w:p w14:paraId="00DB37F5">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（11.4）</w:t>
            </w:r>
          </w:p>
        </w:tc>
        <w:tc>
          <w:tcPr>
            <w:tcW w:w="4870" w:type="dxa"/>
            <w:tcBorders>
              <w:top w:val="single" w:color="auto" w:sz="4" w:space="0"/>
              <w:left w:val="nil"/>
              <w:bottom w:val="single" w:color="auto" w:sz="4" w:space="0"/>
              <w:right w:val="single" w:color="auto" w:sz="4" w:space="0"/>
            </w:tcBorders>
            <w:noWrap w:val="0"/>
            <w:vAlign w:val="center"/>
          </w:tcPr>
          <w:p w14:paraId="25B6740B">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投标人所报的各分项投标报价在合同履行过程中是固定不变的，不得以任何理由予以变更。</w:t>
            </w:r>
          </w:p>
        </w:tc>
        <w:tc>
          <w:tcPr>
            <w:tcW w:w="537" w:type="dxa"/>
            <w:tcBorders>
              <w:top w:val="single" w:color="auto" w:sz="4" w:space="0"/>
              <w:left w:val="nil"/>
              <w:bottom w:val="single" w:color="auto" w:sz="4" w:space="0"/>
              <w:right w:val="single" w:color="auto" w:sz="4" w:space="0"/>
            </w:tcBorders>
            <w:noWrap w:val="0"/>
            <w:vAlign w:val="center"/>
          </w:tcPr>
          <w:p w14:paraId="40A002B0">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98" w:type="dxa"/>
            <w:tcBorders>
              <w:top w:val="single" w:color="auto" w:sz="4" w:space="0"/>
              <w:left w:val="nil"/>
              <w:bottom w:val="single" w:color="auto" w:sz="4" w:space="0"/>
              <w:right w:val="single" w:color="auto" w:sz="4" w:space="0"/>
            </w:tcBorders>
            <w:noWrap w:val="0"/>
            <w:vAlign w:val="center"/>
          </w:tcPr>
          <w:p w14:paraId="19C7207B">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55" w:type="dxa"/>
            <w:tcBorders>
              <w:top w:val="single" w:color="auto" w:sz="4" w:space="0"/>
              <w:left w:val="nil"/>
              <w:bottom w:val="single" w:color="auto" w:sz="4" w:space="0"/>
              <w:right w:val="single" w:color="auto" w:sz="4" w:space="0"/>
            </w:tcBorders>
            <w:noWrap w:val="0"/>
            <w:vAlign w:val="center"/>
          </w:tcPr>
          <w:p w14:paraId="09A6292F">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14:paraId="348549CC">
        <w:tblPrEx>
          <w:tblCellMar>
            <w:top w:w="0" w:type="dxa"/>
            <w:left w:w="108" w:type="dxa"/>
            <w:bottom w:w="0" w:type="dxa"/>
            <w:right w:w="108" w:type="dxa"/>
          </w:tblCellMar>
        </w:tblPrEx>
        <w:trPr>
          <w:trHeight w:val="510" w:hRule="atLeast"/>
        </w:trPr>
        <w:tc>
          <w:tcPr>
            <w:tcW w:w="2927" w:type="dxa"/>
            <w:tcBorders>
              <w:top w:val="single" w:color="auto" w:sz="4" w:space="0"/>
              <w:left w:val="single" w:color="auto" w:sz="4" w:space="0"/>
              <w:bottom w:val="single" w:color="auto" w:sz="4" w:space="0"/>
              <w:right w:val="single" w:color="auto" w:sz="4" w:space="0"/>
            </w:tcBorders>
            <w:noWrap w:val="0"/>
            <w:vAlign w:val="center"/>
          </w:tcPr>
          <w:p w14:paraId="737A7FD5">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投标保证金（12.1）</w:t>
            </w:r>
          </w:p>
        </w:tc>
        <w:tc>
          <w:tcPr>
            <w:tcW w:w="4870" w:type="dxa"/>
            <w:tcBorders>
              <w:top w:val="single" w:color="auto" w:sz="4" w:space="0"/>
              <w:left w:val="nil"/>
              <w:bottom w:val="single" w:color="auto" w:sz="4" w:space="0"/>
              <w:right w:val="single" w:color="auto" w:sz="4" w:space="0"/>
            </w:tcBorders>
            <w:noWrap w:val="0"/>
            <w:vAlign w:val="center"/>
          </w:tcPr>
          <w:p w14:paraId="20CF1CAF">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缴纳投标保证金有效凭证。</w:t>
            </w:r>
          </w:p>
        </w:tc>
        <w:tc>
          <w:tcPr>
            <w:tcW w:w="537" w:type="dxa"/>
            <w:tcBorders>
              <w:top w:val="single" w:color="auto" w:sz="4" w:space="0"/>
              <w:left w:val="nil"/>
              <w:bottom w:val="single" w:color="auto" w:sz="4" w:space="0"/>
              <w:right w:val="single" w:color="auto" w:sz="4" w:space="0"/>
            </w:tcBorders>
            <w:noWrap w:val="0"/>
            <w:vAlign w:val="center"/>
          </w:tcPr>
          <w:p w14:paraId="3F34B631">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p>
        </w:tc>
        <w:tc>
          <w:tcPr>
            <w:tcW w:w="498" w:type="dxa"/>
            <w:tcBorders>
              <w:top w:val="single" w:color="auto" w:sz="4" w:space="0"/>
              <w:left w:val="nil"/>
              <w:bottom w:val="single" w:color="auto" w:sz="4" w:space="0"/>
              <w:right w:val="single" w:color="auto" w:sz="4" w:space="0"/>
            </w:tcBorders>
            <w:noWrap w:val="0"/>
            <w:vAlign w:val="center"/>
          </w:tcPr>
          <w:p w14:paraId="536A5623">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p>
        </w:tc>
        <w:tc>
          <w:tcPr>
            <w:tcW w:w="455" w:type="dxa"/>
            <w:tcBorders>
              <w:top w:val="single" w:color="auto" w:sz="4" w:space="0"/>
              <w:left w:val="nil"/>
              <w:bottom w:val="single" w:color="auto" w:sz="4" w:space="0"/>
              <w:right w:val="single" w:color="auto" w:sz="4" w:space="0"/>
            </w:tcBorders>
            <w:noWrap w:val="0"/>
            <w:vAlign w:val="center"/>
          </w:tcPr>
          <w:p w14:paraId="7FC116C7">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p>
        </w:tc>
      </w:tr>
      <w:tr w14:paraId="354F14C4">
        <w:tblPrEx>
          <w:tblCellMar>
            <w:top w:w="0" w:type="dxa"/>
            <w:left w:w="108" w:type="dxa"/>
            <w:bottom w:w="0" w:type="dxa"/>
            <w:right w:w="108" w:type="dxa"/>
          </w:tblCellMar>
        </w:tblPrEx>
        <w:trPr>
          <w:trHeight w:val="510" w:hRule="atLeast"/>
        </w:trPr>
        <w:tc>
          <w:tcPr>
            <w:tcW w:w="2927" w:type="dxa"/>
            <w:tcBorders>
              <w:top w:val="single" w:color="auto" w:sz="4" w:space="0"/>
              <w:left w:val="single" w:color="auto" w:sz="4" w:space="0"/>
              <w:bottom w:val="single" w:color="auto" w:sz="4" w:space="0"/>
              <w:right w:val="single" w:color="auto" w:sz="4" w:space="0"/>
            </w:tcBorders>
            <w:noWrap w:val="0"/>
            <w:vAlign w:val="center"/>
          </w:tcPr>
          <w:p w14:paraId="007EEFC9">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投标有效期满足要求</w:t>
            </w:r>
          </w:p>
          <w:p w14:paraId="44B0A476">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（13.1）</w:t>
            </w:r>
          </w:p>
        </w:tc>
        <w:tc>
          <w:tcPr>
            <w:tcW w:w="4870" w:type="dxa"/>
            <w:tcBorders>
              <w:top w:val="single" w:color="auto" w:sz="4" w:space="0"/>
              <w:left w:val="nil"/>
              <w:bottom w:val="single" w:color="auto" w:sz="4" w:space="0"/>
              <w:right w:val="single" w:color="auto" w:sz="4" w:space="0"/>
            </w:tcBorders>
            <w:noWrap w:val="0"/>
            <w:vAlign w:val="center"/>
          </w:tcPr>
          <w:p w14:paraId="4357DDE6">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自提交投标文件截止之日起</w:t>
            </w:r>
            <w:r>
              <w:rPr>
                <w:rFonts w:hint="eastAsia" w:ascii="仿宋" w:hAnsi="仿宋" w:eastAsia="仿宋" w:cs="仿宋"/>
                <w:color w:val="auto"/>
                <w:szCs w:val="21"/>
                <w:highlight w:val="none"/>
                <w:u w:val="single"/>
              </w:rPr>
              <w:t xml:space="preserve"> 90 日</w:t>
            </w:r>
            <w:r>
              <w:rPr>
                <w:rFonts w:hint="eastAsia" w:ascii="仿宋" w:hAnsi="仿宋" w:eastAsia="仿宋" w:cs="仿宋"/>
                <w:color w:val="auto"/>
                <w:szCs w:val="21"/>
                <w:highlight w:val="none"/>
              </w:rPr>
              <w:t>历日内</w:t>
            </w:r>
          </w:p>
        </w:tc>
        <w:tc>
          <w:tcPr>
            <w:tcW w:w="537" w:type="dxa"/>
            <w:tcBorders>
              <w:top w:val="single" w:color="auto" w:sz="4" w:space="0"/>
              <w:left w:val="nil"/>
              <w:bottom w:val="single" w:color="auto" w:sz="4" w:space="0"/>
              <w:right w:val="single" w:color="auto" w:sz="4" w:space="0"/>
            </w:tcBorders>
            <w:noWrap w:val="0"/>
            <w:vAlign w:val="center"/>
          </w:tcPr>
          <w:p w14:paraId="697C7901">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98" w:type="dxa"/>
            <w:tcBorders>
              <w:top w:val="single" w:color="auto" w:sz="4" w:space="0"/>
              <w:left w:val="nil"/>
              <w:bottom w:val="single" w:color="auto" w:sz="4" w:space="0"/>
              <w:right w:val="single" w:color="auto" w:sz="4" w:space="0"/>
            </w:tcBorders>
            <w:noWrap w:val="0"/>
            <w:vAlign w:val="center"/>
          </w:tcPr>
          <w:p w14:paraId="7263E478">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55" w:type="dxa"/>
            <w:tcBorders>
              <w:top w:val="single" w:color="auto" w:sz="4" w:space="0"/>
              <w:left w:val="nil"/>
              <w:bottom w:val="single" w:color="auto" w:sz="4" w:space="0"/>
              <w:right w:val="single" w:color="auto" w:sz="4" w:space="0"/>
            </w:tcBorders>
            <w:noWrap w:val="0"/>
            <w:vAlign w:val="center"/>
          </w:tcPr>
          <w:p w14:paraId="50FF4150">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14:paraId="2A5BDEE6">
        <w:tblPrEx>
          <w:tblCellMar>
            <w:top w:w="0" w:type="dxa"/>
            <w:left w:w="108" w:type="dxa"/>
            <w:bottom w:w="0" w:type="dxa"/>
            <w:right w:w="108" w:type="dxa"/>
          </w:tblCellMar>
        </w:tblPrEx>
        <w:trPr>
          <w:trHeight w:val="510" w:hRule="atLeast"/>
        </w:trPr>
        <w:tc>
          <w:tcPr>
            <w:tcW w:w="2927" w:type="dxa"/>
            <w:tcBorders>
              <w:top w:val="single" w:color="auto" w:sz="4" w:space="0"/>
              <w:left w:val="single" w:color="auto" w:sz="4" w:space="0"/>
              <w:bottom w:val="single" w:color="auto" w:sz="4" w:space="0"/>
              <w:right w:val="single" w:color="auto" w:sz="4" w:space="0"/>
            </w:tcBorders>
            <w:noWrap w:val="0"/>
            <w:vAlign w:val="center"/>
          </w:tcPr>
          <w:p w14:paraId="0C9A815F">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投标文件的签署和盖章符合要求（14.2、14.4）</w:t>
            </w:r>
          </w:p>
        </w:tc>
        <w:tc>
          <w:tcPr>
            <w:tcW w:w="4870" w:type="dxa"/>
            <w:tcBorders>
              <w:top w:val="single" w:color="auto" w:sz="4" w:space="0"/>
              <w:left w:val="nil"/>
              <w:bottom w:val="single" w:color="auto" w:sz="4" w:space="0"/>
              <w:right w:val="single" w:color="auto" w:sz="4" w:space="0"/>
            </w:tcBorders>
            <w:noWrap w:val="0"/>
            <w:vAlign w:val="center"/>
          </w:tcPr>
          <w:p w14:paraId="4F7D0442">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按照招标文件规定要求签署、盖章。</w:t>
            </w:r>
          </w:p>
        </w:tc>
        <w:tc>
          <w:tcPr>
            <w:tcW w:w="537" w:type="dxa"/>
            <w:tcBorders>
              <w:top w:val="single" w:color="auto" w:sz="4" w:space="0"/>
              <w:left w:val="nil"/>
              <w:bottom w:val="single" w:color="auto" w:sz="4" w:space="0"/>
              <w:right w:val="single" w:color="auto" w:sz="4" w:space="0"/>
            </w:tcBorders>
            <w:noWrap w:val="0"/>
            <w:vAlign w:val="center"/>
          </w:tcPr>
          <w:p w14:paraId="7F8B7689">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98" w:type="dxa"/>
            <w:tcBorders>
              <w:top w:val="single" w:color="auto" w:sz="4" w:space="0"/>
              <w:left w:val="nil"/>
              <w:bottom w:val="single" w:color="auto" w:sz="4" w:space="0"/>
              <w:right w:val="single" w:color="auto" w:sz="4" w:space="0"/>
            </w:tcBorders>
            <w:noWrap w:val="0"/>
            <w:vAlign w:val="center"/>
          </w:tcPr>
          <w:p w14:paraId="187B4332">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55" w:type="dxa"/>
            <w:tcBorders>
              <w:top w:val="single" w:color="auto" w:sz="4" w:space="0"/>
              <w:left w:val="nil"/>
              <w:bottom w:val="single" w:color="auto" w:sz="4" w:space="0"/>
              <w:right w:val="single" w:color="auto" w:sz="4" w:space="0"/>
            </w:tcBorders>
            <w:noWrap w:val="0"/>
            <w:vAlign w:val="center"/>
          </w:tcPr>
          <w:p w14:paraId="1E05B7C0">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14:paraId="3129BF7B">
        <w:tblPrEx>
          <w:tblCellMar>
            <w:top w:w="0" w:type="dxa"/>
            <w:left w:w="108" w:type="dxa"/>
            <w:bottom w:w="0" w:type="dxa"/>
            <w:right w:w="108" w:type="dxa"/>
          </w:tblCellMar>
        </w:tblPrEx>
        <w:trPr>
          <w:trHeight w:val="510" w:hRule="atLeast"/>
        </w:trPr>
        <w:tc>
          <w:tcPr>
            <w:tcW w:w="2927" w:type="dxa"/>
            <w:tcBorders>
              <w:top w:val="single" w:color="auto" w:sz="4" w:space="0"/>
              <w:left w:val="single" w:color="auto" w:sz="4" w:space="0"/>
              <w:bottom w:val="single" w:color="auto" w:sz="4" w:space="0"/>
              <w:right w:val="single" w:color="auto" w:sz="4" w:space="0"/>
            </w:tcBorders>
            <w:noWrap w:val="0"/>
            <w:vAlign w:val="center"/>
          </w:tcPr>
          <w:p w14:paraId="5F263D42">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接受价格的算术修正</w:t>
            </w:r>
          </w:p>
          <w:p w14:paraId="02A2580D">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（20.2）</w:t>
            </w:r>
          </w:p>
        </w:tc>
        <w:tc>
          <w:tcPr>
            <w:tcW w:w="4870" w:type="dxa"/>
            <w:tcBorders>
              <w:top w:val="single" w:color="auto" w:sz="4" w:space="0"/>
              <w:left w:val="nil"/>
              <w:bottom w:val="single" w:color="auto" w:sz="4" w:space="0"/>
              <w:right w:val="single" w:color="auto" w:sz="4" w:space="0"/>
            </w:tcBorders>
            <w:noWrap w:val="0"/>
            <w:vAlign w:val="center"/>
          </w:tcPr>
          <w:p w14:paraId="02FA0A8B">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投标文件报价出现前后不一致的，应按照招标文件规定的顺序修正。</w:t>
            </w:r>
          </w:p>
        </w:tc>
        <w:tc>
          <w:tcPr>
            <w:tcW w:w="537" w:type="dxa"/>
            <w:tcBorders>
              <w:top w:val="single" w:color="auto" w:sz="4" w:space="0"/>
              <w:left w:val="nil"/>
              <w:bottom w:val="single" w:color="auto" w:sz="4" w:space="0"/>
              <w:right w:val="single" w:color="auto" w:sz="4" w:space="0"/>
            </w:tcBorders>
            <w:noWrap w:val="0"/>
            <w:vAlign w:val="center"/>
          </w:tcPr>
          <w:p w14:paraId="0F5009CE">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98" w:type="dxa"/>
            <w:tcBorders>
              <w:top w:val="single" w:color="auto" w:sz="4" w:space="0"/>
              <w:left w:val="nil"/>
              <w:bottom w:val="single" w:color="auto" w:sz="4" w:space="0"/>
              <w:right w:val="single" w:color="auto" w:sz="4" w:space="0"/>
            </w:tcBorders>
            <w:noWrap w:val="0"/>
            <w:vAlign w:val="center"/>
          </w:tcPr>
          <w:p w14:paraId="5E9D5EE1">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55" w:type="dxa"/>
            <w:tcBorders>
              <w:top w:val="single" w:color="auto" w:sz="4" w:space="0"/>
              <w:left w:val="nil"/>
              <w:bottom w:val="single" w:color="auto" w:sz="4" w:space="0"/>
              <w:right w:val="single" w:color="auto" w:sz="4" w:space="0"/>
            </w:tcBorders>
            <w:noWrap w:val="0"/>
            <w:vAlign w:val="center"/>
          </w:tcPr>
          <w:p w14:paraId="13412A65">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14:paraId="04B2EC2C">
        <w:tblPrEx>
          <w:tblCellMar>
            <w:top w:w="0" w:type="dxa"/>
            <w:left w:w="108" w:type="dxa"/>
            <w:bottom w:w="0" w:type="dxa"/>
            <w:right w:w="108" w:type="dxa"/>
          </w:tblCellMar>
        </w:tblPrEx>
        <w:trPr>
          <w:trHeight w:val="510" w:hRule="atLeast"/>
        </w:trPr>
        <w:tc>
          <w:tcPr>
            <w:tcW w:w="2927" w:type="dxa"/>
            <w:tcBorders>
              <w:top w:val="single" w:color="auto" w:sz="4" w:space="0"/>
              <w:left w:val="single" w:color="auto" w:sz="4" w:space="0"/>
              <w:bottom w:val="single" w:color="auto" w:sz="4" w:space="0"/>
              <w:right w:val="single" w:color="auto" w:sz="4" w:space="0"/>
            </w:tcBorders>
            <w:noWrap w:val="0"/>
            <w:vAlign w:val="center"/>
          </w:tcPr>
          <w:p w14:paraId="17631D7A">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未发现串通投标（22.2）</w:t>
            </w:r>
          </w:p>
        </w:tc>
        <w:tc>
          <w:tcPr>
            <w:tcW w:w="4870" w:type="dxa"/>
            <w:tcBorders>
              <w:top w:val="single" w:color="auto" w:sz="4" w:space="0"/>
              <w:left w:val="nil"/>
              <w:bottom w:val="single" w:color="auto" w:sz="4" w:space="0"/>
              <w:right w:val="single" w:color="auto" w:sz="4" w:space="0"/>
            </w:tcBorders>
            <w:noWrap w:val="0"/>
            <w:vAlign w:val="center"/>
          </w:tcPr>
          <w:p w14:paraId="2A408B75">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未与其他投标人串通投标，或者与招标人串通投标。</w:t>
            </w:r>
          </w:p>
        </w:tc>
        <w:tc>
          <w:tcPr>
            <w:tcW w:w="537" w:type="dxa"/>
            <w:tcBorders>
              <w:top w:val="single" w:color="auto" w:sz="4" w:space="0"/>
              <w:left w:val="nil"/>
              <w:bottom w:val="single" w:color="auto" w:sz="4" w:space="0"/>
              <w:right w:val="single" w:color="auto" w:sz="4" w:space="0"/>
            </w:tcBorders>
            <w:noWrap w:val="0"/>
            <w:vAlign w:val="center"/>
          </w:tcPr>
          <w:p w14:paraId="07736457">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98" w:type="dxa"/>
            <w:tcBorders>
              <w:top w:val="single" w:color="auto" w:sz="4" w:space="0"/>
              <w:left w:val="nil"/>
              <w:bottom w:val="single" w:color="auto" w:sz="4" w:space="0"/>
              <w:right w:val="single" w:color="auto" w:sz="4" w:space="0"/>
            </w:tcBorders>
            <w:noWrap w:val="0"/>
            <w:vAlign w:val="center"/>
          </w:tcPr>
          <w:p w14:paraId="491BAA58">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55" w:type="dxa"/>
            <w:tcBorders>
              <w:top w:val="single" w:color="auto" w:sz="4" w:space="0"/>
              <w:left w:val="nil"/>
              <w:bottom w:val="single" w:color="auto" w:sz="4" w:space="0"/>
              <w:right w:val="single" w:color="auto" w:sz="4" w:space="0"/>
            </w:tcBorders>
            <w:noWrap w:val="0"/>
            <w:vAlign w:val="center"/>
          </w:tcPr>
          <w:p w14:paraId="5A56ED0F">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14:paraId="1290082B">
        <w:tblPrEx>
          <w:tblCellMar>
            <w:top w:w="0" w:type="dxa"/>
            <w:left w:w="108" w:type="dxa"/>
            <w:bottom w:w="0" w:type="dxa"/>
            <w:right w:w="108" w:type="dxa"/>
          </w:tblCellMar>
        </w:tblPrEx>
        <w:trPr>
          <w:trHeight w:val="510" w:hRule="atLeast"/>
        </w:trPr>
        <w:tc>
          <w:tcPr>
            <w:tcW w:w="2927" w:type="dxa"/>
            <w:tcBorders>
              <w:top w:val="single" w:color="auto" w:sz="4" w:space="0"/>
              <w:left w:val="single" w:color="auto" w:sz="4" w:space="0"/>
              <w:bottom w:val="single" w:color="auto" w:sz="4" w:space="0"/>
              <w:right w:val="single" w:color="auto" w:sz="4" w:space="0"/>
            </w:tcBorders>
            <w:noWrap w:val="0"/>
            <w:vAlign w:val="center"/>
          </w:tcPr>
          <w:p w14:paraId="09C7C78D">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报价说明可以接受（22.2）</w:t>
            </w:r>
          </w:p>
        </w:tc>
        <w:tc>
          <w:tcPr>
            <w:tcW w:w="4870" w:type="dxa"/>
            <w:tcBorders>
              <w:top w:val="single" w:color="auto" w:sz="4" w:space="0"/>
              <w:left w:val="nil"/>
              <w:bottom w:val="single" w:color="auto" w:sz="4" w:space="0"/>
              <w:right w:val="single" w:color="auto" w:sz="4" w:space="0"/>
            </w:tcBorders>
            <w:noWrap w:val="0"/>
            <w:vAlign w:val="center"/>
          </w:tcPr>
          <w:p w14:paraId="0C1606FD">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投标人的报价明显低于其他通过符合性审查投标人的报价，有可能影响履约的，投标人能按照规定证明其报价合理性。</w:t>
            </w:r>
          </w:p>
        </w:tc>
        <w:tc>
          <w:tcPr>
            <w:tcW w:w="537" w:type="dxa"/>
            <w:tcBorders>
              <w:top w:val="single" w:color="auto" w:sz="4" w:space="0"/>
              <w:left w:val="nil"/>
              <w:bottom w:val="single" w:color="auto" w:sz="4" w:space="0"/>
              <w:right w:val="single" w:color="auto" w:sz="4" w:space="0"/>
            </w:tcBorders>
            <w:noWrap w:val="0"/>
            <w:vAlign w:val="center"/>
          </w:tcPr>
          <w:p w14:paraId="2AB0495C">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98" w:type="dxa"/>
            <w:tcBorders>
              <w:top w:val="single" w:color="auto" w:sz="4" w:space="0"/>
              <w:left w:val="nil"/>
              <w:bottom w:val="single" w:color="auto" w:sz="4" w:space="0"/>
              <w:right w:val="single" w:color="auto" w:sz="4" w:space="0"/>
            </w:tcBorders>
            <w:noWrap w:val="0"/>
            <w:vAlign w:val="center"/>
          </w:tcPr>
          <w:p w14:paraId="58EF00FC">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55" w:type="dxa"/>
            <w:tcBorders>
              <w:top w:val="single" w:color="auto" w:sz="4" w:space="0"/>
              <w:left w:val="nil"/>
              <w:bottom w:val="single" w:color="auto" w:sz="4" w:space="0"/>
              <w:right w:val="single" w:color="auto" w:sz="4" w:space="0"/>
            </w:tcBorders>
            <w:noWrap w:val="0"/>
            <w:vAlign w:val="center"/>
          </w:tcPr>
          <w:p w14:paraId="4309E8D6">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14:paraId="7318067D">
        <w:tblPrEx>
          <w:tblCellMar>
            <w:top w:w="0" w:type="dxa"/>
            <w:left w:w="108" w:type="dxa"/>
            <w:bottom w:w="0" w:type="dxa"/>
            <w:right w:w="108" w:type="dxa"/>
          </w:tblCellMar>
        </w:tblPrEx>
        <w:trPr>
          <w:trHeight w:val="510" w:hRule="atLeast"/>
        </w:trPr>
        <w:tc>
          <w:tcPr>
            <w:tcW w:w="2927" w:type="dxa"/>
            <w:tcBorders>
              <w:top w:val="single" w:color="auto" w:sz="4" w:space="0"/>
              <w:left w:val="single" w:color="auto" w:sz="4" w:space="0"/>
              <w:bottom w:val="single" w:color="auto" w:sz="4" w:space="0"/>
              <w:right w:val="single" w:color="auto" w:sz="4" w:space="0"/>
            </w:tcBorders>
            <w:noWrap w:val="0"/>
            <w:vAlign w:val="center"/>
          </w:tcPr>
          <w:p w14:paraId="1999802E">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无采购人不能接受的附加条件（22.2）</w:t>
            </w:r>
          </w:p>
        </w:tc>
        <w:tc>
          <w:tcPr>
            <w:tcW w:w="4870" w:type="dxa"/>
            <w:tcBorders>
              <w:top w:val="single" w:color="auto" w:sz="4" w:space="0"/>
              <w:left w:val="nil"/>
              <w:bottom w:val="single" w:color="auto" w:sz="4" w:space="0"/>
              <w:right w:val="single" w:color="auto" w:sz="4" w:space="0"/>
            </w:tcBorders>
            <w:noWrap w:val="0"/>
            <w:vAlign w:val="center"/>
          </w:tcPr>
          <w:p w14:paraId="299BBAE4">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 xml:space="preserve">投标文件未含有采购人不能接受的附加条件。 </w:t>
            </w:r>
          </w:p>
        </w:tc>
        <w:tc>
          <w:tcPr>
            <w:tcW w:w="537" w:type="dxa"/>
            <w:tcBorders>
              <w:top w:val="single" w:color="auto" w:sz="4" w:space="0"/>
              <w:left w:val="nil"/>
              <w:bottom w:val="single" w:color="auto" w:sz="4" w:space="0"/>
              <w:right w:val="single" w:color="auto" w:sz="4" w:space="0"/>
            </w:tcBorders>
            <w:noWrap w:val="0"/>
            <w:vAlign w:val="center"/>
          </w:tcPr>
          <w:p w14:paraId="2EA547B5">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p>
        </w:tc>
        <w:tc>
          <w:tcPr>
            <w:tcW w:w="498" w:type="dxa"/>
            <w:tcBorders>
              <w:top w:val="single" w:color="auto" w:sz="4" w:space="0"/>
              <w:left w:val="nil"/>
              <w:bottom w:val="single" w:color="auto" w:sz="4" w:space="0"/>
              <w:right w:val="single" w:color="auto" w:sz="4" w:space="0"/>
            </w:tcBorders>
            <w:noWrap w:val="0"/>
            <w:vAlign w:val="center"/>
          </w:tcPr>
          <w:p w14:paraId="04A7B466">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p>
        </w:tc>
        <w:tc>
          <w:tcPr>
            <w:tcW w:w="455" w:type="dxa"/>
            <w:tcBorders>
              <w:top w:val="single" w:color="auto" w:sz="4" w:space="0"/>
              <w:left w:val="nil"/>
              <w:bottom w:val="single" w:color="auto" w:sz="4" w:space="0"/>
              <w:right w:val="single" w:color="auto" w:sz="4" w:space="0"/>
            </w:tcBorders>
            <w:noWrap w:val="0"/>
            <w:vAlign w:val="center"/>
          </w:tcPr>
          <w:p w14:paraId="4B515C34">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p>
        </w:tc>
      </w:tr>
      <w:tr w14:paraId="529097F7">
        <w:tblPrEx>
          <w:tblCellMar>
            <w:top w:w="0" w:type="dxa"/>
            <w:left w:w="108" w:type="dxa"/>
            <w:bottom w:w="0" w:type="dxa"/>
            <w:right w:w="108" w:type="dxa"/>
          </w:tblCellMar>
        </w:tblPrEx>
        <w:trPr>
          <w:trHeight w:val="426" w:hRule="atLeast"/>
        </w:trPr>
        <w:tc>
          <w:tcPr>
            <w:tcW w:w="7797" w:type="dxa"/>
            <w:gridSpan w:val="2"/>
            <w:tcBorders>
              <w:top w:val="single" w:color="auto" w:sz="4" w:space="0"/>
              <w:left w:val="single" w:color="auto" w:sz="4" w:space="0"/>
              <w:bottom w:val="single" w:color="auto" w:sz="4" w:space="0"/>
              <w:right w:val="single" w:color="auto" w:sz="4" w:space="0"/>
            </w:tcBorders>
            <w:noWrap w:val="0"/>
            <w:vAlign w:val="center"/>
          </w:tcPr>
          <w:p w14:paraId="22F80AD3">
            <w:pPr>
              <w:keepNext w:val="0"/>
              <w:keepLines w:val="0"/>
              <w:widowControl/>
              <w:suppressLineNumbers w:val="0"/>
              <w:spacing w:before="0" w:beforeAutospacing="0" w:after="0" w:afterAutospacing="0"/>
              <w:ind w:left="0" w:right="0"/>
              <w:jc w:val="center"/>
              <w:outlineLvl w:val="9"/>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rPr>
              <w:t>结论</w:t>
            </w:r>
          </w:p>
        </w:tc>
        <w:tc>
          <w:tcPr>
            <w:tcW w:w="537" w:type="dxa"/>
            <w:tcBorders>
              <w:top w:val="single" w:color="auto" w:sz="4" w:space="0"/>
              <w:left w:val="nil"/>
              <w:bottom w:val="single" w:color="auto" w:sz="4" w:space="0"/>
              <w:right w:val="single" w:color="auto" w:sz="4" w:space="0"/>
            </w:tcBorders>
            <w:noWrap w:val="0"/>
            <w:vAlign w:val="center"/>
          </w:tcPr>
          <w:p w14:paraId="104E164C">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 w:val="24"/>
                <w:highlight w:val="none"/>
              </w:rPr>
            </w:pPr>
          </w:p>
        </w:tc>
        <w:tc>
          <w:tcPr>
            <w:tcW w:w="498" w:type="dxa"/>
            <w:tcBorders>
              <w:top w:val="single" w:color="auto" w:sz="4" w:space="0"/>
              <w:left w:val="nil"/>
              <w:bottom w:val="single" w:color="auto" w:sz="4" w:space="0"/>
              <w:right w:val="single" w:color="auto" w:sz="4" w:space="0"/>
            </w:tcBorders>
            <w:noWrap w:val="0"/>
            <w:vAlign w:val="center"/>
          </w:tcPr>
          <w:p w14:paraId="4BB0998E">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 w:val="24"/>
                <w:highlight w:val="none"/>
              </w:rPr>
            </w:pPr>
          </w:p>
        </w:tc>
        <w:tc>
          <w:tcPr>
            <w:tcW w:w="455" w:type="dxa"/>
            <w:tcBorders>
              <w:top w:val="single" w:color="auto" w:sz="4" w:space="0"/>
              <w:left w:val="nil"/>
              <w:bottom w:val="single" w:color="auto" w:sz="4" w:space="0"/>
              <w:right w:val="single" w:color="auto" w:sz="4" w:space="0"/>
            </w:tcBorders>
            <w:noWrap w:val="0"/>
            <w:vAlign w:val="center"/>
          </w:tcPr>
          <w:p w14:paraId="0D3AF5AA">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 w:val="24"/>
                <w:highlight w:val="none"/>
              </w:rPr>
            </w:pPr>
          </w:p>
        </w:tc>
      </w:tr>
    </w:tbl>
    <w:p w14:paraId="53E7159A">
      <w:pPr>
        <w:pStyle w:val="7"/>
        <w:tabs>
          <w:tab w:val="clear" w:pos="567"/>
        </w:tabs>
        <w:spacing w:before="0" w:line="360" w:lineRule="auto"/>
        <w:ind w:left="-181" w:leftChars="-86" w:firstLine="663" w:firstLineChars="275"/>
        <w:outlineLvl w:val="9"/>
        <w:rPr>
          <w:rFonts w:hint="eastAsia" w:ascii="仿宋" w:hAnsi="仿宋" w:eastAsia="仿宋" w:cs="仿宋"/>
          <w:b/>
          <w:color w:val="auto"/>
          <w:highlight w:val="none"/>
        </w:rPr>
      </w:pPr>
      <w:r>
        <w:rPr>
          <w:rFonts w:hint="eastAsia" w:ascii="仿宋" w:hAnsi="仿宋" w:eastAsia="仿宋" w:cs="仿宋"/>
          <w:b/>
          <w:color w:val="auto"/>
          <w:highlight w:val="none"/>
        </w:rPr>
        <w:t>备注：</w:t>
      </w:r>
      <w:bookmarkStart w:id="793" w:name="_Toc507399904"/>
      <w:r>
        <w:rPr>
          <w:rFonts w:hint="eastAsia" w:ascii="仿宋" w:hAnsi="仿宋" w:eastAsia="仿宋" w:cs="仿宋"/>
          <w:b/>
          <w:bCs/>
          <w:color w:val="auto"/>
          <w:highlight w:val="none"/>
        </w:rPr>
        <w:t>如果投标文件中有一项未通过上述审查标准，评标委员会将认定整个投标文件未响应招标文件而予以废标处理。</w:t>
      </w:r>
    </w:p>
    <w:p w14:paraId="54D3921F">
      <w:pPr>
        <w:pStyle w:val="4"/>
        <w:ind w:left="0" w:leftChars="0" w:firstLine="0" w:firstLineChars="0"/>
        <w:outlineLvl w:val="9"/>
        <w:rPr>
          <w:rFonts w:hint="eastAsia" w:ascii="仿宋" w:hAnsi="仿宋" w:eastAsia="仿宋" w:cs="仿宋"/>
          <w:b/>
          <w:bCs/>
          <w:color w:val="auto"/>
          <w:sz w:val="28"/>
          <w:szCs w:val="28"/>
          <w:highlight w:val="none"/>
        </w:rPr>
      </w:pPr>
    </w:p>
    <w:p w14:paraId="0911EEF6">
      <w:pPr>
        <w:outlineLvl w:val="9"/>
        <w:rPr>
          <w:rFonts w:hint="eastAsia" w:ascii="仿宋" w:hAnsi="仿宋" w:eastAsia="仿宋" w:cs="仿宋"/>
          <w:color w:val="auto"/>
          <w:highlight w:val="none"/>
        </w:rPr>
      </w:pPr>
    </w:p>
    <w:p w14:paraId="4D33C734">
      <w:pPr>
        <w:spacing w:before="0" w:line="240" w:lineRule="atLeast"/>
        <w:jc w:val="left"/>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八、比较与评价</w:t>
      </w:r>
    </w:p>
    <w:p w14:paraId="7F915DB5">
      <w:pPr>
        <w:pStyle w:val="18"/>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8.1评标委员会按招标文件中规定的评标方法和标准，对资格性检查和符合性检查合格的投标文件进行商务和技术评估、综合比较与评价。</w:t>
      </w:r>
    </w:p>
    <w:p w14:paraId="717F67BA">
      <w:pPr>
        <w:pStyle w:val="18"/>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8.2评标委员会根据商务和技术评估的结果，采用综合评分法，分别对投标文件的商务、技术、价格等内容进行打分。其中，商务评估、技术评估、价格评估的评分权值（详见附件1）。</w:t>
      </w:r>
    </w:p>
    <w:p w14:paraId="7456C302">
      <w:pPr>
        <w:pStyle w:val="18"/>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8.2.1评委打分办法</w:t>
      </w:r>
    </w:p>
    <w:p w14:paraId="2ADE4CEC">
      <w:pPr>
        <w:pStyle w:val="18"/>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（1）参加评分的评委应尽力体现客观、实事求是，避免学派偏见个人偏好。</w:t>
      </w:r>
    </w:p>
    <w:p w14:paraId="641A9435">
      <w:pPr>
        <w:pStyle w:val="18"/>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（2）衡量、对比的依据，应以招标文件、投标文件、提供的正式试验数据、质询澄清中的文字为准，口头回答和收集的资料只作为参考。</w:t>
      </w:r>
    </w:p>
    <w:p w14:paraId="3C211B2C">
      <w:pPr>
        <w:pStyle w:val="18"/>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（3）评分主要是为比较各投标人的价格、商务和技术综合排序。</w:t>
      </w:r>
    </w:p>
    <w:p w14:paraId="7566A4C4">
      <w:pPr>
        <w:pStyle w:val="18"/>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（4）评委打分采取记名形式。</w:t>
      </w:r>
    </w:p>
    <w:p w14:paraId="1D5D5E1B">
      <w:pPr>
        <w:pStyle w:val="18"/>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（5）各评委根据提供的技术打分表独立自主打分，任何人不得要求评委统一打分或统一确定等次顺序。</w:t>
      </w:r>
    </w:p>
    <w:p w14:paraId="43A18351">
      <w:pPr>
        <w:pStyle w:val="18"/>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（6）对打分表中的每项条款，各评委应根据投标文件、澄清材料、招标文件要求，按满足的程度给投标人打分。</w:t>
      </w:r>
    </w:p>
    <w:p w14:paraId="6EF495A1">
      <w:pPr>
        <w:pStyle w:val="18"/>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（7）评分程序</w:t>
      </w:r>
    </w:p>
    <w:p w14:paraId="5DFF4208">
      <w:pPr>
        <w:pStyle w:val="18"/>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1)就投标人的投标文件对照整理出商务、技术评标因素对比表、偏差表，并在经过校核的基础上逐项打分。</w:t>
      </w:r>
    </w:p>
    <w:p w14:paraId="011DDD82">
      <w:pPr>
        <w:pStyle w:val="18"/>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2)各评委独立完成打分后，将评分表交给代理机构，由代理机构组织进行分数统计。</w:t>
      </w:r>
    </w:p>
    <w:p w14:paraId="21C9DA71">
      <w:pPr>
        <w:pStyle w:val="18"/>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3)最终汇总表中各投标人得分应为评委打分的算术平均值。</w:t>
      </w:r>
    </w:p>
    <w:p w14:paraId="2D6DC922">
      <w:pPr>
        <w:pStyle w:val="18"/>
        <w:outlineLvl w:val="9"/>
        <w:rPr>
          <w:rFonts w:hint="eastAsia" w:ascii="仿宋" w:hAnsi="仿宋" w:eastAsia="仿宋" w:cs="仿宋"/>
          <w:color w:val="auto"/>
          <w:sz w:val="24"/>
          <w:highlight w:val="none"/>
        </w:rPr>
      </w:pPr>
    </w:p>
    <w:p w14:paraId="13DF9D0D">
      <w:pPr>
        <w:pStyle w:val="18"/>
        <w:jc w:val="center"/>
        <w:outlineLvl w:val="1"/>
        <w:rPr>
          <w:rFonts w:hint="eastAsia" w:ascii="仿宋" w:hAnsi="仿宋" w:eastAsia="仿宋" w:cs="仿宋"/>
          <w:b/>
          <w:color w:val="auto"/>
          <w:kern w:val="0"/>
          <w:sz w:val="28"/>
          <w:szCs w:val="28"/>
          <w:highlight w:val="none"/>
          <w:lang w:val="en-US" w:eastAsia="zh-CN" w:bidi="ar-SA"/>
        </w:rPr>
      </w:pPr>
      <w:r>
        <w:rPr>
          <w:rFonts w:hint="eastAsia" w:ascii="仿宋" w:hAnsi="仿宋" w:eastAsia="仿宋" w:cs="仿宋"/>
          <w:color w:val="auto"/>
          <w:sz w:val="24"/>
          <w:highlight w:val="none"/>
        </w:rPr>
        <w:br w:type="page"/>
      </w:r>
      <w:bookmarkStart w:id="794" w:name="_Toc11297"/>
      <w:r>
        <w:rPr>
          <w:rFonts w:hint="eastAsia" w:ascii="仿宋" w:hAnsi="仿宋" w:eastAsia="仿宋" w:cs="仿宋"/>
          <w:b/>
          <w:color w:val="auto"/>
          <w:kern w:val="0"/>
          <w:sz w:val="28"/>
          <w:szCs w:val="28"/>
          <w:highlight w:val="none"/>
          <w:lang w:val="en-US" w:eastAsia="zh-CN" w:bidi="ar-SA"/>
        </w:rPr>
        <w:t>综合评分表</w:t>
      </w:r>
      <w:bookmarkEnd w:id="794"/>
    </w:p>
    <w:tbl>
      <w:tblPr>
        <w:tblStyle w:val="37"/>
        <w:tblW w:w="97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9"/>
        <w:gridCol w:w="1200"/>
        <w:gridCol w:w="803"/>
        <w:gridCol w:w="6907"/>
      </w:tblGrid>
      <w:tr w14:paraId="79851E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2039" w:type="dxa"/>
            <w:gridSpan w:val="2"/>
            <w:vAlign w:val="top"/>
          </w:tcPr>
          <w:p w14:paraId="6C33C469">
            <w:pPr>
              <w:pStyle w:val="36"/>
              <w:spacing w:before="198" w:line="219" w:lineRule="auto"/>
              <w:ind w:left="544"/>
              <w:rPr>
                <w:sz w:val="24"/>
                <w:szCs w:val="24"/>
                <w:highlight w:val="none"/>
              </w:rPr>
            </w:pPr>
            <w:r>
              <w:rPr>
                <w:b/>
                <w:bCs/>
                <w:spacing w:val="-5"/>
                <w:sz w:val="24"/>
                <w:szCs w:val="24"/>
                <w:highlight w:val="none"/>
              </w:rPr>
              <w:t>评审内容</w:t>
            </w:r>
          </w:p>
        </w:tc>
        <w:tc>
          <w:tcPr>
            <w:tcW w:w="803" w:type="dxa"/>
            <w:vAlign w:val="top"/>
          </w:tcPr>
          <w:p w14:paraId="12B7C82B">
            <w:pPr>
              <w:pStyle w:val="36"/>
              <w:spacing w:before="198" w:line="219" w:lineRule="auto"/>
              <w:ind w:left="167"/>
              <w:rPr>
                <w:sz w:val="24"/>
                <w:szCs w:val="24"/>
                <w:highlight w:val="none"/>
              </w:rPr>
            </w:pPr>
            <w:r>
              <w:rPr>
                <w:b/>
                <w:bCs/>
                <w:spacing w:val="-9"/>
                <w:sz w:val="24"/>
                <w:szCs w:val="24"/>
                <w:highlight w:val="none"/>
              </w:rPr>
              <w:t>分值</w:t>
            </w:r>
          </w:p>
        </w:tc>
        <w:tc>
          <w:tcPr>
            <w:tcW w:w="6907" w:type="dxa"/>
            <w:vAlign w:val="top"/>
          </w:tcPr>
          <w:p w14:paraId="6B323ABE">
            <w:pPr>
              <w:pStyle w:val="36"/>
              <w:spacing w:before="197" w:line="220" w:lineRule="auto"/>
              <w:ind w:left="2975"/>
              <w:rPr>
                <w:sz w:val="24"/>
                <w:szCs w:val="24"/>
                <w:highlight w:val="none"/>
              </w:rPr>
            </w:pPr>
            <w:r>
              <w:rPr>
                <w:b/>
                <w:bCs/>
                <w:spacing w:val="-5"/>
                <w:sz w:val="24"/>
                <w:szCs w:val="24"/>
                <w:highlight w:val="none"/>
              </w:rPr>
              <w:t>评分标准</w:t>
            </w:r>
          </w:p>
        </w:tc>
      </w:tr>
      <w:tr w14:paraId="081436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8" w:hRule="atLeast"/>
        </w:trPr>
        <w:tc>
          <w:tcPr>
            <w:tcW w:w="839" w:type="dxa"/>
            <w:vAlign w:val="top"/>
          </w:tcPr>
          <w:p w14:paraId="0CE4E74A">
            <w:pPr>
              <w:spacing w:line="264" w:lineRule="auto"/>
              <w:rPr>
                <w:rFonts w:ascii="Arial"/>
                <w:sz w:val="21"/>
                <w:highlight w:val="none"/>
              </w:rPr>
            </w:pPr>
          </w:p>
          <w:p w14:paraId="29B0288B">
            <w:pPr>
              <w:spacing w:line="265" w:lineRule="auto"/>
              <w:rPr>
                <w:rFonts w:ascii="Arial"/>
                <w:sz w:val="21"/>
                <w:highlight w:val="none"/>
              </w:rPr>
            </w:pPr>
          </w:p>
          <w:p w14:paraId="37D3FB16">
            <w:pPr>
              <w:spacing w:line="265" w:lineRule="auto"/>
              <w:rPr>
                <w:rFonts w:ascii="Arial"/>
                <w:sz w:val="21"/>
                <w:highlight w:val="none"/>
              </w:rPr>
            </w:pPr>
          </w:p>
          <w:p w14:paraId="73134E55">
            <w:pPr>
              <w:spacing w:line="265" w:lineRule="auto"/>
              <w:rPr>
                <w:rFonts w:ascii="Arial"/>
                <w:sz w:val="21"/>
                <w:highlight w:val="none"/>
              </w:rPr>
            </w:pPr>
          </w:p>
          <w:p w14:paraId="2CAD49F3">
            <w:pPr>
              <w:spacing w:line="265" w:lineRule="auto"/>
              <w:rPr>
                <w:rFonts w:ascii="Arial"/>
                <w:sz w:val="21"/>
                <w:highlight w:val="none"/>
              </w:rPr>
            </w:pPr>
          </w:p>
          <w:p w14:paraId="457DD6CC">
            <w:pPr>
              <w:spacing w:line="265" w:lineRule="auto"/>
              <w:rPr>
                <w:rFonts w:ascii="Arial"/>
                <w:sz w:val="21"/>
                <w:highlight w:val="none"/>
              </w:rPr>
            </w:pPr>
          </w:p>
          <w:p w14:paraId="3F6885B8">
            <w:pPr>
              <w:pStyle w:val="36"/>
              <w:spacing w:before="78" w:line="218" w:lineRule="auto"/>
              <w:ind w:left="183"/>
              <w:rPr>
                <w:sz w:val="24"/>
                <w:szCs w:val="24"/>
                <w:highlight w:val="none"/>
              </w:rPr>
            </w:pPr>
            <w:r>
              <w:rPr>
                <w:spacing w:val="-4"/>
                <w:sz w:val="24"/>
                <w:szCs w:val="24"/>
                <w:highlight w:val="none"/>
              </w:rPr>
              <w:t>报价</w:t>
            </w:r>
          </w:p>
          <w:p w14:paraId="43C83C7E">
            <w:pPr>
              <w:pStyle w:val="36"/>
              <w:spacing w:before="181" w:line="361" w:lineRule="auto"/>
              <w:ind w:left="188" w:right="177"/>
              <w:jc w:val="both"/>
              <w:rPr>
                <w:sz w:val="24"/>
                <w:szCs w:val="24"/>
                <w:highlight w:val="none"/>
              </w:rPr>
            </w:pPr>
            <w:r>
              <w:rPr>
                <w:spacing w:val="-7"/>
                <w:sz w:val="24"/>
                <w:szCs w:val="24"/>
                <w:highlight w:val="none"/>
              </w:rPr>
              <w:t>部分</w:t>
            </w:r>
            <w:r>
              <w:rPr>
                <w:sz w:val="24"/>
                <w:szCs w:val="24"/>
                <w:highlight w:val="none"/>
              </w:rPr>
              <w:t xml:space="preserve"> </w:t>
            </w:r>
            <w:r>
              <w:rPr>
                <w:spacing w:val="-5"/>
                <w:sz w:val="24"/>
                <w:szCs w:val="24"/>
                <w:highlight w:val="none"/>
              </w:rPr>
              <w:t>（30</w:t>
            </w:r>
            <w:r>
              <w:rPr>
                <w:spacing w:val="1"/>
                <w:sz w:val="24"/>
                <w:szCs w:val="24"/>
                <w:highlight w:val="none"/>
              </w:rPr>
              <w:t xml:space="preserve"> </w:t>
            </w:r>
            <w:r>
              <w:rPr>
                <w:spacing w:val="-7"/>
                <w:sz w:val="24"/>
                <w:szCs w:val="24"/>
                <w:highlight w:val="none"/>
              </w:rPr>
              <w:t>分）</w:t>
            </w:r>
          </w:p>
        </w:tc>
        <w:tc>
          <w:tcPr>
            <w:tcW w:w="1200" w:type="dxa"/>
            <w:vAlign w:val="top"/>
          </w:tcPr>
          <w:p w14:paraId="78943F64">
            <w:pPr>
              <w:spacing w:line="251" w:lineRule="auto"/>
              <w:rPr>
                <w:rFonts w:ascii="Arial"/>
                <w:sz w:val="21"/>
                <w:highlight w:val="none"/>
              </w:rPr>
            </w:pPr>
          </w:p>
          <w:p w14:paraId="4016E8AA">
            <w:pPr>
              <w:spacing w:line="251" w:lineRule="auto"/>
              <w:rPr>
                <w:rFonts w:ascii="Arial"/>
                <w:sz w:val="21"/>
                <w:highlight w:val="none"/>
              </w:rPr>
            </w:pPr>
          </w:p>
          <w:p w14:paraId="7FD033A1">
            <w:pPr>
              <w:spacing w:line="251" w:lineRule="auto"/>
              <w:rPr>
                <w:rFonts w:ascii="Arial"/>
                <w:sz w:val="21"/>
                <w:highlight w:val="none"/>
              </w:rPr>
            </w:pPr>
          </w:p>
          <w:p w14:paraId="296A0FAB">
            <w:pPr>
              <w:spacing w:line="252" w:lineRule="auto"/>
              <w:rPr>
                <w:rFonts w:ascii="Arial"/>
                <w:sz w:val="21"/>
                <w:highlight w:val="none"/>
              </w:rPr>
            </w:pPr>
          </w:p>
          <w:p w14:paraId="152DC264">
            <w:pPr>
              <w:spacing w:line="252" w:lineRule="auto"/>
              <w:rPr>
                <w:rFonts w:ascii="Arial"/>
                <w:sz w:val="21"/>
                <w:highlight w:val="none"/>
              </w:rPr>
            </w:pPr>
          </w:p>
          <w:p w14:paraId="4540DC30">
            <w:pPr>
              <w:spacing w:line="252" w:lineRule="auto"/>
              <w:rPr>
                <w:rFonts w:ascii="Arial"/>
                <w:sz w:val="21"/>
                <w:highlight w:val="none"/>
              </w:rPr>
            </w:pPr>
          </w:p>
          <w:p w14:paraId="702D65C0">
            <w:pPr>
              <w:spacing w:line="252" w:lineRule="auto"/>
              <w:rPr>
                <w:rFonts w:ascii="Arial"/>
                <w:sz w:val="21"/>
                <w:highlight w:val="none"/>
              </w:rPr>
            </w:pPr>
          </w:p>
          <w:p w14:paraId="1DF507F8">
            <w:pPr>
              <w:spacing w:line="252" w:lineRule="auto"/>
              <w:rPr>
                <w:rFonts w:ascii="Arial"/>
                <w:sz w:val="21"/>
                <w:highlight w:val="none"/>
              </w:rPr>
            </w:pPr>
          </w:p>
          <w:p w14:paraId="36B10A62">
            <w:pPr>
              <w:spacing w:line="252" w:lineRule="auto"/>
              <w:rPr>
                <w:rFonts w:ascii="Arial"/>
                <w:sz w:val="21"/>
                <w:highlight w:val="none"/>
              </w:rPr>
            </w:pPr>
          </w:p>
          <w:p w14:paraId="32EF5B52">
            <w:pPr>
              <w:spacing w:line="252" w:lineRule="auto"/>
              <w:rPr>
                <w:rFonts w:ascii="Arial"/>
                <w:sz w:val="21"/>
                <w:highlight w:val="none"/>
              </w:rPr>
            </w:pPr>
          </w:p>
          <w:p w14:paraId="766E92A3">
            <w:pPr>
              <w:pStyle w:val="36"/>
              <w:spacing w:before="78" w:line="218" w:lineRule="auto"/>
              <w:ind w:left="127"/>
              <w:rPr>
                <w:sz w:val="24"/>
                <w:szCs w:val="24"/>
                <w:highlight w:val="none"/>
              </w:rPr>
            </w:pPr>
            <w:r>
              <w:rPr>
                <w:spacing w:val="-4"/>
                <w:sz w:val="24"/>
                <w:szCs w:val="24"/>
                <w:highlight w:val="none"/>
              </w:rPr>
              <w:t>投标价格</w:t>
            </w:r>
          </w:p>
        </w:tc>
        <w:tc>
          <w:tcPr>
            <w:tcW w:w="803" w:type="dxa"/>
            <w:vAlign w:val="top"/>
          </w:tcPr>
          <w:p w14:paraId="178CCB6A">
            <w:pPr>
              <w:spacing w:line="251" w:lineRule="auto"/>
              <w:rPr>
                <w:rFonts w:ascii="Arial"/>
                <w:sz w:val="21"/>
                <w:highlight w:val="none"/>
              </w:rPr>
            </w:pPr>
          </w:p>
          <w:p w14:paraId="24309220">
            <w:pPr>
              <w:spacing w:line="251" w:lineRule="auto"/>
              <w:rPr>
                <w:rFonts w:ascii="Arial"/>
                <w:sz w:val="21"/>
                <w:highlight w:val="none"/>
              </w:rPr>
            </w:pPr>
          </w:p>
          <w:p w14:paraId="416C83CD">
            <w:pPr>
              <w:spacing w:line="251" w:lineRule="auto"/>
              <w:rPr>
                <w:rFonts w:ascii="Arial"/>
                <w:sz w:val="21"/>
                <w:highlight w:val="none"/>
              </w:rPr>
            </w:pPr>
          </w:p>
          <w:p w14:paraId="10672BB5">
            <w:pPr>
              <w:spacing w:line="252" w:lineRule="auto"/>
              <w:rPr>
                <w:rFonts w:ascii="Arial"/>
                <w:sz w:val="21"/>
                <w:highlight w:val="none"/>
              </w:rPr>
            </w:pPr>
          </w:p>
          <w:p w14:paraId="174ACEF4">
            <w:pPr>
              <w:spacing w:line="252" w:lineRule="auto"/>
              <w:rPr>
                <w:rFonts w:ascii="Arial"/>
                <w:sz w:val="21"/>
                <w:highlight w:val="none"/>
              </w:rPr>
            </w:pPr>
          </w:p>
          <w:p w14:paraId="4D0E01E9">
            <w:pPr>
              <w:spacing w:line="252" w:lineRule="auto"/>
              <w:rPr>
                <w:rFonts w:ascii="Arial"/>
                <w:sz w:val="21"/>
                <w:highlight w:val="none"/>
              </w:rPr>
            </w:pPr>
          </w:p>
          <w:p w14:paraId="553375B0">
            <w:pPr>
              <w:spacing w:line="252" w:lineRule="auto"/>
              <w:rPr>
                <w:rFonts w:ascii="Arial"/>
                <w:sz w:val="21"/>
                <w:highlight w:val="none"/>
              </w:rPr>
            </w:pPr>
          </w:p>
          <w:p w14:paraId="54BF15B8">
            <w:pPr>
              <w:spacing w:line="252" w:lineRule="auto"/>
              <w:rPr>
                <w:rFonts w:ascii="Arial"/>
                <w:sz w:val="21"/>
                <w:highlight w:val="none"/>
              </w:rPr>
            </w:pPr>
          </w:p>
          <w:p w14:paraId="1252F7D7">
            <w:pPr>
              <w:spacing w:line="252" w:lineRule="auto"/>
              <w:rPr>
                <w:rFonts w:ascii="Arial"/>
                <w:sz w:val="21"/>
                <w:highlight w:val="none"/>
              </w:rPr>
            </w:pPr>
          </w:p>
          <w:p w14:paraId="0A043EA2">
            <w:pPr>
              <w:spacing w:line="252" w:lineRule="auto"/>
              <w:rPr>
                <w:rFonts w:ascii="Arial"/>
                <w:sz w:val="21"/>
                <w:highlight w:val="none"/>
              </w:rPr>
            </w:pPr>
          </w:p>
          <w:p w14:paraId="2701DCE3">
            <w:pPr>
              <w:pStyle w:val="36"/>
              <w:spacing w:before="78" w:line="220" w:lineRule="auto"/>
              <w:ind w:left="140"/>
              <w:rPr>
                <w:sz w:val="24"/>
                <w:szCs w:val="24"/>
                <w:highlight w:val="none"/>
              </w:rPr>
            </w:pPr>
            <w:r>
              <w:rPr>
                <w:spacing w:val="-5"/>
                <w:sz w:val="24"/>
                <w:szCs w:val="24"/>
                <w:highlight w:val="none"/>
              </w:rPr>
              <w:t>30</w:t>
            </w:r>
            <w:r>
              <w:rPr>
                <w:spacing w:val="-48"/>
                <w:sz w:val="24"/>
                <w:szCs w:val="24"/>
                <w:highlight w:val="none"/>
              </w:rPr>
              <w:t xml:space="preserve"> </w:t>
            </w:r>
            <w:r>
              <w:rPr>
                <w:spacing w:val="-5"/>
                <w:sz w:val="24"/>
                <w:szCs w:val="24"/>
                <w:highlight w:val="none"/>
              </w:rPr>
              <w:t>分</w:t>
            </w:r>
          </w:p>
        </w:tc>
        <w:tc>
          <w:tcPr>
            <w:tcW w:w="6907" w:type="dxa"/>
            <w:vAlign w:val="top"/>
          </w:tcPr>
          <w:p w14:paraId="53842FA3">
            <w:pPr>
              <w:pStyle w:val="36"/>
              <w:spacing w:before="42" w:line="287" w:lineRule="auto"/>
              <w:ind w:left="113" w:right="107"/>
              <w:jc w:val="both"/>
              <w:rPr>
                <w:sz w:val="24"/>
                <w:szCs w:val="24"/>
                <w:highlight w:val="none"/>
              </w:rPr>
            </w:pPr>
            <w:r>
              <w:rPr>
                <w:spacing w:val="-2"/>
                <w:sz w:val="24"/>
                <w:szCs w:val="24"/>
                <w:highlight w:val="none"/>
              </w:rPr>
              <w:t>价格分应当采用低价优先法计算，即满足招标文件要求且投标价</w:t>
            </w:r>
            <w:r>
              <w:rPr>
                <w:spacing w:val="15"/>
                <w:sz w:val="24"/>
                <w:szCs w:val="24"/>
                <w:highlight w:val="none"/>
              </w:rPr>
              <w:t xml:space="preserve"> </w:t>
            </w:r>
            <w:r>
              <w:rPr>
                <w:spacing w:val="-2"/>
                <w:sz w:val="24"/>
                <w:szCs w:val="24"/>
                <w:highlight w:val="none"/>
              </w:rPr>
              <w:t>格最低的投标报价为评标基准价，其价格分为满分。其他投标人</w:t>
            </w:r>
            <w:r>
              <w:rPr>
                <w:spacing w:val="16"/>
                <w:sz w:val="24"/>
                <w:szCs w:val="24"/>
                <w:highlight w:val="none"/>
              </w:rPr>
              <w:t xml:space="preserve"> </w:t>
            </w:r>
            <w:r>
              <w:rPr>
                <w:spacing w:val="-1"/>
                <w:sz w:val="24"/>
                <w:szCs w:val="24"/>
                <w:highlight w:val="none"/>
              </w:rPr>
              <w:t>的价格分统一按照下列公式计算：</w:t>
            </w:r>
          </w:p>
          <w:p w14:paraId="38E2F574">
            <w:pPr>
              <w:pStyle w:val="36"/>
              <w:spacing w:before="1" w:line="217" w:lineRule="auto"/>
              <w:ind w:left="116"/>
              <w:rPr>
                <w:sz w:val="24"/>
                <w:szCs w:val="24"/>
                <w:highlight w:val="none"/>
              </w:rPr>
            </w:pPr>
            <w:r>
              <w:rPr>
                <w:spacing w:val="-2"/>
                <w:sz w:val="24"/>
                <w:szCs w:val="24"/>
                <w:highlight w:val="none"/>
              </w:rPr>
              <w:t>投标报价得分=（评标基准价／投标报价）</w:t>
            </w:r>
            <w:r>
              <w:rPr>
                <w:spacing w:val="-77"/>
                <w:sz w:val="24"/>
                <w:szCs w:val="24"/>
                <w:highlight w:val="none"/>
              </w:rPr>
              <w:t xml:space="preserve"> </w:t>
            </w:r>
            <w:r>
              <w:rPr>
                <w:spacing w:val="-2"/>
                <w:sz w:val="24"/>
                <w:szCs w:val="24"/>
                <w:highlight w:val="none"/>
              </w:rPr>
              <w:t>×1</w:t>
            </w:r>
            <w:r>
              <w:rPr>
                <w:spacing w:val="-3"/>
                <w:sz w:val="24"/>
                <w:szCs w:val="24"/>
                <w:highlight w:val="none"/>
              </w:rPr>
              <w:t>00×权重</w:t>
            </w:r>
          </w:p>
          <w:p w14:paraId="63018A4C">
            <w:pPr>
              <w:pStyle w:val="36"/>
              <w:spacing w:before="90" w:line="218" w:lineRule="auto"/>
              <w:ind w:left="116"/>
              <w:rPr>
                <w:sz w:val="24"/>
                <w:szCs w:val="24"/>
                <w:highlight w:val="none"/>
              </w:rPr>
            </w:pPr>
            <w:r>
              <w:rPr>
                <w:spacing w:val="-1"/>
                <w:sz w:val="24"/>
                <w:szCs w:val="24"/>
                <w:highlight w:val="none"/>
              </w:rPr>
              <w:t>备注：投标报价得分四舍五入后，小数点后保留两位有效数。</w:t>
            </w:r>
          </w:p>
          <w:p w14:paraId="41B928BA">
            <w:pPr>
              <w:pStyle w:val="36"/>
              <w:spacing w:before="96" w:line="284" w:lineRule="auto"/>
              <w:ind w:left="113" w:right="107"/>
              <w:rPr>
                <w:sz w:val="24"/>
                <w:szCs w:val="24"/>
                <w:highlight w:val="none"/>
              </w:rPr>
            </w:pPr>
            <w:r>
              <w:rPr>
                <w:sz w:val="24"/>
                <w:szCs w:val="24"/>
                <w:highlight w:val="none"/>
              </w:rPr>
              <w:t>根据《政府采购促进中小企业发展管理办法》</w:t>
            </w:r>
            <w:r>
              <w:rPr>
                <w:spacing w:val="-1"/>
                <w:sz w:val="24"/>
                <w:szCs w:val="24"/>
                <w:highlight w:val="none"/>
              </w:rPr>
              <w:t>（财库[2020]46</w:t>
            </w:r>
            <w:r>
              <w:rPr>
                <w:sz w:val="24"/>
                <w:szCs w:val="24"/>
                <w:highlight w:val="none"/>
              </w:rPr>
              <w:t xml:space="preserve">  </w:t>
            </w:r>
            <w:r>
              <w:rPr>
                <w:spacing w:val="-1"/>
                <w:sz w:val="24"/>
                <w:szCs w:val="24"/>
                <w:highlight w:val="none"/>
              </w:rPr>
              <w:t>号）、关于进一步加大政府采购支持中小企业力度的通知财库</w:t>
            </w:r>
            <w:r>
              <w:rPr>
                <w:spacing w:val="8"/>
                <w:sz w:val="24"/>
                <w:szCs w:val="24"/>
                <w:highlight w:val="none"/>
              </w:rPr>
              <w:t xml:space="preserve">  </w:t>
            </w:r>
            <w:r>
              <w:rPr>
                <w:spacing w:val="-1"/>
                <w:sz w:val="24"/>
                <w:szCs w:val="24"/>
                <w:highlight w:val="none"/>
              </w:rPr>
              <w:t>〔2022〕19</w:t>
            </w:r>
            <w:r>
              <w:rPr>
                <w:spacing w:val="-40"/>
                <w:sz w:val="24"/>
                <w:szCs w:val="24"/>
                <w:highlight w:val="none"/>
              </w:rPr>
              <w:t xml:space="preserve"> </w:t>
            </w:r>
            <w:r>
              <w:rPr>
                <w:spacing w:val="-1"/>
                <w:sz w:val="24"/>
                <w:szCs w:val="24"/>
                <w:highlight w:val="none"/>
              </w:rPr>
              <w:t>号，《财政部 司法部关于政府采购支持监狱企业发</w:t>
            </w:r>
            <w:r>
              <w:rPr>
                <w:sz w:val="24"/>
                <w:szCs w:val="24"/>
                <w:highlight w:val="none"/>
              </w:rPr>
              <w:t xml:space="preserve"> 展有关问题的通知》（财库〔2014〕68</w:t>
            </w:r>
            <w:r>
              <w:rPr>
                <w:spacing w:val="-1"/>
                <w:sz w:val="24"/>
                <w:szCs w:val="24"/>
                <w:highlight w:val="none"/>
              </w:rPr>
              <w:t xml:space="preserve"> 号）和《三部门联合发</w:t>
            </w:r>
            <w:r>
              <w:rPr>
                <w:sz w:val="24"/>
                <w:szCs w:val="24"/>
                <w:highlight w:val="none"/>
              </w:rPr>
              <w:t xml:space="preserve"> </w:t>
            </w:r>
            <w:r>
              <w:rPr>
                <w:spacing w:val="-5"/>
                <w:sz w:val="24"/>
                <w:szCs w:val="24"/>
                <w:highlight w:val="none"/>
              </w:rPr>
              <w:t>布关于促进残疾人就业政府采购政策的通知》（财库〔2017〕141</w:t>
            </w:r>
            <w:r>
              <w:rPr>
                <w:sz w:val="24"/>
                <w:szCs w:val="24"/>
                <w:highlight w:val="none"/>
              </w:rPr>
              <w:t xml:space="preserve"> </w:t>
            </w:r>
            <w:r>
              <w:rPr>
                <w:spacing w:val="-2"/>
                <w:sz w:val="24"/>
                <w:szCs w:val="24"/>
                <w:highlight w:val="none"/>
              </w:rPr>
              <w:t>号）的规定，对满足价格扣除条件且在投标文件中提交了《中小</w:t>
            </w:r>
            <w:r>
              <w:rPr>
                <w:spacing w:val="16"/>
                <w:sz w:val="24"/>
                <w:szCs w:val="24"/>
                <w:highlight w:val="none"/>
              </w:rPr>
              <w:t xml:space="preserve"> </w:t>
            </w:r>
            <w:r>
              <w:rPr>
                <w:spacing w:val="-2"/>
                <w:sz w:val="24"/>
                <w:szCs w:val="24"/>
                <w:highlight w:val="none"/>
              </w:rPr>
              <w:t>企业声明函》或省级以上监狱管理局、戒毒管理局（含新疆生产</w:t>
            </w:r>
            <w:r>
              <w:rPr>
                <w:spacing w:val="16"/>
                <w:sz w:val="24"/>
                <w:szCs w:val="24"/>
                <w:highlight w:val="none"/>
              </w:rPr>
              <w:t xml:space="preserve"> </w:t>
            </w:r>
            <w:r>
              <w:rPr>
                <w:spacing w:val="-2"/>
                <w:sz w:val="24"/>
                <w:szCs w:val="24"/>
                <w:highlight w:val="none"/>
              </w:rPr>
              <w:t>建设兵团）出具的属于监狱企业的证明文件的投标人，其投标报</w:t>
            </w:r>
            <w:r>
              <w:rPr>
                <w:spacing w:val="16"/>
                <w:sz w:val="24"/>
                <w:szCs w:val="24"/>
                <w:highlight w:val="none"/>
              </w:rPr>
              <w:t xml:space="preserve"> </w:t>
            </w:r>
            <w:r>
              <w:rPr>
                <w:spacing w:val="-1"/>
                <w:sz w:val="24"/>
                <w:szCs w:val="24"/>
                <w:highlight w:val="none"/>
              </w:rPr>
              <w:t>价扣除</w:t>
            </w:r>
            <w:r>
              <w:rPr>
                <w:spacing w:val="-1"/>
                <w:sz w:val="24"/>
                <w:szCs w:val="24"/>
                <w:highlight w:val="none"/>
                <w:u w:val="single" w:color="auto"/>
              </w:rPr>
              <w:t xml:space="preserve">  /  </w:t>
            </w:r>
            <w:r>
              <w:rPr>
                <w:spacing w:val="-101"/>
                <w:sz w:val="24"/>
                <w:szCs w:val="24"/>
                <w:highlight w:val="none"/>
              </w:rPr>
              <w:t xml:space="preserve"> </w:t>
            </w:r>
            <w:r>
              <w:rPr>
                <w:spacing w:val="-1"/>
                <w:sz w:val="24"/>
                <w:szCs w:val="24"/>
                <w:highlight w:val="none"/>
              </w:rPr>
              <w:t>后参与评审。对于同时属于小微企业、监狱企业或</w:t>
            </w:r>
            <w:r>
              <w:rPr>
                <w:sz w:val="24"/>
                <w:szCs w:val="24"/>
                <w:highlight w:val="none"/>
              </w:rPr>
              <w:t xml:space="preserve"> </w:t>
            </w:r>
            <w:r>
              <w:rPr>
                <w:spacing w:val="-1"/>
                <w:sz w:val="24"/>
                <w:szCs w:val="24"/>
                <w:highlight w:val="none"/>
              </w:rPr>
              <w:t>残疾人福利性单位的，不重复进行投标报价扣除。</w:t>
            </w:r>
          </w:p>
        </w:tc>
      </w:tr>
      <w:tr w14:paraId="7D8E5F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0" w:hRule="atLeast"/>
        </w:trPr>
        <w:tc>
          <w:tcPr>
            <w:tcW w:w="839" w:type="dxa"/>
            <w:vMerge w:val="restart"/>
            <w:tcBorders>
              <w:bottom w:val="nil"/>
            </w:tcBorders>
            <w:vAlign w:val="top"/>
          </w:tcPr>
          <w:p w14:paraId="7609DDEB">
            <w:pPr>
              <w:spacing w:line="242" w:lineRule="auto"/>
              <w:rPr>
                <w:rFonts w:ascii="Arial"/>
                <w:sz w:val="21"/>
                <w:highlight w:val="none"/>
              </w:rPr>
            </w:pPr>
          </w:p>
          <w:p w14:paraId="0ECB243C">
            <w:pPr>
              <w:spacing w:line="242" w:lineRule="auto"/>
              <w:rPr>
                <w:rFonts w:ascii="Arial"/>
                <w:sz w:val="21"/>
                <w:highlight w:val="none"/>
              </w:rPr>
            </w:pPr>
          </w:p>
          <w:p w14:paraId="7CC02316">
            <w:pPr>
              <w:spacing w:line="242" w:lineRule="auto"/>
              <w:rPr>
                <w:rFonts w:ascii="Arial"/>
                <w:sz w:val="21"/>
                <w:highlight w:val="none"/>
              </w:rPr>
            </w:pPr>
          </w:p>
          <w:p w14:paraId="0E8A4E8C">
            <w:pPr>
              <w:spacing w:line="242" w:lineRule="auto"/>
              <w:rPr>
                <w:rFonts w:ascii="Arial"/>
                <w:sz w:val="21"/>
                <w:highlight w:val="none"/>
              </w:rPr>
            </w:pPr>
          </w:p>
          <w:p w14:paraId="12D98026">
            <w:pPr>
              <w:spacing w:line="243" w:lineRule="auto"/>
              <w:rPr>
                <w:rFonts w:ascii="Arial"/>
                <w:sz w:val="21"/>
                <w:highlight w:val="none"/>
              </w:rPr>
            </w:pPr>
          </w:p>
          <w:p w14:paraId="0D07C42E">
            <w:pPr>
              <w:pStyle w:val="36"/>
              <w:spacing w:before="78" w:line="219" w:lineRule="auto"/>
              <w:ind w:left="190"/>
              <w:rPr>
                <w:sz w:val="24"/>
                <w:szCs w:val="24"/>
                <w:highlight w:val="none"/>
              </w:rPr>
            </w:pPr>
            <w:r>
              <w:rPr>
                <w:spacing w:val="-8"/>
                <w:sz w:val="24"/>
                <w:szCs w:val="24"/>
                <w:highlight w:val="none"/>
              </w:rPr>
              <w:t>商务</w:t>
            </w:r>
          </w:p>
          <w:p w14:paraId="7C4114FA">
            <w:pPr>
              <w:pStyle w:val="36"/>
              <w:spacing w:before="180" w:line="219" w:lineRule="auto"/>
              <w:ind w:left="188"/>
              <w:rPr>
                <w:sz w:val="24"/>
                <w:szCs w:val="24"/>
                <w:highlight w:val="none"/>
              </w:rPr>
            </w:pPr>
            <w:r>
              <w:rPr>
                <w:spacing w:val="-7"/>
                <w:sz w:val="24"/>
                <w:szCs w:val="24"/>
                <w:highlight w:val="none"/>
              </w:rPr>
              <w:t>部分</w:t>
            </w:r>
          </w:p>
          <w:p w14:paraId="5A7A5321">
            <w:pPr>
              <w:pStyle w:val="36"/>
              <w:spacing w:before="183" w:line="232" w:lineRule="auto"/>
              <w:ind w:left="257"/>
              <w:rPr>
                <w:sz w:val="24"/>
                <w:szCs w:val="24"/>
                <w:highlight w:val="none"/>
              </w:rPr>
            </w:pPr>
            <w:r>
              <w:rPr>
                <w:spacing w:val="-11"/>
                <w:sz w:val="24"/>
                <w:szCs w:val="24"/>
                <w:highlight w:val="none"/>
              </w:rPr>
              <w:t>（8</w:t>
            </w:r>
          </w:p>
          <w:p w14:paraId="429205E7">
            <w:pPr>
              <w:pStyle w:val="36"/>
              <w:spacing w:before="163" w:line="220" w:lineRule="auto"/>
              <w:ind w:left="188"/>
              <w:rPr>
                <w:sz w:val="24"/>
                <w:szCs w:val="24"/>
                <w:highlight w:val="none"/>
              </w:rPr>
            </w:pPr>
            <w:r>
              <w:rPr>
                <w:spacing w:val="-7"/>
                <w:sz w:val="24"/>
                <w:szCs w:val="24"/>
                <w:highlight w:val="none"/>
              </w:rPr>
              <w:t>分）</w:t>
            </w:r>
          </w:p>
        </w:tc>
        <w:tc>
          <w:tcPr>
            <w:tcW w:w="1200" w:type="dxa"/>
            <w:vAlign w:val="top"/>
          </w:tcPr>
          <w:p w14:paraId="1255AC32">
            <w:pPr>
              <w:spacing w:line="340" w:lineRule="auto"/>
              <w:rPr>
                <w:rFonts w:ascii="Arial"/>
                <w:sz w:val="21"/>
                <w:highlight w:val="none"/>
              </w:rPr>
            </w:pPr>
          </w:p>
          <w:p w14:paraId="7AA98424">
            <w:pPr>
              <w:spacing w:line="341" w:lineRule="auto"/>
              <w:rPr>
                <w:rFonts w:ascii="Arial"/>
                <w:sz w:val="21"/>
                <w:highlight w:val="none"/>
              </w:rPr>
            </w:pPr>
          </w:p>
          <w:p w14:paraId="04792BB0">
            <w:pPr>
              <w:pStyle w:val="36"/>
              <w:spacing w:before="78" w:line="219" w:lineRule="auto"/>
              <w:ind w:left="124"/>
              <w:rPr>
                <w:sz w:val="24"/>
                <w:szCs w:val="24"/>
                <w:highlight w:val="none"/>
              </w:rPr>
            </w:pPr>
            <w:r>
              <w:rPr>
                <w:spacing w:val="-3"/>
                <w:sz w:val="24"/>
                <w:szCs w:val="24"/>
                <w:highlight w:val="none"/>
              </w:rPr>
              <w:t>类似业绩</w:t>
            </w:r>
          </w:p>
        </w:tc>
        <w:tc>
          <w:tcPr>
            <w:tcW w:w="803" w:type="dxa"/>
            <w:vAlign w:val="top"/>
          </w:tcPr>
          <w:p w14:paraId="15426EE7">
            <w:pPr>
              <w:spacing w:line="340" w:lineRule="auto"/>
              <w:rPr>
                <w:rFonts w:ascii="Arial"/>
                <w:sz w:val="21"/>
                <w:highlight w:val="none"/>
              </w:rPr>
            </w:pPr>
          </w:p>
          <w:p w14:paraId="694B3F4A">
            <w:pPr>
              <w:spacing w:line="341" w:lineRule="auto"/>
              <w:rPr>
                <w:rFonts w:ascii="Arial"/>
                <w:sz w:val="21"/>
                <w:highlight w:val="none"/>
              </w:rPr>
            </w:pPr>
          </w:p>
          <w:p w14:paraId="3728267C">
            <w:pPr>
              <w:pStyle w:val="36"/>
              <w:spacing w:before="78" w:line="220" w:lineRule="auto"/>
              <w:ind w:left="195"/>
              <w:rPr>
                <w:sz w:val="24"/>
                <w:szCs w:val="24"/>
                <w:highlight w:val="none"/>
              </w:rPr>
            </w:pPr>
            <w:r>
              <w:rPr>
                <w:spacing w:val="-5"/>
                <w:sz w:val="24"/>
                <w:szCs w:val="24"/>
                <w:highlight w:val="none"/>
              </w:rPr>
              <w:t>4</w:t>
            </w:r>
            <w:r>
              <w:rPr>
                <w:spacing w:val="-48"/>
                <w:sz w:val="24"/>
                <w:szCs w:val="24"/>
                <w:highlight w:val="none"/>
              </w:rPr>
              <w:t xml:space="preserve"> </w:t>
            </w:r>
            <w:r>
              <w:rPr>
                <w:spacing w:val="-5"/>
                <w:sz w:val="24"/>
                <w:szCs w:val="24"/>
                <w:highlight w:val="none"/>
              </w:rPr>
              <w:t>分</w:t>
            </w:r>
          </w:p>
        </w:tc>
        <w:tc>
          <w:tcPr>
            <w:tcW w:w="6907" w:type="dxa"/>
            <w:vAlign w:val="top"/>
          </w:tcPr>
          <w:p w14:paraId="4E137088">
            <w:pPr>
              <w:pStyle w:val="36"/>
              <w:spacing w:before="64" w:line="284" w:lineRule="auto"/>
              <w:ind w:left="116" w:right="107"/>
              <w:jc w:val="both"/>
              <w:rPr>
                <w:sz w:val="24"/>
                <w:szCs w:val="24"/>
                <w:highlight w:val="none"/>
              </w:rPr>
            </w:pPr>
            <w:r>
              <w:rPr>
                <w:rFonts w:hint="eastAsia"/>
                <w:spacing w:val="-5"/>
                <w:sz w:val="24"/>
                <w:szCs w:val="24"/>
                <w:highlight w:val="none"/>
              </w:rPr>
              <w:t>投标人提供</w:t>
            </w:r>
            <w:r>
              <w:rPr>
                <w:rFonts w:hint="eastAsia"/>
                <w:spacing w:val="-5"/>
                <w:sz w:val="24"/>
                <w:szCs w:val="24"/>
                <w:highlight w:val="none"/>
                <w:lang w:val="en-US" w:eastAsia="zh-CN"/>
              </w:rPr>
              <w:t>近三年</w:t>
            </w:r>
            <w:r>
              <w:rPr>
                <w:rFonts w:hint="eastAsia"/>
                <w:spacing w:val="-5"/>
                <w:sz w:val="24"/>
                <w:szCs w:val="24"/>
                <w:highlight w:val="none"/>
              </w:rPr>
              <w:t>类似业绩</w:t>
            </w:r>
            <w:r>
              <w:rPr>
                <w:rFonts w:hint="eastAsia"/>
                <w:spacing w:val="-5"/>
                <w:sz w:val="24"/>
                <w:szCs w:val="24"/>
                <w:highlight w:val="none"/>
                <w:lang w:val="en-US" w:eastAsia="zh-CN"/>
              </w:rPr>
              <w:t>（投标截止日算起）</w:t>
            </w:r>
            <w:r>
              <w:rPr>
                <w:spacing w:val="-5"/>
                <w:sz w:val="24"/>
                <w:szCs w:val="24"/>
                <w:highlight w:val="none"/>
              </w:rPr>
              <w:t>，证</w:t>
            </w:r>
            <w:r>
              <w:rPr>
                <w:sz w:val="24"/>
                <w:szCs w:val="24"/>
                <w:highlight w:val="none"/>
              </w:rPr>
              <w:t xml:space="preserve"> </w:t>
            </w:r>
            <w:r>
              <w:rPr>
                <w:spacing w:val="-2"/>
                <w:sz w:val="24"/>
                <w:szCs w:val="24"/>
                <w:highlight w:val="none"/>
              </w:rPr>
              <w:t>明材料中标通知书（或网站可查中标结果公示截图）或项目合同</w:t>
            </w:r>
            <w:r>
              <w:rPr>
                <w:spacing w:val="12"/>
                <w:sz w:val="24"/>
                <w:szCs w:val="24"/>
                <w:highlight w:val="none"/>
              </w:rPr>
              <w:t xml:space="preserve"> </w:t>
            </w:r>
            <w:r>
              <w:rPr>
                <w:spacing w:val="-2"/>
                <w:sz w:val="24"/>
                <w:szCs w:val="24"/>
                <w:highlight w:val="none"/>
              </w:rPr>
              <w:t>（包含但不限于合同首页、关键信息页、双方签章页</w:t>
            </w:r>
            <w:r>
              <w:rPr>
                <w:spacing w:val="4"/>
                <w:sz w:val="24"/>
                <w:szCs w:val="24"/>
                <w:highlight w:val="none"/>
              </w:rPr>
              <w:t>），</w:t>
            </w:r>
            <w:r>
              <w:rPr>
                <w:spacing w:val="-2"/>
                <w:sz w:val="24"/>
                <w:szCs w:val="24"/>
                <w:highlight w:val="none"/>
              </w:rPr>
              <w:t>每提供</w:t>
            </w:r>
            <w:r>
              <w:rPr>
                <w:sz w:val="24"/>
                <w:szCs w:val="24"/>
                <w:highlight w:val="none"/>
              </w:rPr>
              <w:t xml:space="preserve"> </w:t>
            </w:r>
            <w:r>
              <w:rPr>
                <w:spacing w:val="-3"/>
                <w:sz w:val="24"/>
                <w:szCs w:val="24"/>
                <w:highlight w:val="none"/>
              </w:rPr>
              <w:t>一个得</w:t>
            </w:r>
            <w:r>
              <w:rPr>
                <w:spacing w:val="-47"/>
                <w:sz w:val="24"/>
                <w:szCs w:val="24"/>
                <w:highlight w:val="none"/>
              </w:rPr>
              <w:t xml:space="preserve"> </w:t>
            </w:r>
            <w:r>
              <w:rPr>
                <w:spacing w:val="-3"/>
                <w:sz w:val="24"/>
                <w:szCs w:val="24"/>
                <w:highlight w:val="none"/>
              </w:rPr>
              <w:t>2</w:t>
            </w:r>
            <w:r>
              <w:rPr>
                <w:spacing w:val="-48"/>
                <w:sz w:val="24"/>
                <w:szCs w:val="24"/>
                <w:highlight w:val="none"/>
              </w:rPr>
              <w:t xml:space="preserve"> </w:t>
            </w:r>
            <w:r>
              <w:rPr>
                <w:spacing w:val="-3"/>
                <w:sz w:val="24"/>
                <w:szCs w:val="24"/>
                <w:highlight w:val="none"/>
              </w:rPr>
              <w:t>分，最高得</w:t>
            </w:r>
            <w:r>
              <w:rPr>
                <w:spacing w:val="-52"/>
                <w:sz w:val="24"/>
                <w:szCs w:val="24"/>
                <w:highlight w:val="none"/>
              </w:rPr>
              <w:t xml:space="preserve"> </w:t>
            </w:r>
            <w:r>
              <w:rPr>
                <w:spacing w:val="-3"/>
                <w:sz w:val="24"/>
                <w:szCs w:val="24"/>
                <w:highlight w:val="none"/>
              </w:rPr>
              <w:t>4</w:t>
            </w:r>
            <w:r>
              <w:rPr>
                <w:spacing w:val="-48"/>
                <w:sz w:val="24"/>
                <w:szCs w:val="24"/>
                <w:highlight w:val="none"/>
              </w:rPr>
              <w:t xml:space="preserve"> </w:t>
            </w:r>
            <w:r>
              <w:rPr>
                <w:spacing w:val="-3"/>
                <w:sz w:val="24"/>
                <w:szCs w:val="24"/>
                <w:highlight w:val="none"/>
              </w:rPr>
              <w:t>分，不提供或提供不清晰导致</w:t>
            </w:r>
            <w:r>
              <w:rPr>
                <w:spacing w:val="-4"/>
                <w:sz w:val="24"/>
                <w:szCs w:val="24"/>
                <w:highlight w:val="none"/>
              </w:rPr>
              <w:t>专家无法判</w:t>
            </w:r>
            <w:r>
              <w:rPr>
                <w:sz w:val="24"/>
                <w:szCs w:val="24"/>
                <w:highlight w:val="none"/>
              </w:rPr>
              <w:t xml:space="preserve"> </w:t>
            </w:r>
            <w:r>
              <w:rPr>
                <w:spacing w:val="-3"/>
                <w:sz w:val="24"/>
                <w:szCs w:val="24"/>
                <w:highlight w:val="none"/>
              </w:rPr>
              <w:t>断的不得分。</w:t>
            </w:r>
          </w:p>
        </w:tc>
      </w:tr>
      <w:tr w14:paraId="1A9B7C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8" w:hRule="atLeast"/>
        </w:trPr>
        <w:tc>
          <w:tcPr>
            <w:tcW w:w="839" w:type="dxa"/>
            <w:vMerge w:val="continue"/>
            <w:tcBorders>
              <w:top w:val="nil"/>
              <w:bottom w:val="nil"/>
            </w:tcBorders>
            <w:vAlign w:val="top"/>
          </w:tcPr>
          <w:p w14:paraId="11FDB915">
            <w:pPr>
              <w:rPr>
                <w:rFonts w:ascii="Arial"/>
                <w:sz w:val="21"/>
                <w:highlight w:val="none"/>
              </w:rPr>
            </w:pPr>
          </w:p>
        </w:tc>
        <w:tc>
          <w:tcPr>
            <w:tcW w:w="1200" w:type="dxa"/>
            <w:vAlign w:val="top"/>
          </w:tcPr>
          <w:p w14:paraId="4B3D827D">
            <w:pPr>
              <w:spacing w:line="331" w:lineRule="auto"/>
              <w:rPr>
                <w:rFonts w:ascii="Arial"/>
                <w:sz w:val="21"/>
                <w:highlight w:val="none"/>
              </w:rPr>
            </w:pPr>
          </w:p>
          <w:p w14:paraId="794E08A1">
            <w:pPr>
              <w:pStyle w:val="36"/>
              <w:spacing w:before="78" w:line="288" w:lineRule="auto"/>
              <w:ind w:left="111" w:right="132"/>
              <w:rPr>
                <w:sz w:val="24"/>
                <w:szCs w:val="24"/>
                <w:highlight w:val="none"/>
              </w:rPr>
            </w:pPr>
            <w:r>
              <w:rPr>
                <w:spacing w:val="-3"/>
                <w:sz w:val="24"/>
                <w:szCs w:val="24"/>
                <w:highlight w:val="none"/>
              </w:rPr>
              <w:t>产品满意</w:t>
            </w:r>
            <w:r>
              <w:rPr>
                <w:spacing w:val="1"/>
                <w:sz w:val="24"/>
                <w:szCs w:val="24"/>
                <w:highlight w:val="none"/>
              </w:rPr>
              <w:t xml:space="preserve"> </w:t>
            </w:r>
            <w:r>
              <w:rPr>
                <w:spacing w:val="-3"/>
                <w:sz w:val="24"/>
                <w:szCs w:val="24"/>
                <w:highlight w:val="none"/>
              </w:rPr>
              <w:t>度评价</w:t>
            </w:r>
          </w:p>
        </w:tc>
        <w:tc>
          <w:tcPr>
            <w:tcW w:w="803" w:type="dxa"/>
            <w:vAlign w:val="top"/>
          </w:tcPr>
          <w:p w14:paraId="49A5CB85">
            <w:pPr>
              <w:spacing w:line="259" w:lineRule="auto"/>
              <w:rPr>
                <w:rFonts w:ascii="Arial"/>
                <w:sz w:val="21"/>
                <w:highlight w:val="none"/>
              </w:rPr>
            </w:pPr>
          </w:p>
          <w:p w14:paraId="708D1728">
            <w:pPr>
              <w:spacing w:line="260" w:lineRule="auto"/>
              <w:rPr>
                <w:rFonts w:ascii="Arial"/>
                <w:sz w:val="21"/>
                <w:highlight w:val="none"/>
              </w:rPr>
            </w:pPr>
          </w:p>
          <w:p w14:paraId="370CFE54">
            <w:pPr>
              <w:pStyle w:val="36"/>
              <w:spacing w:before="78" w:line="220" w:lineRule="auto"/>
              <w:ind w:left="117"/>
              <w:rPr>
                <w:sz w:val="24"/>
                <w:szCs w:val="24"/>
                <w:highlight w:val="none"/>
              </w:rPr>
            </w:pPr>
            <w:r>
              <w:rPr>
                <w:spacing w:val="-7"/>
                <w:sz w:val="24"/>
                <w:szCs w:val="24"/>
                <w:highlight w:val="none"/>
              </w:rPr>
              <w:t>2</w:t>
            </w:r>
            <w:r>
              <w:rPr>
                <w:spacing w:val="-47"/>
                <w:sz w:val="24"/>
                <w:szCs w:val="24"/>
                <w:highlight w:val="none"/>
              </w:rPr>
              <w:t xml:space="preserve"> </w:t>
            </w:r>
            <w:r>
              <w:rPr>
                <w:spacing w:val="-7"/>
                <w:sz w:val="24"/>
                <w:szCs w:val="24"/>
                <w:highlight w:val="none"/>
              </w:rPr>
              <w:t>分</w:t>
            </w:r>
          </w:p>
        </w:tc>
        <w:tc>
          <w:tcPr>
            <w:tcW w:w="6907" w:type="dxa"/>
            <w:vAlign w:val="top"/>
          </w:tcPr>
          <w:p w14:paraId="3DCB449A">
            <w:pPr>
              <w:pStyle w:val="36"/>
              <w:spacing w:before="37" w:line="279" w:lineRule="auto"/>
              <w:ind w:left="113" w:right="107"/>
              <w:jc w:val="both"/>
              <w:rPr>
                <w:sz w:val="24"/>
                <w:szCs w:val="24"/>
                <w:highlight w:val="none"/>
              </w:rPr>
            </w:pPr>
            <w:r>
              <w:rPr>
                <w:spacing w:val="-4"/>
                <w:sz w:val="24"/>
                <w:szCs w:val="24"/>
                <w:highlight w:val="none"/>
              </w:rPr>
              <w:t>提供近一年（</w:t>
            </w:r>
            <w:r>
              <w:rPr>
                <w:rFonts w:hint="eastAsia"/>
                <w:spacing w:val="-4"/>
                <w:sz w:val="24"/>
                <w:szCs w:val="24"/>
                <w:highlight w:val="none"/>
                <w:lang w:val="en-US" w:eastAsia="zh-CN"/>
              </w:rPr>
              <w:t>2024年7月13日到至今</w:t>
            </w:r>
            <w:r>
              <w:rPr>
                <w:spacing w:val="-4"/>
                <w:sz w:val="24"/>
                <w:szCs w:val="24"/>
                <w:highlight w:val="none"/>
              </w:rPr>
              <w:t>）开展类似项目的产</w:t>
            </w:r>
            <w:r>
              <w:rPr>
                <w:spacing w:val="-5"/>
                <w:sz w:val="24"/>
                <w:szCs w:val="24"/>
                <w:highlight w:val="none"/>
              </w:rPr>
              <w:t>品满</w:t>
            </w:r>
            <w:r>
              <w:rPr>
                <w:sz w:val="24"/>
                <w:szCs w:val="24"/>
                <w:highlight w:val="none"/>
              </w:rPr>
              <w:t xml:space="preserve"> </w:t>
            </w:r>
            <w:r>
              <w:rPr>
                <w:spacing w:val="-2"/>
                <w:sz w:val="24"/>
                <w:szCs w:val="24"/>
                <w:highlight w:val="none"/>
              </w:rPr>
              <w:t>意度评价表（包括已供货照片等）及对应采购人出具的针对中标</w:t>
            </w:r>
            <w:r>
              <w:rPr>
                <w:spacing w:val="16"/>
                <w:sz w:val="24"/>
                <w:szCs w:val="24"/>
                <w:highlight w:val="none"/>
              </w:rPr>
              <w:t xml:space="preserve"> </w:t>
            </w:r>
            <w:r>
              <w:rPr>
                <w:spacing w:val="-3"/>
                <w:sz w:val="24"/>
                <w:szCs w:val="24"/>
                <w:highlight w:val="none"/>
              </w:rPr>
              <w:t>产品的培训及产品满意度评价材料。每提供一个得</w:t>
            </w:r>
            <w:r>
              <w:rPr>
                <w:spacing w:val="-28"/>
                <w:sz w:val="24"/>
                <w:szCs w:val="24"/>
                <w:highlight w:val="none"/>
              </w:rPr>
              <w:t xml:space="preserve"> </w:t>
            </w:r>
            <w:r>
              <w:rPr>
                <w:spacing w:val="-3"/>
                <w:sz w:val="24"/>
                <w:szCs w:val="24"/>
                <w:highlight w:val="none"/>
              </w:rPr>
              <w:t>1</w:t>
            </w:r>
            <w:r>
              <w:rPr>
                <w:spacing w:val="-48"/>
                <w:sz w:val="24"/>
                <w:szCs w:val="24"/>
                <w:highlight w:val="none"/>
              </w:rPr>
              <w:t xml:space="preserve"> </w:t>
            </w:r>
            <w:r>
              <w:rPr>
                <w:spacing w:val="-3"/>
                <w:sz w:val="24"/>
                <w:szCs w:val="24"/>
                <w:highlight w:val="none"/>
              </w:rPr>
              <w:t>分，最高得</w:t>
            </w:r>
            <w:r>
              <w:rPr>
                <w:sz w:val="24"/>
                <w:szCs w:val="24"/>
                <w:highlight w:val="none"/>
              </w:rPr>
              <w:t xml:space="preserve"> </w:t>
            </w:r>
            <w:r>
              <w:rPr>
                <w:spacing w:val="-8"/>
                <w:sz w:val="24"/>
                <w:szCs w:val="24"/>
                <w:highlight w:val="none"/>
              </w:rPr>
              <w:t>2</w:t>
            </w:r>
            <w:r>
              <w:rPr>
                <w:spacing w:val="-47"/>
                <w:sz w:val="24"/>
                <w:szCs w:val="24"/>
                <w:highlight w:val="none"/>
              </w:rPr>
              <w:t xml:space="preserve"> </w:t>
            </w:r>
            <w:r>
              <w:rPr>
                <w:spacing w:val="-8"/>
                <w:sz w:val="24"/>
                <w:szCs w:val="24"/>
                <w:highlight w:val="none"/>
              </w:rPr>
              <w:t>分。</w:t>
            </w:r>
          </w:p>
        </w:tc>
      </w:tr>
      <w:tr w14:paraId="0FA75B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0" w:hRule="atLeast"/>
        </w:trPr>
        <w:tc>
          <w:tcPr>
            <w:tcW w:w="839" w:type="dxa"/>
            <w:vMerge w:val="continue"/>
            <w:tcBorders>
              <w:top w:val="nil"/>
            </w:tcBorders>
            <w:vAlign w:val="top"/>
          </w:tcPr>
          <w:p w14:paraId="197BDB7C">
            <w:pPr>
              <w:rPr>
                <w:rFonts w:ascii="Arial"/>
                <w:sz w:val="21"/>
                <w:highlight w:val="none"/>
              </w:rPr>
            </w:pPr>
          </w:p>
        </w:tc>
        <w:tc>
          <w:tcPr>
            <w:tcW w:w="1200" w:type="dxa"/>
            <w:vAlign w:val="top"/>
          </w:tcPr>
          <w:p w14:paraId="7E63805A">
            <w:pPr>
              <w:spacing w:line="251" w:lineRule="auto"/>
              <w:rPr>
                <w:rFonts w:ascii="Arial"/>
                <w:sz w:val="21"/>
                <w:highlight w:val="none"/>
              </w:rPr>
            </w:pPr>
          </w:p>
          <w:p w14:paraId="0247D4AA">
            <w:pPr>
              <w:pStyle w:val="36"/>
              <w:spacing w:before="78" w:line="219" w:lineRule="auto"/>
              <w:ind w:left="113"/>
              <w:rPr>
                <w:sz w:val="24"/>
                <w:szCs w:val="24"/>
                <w:highlight w:val="none"/>
              </w:rPr>
            </w:pPr>
            <w:r>
              <w:rPr>
                <w:spacing w:val="-3"/>
                <w:sz w:val="24"/>
                <w:szCs w:val="24"/>
                <w:highlight w:val="none"/>
              </w:rPr>
              <w:t>质保年限</w:t>
            </w:r>
          </w:p>
        </w:tc>
        <w:tc>
          <w:tcPr>
            <w:tcW w:w="803" w:type="dxa"/>
            <w:vAlign w:val="top"/>
          </w:tcPr>
          <w:p w14:paraId="35E3BC19">
            <w:pPr>
              <w:spacing w:line="251" w:lineRule="auto"/>
              <w:rPr>
                <w:rFonts w:ascii="Arial"/>
                <w:sz w:val="21"/>
                <w:highlight w:val="none"/>
              </w:rPr>
            </w:pPr>
          </w:p>
          <w:p w14:paraId="6E4FEAE0">
            <w:pPr>
              <w:pStyle w:val="36"/>
              <w:spacing w:before="78" w:line="220" w:lineRule="auto"/>
              <w:ind w:left="117"/>
              <w:rPr>
                <w:sz w:val="24"/>
                <w:szCs w:val="24"/>
                <w:highlight w:val="none"/>
              </w:rPr>
            </w:pPr>
            <w:r>
              <w:rPr>
                <w:spacing w:val="-7"/>
                <w:sz w:val="24"/>
                <w:szCs w:val="24"/>
                <w:highlight w:val="none"/>
              </w:rPr>
              <w:t>2</w:t>
            </w:r>
            <w:r>
              <w:rPr>
                <w:spacing w:val="-47"/>
                <w:sz w:val="24"/>
                <w:szCs w:val="24"/>
                <w:highlight w:val="none"/>
              </w:rPr>
              <w:t xml:space="preserve"> </w:t>
            </w:r>
            <w:r>
              <w:rPr>
                <w:spacing w:val="-7"/>
                <w:sz w:val="24"/>
                <w:szCs w:val="24"/>
                <w:highlight w:val="none"/>
              </w:rPr>
              <w:t>分</w:t>
            </w:r>
          </w:p>
        </w:tc>
        <w:tc>
          <w:tcPr>
            <w:tcW w:w="6907" w:type="dxa"/>
            <w:vAlign w:val="top"/>
          </w:tcPr>
          <w:p w14:paraId="7108C1A1">
            <w:pPr>
              <w:pStyle w:val="36"/>
              <w:spacing w:before="143" w:line="290" w:lineRule="auto"/>
              <w:ind w:left="113" w:right="198"/>
              <w:rPr>
                <w:sz w:val="24"/>
                <w:szCs w:val="24"/>
                <w:highlight w:val="none"/>
              </w:rPr>
            </w:pPr>
            <w:r>
              <w:rPr>
                <w:spacing w:val="-2"/>
                <w:sz w:val="24"/>
                <w:szCs w:val="24"/>
                <w:highlight w:val="none"/>
              </w:rPr>
              <w:t>质保期：满足招标文件基本要求的情况下,得基本分</w:t>
            </w:r>
            <w:r>
              <w:rPr>
                <w:spacing w:val="-28"/>
                <w:sz w:val="24"/>
                <w:szCs w:val="24"/>
                <w:highlight w:val="none"/>
              </w:rPr>
              <w:t xml:space="preserve"> </w:t>
            </w:r>
            <w:r>
              <w:rPr>
                <w:spacing w:val="-2"/>
                <w:sz w:val="24"/>
                <w:szCs w:val="24"/>
                <w:highlight w:val="none"/>
              </w:rPr>
              <w:t>1</w:t>
            </w:r>
            <w:r>
              <w:rPr>
                <w:spacing w:val="-48"/>
                <w:sz w:val="24"/>
                <w:szCs w:val="24"/>
                <w:highlight w:val="none"/>
              </w:rPr>
              <w:t xml:space="preserve"> </w:t>
            </w:r>
            <w:r>
              <w:rPr>
                <w:spacing w:val="-2"/>
                <w:sz w:val="24"/>
                <w:szCs w:val="24"/>
                <w:highlight w:val="none"/>
              </w:rPr>
              <w:t>分；主要</w:t>
            </w:r>
            <w:r>
              <w:rPr>
                <w:sz w:val="24"/>
                <w:szCs w:val="24"/>
                <w:highlight w:val="none"/>
              </w:rPr>
              <w:t xml:space="preserve"> </w:t>
            </w:r>
            <w:r>
              <w:rPr>
                <w:spacing w:val="-5"/>
                <w:sz w:val="24"/>
                <w:szCs w:val="24"/>
                <w:highlight w:val="none"/>
              </w:rPr>
              <w:t>产品的质保年限每增加</w:t>
            </w:r>
            <w:r>
              <w:rPr>
                <w:spacing w:val="-25"/>
                <w:sz w:val="24"/>
                <w:szCs w:val="24"/>
                <w:highlight w:val="none"/>
              </w:rPr>
              <w:t xml:space="preserve"> </w:t>
            </w:r>
            <w:r>
              <w:rPr>
                <w:spacing w:val="-5"/>
                <w:sz w:val="24"/>
                <w:szCs w:val="24"/>
                <w:highlight w:val="none"/>
              </w:rPr>
              <w:t>1</w:t>
            </w:r>
            <w:r>
              <w:rPr>
                <w:spacing w:val="-50"/>
                <w:sz w:val="24"/>
                <w:szCs w:val="24"/>
                <w:highlight w:val="none"/>
              </w:rPr>
              <w:t xml:space="preserve"> </w:t>
            </w:r>
            <w:r>
              <w:rPr>
                <w:spacing w:val="-5"/>
                <w:sz w:val="24"/>
                <w:szCs w:val="24"/>
                <w:highlight w:val="none"/>
              </w:rPr>
              <w:t>年加</w:t>
            </w:r>
            <w:r>
              <w:rPr>
                <w:spacing w:val="-33"/>
                <w:sz w:val="24"/>
                <w:szCs w:val="24"/>
                <w:highlight w:val="none"/>
              </w:rPr>
              <w:t xml:space="preserve"> </w:t>
            </w:r>
            <w:r>
              <w:rPr>
                <w:spacing w:val="-5"/>
                <w:sz w:val="24"/>
                <w:szCs w:val="24"/>
                <w:highlight w:val="none"/>
              </w:rPr>
              <w:t>1</w:t>
            </w:r>
            <w:r>
              <w:rPr>
                <w:spacing w:val="-47"/>
                <w:sz w:val="24"/>
                <w:szCs w:val="24"/>
                <w:highlight w:val="none"/>
              </w:rPr>
              <w:t xml:space="preserve"> </w:t>
            </w:r>
            <w:r>
              <w:rPr>
                <w:spacing w:val="-5"/>
                <w:sz w:val="24"/>
                <w:szCs w:val="24"/>
                <w:highlight w:val="none"/>
              </w:rPr>
              <w:t>分，此项最多得</w:t>
            </w:r>
            <w:r>
              <w:rPr>
                <w:spacing w:val="-48"/>
                <w:sz w:val="24"/>
                <w:szCs w:val="24"/>
                <w:highlight w:val="none"/>
              </w:rPr>
              <w:t xml:space="preserve"> </w:t>
            </w:r>
            <w:r>
              <w:rPr>
                <w:spacing w:val="-5"/>
                <w:sz w:val="24"/>
                <w:szCs w:val="24"/>
                <w:highlight w:val="none"/>
              </w:rPr>
              <w:t>2</w:t>
            </w:r>
            <w:r>
              <w:rPr>
                <w:spacing w:val="-48"/>
                <w:sz w:val="24"/>
                <w:szCs w:val="24"/>
                <w:highlight w:val="none"/>
              </w:rPr>
              <w:t xml:space="preserve"> </w:t>
            </w:r>
            <w:r>
              <w:rPr>
                <w:spacing w:val="-5"/>
                <w:sz w:val="24"/>
                <w:szCs w:val="24"/>
                <w:highlight w:val="none"/>
              </w:rPr>
              <w:t>分。</w:t>
            </w:r>
          </w:p>
        </w:tc>
      </w:tr>
      <w:tr w14:paraId="41ECA2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2" w:hRule="atLeast"/>
        </w:trPr>
        <w:tc>
          <w:tcPr>
            <w:tcW w:w="839" w:type="dxa"/>
            <w:vAlign w:val="top"/>
          </w:tcPr>
          <w:p w14:paraId="227C6CF2">
            <w:pPr>
              <w:rPr>
                <w:rFonts w:ascii="Arial"/>
                <w:sz w:val="21"/>
                <w:highlight w:val="none"/>
              </w:rPr>
            </w:pPr>
          </w:p>
        </w:tc>
        <w:tc>
          <w:tcPr>
            <w:tcW w:w="1200" w:type="dxa"/>
            <w:vAlign w:val="top"/>
          </w:tcPr>
          <w:p w14:paraId="38F3F2CC">
            <w:pPr>
              <w:spacing w:line="285" w:lineRule="auto"/>
              <w:rPr>
                <w:rFonts w:ascii="Arial"/>
                <w:sz w:val="21"/>
                <w:highlight w:val="none"/>
              </w:rPr>
            </w:pPr>
          </w:p>
          <w:p w14:paraId="41259A04">
            <w:pPr>
              <w:spacing w:line="286" w:lineRule="auto"/>
              <w:rPr>
                <w:rFonts w:ascii="Arial"/>
                <w:sz w:val="21"/>
                <w:highlight w:val="none"/>
              </w:rPr>
            </w:pPr>
          </w:p>
          <w:p w14:paraId="2D9BBBC6">
            <w:pPr>
              <w:spacing w:line="286" w:lineRule="auto"/>
              <w:rPr>
                <w:rFonts w:ascii="Arial"/>
                <w:sz w:val="21"/>
                <w:highlight w:val="none"/>
              </w:rPr>
            </w:pPr>
          </w:p>
          <w:p w14:paraId="7923F557">
            <w:pPr>
              <w:pStyle w:val="36"/>
              <w:spacing w:before="78" w:line="219" w:lineRule="auto"/>
              <w:ind w:left="125"/>
              <w:rPr>
                <w:sz w:val="24"/>
                <w:szCs w:val="24"/>
                <w:highlight w:val="none"/>
              </w:rPr>
            </w:pPr>
            <w:r>
              <w:rPr>
                <w:spacing w:val="-3"/>
                <w:sz w:val="24"/>
                <w:szCs w:val="24"/>
                <w:highlight w:val="none"/>
              </w:rPr>
              <w:t>技术参数</w:t>
            </w:r>
          </w:p>
          <w:p w14:paraId="29D8E810">
            <w:pPr>
              <w:pStyle w:val="36"/>
              <w:spacing w:before="180" w:line="220" w:lineRule="auto"/>
              <w:ind w:left="136"/>
              <w:rPr>
                <w:sz w:val="24"/>
                <w:szCs w:val="24"/>
                <w:highlight w:val="none"/>
              </w:rPr>
            </w:pPr>
            <w:r>
              <w:rPr>
                <w:spacing w:val="-6"/>
                <w:sz w:val="24"/>
                <w:szCs w:val="24"/>
                <w:highlight w:val="none"/>
              </w:rPr>
              <w:t>响应情况</w:t>
            </w:r>
          </w:p>
        </w:tc>
        <w:tc>
          <w:tcPr>
            <w:tcW w:w="803" w:type="dxa"/>
            <w:vAlign w:val="top"/>
          </w:tcPr>
          <w:p w14:paraId="3D53835B">
            <w:pPr>
              <w:spacing w:line="272" w:lineRule="auto"/>
              <w:rPr>
                <w:rFonts w:ascii="Arial"/>
                <w:sz w:val="21"/>
                <w:highlight w:val="none"/>
              </w:rPr>
            </w:pPr>
          </w:p>
          <w:p w14:paraId="57A23F94">
            <w:pPr>
              <w:spacing w:line="272" w:lineRule="auto"/>
              <w:rPr>
                <w:rFonts w:ascii="Arial"/>
                <w:sz w:val="21"/>
                <w:highlight w:val="none"/>
              </w:rPr>
            </w:pPr>
          </w:p>
          <w:p w14:paraId="3413D747">
            <w:pPr>
              <w:spacing w:line="273" w:lineRule="auto"/>
              <w:rPr>
                <w:rFonts w:ascii="Arial"/>
                <w:sz w:val="21"/>
                <w:highlight w:val="none"/>
              </w:rPr>
            </w:pPr>
          </w:p>
          <w:p w14:paraId="6126137D">
            <w:pPr>
              <w:spacing w:line="273" w:lineRule="auto"/>
              <w:rPr>
                <w:rFonts w:ascii="Arial"/>
                <w:sz w:val="21"/>
                <w:highlight w:val="none"/>
              </w:rPr>
            </w:pPr>
          </w:p>
          <w:p w14:paraId="56E85CF2">
            <w:pPr>
              <w:pStyle w:val="36"/>
              <w:spacing w:before="78" w:line="220" w:lineRule="auto"/>
              <w:ind w:left="139"/>
              <w:rPr>
                <w:sz w:val="24"/>
                <w:szCs w:val="24"/>
                <w:highlight w:val="none"/>
              </w:rPr>
            </w:pPr>
            <w:r>
              <w:rPr>
                <w:spacing w:val="-5"/>
                <w:sz w:val="24"/>
                <w:szCs w:val="24"/>
                <w:highlight w:val="none"/>
              </w:rPr>
              <w:t>20</w:t>
            </w:r>
            <w:r>
              <w:rPr>
                <w:spacing w:val="-46"/>
                <w:sz w:val="24"/>
                <w:szCs w:val="24"/>
                <w:highlight w:val="none"/>
              </w:rPr>
              <w:t xml:space="preserve"> </w:t>
            </w:r>
            <w:r>
              <w:rPr>
                <w:spacing w:val="-5"/>
                <w:sz w:val="24"/>
                <w:szCs w:val="24"/>
                <w:highlight w:val="none"/>
              </w:rPr>
              <w:t>分</w:t>
            </w:r>
          </w:p>
        </w:tc>
        <w:tc>
          <w:tcPr>
            <w:tcW w:w="6907" w:type="dxa"/>
            <w:vAlign w:val="top"/>
          </w:tcPr>
          <w:p w14:paraId="6B706166">
            <w:pPr>
              <w:pStyle w:val="36"/>
              <w:spacing w:before="98" w:line="274" w:lineRule="auto"/>
              <w:ind w:left="113" w:right="107" w:firstLine="2"/>
              <w:jc w:val="both"/>
              <w:rPr>
                <w:sz w:val="24"/>
                <w:szCs w:val="24"/>
                <w:highlight w:val="none"/>
              </w:rPr>
            </w:pPr>
            <w:r>
              <w:rPr>
                <w:spacing w:val="-4"/>
                <w:sz w:val="24"/>
                <w:szCs w:val="24"/>
                <w:highlight w:val="none"/>
              </w:rPr>
              <w:t>评审委员会</w:t>
            </w:r>
            <w:r>
              <w:rPr>
                <w:sz w:val="24"/>
                <w:szCs w:val="24"/>
                <w:highlight w:val="none"/>
              </w:rPr>
              <w:t xml:space="preserve"> </w:t>
            </w:r>
            <w:r>
              <w:rPr>
                <w:spacing w:val="-2"/>
                <w:sz w:val="24"/>
                <w:szCs w:val="24"/>
                <w:highlight w:val="none"/>
              </w:rPr>
              <w:t>根据技术需求参数响应情况进行打分，全部满足或优于招标参数</w:t>
            </w:r>
            <w:r>
              <w:rPr>
                <w:spacing w:val="16"/>
                <w:sz w:val="24"/>
                <w:szCs w:val="24"/>
                <w:highlight w:val="none"/>
              </w:rPr>
              <w:t xml:space="preserve"> </w:t>
            </w:r>
            <w:r>
              <w:rPr>
                <w:spacing w:val="-4"/>
                <w:sz w:val="24"/>
                <w:szCs w:val="24"/>
                <w:highlight w:val="none"/>
              </w:rPr>
              <w:t>的得</w:t>
            </w:r>
            <w:r>
              <w:rPr>
                <w:spacing w:val="-32"/>
                <w:sz w:val="24"/>
                <w:szCs w:val="24"/>
                <w:highlight w:val="none"/>
              </w:rPr>
              <w:t xml:space="preserve"> </w:t>
            </w:r>
            <w:r>
              <w:rPr>
                <w:spacing w:val="-4"/>
                <w:sz w:val="24"/>
                <w:szCs w:val="24"/>
                <w:highlight w:val="none"/>
              </w:rPr>
              <w:t>20</w:t>
            </w:r>
            <w:r>
              <w:rPr>
                <w:spacing w:val="-47"/>
                <w:sz w:val="24"/>
                <w:szCs w:val="24"/>
                <w:highlight w:val="none"/>
              </w:rPr>
              <w:t xml:space="preserve"> </w:t>
            </w:r>
            <w:r>
              <w:rPr>
                <w:spacing w:val="-4"/>
                <w:sz w:val="24"/>
                <w:szCs w:val="24"/>
                <w:highlight w:val="none"/>
              </w:rPr>
              <w:t>分，每缺一项扣</w:t>
            </w:r>
            <w:r>
              <w:rPr>
                <w:spacing w:val="-48"/>
                <w:sz w:val="24"/>
                <w:szCs w:val="24"/>
                <w:highlight w:val="none"/>
              </w:rPr>
              <w:t xml:space="preserve"> </w:t>
            </w:r>
            <w:r>
              <w:rPr>
                <w:spacing w:val="-4"/>
                <w:sz w:val="24"/>
                <w:szCs w:val="24"/>
                <w:highlight w:val="none"/>
              </w:rPr>
              <w:t>2</w:t>
            </w:r>
            <w:r>
              <w:rPr>
                <w:spacing w:val="-48"/>
                <w:sz w:val="24"/>
                <w:szCs w:val="24"/>
                <w:highlight w:val="none"/>
              </w:rPr>
              <w:t xml:space="preserve"> </w:t>
            </w:r>
            <w:r>
              <w:rPr>
                <w:spacing w:val="-4"/>
                <w:sz w:val="24"/>
                <w:szCs w:val="24"/>
                <w:highlight w:val="none"/>
              </w:rPr>
              <w:t>分，扣完为止。</w:t>
            </w:r>
          </w:p>
          <w:p w14:paraId="0F708A28">
            <w:pPr>
              <w:pStyle w:val="36"/>
              <w:spacing w:line="279" w:lineRule="auto"/>
              <w:ind w:left="113" w:right="107"/>
              <w:jc w:val="both"/>
              <w:rPr>
                <w:sz w:val="24"/>
                <w:szCs w:val="24"/>
                <w:highlight w:val="none"/>
              </w:rPr>
            </w:pPr>
            <w:r>
              <w:rPr>
                <w:spacing w:val="-2"/>
                <w:sz w:val="24"/>
                <w:szCs w:val="24"/>
                <w:highlight w:val="none"/>
              </w:rPr>
              <w:t>注：投标人须按招标文件的要求提供投标产品经国家认可的有效</w:t>
            </w:r>
            <w:r>
              <w:rPr>
                <w:spacing w:val="16"/>
                <w:sz w:val="24"/>
                <w:szCs w:val="24"/>
                <w:highlight w:val="none"/>
              </w:rPr>
              <w:t xml:space="preserve"> </w:t>
            </w:r>
            <w:r>
              <w:rPr>
                <w:spacing w:val="-2"/>
                <w:sz w:val="24"/>
                <w:szCs w:val="24"/>
                <w:highlight w:val="none"/>
              </w:rPr>
              <w:t>证明材料佐证投标产品技术参数是否响应项目规格参数要求，如</w:t>
            </w:r>
            <w:r>
              <w:rPr>
                <w:spacing w:val="16"/>
                <w:sz w:val="24"/>
                <w:szCs w:val="24"/>
                <w:highlight w:val="none"/>
              </w:rPr>
              <w:t xml:space="preserve"> </w:t>
            </w:r>
            <w:r>
              <w:rPr>
                <w:spacing w:val="-2"/>
                <w:sz w:val="24"/>
                <w:szCs w:val="24"/>
                <w:highlight w:val="none"/>
              </w:rPr>
              <w:t>投标人技术响应与证明材料不一致，将以证明材料为准；投标人</w:t>
            </w:r>
            <w:r>
              <w:rPr>
                <w:spacing w:val="16"/>
                <w:sz w:val="24"/>
                <w:szCs w:val="24"/>
                <w:highlight w:val="none"/>
              </w:rPr>
              <w:t xml:space="preserve"> </w:t>
            </w:r>
            <w:r>
              <w:rPr>
                <w:spacing w:val="-1"/>
                <w:sz w:val="24"/>
                <w:szCs w:val="24"/>
                <w:highlight w:val="none"/>
              </w:rPr>
              <w:t>未按要求提供所投产品证明材料将被认定为投标无效。</w:t>
            </w:r>
          </w:p>
        </w:tc>
      </w:tr>
    </w:tbl>
    <w:p w14:paraId="0A4A6476">
      <w:pPr>
        <w:rPr>
          <w:rFonts w:ascii="Arial"/>
          <w:sz w:val="21"/>
          <w:highlight w:val="none"/>
        </w:rPr>
      </w:pPr>
    </w:p>
    <w:p w14:paraId="77675304">
      <w:pPr>
        <w:rPr>
          <w:rFonts w:ascii="Arial" w:hAnsi="Arial" w:eastAsia="Arial" w:cs="Arial"/>
          <w:sz w:val="21"/>
          <w:szCs w:val="21"/>
          <w:highlight w:val="none"/>
        </w:rPr>
        <w:sectPr>
          <w:footerReference r:id="rId15" w:type="default"/>
          <w:pgSz w:w="11907" w:h="16840"/>
          <w:pgMar w:top="400" w:right="1131" w:bottom="1199" w:left="1021" w:header="0" w:footer="982" w:gutter="0"/>
          <w:cols w:space="720" w:num="1"/>
        </w:sectPr>
      </w:pPr>
    </w:p>
    <w:p w14:paraId="10705630">
      <w:pPr>
        <w:spacing w:before="13"/>
        <w:rPr>
          <w:highlight w:val="none"/>
        </w:rPr>
      </w:pPr>
    </w:p>
    <w:p w14:paraId="10969BEF">
      <w:pPr>
        <w:spacing w:before="13"/>
        <w:rPr>
          <w:highlight w:val="none"/>
        </w:rPr>
      </w:pPr>
    </w:p>
    <w:p w14:paraId="6CAE2DC7">
      <w:pPr>
        <w:spacing w:before="13"/>
        <w:rPr>
          <w:highlight w:val="none"/>
        </w:rPr>
      </w:pPr>
    </w:p>
    <w:p w14:paraId="2A4F60A4">
      <w:pPr>
        <w:spacing w:before="13"/>
        <w:rPr>
          <w:highlight w:val="none"/>
        </w:rPr>
      </w:pPr>
    </w:p>
    <w:tbl>
      <w:tblPr>
        <w:tblStyle w:val="37"/>
        <w:tblW w:w="97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9"/>
        <w:gridCol w:w="1200"/>
        <w:gridCol w:w="803"/>
        <w:gridCol w:w="6907"/>
      </w:tblGrid>
      <w:tr w14:paraId="2606A8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3" w:hRule="atLeast"/>
        </w:trPr>
        <w:tc>
          <w:tcPr>
            <w:tcW w:w="839" w:type="dxa"/>
            <w:vMerge w:val="restart"/>
            <w:tcBorders>
              <w:bottom w:val="nil"/>
            </w:tcBorders>
            <w:vAlign w:val="top"/>
          </w:tcPr>
          <w:p w14:paraId="661B2C9D">
            <w:pPr>
              <w:spacing w:line="241" w:lineRule="auto"/>
              <w:rPr>
                <w:rFonts w:ascii="Arial"/>
                <w:sz w:val="21"/>
                <w:highlight w:val="none"/>
              </w:rPr>
            </w:pPr>
          </w:p>
          <w:p w14:paraId="78D72A44">
            <w:pPr>
              <w:spacing w:line="241" w:lineRule="auto"/>
              <w:rPr>
                <w:rFonts w:ascii="Arial"/>
                <w:sz w:val="21"/>
                <w:highlight w:val="none"/>
              </w:rPr>
            </w:pPr>
          </w:p>
          <w:p w14:paraId="2973932D">
            <w:pPr>
              <w:spacing w:line="241" w:lineRule="auto"/>
              <w:rPr>
                <w:rFonts w:ascii="Arial"/>
                <w:sz w:val="21"/>
                <w:highlight w:val="none"/>
              </w:rPr>
            </w:pPr>
          </w:p>
          <w:p w14:paraId="2B04D993">
            <w:pPr>
              <w:spacing w:line="241" w:lineRule="auto"/>
              <w:rPr>
                <w:rFonts w:ascii="Arial"/>
                <w:sz w:val="21"/>
                <w:highlight w:val="none"/>
              </w:rPr>
            </w:pPr>
          </w:p>
          <w:p w14:paraId="719F987E">
            <w:pPr>
              <w:spacing w:line="241" w:lineRule="auto"/>
              <w:rPr>
                <w:rFonts w:ascii="Arial"/>
                <w:sz w:val="21"/>
                <w:highlight w:val="none"/>
              </w:rPr>
            </w:pPr>
          </w:p>
          <w:p w14:paraId="7F249539">
            <w:pPr>
              <w:spacing w:line="241" w:lineRule="auto"/>
              <w:rPr>
                <w:rFonts w:ascii="Arial"/>
                <w:sz w:val="21"/>
                <w:highlight w:val="none"/>
              </w:rPr>
            </w:pPr>
          </w:p>
          <w:p w14:paraId="37601A96">
            <w:pPr>
              <w:spacing w:line="241" w:lineRule="auto"/>
              <w:rPr>
                <w:rFonts w:ascii="Arial"/>
                <w:sz w:val="21"/>
                <w:highlight w:val="none"/>
              </w:rPr>
            </w:pPr>
          </w:p>
          <w:p w14:paraId="323C30C2">
            <w:pPr>
              <w:spacing w:line="241" w:lineRule="auto"/>
              <w:rPr>
                <w:rFonts w:ascii="Arial"/>
                <w:sz w:val="21"/>
                <w:highlight w:val="none"/>
              </w:rPr>
            </w:pPr>
          </w:p>
          <w:p w14:paraId="0DAB114E">
            <w:pPr>
              <w:spacing w:line="241" w:lineRule="auto"/>
              <w:rPr>
                <w:rFonts w:ascii="Arial"/>
                <w:sz w:val="21"/>
                <w:highlight w:val="none"/>
              </w:rPr>
            </w:pPr>
          </w:p>
          <w:p w14:paraId="1981E2D3">
            <w:pPr>
              <w:spacing w:line="241" w:lineRule="auto"/>
              <w:rPr>
                <w:rFonts w:ascii="Arial"/>
                <w:sz w:val="21"/>
                <w:highlight w:val="none"/>
              </w:rPr>
            </w:pPr>
          </w:p>
          <w:p w14:paraId="022E5144">
            <w:pPr>
              <w:spacing w:line="241" w:lineRule="auto"/>
              <w:rPr>
                <w:rFonts w:ascii="Arial"/>
                <w:sz w:val="21"/>
                <w:highlight w:val="none"/>
              </w:rPr>
            </w:pPr>
          </w:p>
          <w:p w14:paraId="78A5AE0F">
            <w:pPr>
              <w:spacing w:line="241" w:lineRule="auto"/>
              <w:rPr>
                <w:rFonts w:ascii="Arial"/>
                <w:sz w:val="21"/>
                <w:highlight w:val="none"/>
              </w:rPr>
            </w:pPr>
          </w:p>
          <w:p w14:paraId="72806D2C">
            <w:pPr>
              <w:spacing w:line="241" w:lineRule="auto"/>
              <w:rPr>
                <w:rFonts w:ascii="Arial"/>
                <w:sz w:val="21"/>
                <w:highlight w:val="none"/>
              </w:rPr>
            </w:pPr>
          </w:p>
          <w:p w14:paraId="3492E339">
            <w:pPr>
              <w:spacing w:line="241" w:lineRule="auto"/>
              <w:rPr>
                <w:rFonts w:ascii="Arial"/>
                <w:sz w:val="21"/>
                <w:highlight w:val="none"/>
              </w:rPr>
            </w:pPr>
          </w:p>
          <w:p w14:paraId="5D9E1465">
            <w:pPr>
              <w:spacing w:line="241" w:lineRule="auto"/>
              <w:rPr>
                <w:rFonts w:ascii="Arial"/>
                <w:sz w:val="21"/>
                <w:highlight w:val="none"/>
              </w:rPr>
            </w:pPr>
          </w:p>
          <w:p w14:paraId="12686C6B">
            <w:pPr>
              <w:spacing w:line="242" w:lineRule="auto"/>
              <w:rPr>
                <w:rFonts w:ascii="Arial"/>
                <w:sz w:val="21"/>
                <w:highlight w:val="none"/>
              </w:rPr>
            </w:pPr>
          </w:p>
          <w:p w14:paraId="170EA660">
            <w:pPr>
              <w:spacing w:line="242" w:lineRule="auto"/>
              <w:rPr>
                <w:rFonts w:ascii="Arial"/>
                <w:sz w:val="21"/>
                <w:highlight w:val="none"/>
              </w:rPr>
            </w:pPr>
          </w:p>
          <w:p w14:paraId="5F3F92F2">
            <w:pPr>
              <w:spacing w:line="242" w:lineRule="auto"/>
              <w:rPr>
                <w:rFonts w:ascii="Arial"/>
                <w:sz w:val="21"/>
                <w:highlight w:val="none"/>
              </w:rPr>
            </w:pPr>
          </w:p>
          <w:p w14:paraId="2A84F90E">
            <w:pPr>
              <w:spacing w:line="242" w:lineRule="auto"/>
              <w:rPr>
                <w:rFonts w:ascii="Arial"/>
                <w:sz w:val="21"/>
                <w:highlight w:val="none"/>
              </w:rPr>
            </w:pPr>
          </w:p>
          <w:p w14:paraId="01E01502">
            <w:pPr>
              <w:spacing w:line="242" w:lineRule="auto"/>
              <w:rPr>
                <w:rFonts w:ascii="Arial"/>
                <w:sz w:val="21"/>
                <w:highlight w:val="none"/>
              </w:rPr>
            </w:pPr>
          </w:p>
          <w:p w14:paraId="35627256">
            <w:pPr>
              <w:spacing w:line="242" w:lineRule="auto"/>
              <w:rPr>
                <w:rFonts w:ascii="Arial"/>
                <w:sz w:val="21"/>
                <w:highlight w:val="none"/>
              </w:rPr>
            </w:pPr>
          </w:p>
          <w:p w14:paraId="36066246">
            <w:pPr>
              <w:pStyle w:val="36"/>
              <w:spacing w:before="78" w:line="219" w:lineRule="auto"/>
              <w:ind w:left="186"/>
              <w:rPr>
                <w:sz w:val="24"/>
                <w:szCs w:val="24"/>
                <w:highlight w:val="none"/>
              </w:rPr>
            </w:pPr>
            <w:r>
              <w:rPr>
                <w:spacing w:val="-6"/>
                <w:sz w:val="24"/>
                <w:szCs w:val="24"/>
                <w:highlight w:val="none"/>
              </w:rPr>
              <w:t>技术</w:t>
            </w:r>
          </w:p>
          <w:p w14:paraId="1BDD7A6B">
            <w:pPr>
              <w:pStyle w:val="36"/>
              <w:spacing w:before="181" w:line="361" w:lineRule="auto"/>
              <w:ind w:left="188" w:right="177"/>
              <w:jc w:val="both"/>
              <w:rPr>
                <w:sz w:val="24"/>
                <w:szCs w:val="24"/>
                <w:highlight w:val="none"/>
              </w:rPr>
            </w:pPr>
            <w:r>
              <w:rPr>
                <w:spacing w:val="-7"/>
                <w:sz w:val="24"/>
                <w:szCs w:val="24"/>
                <w:highlight w:val="none"/>
              </w:rPr>
              <w:t>部分</w:t>
            </w:r>
            <w:r>
              <w:rPr>
                <w:sz w:val="24"/>
                <w:szCs w:val="24"/>
                <w:highlight w:val="none"/>
              </w:rPr>
              <w:t xml:space="preserve"> </w:t>
            </w:r>
            <w:r>
              <w:rPr>
                <w:spacing w:val="-5"/>
                <w:sz w:val="24"/>
                <w:szCs w:val="24"/>
                <w:highlight w:val="none"/>
              </w:rPr>
              <w:t>（62</w:t>
            </w:r>
            <w:r>
              <w:rPr>
                <w:spacing w:val="1"/>
                <w:sz w:val="24"/>
                <w:szCs w:val="24"/>
                <w:highlight w:val="none"/>
              </w:rPr>
              <w:t xml:space="preserve"> </w:t>
            </w:r>
            <w:r>
              <w:rPr>
                <w:spacing w:val="-7"/>
                <w:sz w:val="24"/>
                <w:szCs w:val="24"/>
                <w:highlight w:val="none"/>
              </w:rPr>
              <w:t>分）</w:t>
            </w:r>
          </w:p>
        </w:tc>
        <w:tc>
          <w:tcPr>
            <w:tcW w:w="1200" w:type="dxa"/>
            <w:vAlign w:val="top"/>
          </w:tcPr>
          <w:p w14:paraId="7140CC57">
            <w:pPr>
              <w:spacing w:line="264" w:lineRule="auto"/>
              <w:rPr>
                <w:rFonts w:ascii="Arial"/>
                <w:sz w:val="21"/>
                <w:highlight w:val="none"/>
              </w:rPr>
            </w:pPr>
          </w:p>
          <w:p w14:paraId="21DB1773">
            <w:pPr>
              <w:spacing w:line="264" w:lineRule="auto"/>
              <w:rPr>
                <w:rFonts w:ascii="Arial"/>
                <w:sz w:val="21"/>
                <w:highlight w:val="none"/>
              </w:rPr>
            </w:pPr>
          </w:p>
          <w:p w14:paraId="04AB3599">
            <w:pPr>
              <w:spacing w:line="264" w:lineRule="auto"/>
              <w:rPr>
                <w:rFonts w:ascii="Arial"/>
                <w:sz w:val="21"/>
                <w:highlight w:val="none"/>
              </w:rPr>
            </w:pPr>
          </w:p>
          <w:p w14:paraId="61212D96">
            <w:pPr>
              <w:spacing w:line="264" w:lineRule="auto"/>
              <w:rPr>
                <w:rFonts w:ascii="Arial"/>
                <w:sz w:val="21"/>
                <w:highlight w:val="none"/>
              </w:rPr>
            </w:pPr>
          </w:p>
          <w:p w14:paraId="26DF482C">
            <w:pPr>
              <w:spacing w:line="265" w:lineRule="auto"/>
              <w:rPr>
                <w:rFonts w:ascii="Arial"/>
                <w:sz w:val="21"/>
                <w:highlight w:val="none"/>
              </w:rPr>
            </w:pPr>
          </w:p>
          <w:p w14:paraId="393BF0EA">
            <w:pPr>
              <w:spacing w:line="265" w:lineRule="auto"/>
              <w:rPr>
                <w:rFonts w:ascii="Arial"/>
                <w:sz w:val="21"/>
                <w:highlight w:val="none"/>
              </w:rPr>
            </w:pPr>
          </w:p>
          <w:p w14:paraId="2E594EA5">
            <w:pPr>
              <w:pStyle w:val="36"/>
              <w:spacing w:before="78" w:line="220" w:lineRule="auto"/>
              <w:ind w:left="129"/>
              <w:rPr>
                <w:sz w:val="24"/>
                <w:szCs w:val="24"/>
                <w:highlight w:val="none"/>
              </w:rPr>
            </w:pPr>
            <w:r>
              <w:rPr>
                <w:spacing w:val="-4"/>
                <w:sz w:val="24"/>
                <w:szCs w:val="24"/>
                <w:highlight w:val="none"/>
              </w:rPr>
              <w:t>实施方案</w:t>
            </w:r>
          </w:p>
        </w:tc>
        <w:tc>
          <w:tcPr>
            <w:tcW w:w="803" w:type="dxa"/>
            <w:vAlign w:val="top"/>
          </w:tcPr>
          <w:p w14:paraId="0D79E611">
            <w:pPr>
              <w:spacing w:line="264" w:lineRule="auto"/>
              <w:rPr>
                <w:rFonts w:ascii="Arial"/>
                <w:sz w:val="21"/>
                <w:highlight w:val="none"/>
              </w:rPr>
            </w:pPr>
          </w:p>
          <w:p w14:paraId="4F1AED47">
            <w:pPr>
              <w:spacing w:line="264" w:lineRule="auto"/>
              <w:rPr>
                <w:rFonts w:ascii="Arial"/>
                <w:sz w:val="21"/>
                <w:highlight w:val="none"/>
              </w:rPr>
            </w:pPr>
          </w:p>
          <w:p w14:paraId="7ED7BACA">
            <w:pPr>
              <w:spacing w:line="264" w:lineRule="auto"/>
              <w:rPr>
                <w:rFonts w:ascii="Arial"/>
                <w:sz w:val="21"/>
                <w:highlight w:val="none"/>
              </w:rPr>
            </w:pPr>
          </w:p>
          <w:p w14:paraId="0BAAC4E3">
            <w:pPr>
              <w:spacing w:line="264" w:lineRule="auto"/>
              <w:rPr>
                <w:rFonts w:ascii="Arial"/>
                <w:sz w:val="21"/>
                <w:highlight w:val="none"/>
              </w:rPr>
            </w:pPr>
          </w:p>
          <w:p w14:paraId="16C4EE5B">
            <w:pPr>
              <w:spacing w:line="265" w:lineRule="auto"/>
              <w:rPr>
                <w:rFonts w:ascii="Arial"/>
                <w:sz w:val="21"/>
                <w:highlight w:val="none"/>
              </w:rPr>
            </w:pPr>
          </w:p>
          <w:p w14:paraId="49B533F0">
            <w:pPr>
              <w:spacing w:line="265" w:lineRule="auto"/>
              <w:rPr>
                <w:rFonts w:ascii="Arial"/>
                <w:sz w:val="21"/>
                <w:highlight w:val="none"/>
              </w:rPr>
            </w:pPr>
          </w:p>
          <w:p w14:paraId="1A9E8718">
            <w:pPr>
              <w:pStyle w:val="36"/>
              <w:spacing w:before="78" w:line="220" w:lineRule="auto"/>
              <w:ind w:left="153"/>
              <w:rPr>
                <w:sz w:val="24"/>
                <w:szCs w:val="24"/>
                <w:highlight w:val="none"/>
              </w:rPr>
            </w:pPr>
            <w:r>
              <w:rPr>
                <w:spacing w:val="-10"/>
                <w:sz w:val="24"/>
                <w:szCs w:val="24"/>
                <w:highlight w:val="none"/>
              </w:rPr>
              <w:t>10</w:t>
            </w:r>
            <w:r>
              <w:rPr>
                <w:spacing w:val="-46"/>
                <w:sz w:val="24"/>
                <w:szCs w:val="24"/>
                <w:highlight w:val="none"/>
              </w:rPr>
              <w:t xml:space="preserve"> </w:t>
            </w:r>
            <w:r>
              <w:rPr>
                <w:spacing w:val="-10"/>
                <w:sz w:val="24"/>
                <w:szCs w:val="24"/>
                <w:highlight w:val="none"/>
              </w:rPr>
              <w:t>分</w:t>
            </w:r>
          </w:p>
        </w:tc>
        <w:tc>
          <w:tcPr>
            <w:tcW w:w="6907" w:type="dxa"/>
            <w:vAlign w:val="top"/>
          </w:tcPr>
          <w:p w14:paraId="48175358">
            <w:pPr>
              <w:pStyle w:val="36"/>
              <w:spacing w:before="41" w:line="287" w:lineRule="auto"/>
              <w:ind w:left="113" w:right="107"/>
              <w:rPr>
                <w:sz w:val="24"/>
                <w:szCs w:val="24"/>
                <w:highlight w:val="none"/>
              </w:rPr>
            </w:pPr>
            <w:r>
              <w:rPr>
                <w:spacing w:val="-2"/>
                <w:sz w:val="24"/>
                <w:szCs w:val="24"/>
                <w:highlight w:val="none"/>
              </w:rPr>
              <w:t>根据供应商针对本项目编制详细的项目实施方案：①项目实施的</w:t>
            </w:r>
            <w:r>
              <w:rPr>
                <w:spacing w:val="16"/>
                <w:sz w:val="24"/>
                <w:szCs w:val="24"/>
                <w:highlight w:val="none"/>
              </w:rPr>
              <w:t xml:space="preserve"> </w:t>
            </w:r>
            <w:r>
              <w:rPr>
                <w:spacing w:val="-2"/>
                <w:sz w:val="24"/>
                <w:szCs w:val="24"/>
                <w:highlight w:val="none"/>
              </w:rPr>
              <w:t>步骤及规划；②项目进度计划及人员配置；③质量保证措施、备</w:t>
            </w:r>
            <w:r>
              <w:rPr>
                <w:spacing w:val="15"/>
                <w:sz w:val="24"/>
                <w:szCs w:val="24"/>
                <w:highlight w:val="none"/>
              </w:rPr>
              <w:t xml:space="preserve"> </w:t>
            </w:r>
            <w:r>
              <w:rPr>
                <w:spacing w:val="-2"/>
                <w:sz w:val="24"/>
                <w:szCs w:val="24"/>
                <w:highlight w:val="none"/>
              </w:rPr>
              <w:t>品备件情况；④项目安全措施：⑤应急处理；进行评定，以上方</w:t>
            </w:r>
            <w:r>
              <w:rPr>
                <w:spacing w:val="15"/>
                <w:sz w:val="24"/>
                <w:szCs w:val="24"/>
                <w:highlight w:val="none"/>
              </w:rPr>
              <w:t xml:space="preserve"> </w:t>
            </w:r>
            <w:r>
              <w:rPr>
                <w:spacing w:val="-3"/>
                <w:sz w:val="24"/>
                <w:szCs w:val="24"/>
                <w:highlight w:val="none"/>
              </w:rPr>
              <w:t>案内容均提供的得</w:t>
            </w:r>
            <w:r>
              <w:rPr>
                <w:spacing w:val="-25"/>
                <w:sz w:val="24"/>
                <w:szCs w:val="24"/>
                <w:highlight w:val="none"/>
              </w:rPr>
              <w:t xml:space="preserve"> </w:t>
            </w:r>
            <w:r>
              <w:rPr>
                <w:spacing w:val="-3"/>
                <w:sz w:val="24"/>
                <w:szCs w:val="24"/>
                <w:highlight w:val="none"/>
              </w:rPr>
              <w:t>10</w:t>
            </w:r>
            <w:r>
              <w:rPr>
                <w:spacing w:val="-47"/>
                <w:sz w:val="24"/>
                <w:szCs w:val="24"/>
                <w:highlight w:val="none"/>
              </w:rPr>
              <w:t xml:space="preserve"> </w:t>
            </w:r>
            <w:r>
              <w:rPr>
                <w:spacing w:val="-3"/>
                <w:sz w:val="24"/>
                <w:szCs w:val="24"/>
                <w:highlight w:val="none"/>
              </w:rPr>
              <w:t>分，每缺一项扣</w:t>
            </w:r>
            <w:r>
              <w:rPr>
                <w:spacing w:val="-48"/>
                <w:sz w:val="24"/>
                <w:szCs w:val="24"/>
                <w:highlight w:val="none"/>
              </w:rPr>
              <w:t xml:space="preserve"> </w:t>
            </w:r>
            <w:r>
              <w:rPr>
                <w:spacing w:val="-3"/>
                <w:sz w:val="24"/>
                <w:szCs w:val="24"/>
                <w:highlight w:val="none"/>
              </w:rPr>
              <w:t>2</w:t>
            </w:r>
            <w:r>
              <w:rPr>
                <w:spacing w:val="-48"/>
                <w:sz w:val="24"/>
                <w:szCs w:val="24"/>
                <w:highlight w:val="none"/>
              </w:rPr>
              <w:t xml:space="preserve"> </w:t>
            </w:r>
            <w:r>
              <w:rPr>
                <w:spacing w:val="-3"/>
                <w:sz w:val="24"/>
                <w:szCs w:val="24"/>
                <w:highlight w:val="none"/>
              </w:rPr>
              <w:t>分，虽有项但内容不完</w:t>
            </w:r>
            <w:r>
              <w:rPr>
                <w:sz w:val="24"/>
                <w:szCs w:val="24"/>
                <w:highlight w:val="none"/>
              </w:rPr>
              <w:t xml:space="preserve"> </w:t>
            </w:r>
            <w:r>
              <w:rPr>
                <w:spacing w:val="-3"/>
                <w:sz w:val="24"/>
                <w:szCs w:val="24"/>
                <w:highlight w:val="none"/>
              </w:rPr>
              <w:t>整、逻辑不清、不合理或针对性不强的每项扣</w:t>
            </w:r>
            <w:r>
              <w:rPr>
                <w:spacing w:val="-15"/>
                <w:sz w:val="24"/>
                <w:szCs w:val="24"/>
                <w:highlight w:val="none"/>
              </w:rPr>
              <w:t xml:space="preserve"> </w:t>
            </w:r>
            <w:r>
              <w:rPr>
                <w:spacing w:val="-3"/>
                <w:sz w:val="24"/>
                <w:szCs w:val="24"/>
                <w:highlight w:val="none"/>
              </w:rPr>
              <w:t>1</w:t>
            </w:r>
            <w:r>
              <w:rPr>
                <w:spacing w:val="-48"/>
                <w:sz w:val="24"/>
                <w:szCs w:val="24"/>
                <w:highlight w:val="none"/>
              </w:rPr>
              <w:t xml:space="preserve"> </w:t>
            </w:r>
            <w:r>
              <w:rPr>
                <w:spacing w:val="-3"/>
                <w:sz w:val="24"/>
                <w:szCs w:val="24"/>
                <w:highlight w:val="none"/>
              </w:rPr>
              <w:t>分。</w:t>
            </w:r>
          </w:p>
          <w:p w14:paraId="543FA966">
            <w:pPr>
              <w:pStyle w:val="36"/>
              <w:spacing w:before="5" w:line="280" w:lineRule="auto"/>
              <w:ind w:left="112" w:right="26"/>
              <w:rPr>
                <w:sz w:val="24"/>
                <w:szCs w:val="24"/>
                <w:highlight w:val="none"/>
              </w:rPr>
            </w:pPr>
            <w:r>
              <w:rPr>
                <w:spacing w:val="-2"/>
                <w:sz w:val="24"/>
                <w:szCs w:val="24"/>
                <w:highlight w:val="none"/>
              </w:rPr>
              <w:t>注：1.内容存在缺陷是指：①该项内容描述前后不一致；②该项</w:t>
            </w:r>
            <w:r>
              <w:rPr>
                <w:spacing w:val="18"/>
                <w:sz w:val="24"/>
                <w:szCs w:val="24"/>
                <w:highlight w:val="none"/>
              </w:rPr>
              <w:t xml:space="preserve"> </w:t>
            </w:r>
            <w:r>
              <w:rPr>
                <w:spacing w:val="-2"/>
                <w:sz w:val="24"/>
                <w:szCs w:val="24"/>
                <w:highlight w:val="none"/>
              </w:rPr>
              <w:t>内容所阐述的项目信息与本项目实际信息不一致；③该项内容引</w:t>
            </w:r>
            <w:r>
              <w:rPr>
                <w:spacing w:val="17"/>
                <w:sz w:val="24"/>
                <w:szCs w:val="24"/>
                <w:highlight w:val="none"/>
              </w:rPr>
              <w:t xml:space="preserve"> </w:t>
            </w:r>
            <w:r>
              <w:rPr>
                <w:spacing w:val="-7"/>
                <w:sz w:val="24"/>
                <w:szCs w:val="24"/>
                <w:highlight w:val="none"/>
              </w:rPr>
              <w:t>用的规定、规范错误；④该项内容描述不符合国家相关法律法规、</w:t>
            </w:r>
            <w:r>
              <w:rPr>
                <w:spacing w:val="4"/>
                <w:sz w:val="24"/>
                <w:szCs w:val="24"/>
                <w:highlight w:val="none"/>
              </w:rPr>
              <w:t xml:space="preserve"> </w:t>
            </w:r>
            <w:r>
              <w:rPr>
                <w:spacing w:val="-2"/>
                <w:sz w:val="24"/>
                <w:szCs w:val="24"/>
                <w:highlight w:val="none"/>
              </w:rPr>
              <w:t>政策文件、规范标准要求；⑤该项内容阐述的方式方法明显不符</w:t>
            </w:r>
            <w:r>
              <w:rPr>
                <w:spacing w:val="17"/>
                <w:sz w:val="24"/>
                <w:szCs w:val="24"/>
                <w:highlight w:val="none"/>
              </w:rPr>
              <w:t xml:space="preserve"> </w:t>
            </w:r>
            <w:r>
              <w:rPr>
                <w:spacing w:val="-1"/>
                <w:sz w:val="24"/>
                <w:szCs w:val="24"/>
                <w:highlight w:val="none"/>
              </w:rPr>
              <w:t>合本项目实际情况；⑥该项内容描述与本项目实际情况不符。</w:t>
            </w:r>
          </w:p>
        </w:tc>
      </w:tr>
      <w:tr w14:paraId="11D0C5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2" w:hRule="atLeast"/>
        </w:trPr>
        <w:tc>
          <w:tcPr>
            <w:tcW w:w="839" w:type="dxa"/>
            <w:vMerge w:val="continue"/>
            <w:tcBorders>
              <w:top w:val="nil"/>
              <w:bottom w:val="nil"/>
            </w:tcBorders>
            <w:vAlign w:val="top"/>
          </w:tcPr>
          <w:p w14:paraId="0586186E">
            <w:pPr>
              <w:rPr>
                <w:rFonts w:ascii="Arial"/>
                <w:sz w:val="21"/>
                <w:highlight w:val="none"/>
              </w:rPr>
            </w:pPr>
          </w:p>
        </w:tc>
        <w:tc>
          <w:tcPr>
            <w:tcW w:w="1200" w:type="dxa"/>
            <w:vAlign w:val="top"/>
          </w:tcPr>
          <w:p w14:paraId="604670A2">
            <w:pPr>
              <w:spacing w:line="268" w:lineRule="auto"/>
              <w:rPr>
                <w:rFonts w:ascii="Arial"/>
                <w:sz w:val="21"/>
                <w:highlight w:val="none"/>
              </w:rPr>
            </w:pPr>
          </w:p>
          <w:p w14:paraId="16AF9C68">
            <w:pPr>
              <w:spacing w:line="268" w:lineRule="auto"/>
              <w:rPr>
                <w:rFonts w:ascii="Arial"/>
                <w:sz w:val="21"/>
                <w:highlight w:val="none"/>
              </w:rPr>
            </w:pPr>
          </w:p>
          <w:p w14:paraId="24126F2F">
            <w:pPr>
              <w:spacing w:line="269" w:lineRule="auto"/>
              <w:rPr>
                <w:rFonts w:ascii="Arial"/>
                <w:sz w:val="21"/>
                <w:highlight w:val="none"/>
              </w:rPr>
            </w:pPr>
          </w:p>
          <w:p w14:paraId="3A3F1936">
            <w:pPr>
              <w:spacing w:line="269" w:lineRule="auto"/>
              <w:rPr>
                <w:rFonts w:ascii="Arial"/>
                <w:sz w:val="21"/>
                <w:highlight w:val="none"/>
              </w:rPr>
            </w:pPr>
          </w:p>
          <w:p w14:paraId="25A31107">
            <w:pPr>
              <w:spacing w:line="269" w:lineRule="auto"/>
              <w:rPr>
                <w:rFonts w:ascii="Arial"/>
                <w:sz w:val="21"/>
                <w:highlight w:val="none"/>
              </w:rPr>
            </w:pPr>
          </w:p>
          <w:p w14:paraId="7F349F4F">
            <w:pPr>
              <w:spacing w:line="269" w:lineRule="auto"/>
              <w:rPr>
                <w:rFonts w:ascii="Arial"/>
                <w:sz w:val="21"/>
                <w:highlight w:val="none"/>
              </w:rPr>
            </w:pPr>
          </w:p>
          <w:p w14:paraId="37EB1D71">
            <w:pPr>
              <w:pStyle w:val="36"/>
              <w:spacing w:before="78" w:line="219" w:lineRule="auto"/>
              <w:ind w:left="112"/>
              <w:rPr>
                <w:sz w:val="24"/>
                <w:szCs w:val="24"/>
                <w:highlight w:val="none"/>
              </w:rPr>
            </w:pPr>
            <w:r>
              <w:rPr>
                <w:spacing w:val="-3"/>
                <w:sz w:val="24"/>
                <w:szCs w:val="24"/>
                <w:highlight w:val="none"/>
              </w:rPr>
              <w:t>供货方案</w:t>
            </w:r>
          </w:p>
        </w:tc>
        <w:tc>
          <w:tcPr>
            <w:tcW w:w="803" w:type="dxa"/>
            <w:vAlign w:val="top"/>
          </w:tcPr>
          <w:p w14:paraId="7BDE5AEB">
            <w:pPr>
              <w:spacing w:line="252" w:lineRule="auto"/>
              <w:rPr>
                <w:rFonts w:ascii="Arial"/>
                <w:sz w:val="21"/>
                <w:highlight w:val="none"/>
              </w:rPr>
            </w:pPr>
          </w:p>
          <w:p w14:paraId="1C79D9DA">
            <w:pPr>
              <w:spacing w:line="252" w:lineRule="auto"/>
              <w:rPr>
                <w:rFonts w:ascii="Arial"/>
                <w:sz w:val="21"/>
                <w:highlight w:val="none"/>
              </w:rPr>
            </w:pPr>
          </w:p>
          <w:p w14:paraId="5CD140CF">
            <w:pPr>
              <w:spacing w:line="252" w:lineRule="auto"/>
              <w:rPr>
                <w:rFonts w:ascii="Arial"/>
                <w:sz w:val="21"/>
                <w:highlight w:val="none"/>
              </w:rPr>
            </w:pPr>
          </w:p>
          <w:p w14:paraId="2DD8CD60">
            <w:pPr>
              <w:spacing w:line="253" w:lineRule="auto"/>
              <w:rPr>
                <w:rFonts w:ascii="Arial"/>
                <w:sz w:val="21"/>
                <w:highlight w:val="none"/>
              </w:rPr>
            </w:pPr>
          </w:p>
          <w:p w14:paraId="334F0BC4">
            <w:pPr>
              <w:spacing w:line="253" w:lineRule="auto"/>
              <w:rPr>
                <w:rFonts w:ascii="Arial"/>
                <w:sz w:val="21"/>
                <w:highlight w:val="none"/>
              </w:rPr>
            </w:pPr>
          </w:p>
          <w:p w14:paraId="0B281036">
            <w:pPr>
              <w:spacing w:line="253" w:lineRule="auto"/>
              <w:rPr>
                <w:rFonts w:ascii="Arial"/>
                <w:sz w:val="21"/>
                <w:highlight w:val="none"/>
              </w:rPr>
            </w:pPr>
          </w:p>
          <w:p w14:paraId="708F2ACD">
            <w:pPr>
              <w:spacing w:line="253" w:lineRule="auto"/>
              <w:rPr>
                <w:rFonts w:ascii="Arial"/>
                <w:sz w:val="21"/>
                <w:highlight w:val="none"/>
              </w:rPr>
            </w:pPr>
          </w:p>
          <w:p w14:paraId="3FB1071D">
            <w:pPr>
              <w:pStyle w:val="36"/>
              <w:spacing w:before="78" w:line="220" w:lineRule="auto"/>
              <w:ind w:left="153"/>
              <w:rPr>
                <w:sz w:val="24"/>
                <w:szCs w:val="24"/>
                <w:highlight w:val="none"/>
              </w:rPr>
            </w:pPr>
            <w:r>
              <w:rPr>
                <w:spacing w:val="-10"/>
                <w:sz w:val="24"/>
                <w:szCs w:val="24"/>
                <w:highlight w:val="none"/>
              </w:rPr>
              <w:t>10</w:t>
            </w:r>
            <w:r>
              <w:rPr>
                <w:spacing w:val="-46"/>
                <w:sz w:val="24"/>
                <w:szCs w:val="24"/>
                <w:highlight w:val="none"/>
              </w:rPr>
              <w:t xml:space="preserve"> </w:t>
            </w:r>
            <w:r>
              <w:rPr>
                <w:spacing w:val="-10"/>
                <w:sz w:val="24"/>
                <w:szCs w:val="24"/>
                <w:highlight w:val="none"/>
              </w:rPr>
              <w:t>分</w:t>
            </w:r>
          </w:p>
        </w:tc>
        <w:tc>
          <w:tcPr>
            <w:tcW w:w="6907" w:type="dxa"/>
            <w:vAlign w:val="top"/>
          </w:tcPr>
          <w:p w14:paraId="023D5CC8">
            <w:pPr>
              <w:pStyle w:val="36"/>
              <w:spacing w:before="41" w:line="287" w:lineRule="auto"/>
              <w:ind w:left="111" w:right="26" w:firstLine="1"/>
              <w:rPr>
                <w:sz w:val="24"/>
                <w:szCs w:val="24"/>
                <w:highlight w:val="none"/>
              </w:rPr>
            </w:pPr>
            <w:r>
              <w:rPr>
                <w:spacing w:val="-1"/>
                <w:sz w:val="24"/>
                <w:szCs w:val="24"/>
                <w:highlight w:val="none"/>
              </w:rPr>
              <w:t>根据供应商针对本项目编制详细的供货方案：①供货进度安排；</w:t>
            </w:r>
            <w:r>
              <w:rPr>
                <w:spacing w:val="17"/>
                <w:sz w:val="24"/>
                <w:szCs w:val="24"/>
                <w:highlight w:val="none"/>
              </w:rPr>
              <w:t xml:space="preserve"> </w:t>
            </w:r>
            <w:r>
              <w:rPr>
                <w:spacing w:val="-2"/>
                <w:sz w:val="24"/>
                <w:szCs w:val="24"/>
                <w:highlight w:val="none"/>
              </w:rPr>
              <w:t>②产品包装、装卸货措施；③路途人员安全保障措施及安全教育</w:t>
            </w:r>
            <w:r>
              <w:rPr>
                <w:spacing w:val="18"/>
                <w:sz w:val="24"/>
                <w:szCs w:val="24"/>
                <w:highlight w:val="none"/>
              </w:rPr>
              <w:t xml:space="preserve"> </w:t>
            </w:r>
            <w:r>
              <w:rPr>
                <w:spacing w:val="-7"/>
                <w:sz w:val="24"/>
                <w:szCs w:val="24"/>
                <w:highlight w:val="none"/>
              </w:rPr>
              <w:t>培训、运途紧急情况应对措施；④货物验收；⑤产品仓储、调试、</w:t>
            </w:r>
            <w:r>
              <w:rPr>
                <w:spacing w:val="5"/>
                <w:sz w:val="24"/>
                <w:szCs w:val="24"/>
                <w:highlight w:val="none"/>
              </w:rPr>
              <w:t xml:space="preserve"> </w:t>
            </w:r>
            <w:r>
              <w:rPr>
                <w:spacing w:val="-2"/>
                <w:sz w:val="24"/>
                <w:szCs w:val="24"/>
                <w:highlight w:val="none"/>
              </w:rPr>
              <w:t>产品使用培训；进行评定，以上方案内容均提供的得</w:t>
            </w:r>
            <w:r>
              <w:rPr>
                <w:spacing w:val="-25"/>
                <w:sz w:val="24"/>
                <w:szCs w:val="24"/>
                <w:highlight w:val="none"/>
              </w:rPr>
              <w:t xml:space="preserve"> </w:t>
            </w:r>
            <w:r>
              <w:rPr>
                <w:spacing w:val="-2"/>
                <w:sz w:val="24"/>
                <w:szCs w:val="24"/>
                <w:highlight w:val="none"/>
              </w:rPr>
              <w:t>10</w:t>
            </w:r>
            <w:r>
              <w:rPr>
                <w:spacing w:val="-48"/>
                <w:sz w:val="24"/>
                <w:szCs w:val="24"/>
                <w:highlight w:val="none"/>
              </w:rPr>
              <w:t xml:space="preserve"> </w:t>
            </w:r>
            <w:r>
              <w:rPr>
                <w:spacing w:val="-2"/>
                <w:sz w:val="24"/>
                <w:szCs w:val="24"/>
                <w:highlight w:val="none"/>
              </w:rPr>
              <w:t>分，每</w:t>
            </w:r>
            <w:r>
              <w:rPr>
                <w:sz w:val="24"/>
                <w:szCs w:val="24"/>
                <w:highlight w:val="none"/>
              </w:rPr>
              <w:t xml:space="preserve">  </w:t>
            </w:r>
            <w:r>
              <w:rPr>
                <w:spacing w:val="-2"/>
                <w:sz w:val="24"/>
                <w:szCs w:val="24"/>
                <w:highlight w:val="none"/>
              </w:rPr>
              <w:t>缺一项扣</w:t>
            </w:r>
            <w:r>
              <w:rPr>
                <w:spacing w:val="-48"/>
                <w:sz w:val="24"/>
                <w:szCs w:val="24"/>
                <w:highlight w:val="none"/>
              </w:rPr>
              <w:t xml:space="preserve"> </w:t>
            </w:r>
            <w:r>
              <w:rPr>
                <w:spacing w:val="-2"/>
                <w:sz w:val="24"/>
                <w:szCs w:val="24"/>
                <w:highlight w:val="none"/>
              </w:rPr>
              <w:t>2</w:t>
            </w:r>
            <w:r>
              <w:rPr>
                <w:spacing w:val="-48"/>
                <w:sz w:val="24"/>
                <w:szCs w:val="24"/>
                <w:highlight w:val="none"/>
              </w:rPr>
              <w:t xml:space="preserve"> </w:t>
            </w:r>
            <w:r>
              <w:rPr>
                <w:spacing w:val="-2"/>
                <w:sz w:val="24"/>
                <w:szCs w:val="24"/>
                <w:highlight w:val="none"/>
              </w:rPr>
              <w:t>分，虽有项但内容不完整、逻辑不清、</w:t>
            </w:r>
            <w:r>
              <w:rPr>
                <w:spacing w:val="-3"/>
                <w:sz w:val="24"/>
                <w:szCs w:val="24"/>
                <w:highlight w:val="none"/>
              </w:rPr>
              <w:t>不合理或针对</w:t>
            </w:r>
            <w:r>
              <w:rPr>
                <w:sz w:val="24"/>
                <w:szCs w:val="24"/>
                <w:highlight w:val="none"/>
              </w:rPr>
              <w:t xml:space="preserve"> </w:t>
            </w:r>
            <w:r>
              <w:rPr>
                <w:spacing w:val="-5"/>
                <w:sz w:val="24"/>
                <w:szCs w:val="24"/>
                <w:highlight w:val="none"/>
              </w:rPr>
              <w:t>性不强的每项扣</w:t>
            </w:r>
            <w:r>
              <w:rPr>
                <w:spacing w:val="-31"/>
                <w:sz w:val="24"/>
                <w:szCs w:val="24"/>
                <w:highlight w:val="none"/>
              </w:rPr>
              <w:t xml:space="preserve"> </w:t>
            </w:r>
            <w:r>
              <w:rPr>
                <w:spacing w:val="-5"/>
                <w:sz w:val="24"/>
                <w:szCs w:val="24"/>
                <w:highlight w:val="none"/>
              </w:rPr>
              <w:t>1</w:t>
            </w:r>
            <w:r>
              <w:rPr>
                <w:spacing w:val="-48"/>
                <w:sz w:val="24"/>
                <w:szCs w:val="24"/>
                <w:highlight w:val="none"/>
              </w:rPr>
              <w:t xml:space="preserve"> </w:t>
            </w:r>
            <w:r>
              <w:rPr>
                <w:spacing w:val="-5"/>
                <w:sz w:val="24"/>
                <w:szCs w:val="24"/>
                <w:highlight w:val="none"/>
              </w:rPr>
              <w:t>分。</w:t>
            </w:r>
          </w:p>
          <w:p w14:paraId="20E03584">
            <w:pPr>
              <w:pStyle w:val="36"/>
              <w:spacing w:before="2" w:line="280" w:lineRule="auto"/>
              <w:ind w:left="112" w:right="26"/>
              <w:rPr>
                <w:sz w:val="24"/>
                <w:szCs w:val="24"/>
                <w:highlight w:val="none"/>
              </w:rPr>
            </w:pPr>
            <w:r>
              <w:rPr>
                <w:spacing w:val="-2"/>
                <w:sz w:val="24"/>
                <w:szCs w:val="24"/>
                <w:highlight w:val="none"/>
              </w:rPr>
              <w:t>注：1.内容存在缺陷是指：①该项内容描述前后不一致；②该项</w:t>
            </w:r>
            <w:r>
              <w:rPr>
                <w:spacing w:val="18"/>
                <w:sz w:val="24"/>
                <w:szCs w:val="24"/>
                <w:highlight w:val="none"/>
              </w:rPr>
              <w:t xml:space="preserve"> </w:t>
            </w:r>
            <w:r>
              <w:rPr>
                <w:spacing w:val="-2"/>
                <w:sz w:val="24"/>
                <w:szCs w:val="24"/>
                <w:highlight w:val="none"/>
              </w:rPr>
              <w:t>内容所阐述的项目信息与本项目实际信息不一致；③该项内容引</w:t>
            </w:r>
            <w:r>
              <w:rPr>
                <w:spacing w:val="17"/>
                <w:sz w:val="24"/>
                <w:szCs w:val="24"/>
                <w:highlight w:val="none"/>
              </w:rPr>
              <w:t xml:space="preserve"> </w:t>
            </w:r>
            <w:r>
              <w:rPr>
                <w:spacing w:val="-7"/>
                <w:sz w:val="24"/>
                <w:szCs w:val="24"/>
                <w:highlight w:val="none"/>
              </w:rPr>
              <w:t>用的规定、规范错误；④该项内容描述不符合国家相关法律法规、</w:t>
            </w:r>
            <w:r>
              <w:rPr>
                <w:spacing w:val="4"/>
                <w:sz w:val="24"/>
                <w:szCs w:val="24"/>
                <w:highlight w:val="none"/>
              </w:rPr>
              <w:t xml:space="preserve"> </w:t>
            </w:r>
            <w:r>
              <w:rPr>
                <w:spacing w:val="-2"/>
                <w:sz w:val="24"/>
                <w:szCs w:val="24"/>
                <w:highlight w:val="none"/>
              </w:rPr>
              <w:t>政策文件、规范标准要求；⑤该项内容阐述的方式方法明显不符</w:t>
            </w:r>
            <w:r>
              <w:rPr>
                <w:spacing w:val="17"/>
                <w:sz w:val="24"/>
                <w:szCs w:val="24"/>
                <w:highlight w:val="none"/>
              </w:rPr>
              <w:t xml:space="preserve"> </w:t>
            </w:r>
            <w:r>
              <w:rPr>
                <w:spacing w:val="-1"/>
                <w:sz w:val="24"/>
                <w:szCs w:val="24"/>
                <w:highlight w:val="none"/>
              </w:rPr>
              <w:t>合本项目实际情况；⑥该项内容描述与本项目实际情况不符。</w:t>
            </w:r>
          </w:p>
        </w:tc>
      </w:tr>
      <w:tr w14:paraId="2B35F0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2" w:hRule="atLeast"/>
        </w:trPr>
        <w:tc>
          <w:tcPr>
            <w:tcW w:w="839" w:type="dxa"/>
            <w:vMerge w:val="continue"/>
            <w:tcBorders>
              <w:top w:val="nil"/>
              <w:bottom w:val="nil"/>
            </w:tcBorders>
            <w:vAlign w:val="top"/>
          </w:tcPr>
          <w:p w14:paraId="2E947E94">
            <w:pPr>
              <w:rPr>
                <w:rFonts w:ascii="Arial"/>
                <w:sz w:val="21"/>
                <w:highlight w:val="none"/>
              </w:rPr>
            </w:pPr>
          </w:p>
        </w:tc>
        <w:tc>
          <w:tcPr>
            <w:tcW w:w="1200" w:type="dxa"/>
            <w:vAlign w:val="top"/>
          </w:tcPr>
          <w:p w14:paraId="37E4EB39">
            <w:pPr>
              <w:spacing w:line="259" w:lineRule="auto"/>
              <w:rPr>
                <w:rFonts w:ascii="Arial"/>
                <w:sz w:val="21"/>
                <w:highlight w:val="none"/>
              </w:rPr>
            </w:pPr>
          </w:p>
          <w:p w14:paraId="1F7D7839">
            <w:pPr>
              <w:spacing w:line="259" w:lineRule="auto"/>
              <w:rPr>
                <w:rFonts w:ascii="Arial"/>
                <w:sz w:val="21"/>
                <w:highlight w:val="none"/>
              </w:rPr>
            </w:pPr>
          </w:p>
          <w:p w14:paraId="7E0D8AE7">
            <w:pPr>
              <w:spacing w:line="260" w:lineRule="auto"/>
              <w:rPr>
                <w:rFonts w:ascii="Arial"/>
                <w:sz w:val="21"/>
                <w:highlight w:val="none"/>
              </w:rPr>
            </w:pPr>
          </w:p>
          <w:p w14:paraId="03030BDB">
            <w:pPr>
              <w:spacing w:line="260" w:lineRule="auto"/>
              <w:rPr>
                <w:rFonts w:ascii="Arial"/>
                <w:sz w:val="21"/>
                <w:highlight w:val="none"/>
              </w:rPr>
            </w:pPr>
          </w:p>
          <w:p w14:paraId="47A9FC66">
            <w:pPr>
              <w:spacing w:line="260" w:lineRule="auto"/>
              <w:rPr>
                <w:rFonts w:ascii="Arial"/>
                <w:sz w:val="21"/>
                <w:highlight w:val="none"/>
              </w:rPr>
            </w:pPr>
          </w:p>
          <w:p w14:paraId="0D59585B">
            <w:pPr>
              <w:spacing w:line="260" w:lineRule="auto"/>
              <w:rPr>
                <w:rFonts w:ascii="Arial"/>
                <w:sz w:val="21"/>
                <w:highlight w:val="none"/>
              </w:rPr>
            </w:pPr>
          </w:p>
          <w:p w14:paraId="0884EC6D">
            <w:pPr>
              <w:spacing w:line="260" w:lineRule="auto"/>
              <w:rPr>
                <w:rFonts w:ascii="Arial"/>
                <w:sz w:val="21"/>
                <w:highlight w:val="none"/>
              </w:rPr>
            </w:pPr>
          </w:p>
          <w:p w14:paraId="12DB1FF3">
            <w:pPr>
              <w:pStyle w:val="36"/>
              <w:spacing w:before="78" w:line="219" w:lineRule="auto"/>
              <w:ind w:left="112"/>
              <w:rPr>
                <w:sz w:val="24"/>
                <w:szCs w:val="24"/>
                <w:highlight w:val="none"/>
              </w:rPr>
            </w:pPr>
            <w:r>
              <w:rPr>
                <w:spacing w:val="-3"/>
                <w:sz w:val="24"/>
                <w:szCs w:val="24"/>
                <w:highlight w:val="none"/>
              </w:rPr>
              <w:t>售后服务</w:t>
            </w:r>
          </w:p>
        </w:tc>
        <w:tc>
          <w:tcPr>
            <w:tcW w:w="803" w:type="dxa"/>
            <w:vAlign w:val="top"/>
          </w:tcPr>
          <w:p w14:paraId="2EC57E90">
            <w:pPr>
              <w:spacing w:line="259" w:lineRule="auto"/>
              <w:rPr>
                <w:rFonts w:ascii="Arial"/>
                <w:sz w:val="21"/>
                <w:highlight w:val="none"/>
              </w:rPr>
            </w:pPr>
          </w:p>
          <w:p w14:paraId="39BCE3CE">
            <w:pPr>
              <w:spacing w:line="259" w:lineRule="auto"/>
              <w:rPr>
                <w:rFonts w:ascii="Arial"/>
                <w:sz w:val="21"/>
                <w:highlight w:val="none"/>
              </w:rPr>
            </w:pPr>
          </w:p>
          <w:p w14:paraId="1577B3AC">
            <w:pPr>
              <w:spacing w:line="259" w:lineRule="auto"/>
              <w:rPr>
                <w:rFonts w:ascii="Arial"/>
                <w:sz w:val="21"/>
                <w:highlight w:val="none"/>
              </w:rPr>
            </w:pPr>
          </w:p>
          <w:p w14:paraId="1C26201C">
            <w:pPr>
              <w:spacing w:line="260" w:lineRule="auto"/>
              <w:rPr>
                <w:rFonts w:ascii="Arial"/>
                <w:sz w:val="21"/>
                <w:highlight w:val="none"/>
              </w:rPr>
            </w:pPr>
          </w:p>
          <w:p w14:paraId="3B649739">
            <w:pPr>
              <w:spacing w:line="260" w:lineRule="auto"/>
              <w:rPr>
                <w:rFonts w:ascii="Arial"/>
                <w:sz w:val="21"/>
                <w:highlight w:val="none"/>
              </w:rPr>
            </w:pPr>
          </w:p>
          <w:p w14:paraId="3263422D">
            <w:pPr>
              <w:spacing w:line="260" w:lineRule="auto"/>
              <w:rPr>
                <w:rFonts w:ascii="Arial"/>
                <w:sz w:val="21"/>
                <w:highlight w:val="none"/>
              </w:rPr>
            </w:pPr>
          </w:p>
          <w:p w14:paraId="7C381382">
            <w:pPr>
              <w:spacing w:line="260" w:lineRule="auto"/>
              <w:rPr>
                <w:rFonts w:ascii="Arial"/>
                <w:sz w:val="21"/>
                <w:highlight w:val="none"/>
              </w:rPr>
            </w:pPr>
          </w:p>
          <w:p w14:paraId="66D9F266">
            <w:pPr>
              <w:pStyle w:val="36"/>
              <w:spacing w:before="78" w:line="220" w:lineRule="auto"/>
              <w:ind w:left="117"/>
              <w:rPr>
                <w:sz w:val="24"/>
                <w:szCs w:val="24"/>
                <w:highlight w:val="none"/>
              </w:rPr>
            </w:pPr>
            <w:r>
              <w:rPr>
                <w:spacing w:val="-5"/>
                <w:sz w:val="24"/>
                <w:szCs w:val="24"/>
                <w:highlight w:val="none"/>
              </w:rPr>
              <w:t>20</w:t>
            </w:r>
            <w:r>
              <w:rPr>
                <w:spacing w:val="-46"/>
                <w:sz w:val="24"/>
                <w:szCs w:val="24"/>
                <w:highlight w:val="none"/>
              </w:rPr>
              <w:t xml:space="preserve"> </w:t>
            </w:r>
            <w:r>
              <w:rPr>
                <w:spacing w:val="-5"/>
                <w:sz w:val="24"/>
                <w:szCs w:val="24"/>
                <w:highlight w:val="none"/>
              </w:rPr>
              <w:t>分</w:t>
            </w:r>
          </w:p>
        </w:tc>
        <w:tc>
          <w:tcPr>
            <w:tcW w:w="6907" w:type="dxa"/>
            <w:vAlign w:val="top"/>
          </w:tcPr>
          <w:p w14:paraId="42817774">
            <w:pPr>
              <w:pStyle w:val="36"/>
              <w:spacing w:before="40" w:line="287" w:lineRule="auto"/>
              <w:ind w:left="113" w:right="48" w:firstLine="29"/>
              <w:rPr>
                <w:sz w:val="24"/>
                <w:szCs w:val="24"/>
                <w:highlight w:val="none"/>
              </w:rPr>
            </w:pPr>
            <w:r>
              <w:rPr>
                <w:spacing w:val="-3"/>
                <w:sz w:val="24"/>
                <w:szCs w:val="24"/>
                <w:highlight w:val="none"/>
              </w:rPr>
              <w:t>内容包含①售后服务内容及承诺；②售后服务人员的配备、人员</w:t>
            </w:r>
            <w:r>
              <w:rPr>
                <w:spacing w:val="15"/>
                <w:sz w:val="24"/>
                <w:szCs w:val="24"/>
                <w:highlight w:val="none"/>
              </w:rPr>
              <w:t xml:space="preserve"> </w:t>
            </w:r>
            <w:r>
              <w:rPr>
                <w:spacing w:val="-2"/>
                <w:sz w:val="24"/>
                <w:szCs w:val="24"/>
                <w:highlight w:val="none"/>
              </w:rPr>
              <w:t>分工明细、售后服务联系方式； ③售后服务响应时间； ④现场</w:t>
            </w:r>
            <w:r>
              <w:rPr>
                <w:spacing w:val="18"/>
                <w:sz w:val="24"/>
                <w:szCs w:val="24"/>
                <w:highlight w:val="none"/>
              </w:rPr>
              <w:t xml:space="preserve"> </w:t>
            </w:r>
            <w:r>
              <w:rPr>
                <w:sz w:val="24"/>
                <w:szCs w:val="24"/>
                <w:highlight w:val="none"/>
              </w:rPr>
              <w:t>技术服务保障；⑤服务响应流程。要求方案内容全面完整细致、</w:t>
            </w:r>
            <w:r>
              <w:rPr>
                <w:spacing w:val="15"/>
                <w:sz w:val="24"/>
                <w:szCs w:val="24"/>
                <w:highlight w:val="none"/>
              </w:rPr>
              <w:t xml:space="preserve"> </w:t>
            </w:r>
            <w:r>
              <w:rPr>
                <w:spacing w:val="-3"/>
                <w:sz w:val="24"/>
                <w:szCs w:val="24"/>
                <w:highlight w:val="none"/>
              </w:rPr>
              <w:t>针对本项目可行性强，满分</w:t>
            </w:r>
            <w:r>
              <w:rPr>
                <w:spacing w:val="-38"/>
                <w:sz w:val="24"/>
                <w:szCs w:val="24"/>
                <w:highlight w:val="none"/>
              </w:rPr>
              <w:t xml:space="preserve"> </w:t>
            </w:r>
            <w:r>
              <w:rPr>
                <w:spacing w:val="-3"/>
                <w:sz w:val="24"/>
                <w:szCs w:val="24"/>
                <w:highlight w:val="none"/>
              </w:rPr>
              <w:t>20</w:t>
            </w:r>
            <w:r>
              <w:rPr>
                <w:spacing w:val="-48"/>
                <w:sz w:val="24"/>
                <w:szCs w:val="24"/>
                <w:highlight w:val="none"/>
              </w:rPr>
              <w:t xml:space="preserve"> </w:t>
            </w:r>
            <w:r>
              <w:rPr>
                <w:spacing w:val="-3"/>
                <w:sz w:val="24"/>
                <w:szCs w:val="24"/>
                <w:highlight w:val="none"/>
              </w:rPr>
              <w:t>分；每有一项内容缺漏项扣4</w:t>
            </w:r>
            <w:r>
              <w:rPr>
                <w:spacing w:val="-48"/>
                <w:sz w:val="24"/>
                <w:szCs w:val="24"/>
                <w:highlight w:val="none"/>
              </w:rPr>
              <w:t xml:space="preserve"> </w:t>
            </w:r>
            <w:r>
              <w:rPr>
                <w:spacing w:val="-3"/>
                <w:sz w:val="24"/>
                <w:szCs w:val="24"/>
                <w:highlight w:val="none"/>
              </w:rPr>
              <w:t>分；</w:t>
            </w:r>
            <w:r>
              <w:rPr>
                <w:sz w:val="24"/>
                <w:szCs w:val="24"/>
                <w:highlight w:val="none"/>
              </w:rPr>
              <w:t xml:space="preserve"> </w:t>
            </w:r>
            <w:r>
              <w:rPr>
                <w:spacing w:val="-2"/>
                <w:sz w:val="24"/>
                <w:szCs w:val="24"/>
                <w:highlight w:val="none"/>
              </w:rPr>
              <w:t>每项内容实际可操作性不强或表述与本项目无</w:t>
            </w:r>
            <w:r>
              <w:rPr>
                <w:spacing w:val="-3"/>
                <w:sz w:val="24"/>
                <w:szCs w:val="24"/>
                <w:highlight w:val="none"/>
              </w:rPr>
              <w:t>关扣</w:t>
            </w:r>
            <w:r>
              <w:rPr>
                <w:spacing w:val="-48"/>
                <w:sz w:val="24"/>
                <w:szCs w:val="24"/>
                <w:highlight w:val="none"/>
              </w:rPr>
              <w:t xml:space="preserve"> </w:t>
            </w:r>
            <w:r>
              <w:rPr>
                <w:spacing w:val="-3"/>
                <w:sz w:val="24"/>
                <w:szCs w:val="24"/>
                <w:highlight w:val="none"/>
              </w:rPr>
              <w:t>2</w:t>
            </w:r>
            <w:r>
              <w:rPr>
                <w:spacing w:val="-48"/>
                <w:sz w:val="24"/>
                <w:szCs w:val="24"/>
                <w:highlight w:val="none"/>
              </w:rPr>
              <w:t xml:space="preserve"> </w:t>
            </w:r>
            <w:r>
              <w:rPr>
                <w:spacing w:val="-3"/>
                <w:sz w:val="24"/>
                <w:szCs w:val="24"/>
                <w:highlight w:val="none"/>
              </w:rPr>
              <w:t>分；未提供</w:t>
            </w:r>
            <w:r>
              <w:rPr>
                <w:sz w:val="24"/>
                <w:szCs w:val="24"/>
                <w:highlight w:val="none"/>
              </w:rPr>
              <w:t xml:space="preserve"> </w:t>
            </w:r>
            <w:r>
              <w:rPr>
                <w:spacing w:val="-3"/>
                <w:sz w:val="24"/>
                <w:szCs w:val="24"/>
                <w:highlight w:val="none"/>
              </w:rPr>
              <w:t>不得分。</w:t>
            </w:r>
          </w:p>
          <w:p w14:paraId="16D4A5CA">
            <w:pPr>
              <w:pStyle w:val="36"/>
              <w:spacing w:before="3" w:line="280" w:lineRule="auto"/>
              <w:ind w:left="112" w:right="26"/>
              <w:rPr>
                <w:sz w:val="24"/>
                <w:szCs w:val="24"/>
                <w:highlight w:val="none"/>
              </w:rPr>
            </w:pPr>
            <w:r>
              <w:rPr>
                <w:spacing w:val="-2"/>
                <w:sz w:val="24"/>
                <w:szCs w:val="24"/>
                <w:highlight w:val="none"/>
              </w:rPr>
              <w:t>注：1.内容存在缺陷是指：①该项内容描述前后不一致；②该项</w:t>
            </w:r>
            <w:r>
              <w:rPr>
                <w:spacing w:val="18"/>
                <w:sz w:val="24"/>
                <w:szCs w:val="24"/>
                <w:highlight w:val="none"/>
              </w:rPr>
              <w:t xml:space="preserve"> </w:t>
            </w:r>
            <w:r>
              <w:rPr>
                <w:spacing w:val="-2"/>
                <w:sz w:val="24"/>
                <w:szCs w:val="24"/>
                <w:highlight w:val="none"/>
              </w:rPr>
              <w:t>内容所阐述的项目信息与本项目实际信息不一致；③该项内容引</w:t>
            </w:r>
            <w:r>
              <w:rPr>
                <w:spacing w:val="17"/>
                <w:sz w:val="24"/>
                <w:szCs w:val="24"/>
                <w:highlight w:val="none"/>
              </w:rPr>
              <w:t xml:space="preserve"> </w:t>
            </w:r>
            <w:r>
              <w:rPr>
                <w:spacing w:val="-7"/>
                <w:sz w:val="24"/>
                <w:szCs w:val="24"/>
                <w:highlight w:val="none"/>
              </w:rPr>
              <w:t>用的规定、规范错误；④该项内容描述不符合国家相关法律法规、</w:t>
            </w:r>
            <w:r>
              <w:rPr>
                <w:spacing w:val="4"/>
                <w:sz w:val="24"/>
                <w:szCs w:val="24"/>
                <w:highlight w:val="none"/>
              </w:rPr>
              <w:t xml:space="preserve"> </w:t>
            </w:r>
            <w:r>
              <w:rPr>
                <w:spacing w:val="-2"/>
                <w:sz w:val="24"/>
                <w:szCs w:val="24"/>
                <w:highlight w:val="none"/>
              </w:rPr>
              <w:t>政策文件、规范标准要求；⑤该项内容阐述的方式方法明显不符</w:t>
            </w:r>
            <w:r>
              <w:rPr>
                <w:spacing w:val="17"/>
                <w:sz w:val="24"/>
                <w:szCs w:val="24"/>
                <w:highlight w:val="none"/>
              </w:rPr>
              <w:t xml:space="preserve"> </w:t>
            </w:r>
            <w:r>
              <w:rPr>
                <w:spacing w:val="-1"/>
                <w:sz w:val="24"/>
                <w:szCs w:val="24"/>
                <w:highlight w:val="none"/>
              </w:rPr>
              <w:t>合本项目实际情况；⑥该项内容描述与本项目实际情况不符。</w:t>
            </w:r>
          </w:p>
        </w:tc>
      </w:tr>
      <w:tr w14:paraId="76057E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8" w:hRule="atLeast"/>
        </w:trPr>
        <w:tc>
          <w:tcPr>
            <w:tcW w:w="839" w:type="dxa"/>
            <w:vMerge w:val="continue"/>
            <w:tcBorders>
              <w:top w:val="nil"/>
            </w:tcBorders>
            <w:vAlign w:val="top"/>
          </w:tcPr>
          <w:p w14:paraId="10430F1D">
            <w:pPr>
              <w:rPr>
                <w:rFonts w:ascii="Arial"/>
                <w:sz w:val="21"/>
                <w:highlight w:val="none"/>
              </w:rPr>
            </w:pPr>
          </w:p>
        </w:tc>
        <w:tc>
          <w:tcPr>
            <w:tcW w:w="1200" w:type="dxa"/>
            <w:vAlign w:val="top"/>
          </w:tcPr>
          <w:p w14:paraId="1B68DD66">
            <w:pPr>
              <w:spacing w:line="431" w:lineRule="auto"/>
              <w:rPr>
                <w:rFonts w:ascii="Arial"/>
                <w:sz w:val="21"/>
                <w:highlight w:val="none"/>
              </w:rPr>
            </w:pPr>
          </w:p>
          <w:p w14:paraId="327570D9">
            <w:pPr>
              <w:pStyle w:val="36"/>
              <w:spacing w:before="78" w:line="219" w:lineRule="auto"/>
              <w:ind w:left="115"/>
              <w:rPr>
                <w:sz w:val="24"/>
                <w:szCs w:val="24"/>
                <w:highlight w:val="none"/>
              </w:rPr>
            </w:pPr>
            <w:r>
              <w:rPr>
                <w:spacing w:val="-4"/>
                <w:sz w:val="24"/>
                <w:szCs w:val="24"/>
                <w:highlight w:val="none"/>
              </w:rPr>
              <w:t>备品备件</w:t>
            </w:r>
          </w:p>
          <w:p w14:paraId="459B93F8">
            <w:pPr>
              <w:pStyle w:val="36"/>
              <w:spacing w:before="89" w:line="220" w:lineRule="auto"/>
              <w:ind w:left="112"/>
              <w:rPr>
                <w:sz w:val="24"/>
                <w:szCs w:val="24"/>
                <w:highlight w:val="none"/>
              </w:rPr>
            </w:pPr>
            <w:r>
              <w:rPr>
                <w:spacing w:val="-3"/>
                <w:sz w:val="24"/>
                <w:szCs w:val="24"/>
                <w:highlight w:val="none"/>
              </w:rPr>
              <w:t>配备情况</w:t>
            </w:r>
          </w:p>
        </w:tc>
        <w:tc>
          <w:tcPr>
            <w:tcW w:w="803" w:type="dxa"/>
            <w:vAlign w:val="top"/>
          </w:tcPr>
          <w:p w14:paraId="4C82507A">
            <w:pPr>
              <w:spacing w:line="267" w:lineRule="auto"/>
              <w:rPr>
                <w:rFonts w:ascii="Arial"/>
                <w:sz w:val="21"/>
                <w:highlight w:val="none"/>
              </w:rPr>
            </w:pPr>
          </w:p>
          <w:p w14:paraId="206AABCA">
            <w:pPr>
              <w:spacing w:line="267" w:lineRule="auto"/>
              <w:rPr>
                <w:rFonts w:ascii="Arial"/>
                <w:sz w:val="21"/>
                <w:highlight w:val="none"/>
              </w:rPr>
            </w:pPr>
          </w:p>
          <w:p w14:paraId="40340A0C">
            <w:pPr>
              <w:spacing w:line="268" w:lineRule="auto"/>
              <w:rPr>
                <w:rFonts w:ascii="Arial"/>
                <w:sz w:val="21"/>
                <w:highlight w:val="none"/>
              </w:rPr>
            </w:pPr>
          </w:p>
          <w:p w14:paraId="3EED4CD4">
            <w:pPr>
              <w:pStyle w:val="36"/>
              <w:spacing w:before="78" w:line="220" w:lineRule="auto"/>
              <w:ind w:left="117"/>
              <w:rPr>
                <w:sz w:val="24"/>
                <w:szCs w:val="24"/>
                <w:highlight w:val="none"/>
              </w:rPr>
            </w:pPr>
            <w:r>
              <w:rPr>
                <w:spacing w:val="-7"/>
                <w:sz w:val="24"/>
                <w:szCs w:val="24"/>
                <w:highlight w:val="none"/>
              </w:rPr>
              <w:t>2</w:t>
            </w:r>
            <w:r>
              <w:rPr>
                <w:spacing w:val="-47"/>
                <w:sz w:val="24"/>
                <w:szCs w:val="24"/>
                <w:highlight w:val="none"/>
              </w:rPr>
              <w:t xml:space="preserve"> </w:t>
            </w:r>
            <w:r>
              <w:rPr>
                <w:spacing w:val="-7"/>
                <w:sz w:val="24"/>
                <w:szCs w:val="24"/>
                <w:highlight w:val="none"/>
              </w:rPr>
              <w:t>分</w:t>
            </w:r>
          </w:p>
        </w:tc>
        <w:tc>
          <w:tcPr>
            <w:tcW w:w="6907" w:type="dxa"/>
            <w:vAlign w:val="top"/>
          </w:tcPr>
          <w:p w14:paraId="10BDF8B6">
            <w:pPr>
              <w:pStyle w:val="36"/>
              <w:spacing w:before="139" w:line="288" w:lineRule="auto"/>
              <w:ind w:left="113" w:right="107" w:firstLine="2"/>
              <w:jc w:val="both"/>
              <w:rPr>
                <w:sz w:val="24"/>
                <w:szCs w:val="24"/>
                <w:highlight w:val="none"/>
              </w:rPr>
            </w:pPr>
            <w:r>
              <w:rPr>
                <w:spacing w:val="-2"/>
                <w:sz w:val="24"/>
                <w:szCs w:val="24"/>
                <w:highlight w:val="none"/>
              </w:rPr>
              <w:t>备品备件完备、充足，评标委员会根据各投标人提供情况横向对</w:t>
            </w:r>
            <w:r>
              <w:rPr>
                <w:spacing w:val="13"/>
                <w:sz w:val="24"/>
                <w:szCs w:val="24"/>
                <w:highlight w:val="none"/>
              </w:rPr>
              <w:t xml:space="preserve"> </w:t>
            </w:r>
            <w:r>
              <w:rPr>
                <w:spacing w:val="-2"/>
                <w:sz w:val="24"/>
                <w:szCs w:val="24"/>
                <w:highlight w:val="none"/>
              </w:rPr>
              <w:t>比。备品备件完备、充足，并有详细方案说明</w:t>
            </w:r>
            <w:r>
              <w:rPr>
                <w:spacing w:val="-3"/>
                <w:sz w:val="24"/>
                <w:szCs w:val="24"/>
                <w:highlight w:val="none"/>
              </w:rPr>
              <w:t>得</w:t>
            </w:r>
            <w:r>
              <w:rPr>
                <w:spacing w:val="-48"/>
                <w:sz w:val="24"/>
                <w:szCs w:val="24"/>
                <w:highlight w:val="none"/>
              </w:rPr>
              <w:t xml:space="preserve"> </w:t>
            </w:r>
            <w:r>
              <w:rPr>
                <w:spacing w:val="-3"/>
                <w:sz w:val="24"/>
                <w:szCs w:val="24"/>
                <w:highlight w:val="none"/>
              </w:rPr>
              <w:t>2</w:t>
            </w:r>
            <w:r>
              <w:rPr>
                <w:spacing w:val="-48"/>
                <w:sz w:val="24"/>
                <w:szCs w:val="24"/>
                <w:highlight w:val="none"/>
              </w:rPr>
              <w:t xml:space="preserve"> </w:t>
            </w:r>
            <w:r>
              <w:rPr>
                <w:spacing w:val="-3"/>
                <w:sz w:val="24"/>
                <w:szCs w:val="24"/>
                <w:highlight w:val="none"/>
              </w:rPr>
              <w:t>分，备品备件</w:t>
            </w:r>
            <w:r>
              <w:rPr>
                <w:sz w:val="24"/>
                <w:szCs w:val="24"/>
                <w:highlight w:val="none"/>
              </w:rPr>
              <w:t xml:space="preserve"> </w:t>
            </w:r>
            <w:r>
              <w:rPr>
                <w:spacing w:val="-3"/>
                <w:sz w:val="24"/>
                <w:szCs w:val="24"/>
                <w:highlight w:val="none"/>
              </w:rPr>
              <w:t>较为完备、充足，并有方案说明得</w:t>
            </w:r>
            <w:r>
              <w:rPr>
                <w:spacing w:val="-28"/>
                <w:sz w:val="24"/>
                <w:szCs w:val="24"/>
                <w:highlight w:val="none"/>
              </w:rPr>
              <w:t xml:space="preserve"> </w:t>
            </w:r>
            <w:r>
              <w:rPr>
                <w:spacing w:val="-3"/>
                <w:sz w:val="24"/>
                <w:szCs w:val="24"/>
                <w:highlight w:val="none"/>
              </w:rPr>
              <w:t>1</w:t>
            </w:r>
            <w:r>
              <w:rPr>
                <w:spacing w:val="-48"/>
                <w:sz w:val="24"/>
                <w:szCs w:val="24"/>
                <w:highlight w:val="none"/>
              </w:rPr>
              <w:t xml:space="preserve"> </w:t>
            </w:r>
            <w:r>
              <w:rPr>
                <w:spacing w:val="-3"/>
                <w:sz w:val="24"/>
                <w:szCs w:val="24"/>
                <w:highlight w:val="none"/>
              </w:rPr>
              <w:t>分，未提供备品备件方案说</w:t>
            </w:r>
            <w:r>
              <w:rPr>
                <w:sz w:val="24"/>
                <w:szCs w:val="24"/>
                <w:highlight w:val="none"/>
              </w:rPr>
              <w:t xml:space="preserve"> </w:t>
            </w:r>
            <w:r>
              <w:rPr>
                <w:spacing w:val="-7"/>
                <w:sz w:val="24"/>
                <w:szCs w:val="24"/>
                <w:highlight w:val="none"/>
              </w:rPr>
              <w:t>明得</w:t>
            </w:r>
            <w:r>
              <w:rPr>
                <w:spacing w:val="-48"/>
                <w:sz w:val="24"/>
                <w:szCs w:val="24"/>
                <w:highlight w:val="none"/>
              </w:rPr>
              <w:t xml:space="preserve"> </w:t>
            </w:r>
            <w:r>
              <w:rPr>
                <w:spacing w:val="-7"/>
                <w:sz w:val="24"/>
                <w:szCs w:val="24"/>
                <w:highlight w:val="none"/>
              </w:rPr>
              <w:t>0</w:t>
            </w:r>
            <w:r>
              <w:rPr>
                <w:spacing w:val="-48"/>
                <w:sz w:val="24"/>
                <w:szCs w:val="24"/>
                <w:highlight w:val="none"/>
              </w:rPr>
              <w:t xml:space="preserve"> </w:t>
            </w:r>
            <w:r>
              <w:rPr>
                <w:spacing w:val="-7"/>
                <w:sz w:val="24"/>
                <w:szCs w:val="24"/>
                <w:highlight w:val="none"/>
              </w:rPr>
              <w:t>分。</w:t>
            </w:r>
          </w:p>
        </w:tc>
      </w:tr>
    </w:tbl>
    <w:p w14:paraId="791DA7F2">
      <w:pPr>
        <w:rPr>
          <w:rFonts w:ascii="Arial"/>
          <w:sz w:val="21"/>
          <w:highlight w:val="none"/>
        </w:rPr>
      </w:pPr>
    </w:p>
    <w:p w14:paraId="72728901">
      <w:pPr>
        <w:rPr>
          <w:rFonts w:ascii="Arial" w:hAnsi="Arial" w:eastAsia="Arial" w:cs="Arial"/>
          <w:sz w:val="21"/>
          <w:szCs w:val="21"/>
          <w:highlight w:val="none"/>
        </w:rPr>
        <w:sectPr>
          <w:footerReference r:id="rId16" w:type="default"/>
          <w:pgSz w:w="11907" w:h="16840"/>
          <w:pgMar w:top="400" w:right="1131" w:bottom="1199" w:left="1021" w:header="0" w:footer="982" w:gutter="0"/>
          <w:cols w:space="720" w:num="1"/>
        </w:sectPr>
      </w:pPr>
    </w:p>
    <w:p w14:paraId="41C20564">
      <w:pPr>
        <w:spacing w:line="242" w:lineRule="auto"/>
        <w:rPr>
          <w:rFonts w:ascii="Arial"/>
          <w:sz w:val="21"/>
          <w:highlight w:val="none"/>
        </w:rPr>
      </w:pPr>
    </w:p>
    <w:p w14:paraId="2E029BB6">
      <w:pPr>
        <w:outlineLvl w:val="9"/>
        <w:rPr>
          <w:rFonts w:hint="eastAsia" w:ascii="仿宋" w:hAnsi="仿宋" w:eastAsia="仿宋" w:cs="仿宋"/>
          <w:color w:val="auto"/>
          <w:highlight w:val="none"/>
          <w:lang w:val="en-US" w:eastAsia="zh-CN"/>
        </w:rPr>
      </w:pPr>
    </w:p>
    <w:p w14:paraId="0903F819">
      <w:pPr>
        <w:outlineLvl w:val="9"/>
        <w:rPr>
          <w:rFonts w:hint="eastAsia" w:ascii="仿宋" w:hAnsi="仿宋" w:eastAsia="仿宋" w:cs="仿宋"/>
          <w:color w:val="auto"/>
          <w:highlight w:val="none"/>
          <w:lang w:val="en-US" w:eastAsia="zh-CN"/>
        </w:rPr>
      </w:pPr>
    </w:p>
    <w:p w14:paraId="042D52AF">
      <w:pPr>
        <w:spacing w:before="0" w:line="240" w:lineRule="atLeast"/>
        <w:jc w:val="left"/>
        <w:outlineLvl w:val="9"/>
        <w:rPr>
          <w:rFonts w:hint="eastAsia" w:ascii="仿宋" w:hAnsi="仿宋" w:eastAsia="仿宋" w:cs="仿宋"/>
          <w:color w:val="auto"/>
          <w:sz w:val="28"/>
          <w:szCs w:val="28"/>
          <w:highlight w:val="none"/>
        </w:rPr>
      </w:pPr>
      <w:bookmarkStart w:id="795" w:name="_Toc25113"/>
      <w:r>
        <w:rPr>
          <w:rFonts w:hint="eastAsia" w:ascii="仿宋" w:hAnsi="仿宋" w:eastAsia="仿宋" w:cs="仿宋"/>
          <w:color w:val="auto"/>
          <w:sz w:val="28"/>
          <w:szCs w:val="28"/>
          <w:highlight w:val="none"/>
        </w:rPr>
        <w:t>九、推荐中标候选人</w:t>
      </w:r>
      <w:bookmarkEnd w:id="795"/>
    </w:p>
    <w:p w14:paraId="439C41FA">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11.评标委员会</w:t>
      </w:r>
      <w:r>
        <w:rPr>
          <w:rFonts w:hint="eastAsia" w:ascii="仿宋" w:hAnsi="仿宋" w:eastAsia="仿宋" w:cs="仿宋"/>
          <w:color w:val="auto"/>
          <w:sz w:val="28"/>
          <w:szCs w:val="28"/>
          <w:highlight w:val="none"/>
          <w:lang w:val="en-US" w:eastAsia="zh-CN"/>
        </w:rPr>
        <w:t>每包</w:t>
      </w:r>
      <w:r>
        <w:rPr>
          <w:rFonts w:hint="eastAsia" w:ascii="仿宋" w:hAnsi="仿宋" w:eastAsia="仿宋" w:cs="仿宋"/>
          <w:color w:val="auto"/>
          <w:sz w:val="28"/>
          <w:szCs w:val="28"/>
          <w:highlight w:val="none"/>
        </w:rPr>
        <w:t>推荐3名中标候选人，并标明排序。</w:t>
      </w:r>
    </w:p>
    <w:p w14:paraId="04DB6B40">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12.无效投标条款</w:t>
      </w:r>
    </w:p>
    <w:p w14:paraId="2B73C99B">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12.1投标文件有下列情形之一的,其投标文件拒收:</w:t>
      </w:r>
    </w:p>
    <w:p w14:paraId="1786D2E3">
      <w:pPr>
        <w:snapToGrid w:val="0"/>
        <w:spacing w:line="400" w:lineRule="exact"/>
        <w:ind w:firstLine="490" w:firstLineChars="1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(1)未在开标截止时间前通过网上招标投标系统递交有效电子投标文件的，开标系统不予接收。</w:t>
      </w:r>
    </w:p>
    <w:p w14:paraId="4F0D4351">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所有投标人应在规定时间里完成投标文件的解密工作【投标人使用其有效加密锁（CA锁）进行解密（因投标人原因未能提供有效CA锁对其投标文件进行解密的，其投标文件按无效标处理），以网上招投标系统解密倒计时为准】，因系统原因未能成功解密的投标文件，可导入备份投标文件。备份投标文件也无法导入的，则投标文件被否决。</w:t>
      </w:r>
    </w:p>
    <w:p w14:paraId="3C9A70A1">
      <w:pPr>
        <w:snapToGrid w:val="0"/>
        <w:spacing w:line="400" w:lineRule="exact"/>
        <w:ind w:firstLine="490" w:firstLineChars="1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12.2投标人有下列情形之一的,资格审查后其投标作无效投标处理：</w:t>
      </w:r>
    </w:p>
    <w:p w14:paraId="7A060832">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(1)法定代表人参加开标会议未携带有效的法定代表人身份证明原件和本人身份证的；委托代理人参加开标会议未携带有效的法定代表人授权书和本人身份证；</w:t>
      </w:r>
    </w:p>
    <w:p w14:paraId="4B726378">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(2)投标人为本项目提供招标代理服务的；</w:t>
      </w:r>
    </w:p>
    <w:p w14:paraId="5E9E99EB">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(3)投标人与在本项目代理机构存在相互任职或工作的；</w:t>
      </w:r>
    </w:p>
    <w:p w14:paraId="60D17EFA">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(4)投标保证金未按规定要求缴纳的；</w:t>
      </w:r>
    </w:p>
    <w:p w14:paraId="02A6C293">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(5)评标专家无法查看并检验电子标书中相关资料的；</w:t>
      </w:r>
    </w:p>
    <w:p w14:paraId="25D49C11">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(6)投标人超出营业范围投标的；</w:t>
      </w:r>
    </w:p>
    <w:p w14:paraId="2EA61CB3">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(7)联合体投标未提交联合体协议的；</w:t>
      </w:r>
    </w:p>
    <w:p w14:paraId="6C38D33D">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(8)被暂停营业的；</w:t>
      </w:r>
    </w:p>
    <w:p w14:paraId="39545031">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(9)被暂停或取消投标资格的；</w:t>
      </w:r>
    </w:p>
    <w:p w14:paraId="20701CC2">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(10)财产被接管或冻结的；</w:t>
      </w:r>
    </w:p>
    <w:p w14:paraId="127BBDD7">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(11)投标人单位负责人为同一人或者存在控股、管理关系的不同单位的；</w:t>
      </w:r>
    </w:p>
    <w:p w14:paraId="632C9B84">
      <w:pPr>
        <w:snapToGrid w:val="0"/>
        <w:spacing w:line="400" w:lineRule="exact"/>
        <w:ind w:firstLine="420" w:firstLineChars="15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（12）投标人基本资格条件和特定资格条件中有一项及以上不符合要求的；</w:t>
      </w:r>
    </w:p>
    <w:p w14:paraId="1CC17374">
      <w:pPr>
        <w:snapToGrid w:val="0"/>
        <w:spacing w:line="400" w:lineRule="exact"/>
        <w:ind w:firstLine="420" w:firstLineChars="15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（13）投标人使用相同的MAC地址进行报名的；</w:t>
      </w:r>
    </w:p>
    <w:p w14:paraId="588F9F2B">
      <w:pPr>
        <w:snapToGrid w:val="0"/>
        <w:spacing w:line="400" w:lineRule="exact"/>
        <w:ind w:firstLine="420" w:firstLineChars="15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（14）其它情形，经评标委员会委提出按无效投标处理，并经公共资源交易监督部门核准的；</w:t>
      </w:r>
    </w:p>
    <w:p w14:paraId="10C3704D">
      <w:pPr>
        <w:snapToGrid w:val="0"/>
        <w:spacing w:line="400" w:lineRule="exact"/>
        <w:ind w:firstLine="420" w:firstLineChars="15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（15）投标人使用相同IP地址报名的，一经发现，监管部门将进一步核实，查实后按串通投标处理；</w:t>
      </w:r>
    </w:p>
    <w:p w14:paraId="0453A8C9">
      <w:pPr>
        <w:snapToGrid w:val="0"/>
        <w:spacing w:line="400" w:lineRule="exact"/>
        <w:ind w:firstLine="420" w:firstLineChars="15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（16）采购文件规定的其它无效投标情形。</w:t>
      </w:r>
    </w:p>
    <w:p w14:paraId="3141C781">
      <w:pPr>
        <w:snapToGrid w:val="0"/>
        <w:spacing w:line="400" w:lineRule="exact"/>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12.3 投标人有下列情形之一的,符合性审查后其投标按无效投标处理：</w:t>
      </w:r>
    </w:p>
    <w:p w14:paraId="2E0127C6">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 投标文件签章、盖章不全，经评标委员会一致认定对开评标内容有实质性影响并经监督部门核准的；</w:t>
      </w:r>
    </w:p>
    <w:p w14:paraId="5073EB95">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(2)未按规定的格式填写，实质性内容不全或关键字迹模糊、无法辨认; 经监督部门核准的；</w:t>
      </w:r>
    </w:p>
    <w:p w14:paraId="2182D5A4">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(4)同一投标人提交两个以上不同的投标文件或者投标报价，但采购文件规定提交备选方案的除外；</w:t>
      </w:r>
    </w:p>
    <w:p w14:paraId="26C8A557">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(3)投标文件没有对采购文件的实质性要求和条件作出响应;</w:t>
      </w:r>
    </w:p>
    <w:p w14:paraId="5C918EB6">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(4)投标报价超出规定的投标限价或公布的采购预算的；注：投标人的投标报价各项单价均不得高于招标文件给定的单价最高限价，否则，其投标文件将按无效投标处理。</w:t>
      </w:r>
    </w:p>
    <w:p w14:paraId="091CE0E0">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(5)不按评标委员会要求澄清、说明或补正的，或者评标委员会根据采购文件的规定对采购文件的计算错误进行修正后，投标人不接受修正的投标报价的。</w:t>
      </w:r>
    </w:p>
    <w:p w14:paraId="36A70611">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（6）其它情形，经评标委员会委提出按无效投标处理，并经公共资源交易监督部门核准的；</w:t>
      </w:r>
    </w:p>
    <w:p w14:paraId="1252E600">
      <w:pPr>
        <w:widowControl/>
        <w:spacing w:line="5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（7）未按照招标文件的规定提交投标保证金的；</w:t>
      </w:r>
    </w:p>
    <w:p w14:paraId="75ED819E">
      <w:pPr>
        <w:widowControl/>
        <w:spacing w:line="5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（8）投标文件含有采购人不能接受的附加条件的;</w:t>
      </w:r>
    </w:p>
    <w:p w14:paraId="7B3D9A05">
      <w:pPr>
        <w:tabs>
          <w:tab w:val="left" w:pos="1123"/>
        </w:tabs>
        <w:snapToGrid w:val="0"/>
        <w:spacing w:line="5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（9）采购文件规定的其它无效投标情形。</w:t>
      </w:r>
    </w:p>
    <w:p w14:paraId="4691DA3D">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12.4 投标人有下列情形之一的, 详细评审后其投标按无效投标处理：</w:t>
      </w:r>
    </w:p>
    <w:p w14:paraId="1128AFD5">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(1)投标产品不符合必须强制执行的国家标准的；</w:t>
      </w:r>
    </w:p>
    <w:p w14:paraId="123DCAB9">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(2)投标人有串通投标、弄虚作假、行贿等违法行为；</w:t>
      </w:r>
    </w:p>
    <w:p w14:paraId="290D001A">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(3)投标文件含有违反国家法律、法规的内容，或附有招标人不能接受的条件的；</w:t>
      </w:r>
    </w:p>
    <w:p w14:paraId="02A58558">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（4）在同一项目（或同一</w:t>
      </w:r>
      <w:r>
        <w:rPr>
          <w:rFonts w:hint="eastAsia" w:ascii="仿宋" w:hAnsi="仿宋" w:eastAsia="仿宋" w:cs="仿宋"/>
          <w:color w:val="auto"/>
          <w:sz w:val="28"/>
          <w:szCs w:val="28"/>
          <w:highlight w:val="none"/>
          <w:lang w:eastAsia="zh-CN"/>
        </w:rPr>
        <w:t>包</w:t>
      </w:r>
      <w:r>
        <w:rPr>
          <w:rFonts w:hint="eastAsia" w:ascii="仿宋" w:hAnsi="仿宋" w:eastAsia="仿宋" w:cs="仿宋"/>
          <w:color w:val="auto"/>
          <w:sz w:val="28"/>
          <w:szCs w:val="28"/>
          <w:highlight w:val="none"/>
        </w:rPr>
        <w:t>）中有多个投标人有效投标报价接近最高限价，且评标委员会认为报价出现异常的，可以宣布其投标无效；</w:t>
      </w:r>
    </w:p>
    <w:p w14:paraId="13234EAF">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（5）报价明显低于其他投标人，且不能证明报价合理性的投标无效；</w:t>
      </w:r>
    </w:p>
    <w:p w14:paraId="5A2811BB">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（6）拒不确认评标委员会评审修正的投标无效；</w:t>
      </w:r>
    </w:p>
    <w:p w14:paraId="3F7E58A3">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（7）其它情形，经评标委员会委提出按无效投标处理，并经公共资源交易监督部门核准的；</w:t>
      </w:r>
    </w:p>
    <w:p w14:paraId="7E007838">
      <w:pPr>
        <w:snapToGrid w:val="0"/>
        <w:spacing w:line="400" w:lineRule="exact"/>
        <w:ind w:firstLine="560" w:firstLineChars="200"/>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（8）采购文件规定的其它无效投标情</w:t>
      </w:r>
      <w:r>
        <w:rPr>
          <w:rFonts w:hint="eastAsia" w:ascii="仿宋" w:hAnsi="仿宋" w:eastAsia="仿宋" w:cs="仿宋"/>
          <w:color w:val="auto"/>
          <w:sz w:val="28"/>
          <w:szCs w:val="28"/>
          <w:highlight w:val="none"/>
          <w:lang w:val="en-US" w:eastAsia="zh-CN"/>
        </w:rPr>
        <w:t>况</w:t>
      </w:r>
    </w:p>
    <w:p w14:paraId="0151BB63">
      <w:pPr>
        <w:snapToGrid w:val="0"/>
        <w:spacing w:line="400" w:lineRule="exact"/>
        <w:ind w:firstLine="560" w:firstLineChars="200"/>
        <w:outlineLvl w:val="9"/>
        <w:rPr>
          <w:rFonts w:hint="eastAsia" w:ascii="仿宋" w:hAnsi="仿宋" w:eastAsia="仿宋" w:cs="仿宋"/>
          <w:color w:val="auto"/>
          <w:sz w:val="28"/>
          <w:szCs w:val="28"/>
          <w:highlight w:val="none"/>
        </w:rPr>
      </w:pPr>
    </w:p>
    <w:p w14:paraId="4D2751FF">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根据《政府采购促进中小企业发展管理办法》(财库「2020]46号)、《关于进一步加大政府采购支持中小企业力度的通知》(财库[2022]19号)《关于落实好政府采购支持中小企业发展的通知》（新财购〔2022〕22号）、的规定。对满足价格扣除条件其投标报价扣除</w:t>
      </w:r>
      <w:r>
        <w:rPr>
          <w:rFonts w:hint="eastAsia" w:ascii="仿宋" w:hAnsi="仿宋" w:eastAsia="仿宋" w:cs="仿宋"/>
          <w:color w:val="auto"/>
          <w:sz w:val="28"/>
          <w:szCs w:val="28"/>
          <w:highlight w:val="none"/>
          <w:lang w:eastAsia="zh-CN"/>
        </w:rPr>
        <w:t>10%-20%</w:t>
      </w:r>
      <w:r>
        <w:rPr>
          <w:rFonts w:hint="eastAsia" w:ascii="仿宋" w:hAnsi="仿宋" w:eastAsia="仿宋" w:cs="仿宋"/>
          <w:color w:val="auto"/>
          <w:sz w:val="28"/>
          <w:szCs w:val="28"/>
          <w:highlight w:val="none"/>
        </w:rPr>
        <w:t>后参与评审。具体办法详见招标文件第6章。</w:t>
      </w:r>
    </w:p>
    <w:p w14:paraId="3511D74A">
      <w:pPr>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2.联合协议中约定，小型、微型企业的协议合同金额占到联合体协议合同总金额30%以上的，可给予联合体</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%的价格扣除。</w:t>
      </w:r>
    </w:p>
    <w:p w14:paraId="2C4E69CE">
      <w:pPr>
        <w:spacing w:line="400" w:lineRule="exact"/>
        <w:ind w:firstLine="560" w:firstLineChars="200"/>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联合体各方均为小型、微型企业的，联合体视同为小型、微型企业</w:t>
      </w:r>
      <w:r>
        <w:rPr>
          <w:rFonts w:hint="eastAsia" w:ascii="仿宋" w:hAnsi="仿宋" w:eastAsia="仿宋" w:cs="仿宋"/>
          <w:color w:val="auto"/>
          <w:sz w:val="28"/>
          <w:szCs w:val="28"/>
          <w:highlight w:val="none"/>
          <w:lang w:eastAsia="zh-CN"/>
        </w:rPr>
        <w:t>，</w:t>
      </w:r>
    </w:p>
    <w:p w14:paraId="09A2897C">
      <w:pPr>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3.投标人所投产品如被列入财政部与国家主管部门颁发的节能产品目录或环境标志产品目录或无线局域网产品目录，应提供相关证明，在评标时予以优先采购，具体优惠措施为：</w:t>
      </w:r>
      <w:r>
        <w:rPr>
          <w:rFonts w:hint="eastAsia" w:ascii="仿宋" w:hAnsi="仿宋" w:eastAsia="仿宋" w:cs="仿宋"/>
          <w:color w:val="auto"/>
          <w:sz w:val="28"/>
          <w:szCs w:val="28"/>
          <w:highlight w:val="none"/>
          <w:u w:val="single"/>
        </w:rPr>
        <w:t xml:space="preserve">   无        </w:t>
      </w:r>
    </w:p>
    <w:p w14:paraId="248D146E">
      <w:pPr>
        <w:pStyle w:val="7"/>
        <w:tabs>
          <w:tab w:val="clear" w:pos="567"/>
        </w:tabs>
        <w:spacing w:before="0" w:line="360" w:lineRule="auto"/>
        <w:ind w:left="-181" w:leftChars="-86" w:firstLine="770" w:firstLineChars="2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4.如采购人所采购产品为政府强制采购的节能产品，投标人所投产品的品牌及型号必须为清单中有效期内产品并提供证明文件，否则其投标将被认定为投标无效。</w:t>
      </w:r>
    </w:p>
    <w:p w14:paraId="26B0A872">
      <w:pPr>
        <w:pStyle w:val="7"/>
        <w:tabs>
          <w:tab w:val="clear" w:pos="567"/>
        </w:tabs>
        <w:spacing w:before="0" w:line="360" w:lineRule="auto"/>
        <w:ind w:left="-181" w:leftChars="-86" w:firstLine="770" w:firstLineChars="2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5.对创新产品或创新性企业的优惠措施为：</w:t>
      </w:r>
      <w:r>
        <w:rPr>
          <w:rFonts w:hint="eastAsia" w:ascii="仿宋" w:hAnsi="仿宋" w:eastAsia="仿宋" w:cs="仿宋"/>
          <w:color w:val="auto"/>
          <w:sz w:val="28"/>
          <w:szCs w:val="28"/>
          <w:highlight w:val="none"/>
          <w:u w:val="single"/>
        </w:rPr>
        <w:t xml:space="preserve">          无             </w:t>
      </w:r>
    </w:p>
    <w:p w14:paraId="5668C8E2">
      <w:pPr>
        <w:pStyle w:val="7"/>
        <w:tabs>
          <w:tab w:val="clear" w:pos="567"/>
        </w:tabs>
        <w:spacing w:before="0" w:line="360" w:lineRule="auto"/>
        <w:ind w:left="-181" w:leftChars="-86" w:firstLine="770" w:firstLineChars="275"/>
        <w:outlineLvl w:val="9"/>
        <w:rPr>
          <w:rFonts w:hint="eastAsia" w:ascii="仿宋" w:hAnsi="仿宋" w:eastAsia="仿宋" w:cs="仿宋"/>
          <w:color w:val="auto"/>
          <w:sz w:val="28"/>
          <w:szCs w:val="28"/>
          <w:highlight w:val="none"/>
        </w:rPr>
      </w:pPr>
      <w:bookmarkStart w:id="796" w:name="_Toc28444"/>
      <w:bookmarkStart w:id="797" w:name="_Toc25391"/>
      <w:bookmarkStart w:id="798" w:name="_Toc29014"/>
      <w:bookmarkStart w:id="799" w:name="_Toc11242"/>
      <w:bookmarkStart w:id="800" w:name="_Toc24236"/>
      <w:r>
        <w:rPr>
          <w:rFonts w:hint="eastAsia" w:ascii="仿宋" w:hAnsi="仿宋" w:eastAsia="仿宋" w:cs="仿宋"/>
          <w:color w:val="auto"/>
          <w:sz w:val="28"/>
          <w:szCs w:val="28"/>
          <w:highlight w:val="none"/>
        </w:rPr>
        <w:t>6.同品牌处理办法：</w:t>
      </w:r>
      <w:bookmarkEnd w:id="796"/>
      <w:bookmarkEnd w:id="797"/>
      <w:bookmarkEnd w:id="798"/>
      <w:bookmarkEnd w:id="799"/>
      <w:bookmarkEnd w:id="800"/>
    </w:p>
    <w:p w14:paraId="1D7D100F">
      <w:pPr>
        <w:pStyle w:val="7"/>
        <w:tabs>
          <w:tab w:val="clear" w:pos="567"/>
        </w:tabs>
        <w:spacing w:before="0" w:line="360" w:lineRule="auto"/>
        <w:ind w:left="-181" w:leftChars="-86" w:firstLine="210" w:firstLineChars="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如采用最低评标办法，则：</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w:t>
      </w:r>
    </w:p>
    <w:p w14:paraId="57643C55">
      <w:pPr>
        <w:pStyle w:val="7"/>
        <w:tabs>
          <w:tab w:val="clear" w:pos="567"/>
        </w:tabs>
        <w:spacing w:before="0" w:line="360" w:lineRule="auto"/>
        <w:ind w:left="-181" w:leftChars="-86" w:firstLine="210" w:firstLineChars="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如采用综合评</w:t>
      </w:r>
      <w:r>
        <w:rPr>
          <w:rFonts w:hint="eastAsia" w:ascii="仿宋" w:hAnsi="仿宋" w:eastAsia="仿宋" w:cs="仿宋"/>
          <w:color w:val="auto"/>
          <w:sz w:val="28"/>
          <w:szCs w:val="28"/>
          <w:highlight w:val="none"/>
          <w:lang w:val="en-US" w:eastAsia="zh-CN"/>
        </w:rPr>
        <w:t>分</w:t>
      </w:r>
      <w:r>
        <w:rPr>
          <w:rFonts w:hint="eastAsia" w:ascii="仿宋" w:hAnsi="仿宋" w:eastAsia="仿宋" w:cs="仿宋"/>
          <w:color w:val="auto"/>
          <w:sz w:val="28"/>
          <w:szCs w:val="28"/>
          <w:highlight w:val="none"/>
        </w:rPr>
        <w:t>法，则：</w:t>
      </w:r>
      <w:r>
        <w:rPr>
          <w:rFonts w:hint="eastAsia" w:ascii="仿宋" w:hAnsi="仿宋" w:eastAsia="仿宋" w:cs="仿宋"/>
          <w:color w:val="auto"/>
          <w:sz w:val="28"/>
          <w:szCs w:val="28"/>
          <w:highlight w:val="none"/>
          <w:u w:val="singl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r>
        <w:rPr>
          <w:rFonts w:hint="eastAsia" w:ascii="仿宋" w:hAnsi="仿宋" w:eastAsia="仿宋" w:cs="仿宋"/>
          <w:color w:val="auto"/>
          <w:sz w:val="28"/>
          <w:szCs w:val="28"/>
          <w:highlight w:val="none"/>
        </w:rPr>
        <w:t>。</w:t>
      </w:r>
    </w:p>
    <w:p w14:paraId="499683DF">
      <w:pPr>
        <w:pStyle w:val="7"/>
        <w:tabs>
          <w:tab w:val="clear" w:pos="567"/>
        </w:tabs>
        <w:spacing w:before="0" w:line="360" w:lineRule="auto"/>
        <w:ind w:left="-181" w:leftChars="-86" w:firstLine="770" w:firstLineChars="275"/>
        <w:outlineLvl w:val="9"/>
        <w:rPr>
          <w:rFonts w:hint="eastAsia" w:ascii="仿宋" w:hAnsi="仿宋" w:eastAsia="仿宋" w:cs="仿宋"/>
          <w:color w:val="auto"/>
          <w:sz w:val="28"/>
          <w:szCs w:val="28"/>
          <w:highlight w:val="none"/>
        </w:rPr>
      </w:pPr>
      <w:bookmarkStart w:id="801" w:name="_Toc746"/>
      <w:bookmarkStart w:id="802" w:name="_Toc4726"/>
      <w:bookmarkStart w:id="803" w:name="_Toc24241"/>
      <w:bookmarkStart w:id="804" w:name="_Toc21749"/>
      <w:bookmarkStart w:id="805" w:name="_Toc16560"/>
      <w:r>
        <w:rPr>
          <w:rFonts w:hint="eastAsia" w:ascii="仿宋" w:hAnsi="仿宋" w:eastAsia="仿宋" w:cs="仿宋"/>
          <w:color w:val="auto"/>
          <w:sz w:val="28"/>
          <w:szCs w:val="28"/>
          <w:highlight w:val="none"/>
        </w:rPr>
        <w:t>7.中标候选人并列式时的处理方式：</w:t>
      </w:r>
      <w:bookmarkEnd w:id="801"/>
      <w:bookmarkEnd w:id="802"/>
      <w:bookmarkEnd w:id="803"/>
      <w:bookmarkEnd w:id="804"/>
      <w:bookmarkEnd w:id="805"/>
      <w:r>
        <w:rPr>
          <w:rFonts w:hint="eastAsia" w:ascii="仿宋" w:hAnsi="仿宋" w:eastAsia="仿宋" w:cs="仿宋"/>
          <w:color w:val="auto"/>
          <w:sz w:val="28"/>
          <w:szCs w:val="28"/>
          <w:highlight w:val="none"/>
        </w:rPr>
        <w:t xml:space="preserve">   </w:t>
      </w:r>
    </w:p>
    <w:p w14:paraId="67B4D370">
      <w:pPr>
        <w:pStyle w:val="7"/>
        <w:tabs>
          <w:tab w:val="clear" w:pos="567"/>
        </w:tabs>
        <w:spacing w:before="0" w:line="360" w:lineRule="auto"/>
        <w:ind w:left="-181" w:leftChars="-86" w:firstLine="210" w:firstLineChars="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如采用最低评标办法，则：</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w:t>
      </w:r>
    </w:p>
    <w:p w14:paraId="1D624134">
      <w:pPr>
        <w:pStyle w:val="7"/>
        <w:tabs>
          <w:tab w:val="clear" w:pos="567"/>
        </w:tabs>
        <w:spacing w:before="0" w:line="360" w:lineRule="auto"/>
        <w:ind w:left="-181" w:leftChars="-86" w:firstLine="210" w:firstLineChars="75"/>
        <w:outlineLvl w:val="9"/>
        <w:rPr>
          <w:rFonts w:hint="eastAsia" w:ascii="仿宋" w:hAnsi="仿宋" w:eastAsia="仿宋" w:cs="仿宋"/>
          <w:bCs/>
          <w:color w:val="auto"/>
          <w:sz w:val="56"/>
          <w:szCs w:val="56"/>
          <w:highlight w:val="none"/>
          <w:lang w:eastAsia="zh-CN"/>
        </w:rPr>
      </w:pPr>
      <w:r>
        <w:rPr>
          <w:rFonts w:hint="eastAsia" w:ascii="仿宋" w:hAnsi="仿宋" w:eastAsia="仿宋" w:cs="仿宋"/>
          <w:color w:val="auto"/>
          <w:sz w:val="28"/>
          <w:szCs w:val="28"/>
          <w:highlight w:val="none"/>
        </w:rPr>
        <w:t>如采用综合评标法，则：</w:t>
      </w:r>
      <w:r>
        <w:rPr>
          <w:rFonts w:hint="eastAsia" w:ascii="仿宋" w:hAnsi="仿宋" w:eastAsia="仿宋" w:cs="仿宋"/>
          <w:color w:val="auto"/>
          <w:sz w:val="28"/>
          <w:szCs w:val="28"/>
          <w:highlight w:val="none"/>
          <w:u w:val="singl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按得分高低）</w:t>
      </w:r>
      <w:r>
        <w:rPr>
          <w:rFonts w:hint="eastAsia" w:ascii="仿宋" w:hAnsi="仿宋" w:eastAsia="仿宋" w:cs="仿宋"/>
          <w:color w:val="auto"/>
          <w:sz w:val="28"/>
          <w:szCs w:val="28"/>
          <w:highlight w:val="none"/>
        </w:rPr>
        <w:t xml:space="preserve"> 。</w:t>
      </w:r>
    </w:p>
    <w:p w14:paraId="2FE5E601">
      <w:pPr>
        <w:rPr>
          <w:rFonts w:hint="eastAsia" w:ascii="仿宋" w:hAnsi="仿宋" w:eastAsia="仿宋" w:cs="仿宋"/>
          <w:b/>
          <w:bCs w:val="0"/>
          <w:color w:val="auto"/>
          <w:sz w:val="52"/>
          <w:szCs w:val="52"/>
          <w:highlight w:val="none"/>
          <w:lang w:eastAsia="zh-CN"/>
        </w:rPr>
      </w:pPr>
      <w:r>
        <w:rPr>
          <w:rFonts w:hint="eastAsia" w:ascii="仿宋" w:hAnsi="仿宋" w:eastAsia="仿宋" w:cs="仿宋"/>
          <w:b/>
          <w:bCs w:val="0"/>
          <w:color w:val="auto"/>
          <w:sz w:val="52"/>
          <w:szCs w:val="52"/>
          <w:highlight w:val="none"/>
          <w:lang w:eastAsia="zh-CN"/>
        </w:rPr>
        <w:br w:type="page"/>
      </w:r>
    </w:p>
    <w:p w14:paraId="17CDE108">
      <w:pPr>
        <w:spacing w:line="240" w:lineRule="atLeast"/>
        <w:jc w:val="center"/>
        <w:outlineLvl w:val="9"/>
        <w:rPr>
          <w:rFonts w:hint="eastAsia" w:ascii="仿宋" w:hAnsi="仿宋" w:eastAsia="仿宋" w:cs="仿宋"/>
          <w:b/>
          <w:bCs w:val="0"/>
          <w:color w:val="auto"/>
          <w:sz w:val="52"/>
          <w:szCs w:val="52"/>
          <w:highlight w:val="none"/>
          <w:lang w:eastAsia="zh-CN"/>
        </w:rPr>
      </w:pPr>
      <w:r>
        <w:rPr>
          <w:rFonts w:hint="eastAsia" w:ascii="仿宋" w:hAnsi="仿宋" w:eastAsia="仿宋" w:cs="仿宋"/>
          <w:b/>
          <w:bCs w:val="0"/>
          <w:color w:val="auto"/>
          <w:sz w:val="52"/>
          <w:szCs w:val="52"/>
          <w:highlight w:val="none"/>
          <w:lang w:eastAsia="zh-CN"/>
        </w:rPr>
        <w:t>叶城县2025年宗朗乡产业园区鲜食玉米加工设备采购项目</w:t>
      </w:r>
    </w:p>
    <w:p w14:paraId="0B88FBB8">
      <w:pPr>
        <w:spacing w:line="240" w:lineRule="atLeast"/>
        <w:jc w:val="center"/>
        <w:outlineLvl w:val="9"/>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第</w:t>
      </w:r>
      <w:r>
        <w:rPr>
          <w:rFonts w:hint="eastAsia" w:ascii="仿宋" w:hAnsi="仿宋" w:eastAsia="仿宋" w:cs="仿宋"/>
          <w:b/>
          <w:color w:val="auto"/>
          <w:sz w:val="48"/>
          <w:szCs w:val="48"/>
          <w:highlight w:val="none"/>
          <w:lang w:val="en-US" w:eastAsia="zh-CN"/>
        </w:rPr>
        <w:t>三</w:t>
      </w:r>
      <w:r>
        <w:rPr>
          <w:rFonts w:hint="eastAsia" w:ascii="仿宋" w:hAnsi="仿宋" w:eastAsia="仿宋" w:cs="仿宋"/>
          <w:b/>
          <w:color w:val="auto"/>
          <w:sz w:val="48"/>
          <w:szCs w:val="48"/>
          <w:highlight w:val="none"/>
        </w:rPr>
        <w:t>册</w:t>
      </w:r>
    </w:p>
    <w:p w14:paraId="7F7151F0">
      <w:pPr>
        <w:spacing w:line="240" w:lineRule="atLeast"/>
        <w:jc w:val="center"/>
        <w:outlineLvl w:val="9"/>
        <w:rPr>
          <w:rFonts w:hint="eastAsia" w:ascii="仿宋" w:hAnsi="仿宋" w:eastAsia="仿宋" w:cs="仿宋"/>
          <w:b/>
          <w:bCs w:val="0"/>
          <w:color w:val="auto"/>
          <w:sz w:val="72"/>
          <w:szCs w:val="72"/>
          <w:highlight w:val="none"/>
        </w:rPr>
      </w:pPr>
    </w:p>
    <w:p w14:paraId="67E0DB44">
      <w:pPr>
        <w:spacing w:line="240" w:lineRule="atLeast"/>
        <w:jc w:val="center"/>
        <w:outlineLvl w:val="9"/>
        <w:rPr>
          <w:rFonts w:hint="eastAsia" w:ascii="仿宋" w:hAnsi="仿宋" w:eastAsia="仿宋" w:cs="仿宋"/>
          <w:bCs/>
          <w:color w:val="auto"/>
          <w:sz w:val="72"/>
          <w:szCs w:val="72"/>
          <w:highlight w:val="none"/>
        </w:rPr>
      </w:pPr>
      <w:r>
        <w:rPr>
          <w:rFonts w:hint="eastAsia" w:ascii="仿宋" w:hAnsi="仿宋" w:eastAsia="仿宋" w:cs="仿宋"/>
          <w:b/>
          <w:bCs w:val="0"/>
          <w:color w:val="auto"/>
          <w:sz w:val="72"/>
          <w:szCs w:val="72"/>
          <w:highlight w:val="none"/>
        </w:rPr>
        <w:t>招标文件</w:t>
      </w:r>
    </w:p>
    <w:p w14:paraId="51695831">
      <w:pPr>
        <w:spacing w:line="240" w:lineRule="atLeast"/>
        <w:ind w:left="1080" w:leftChars="257" w:hanging="540"/>
        <w:jc w:val="both"/>
        <w:rPr>
          <w:rFonts w:hint="eastAsia" w:ascii="仿宋" w:hAnsi="仿宋" w:eastAsia="仿宋" w:cs="仿宋"/>
          <w:b/>
          <w:color w:val="auto"/>
          <w:sz w:val="28"/>
          <w:highlight w:val="none"/>
          <w:lang w:val="en-US" w:eastAsia="zh-CN"/>
        </w:rPr>
      </w:pPr>
      <w:r>
        <w:rPr>
          <w:rFonts w:hint="eastAsia" w:ascii="仿宋" w:hAnsi="仿宋" w:eastAsia="仿宋" w:cs="仿宋"/>
          <w:b/>
          <w:color w:val="auto"/>
          <w:sz w:val="28"/>
          <w:highlight w:val="none"/>
          <w:lang w:val="en-US" w:eastAsia="zh-CN"/>
        </w:rPr>
        <w:t xml:space="preserve"> </w:t>
      </w:r>
    </w:p>
    <w:p w14:paraId="5EDD8995">
      <w:pPr>
        <w:widowControl w:val="0"/>
        <w:autoSpaceDE w:val="0"/>
        <w:autoSpaceDN w:val="0"/>
        <w:adjustRightInd w:val="0"/>
        <w:ind w:firstLine="420"/>
        <w:jc w:val="left"/>
        <w:rPr>
          <w:rFonts w:hint="eastAsia" w:ascii="仿宋" w:hAnsi="仿宋" w:eastAsia="仿宋" w:cs="仿宋"/>
          <w:b/>
          <w:color w:val="auto"/>
          <w:kern w:val="0"/>
          <w:sz w:val="28"/>
          <w:szCs w:val="20"/>
          <w:highlight w:val="none"/>
          <w:lang w:val="en-US" w:eastAsia="zh-CN" w:bidi="ar-SA"/>
        </w:rPr>
      </w:pPr>
    </w:p>
    <w:p w14:paraId="29AD6CA3">
      <w:pPr>
        <w:rPr>
          <w:rFonts w:hint="eastAsia" w:ascii="仿宋" w:hAnsi="仿宋" w:eastAsia="仿宋" w:cs="仿宋"/>
          <w:color w:val="auto"/>
          <w:highlight w:val="none"/>
        </w:rPr>
      </w:pPr>
    </w:p>
    <w:p w14:paraId="0C3B298A">
      <w:pPr>
        <w:spacing w:line="240" w:lineRule="atLeast"/>
        <w:ind w:left="1080" w:leftChars="257" w:hanging="540"/>
        <w:jc w:val="center"/>
        <w:rPr>
          <w:rFonts w:hint="eastAsia" w:ascii="仿宋" w:hAnsi="仿宋" w:eastAsia="仿宋" w:cs="仿宋"/>
          <w:b/>
          <w:color w:val="auto"/>
          <w:sz w:val="48"/>
          <w:szCs w:val="48"/>
          <w:highlight w:val="none"/>
        </w:rPr>
      </w:pPr>
    </w:p>
    <w:p w14:paraId="09EAAAF4">
      <w:pPr>
        <w:spacing w:line="240" w:lineRule="atLeast"/>
        <w:ind w:left="1080" w:leftChars="257" w:hanging="540"/>
        <w:jc w:val="center"/>
        <w:rPr>
          <w:rFonts w:hint="eastAsia" w:ascii="仿宋" w:hAnsi="仿宋" w:eastAsia="仿宋" w:cs="仿宋"/>
          <w:b/>
          <w:color w:val="auto"/>
          <w:sz w:val="52"/>
          <w:highlight w:val="none"/>
        </w:rPr>
      </w:pPr>
    </w:p>
    <w:p w14:paraId="4980C64E">
      <w:pPr>
        <w:spacing w:line="240" w:lineRule="atLeast"/>
        <w:ind w:left="-1"/>
        <w:jc w:val="left"/>
        <w:rPr>
          <w:rFonts w:hint="eastAsia" w:ascii="仿宋" w:hAnsi="仿宋" w:eastAsia="仿宋" w:cs="仿宋"/>
          <w:b/>
          <w:color w:val="auto"/>
          <w:sz w:val="40"/>
          <w:szCs w:val="40"/>
          <w:highlight w:val="none"/>
        </w:rPr>
      </w:pPr>
    </w:p>
    <w:p w14:paraId="7F981F02">
      <w:pPr>
        <w:spacing w:line="240" w:lineRule="atLeast"/>
        <w:ind w:left="1080" w:leftChars="257" w:hanging="540"/>
        <w:jc w:val="center"/>
        <w:rPr>
          <w:rFonts w:hint="eastAsia" w:ascii="仿宋" w:hAnsi="仿宋" w:eastAsia="仿宋" w:cs="仿宋"/>
          <w:b/>
          <w:color w:val="auto"/>
          <w:sz w:val="24"/>
          <w:highlight w:val="none"/>
        </w:rPr>
      </w:pPr>
    </w:p>
    <w:p w14:paraId="6C979085">
      <w:pPr>
        <w:rPr>
          <w:rFonts w:hint="eastAsia" w:ascii="仿宋" w:hAnsi="仿宋" w:eastAsia="仿宋" w:cs="仿宋"/>
          <w:color w:val="auto"/>
          <w:sz w:val="24"/>
          <w:highlight w:val="none"/>
        </w:rPr>
      </w:pPr>
    </w:p>
    <w:p w14:paraId="3E6B828B">
      <w:pPr>
        <w:spacing w:before="78" w:line="219" w:lineRule="auto"/>
        <w:ind w:left="38"/>
        <w:rPr>
          <w:rFonts w:ascii="宋体" w:hAnsi="宋体" w:eastAsia="宋体" w:cs="宋体"/>
          <w:sz w:val="24"/>
          <w:szCs w:val="24"/>
          <w:highlight w:val="none"/>
        </w:rPr>
      </w:pPr>
      <w:bookmarkStart w:id="806" w:name="_Toc26918"/>
      <w:bookmarkStart w:id="807" w:name="_Toc518923128"/>
      <w:bookmarkStart w:id="808" w:name="_Toc4052"/>
      <w:bookmarkStart w:id="809" w:name="_Toc6548"/>
      <w:bookmarkStart w:id="810" w:name="_Toc23018"/>
      <w:r>
        <w:rPr>
          <w:rFonts w:hint="eastAsia" w:ascii="仿宋" w:hAnsi="仿宋" w:eastAsia="仿宋" w:cs="仿宋"/>
          <w:color w:val="auto"/>
          <w:kern w:val="0"/>
          <w:szCs w:val="21"/>
          <w:highlight w:val="none"/>
        </w:rPr>
        <w:br w:type="page"/>
      </w:r>
      <w:bookmarkStart w:id="811" w:name="_Toc1833"/>
      <w:r>
        <w:rPr>
          <w:rFonts w:hint="eastAsia" w:ascii="仿宋" w:hAnsi="仿宋" w:eastAsia="仿宋" w:cs="仿宋"/>
          <w:color w:val="auto"/>
          <w:kern w:val="0"/>
          <w:sz w:val="36"/>
          <w:szCs w:val="22"/>
          <w:highlight w:val="none"/>
        </w:rPr>
        <w:t xml:space="preserve">第七章 </w:t>
      </w:r>
      <w:bookmarkEnd w:id="793"/>
      <w:bookmarkEnd w:id="806"/>
      <w:bookmarkEnd w:id="807"/>
      <w:bookmarkEnd w:id="808"/>
      <w:bookmarkEnd w:id="809"/>
      <w:bookmarkEnd w:id="810"/>
      <w:bookmarkEnd w:id="811"/>
      <w:r>
        <w:rPr>
          <w:rFonts w:ascii="宋体" w:hAnsi="宋体" w:eastAsia="宋体" w:cs="宋体"/>
          <w:spacing w:val="-3"/>
          <w:sz w:val="24"/>
          <w:szCs w:val="24"/>
          <w:highlight w:val="none"/>
        </w:rPr>
        <w:t>合同编号：</w:t>
      </w:r>
    </w:p>
    <w:p w14:paraId="5BBD8478">
      <w:pPr>
        <w:pStyle w:val="7"/>
        <w:spacing w:line="260" w:lineRule="auto"/>
        <w:rPr>
          <w:highlight w:val="none"/>
        </w:rPr>
      </w:pPr>
    </w:p>
    <w:p w14:paraId="5A2F719D">
      <w:pPr>
        <w:pStyle w:val="7"/>
        <w:spacing w:line="260" w:lineRule="auto"/>
        <w:rPr>
          <w:highlight w:val="none"/>
        </w:rPr>
      </w:pPr>
    </w:p>
    <w:p w14:paraId="18A67898">
      <w:pPr>
        <w:pStyle w:val="7"/>
        <w:spacing w:line="260" w:lineRule="auto"/>
        <w:rPr>
          <w:highlight w:val="none"/>
        </w:rPr>
      </w:pPr>
    </w:p>
    <w:p w14:paraId="16821CEE">
      <w:pPr>
        <w:pStyle w:val="7"/>
        <w:spacing w:line="260" w:lineRule="auto"/>
        <w:rPr>
          <w:highlight w:val="none"/>
        </w:rPr>
      </w:pPr>
    </w:p>
    <w:p w14:paraId="44FAD0CE">
      <w:pPr>
        <w:pStyle w:val="7"/>
        <w:spacing w:line="260" w:lineRule="auto"/>
        <w:rPr>
          <w:highlight w:val="none"/>
        </w:rPr>
      </w:pPr>
    </w:p>
    <w:p w14:paraId="0D2AE514">
      <w:pPr>
        <w:pStyle w:val="7"/>
        <w:spacing w:line="260" w:lineRule="auto"/>
        <w:rPr>
          <w:highlight w:val="none"/>
        </w:rPr>
      </w:pPr>
    </w:p>
    <w:p w14:paraId="06EFE84F">
      <w:pPr>
        <w:pStyle w:val="7"/>
        <w:spacing w:line="261" w:lineRule="auto"/>
        <w:rPr>
          <w:highlight w:val="none"/>
        </w:rPr>
      </w:pPr>
    </w:p>
    <w:p w14:paraId="682A30E6">
      <w:pPr>
        <w:pStyle w:val="7"/>
        <w:spacing w:line="261" w:lineRule="auto"/>
        <w:rPr>
          <w:highlight w:val="none"/>
        </w:rPr>
      </w:pPr>
    </w:p>
    <w:p w14:paraId="49CBA934">
      <w:pPr>
        <w:spacing w:before="140" w:line="222" w:lineRule="auto"/>
        <w:ind w:left="1973"/>
        <w:rPr>
          <w:rFonts w:ascii="宋体" w:hAnsi="宋体" w:eastAsia="宋体" w:cs="宋体"/>
          <w:sz w:val="43"/>
          <w:szCs w:val="43"/>
          <w:highlight w:val="none"/>
        </w:rPr>
      </w:pPr>
      <w:bookmarkStart w:id="812" w:name="bookmark24"/>
      <w:bookmarkEnd w:id="812"/>
      <w:r>
        <w:rPr>
          <w:rFonts w:ascii="宋体" w:hAnsi="宋体" w:eastAsia="宋体" w:cs="宋体"/>
          <w:b/>
          <w:bCs/>
          <w:spacing w:val="5"/>
          <w:sz w:val="43"/>
          <w:szCs w:val="43"/>
          <w:highlight w:val="none"/>
        </w:rPr>
        <w:t>政府采购合同参考范本</w:t>
      </w:r>
    </w:p>
    <w:p w14:paraId="5E169CC0">
      <w:pPr>
        <w:pStyle w:val="7"/>
        <w:spacing w:line="254" w:lineRule="auto"/>
        <w:rPr>
          <w:highlight w:val="none"/>
        </w:rPr>
      </w:pPr>
    </w:p>
    <w:p w14:paraId="4FF18873">
      <w:pPr>
        <w:pStyle w:val="7"/>
        <w:spacing w:line="255" w:lineRule="auto"/>
        <w:rPr>
          <w:highlight w:val="none"/>
        </w:rPr>
      </w:pPr>
    </w:p>
    <w:p w14:paraId="7AF8E41F">
      <w:pPr>
        <w:spacing w:before="78" w:line="219" w:lineRule="auto"/>
        <w:ind w:left="3586"/>
        <w:rPr>
          <w:rFonts w:ascii="宋体" w:hAnsi="宋体" w:eastAsia="宋体" w:cs="宋体"/>
          <w:sz w:val="24"/>
          <w:szCs w:val="24"/>
          <w:highlight w:val="none"/>
        </w:rPr>
      </w:pPr>
      <w:r>
        <w:rPr>
          <w:rFonts w:ascii="宋体" w:hAnsi="宋体" w:eastAsia="宋体" w:cs="宋体"/>
          <w:b/>
          <w:bCs/>
          <w:spacing w:val="-7"/>
          <w:sz w:val="24"/>
          <w:szCs w:val="24"/>
          <w:highlight w:val="none"/>
        </w:rPr>
        <w:t>（货物类）</w:t>
      </w:r>
    </w:p>
    <w:p w14:paraId="60096F95">
      <w:pPr>
        <w:pStyle w:val="7"/>
        <w:spacing w:line="296" w:lineRule="auto"/>
        <w:rPr>
          <w:highlight w:val="none"/>
        </w:rPr>
      </w:pPr>
    </w:p>
    <w:p w14:paraId="2E0ED27D">
      <w:pPr>
        <w:spacing w:before="78" w:line="219" w:lineRule="auto"/>
        <w:ind w:left="3332"/>
        <w:rPr>
          <w:rFonts w:ascii="宋体" w:hAnsi="宋体" w:eastAsia="宋体" w:cs="宋体"/>
          <w:sz w:val="24"/>
          <w:szCs w:val="24"/>
          <w:highlight w:val="none"/>
        </w:rPr>
      </w:pPr>
      <w:r>
        <w:rPr>
          <w:rFonts w:ascii="宋体" w:hAnsi="宋体" w:eastAsia="宋体" w:cs="宋体"/>
          <w:b/>
          <w:bCs/>
          <w:spacing w:val="-4"/>
          <w:sz w:val="24"/>
          <w:szCs w:val="24"/>
          <w:highlight w:val="none"/>
        </w:rPr>
        <w:t>第一部分合同书</w:t>
      </w:r>
    </w:p>
    <w:p w14:paraId="088E95B3">
      <w:pPr>
        <w:pStyle w:val="7"/>
        <w:spacing w:line="279" w:lineRule="auto"/>
        <w:rPr>
          <w:highlight w:val="none"/>
        </w:rPr>
      </w:pPr>
    </w:p>
    <w:p w14:paraId="01FAB16E">
      <w:pPr>
        <w:pStyle w:val="7"/>
        <w:spacing w:line="279" w:lineRule="auto"/>
        <w:rPr>
          <w:highlight w:val="none"/>
        </w:rPr>
      </w:pPr>
    </w:p>
    <w:p w14:paraId="565CCBD1">
      <w:pPr>
        <w:spacing w:before="79" w:line="220" w:lineRule="auto"/>
        <w:ind w:left="1001"/>
        <w:rPr>
          <w:rFonts w:ascii="宋体" w:hAnsi="宋体" w:eastAsia="宋体" w:cs="宋体"/>
          <w:sz w:val="24"/>
          <w:szCs w:val="24"/>
          <w:highlight w:val="none"/>
        </w:rPr>
      </w:pPr>
      <w:r>
        <w:rPr>
          <w:rFonts w:ascii="宋体" w:hAnsi="宋体" w:eastAsia="宋体" w:cs="宋体"/>
          <w:spacing w:val="-3"/>
          <w:sz w:val="24"/>
          <w:szCs w:val="24"/>
          <w:highlight w:val="none"/>
        </w:rPr>
        <w:t>项目名称：</w:t>
      </w:r>
    </w:p>
    <w:p w14:paraId="2024D4FE">
      <w:pPr>
        <w:pStyle w:val="7"/>
        <w:spacing w:line="298" w:lineRule="auto"/>
        <w:rPr>
          <w:highlight w:val="none"/>
        </w:rPr>
      </w:pPr>
    </w:p>
    <w:p w14:paraId="79BD0820">
      <w:pPr>
        <w:spacing w:before="78" w:line="221" w:lineRule="auto"/>
        <w:ind w:left="1028"/>
        <w:rPr>
          <w:rFonts w:ascii="宋体" w:hAnsi="宋体" w:eastAsia="宋体" w:cs="宋体"/>
          <w:sz w:val="24"/>
          <w:szCs w:val="24"/>
          <w:highlight w:val="none"/>
        </w:rPr>
      </w:pPr>
      <w:r>
        <w:rPr>
          <w:rFonts w:ascii="宋体" w:hAnsi="宋体" w:eastAsia="宋体" w:cs="宋体"/>
          <w:spacing w:val="-14"/>
          <w:sz w:val="24"/>
          <w:szCs w:val="24"/>
          <w:highlight w:val="none"/>
        </w:rPr>
        <w:t>甲方：</w:t>
      </w:r>
    </w:p>
    <w:p w14:paraId="1B844ABD">
      <w:pPr>
        <w:pStyle w:val="7"/>
        <w:spacing w:line="247" w:lineRule="auto"/>
        <w:rPr>
          <w:highlight w:val="none"/>
        </w:rPr>
      </w:pPr>
    </w:p>
    <w:p w14:paraId="74FDEB4D">
      <w:pPr>
        <w:pStyle w:val="7"/>
        <w:spacing w:line="248" w:lineRule="auto"/>
        <w:rPr>
          <w:highlight w:val="none"/>
        </w:rPr>
      </w:pPr>
    </w:p>
    <w:p w14:paraId="0D2950F0">
      <w:pPr>
        <w:spacing w:before="78" w:line="221" w:lineRule="auto"/>
        <w:ind w:left="1021"/>
        <w:rPr>
          <w:rFonts w:ascii="宋体" w:hAnsi="宋体" w:eastAsia="宋体" w:cs="宋体"/>
          <w:sz w:val="24"/>
          <w:szCs w:val="24"/>
          <w:highlight w:val="none"/>
        </w:rPr>
      </w:pPr>
      <w:r>
        <w:rPr>
          <w:rFonts w:ascii="宋体" w:hAnsi="宋体" w:eastAsia="宋体" w:cs="宋体"/>
          <w:spacing w:val="-11"/>
          <w:sz w:val="24"/>
          <w:szCs w:val="24"/>
          <w:highlight w:val="none"/>
        </w:rPr>
        <w:t>乙方：</w:t>
      </w:r>
    </w:p>
    <w:p w14:paraId="2DBB0B3B">
      <w:pPr>
        <w:pStyle w:val="7"/>
        <w:spacing w:line="246" w:lineRule="auto"/>
        <w:rPr>
          <w:highlight w:val="none"/>
        </w:rPr>
      </w:pPr>
    </w:p>
    <w:p w14:paraId="6D2EEAFD">
      <w:pPr>
        <w:pStyle w:val="7"/>
        <w:spacing w:line="247" w:lineRule="auto"/>
        <w:rPr>
          <w:highlight w:val="none"/>
        </w:rPr>
      </w:pPr>
    </w:p>
    <w:p w14:paraId="021ADAEC">
      <w:pPr>
        <w:spacing w:before="79" w:line="222" w:lineRule="auto"/>
        <w:ind w:left="997"/>
        <w:rPr>
          <w:rFonts w:ascii="宋体" w:hAnsi="宋体" w:eastAsia="宋体" w:cs="宋体"/>
          <w:sz w:val="24"/>
          <w:szCs w:val="24"/>
          <w:highlight w:val="none"/>
        </w:rPr>
      </w:pPr>
      <w:r>
        <w:rPr>
          <w:rFonts w:ascii="宋体" w:hAnsi="宋体" w:eastAsia="宋体" w:cs="宋体"/>
          <w:spacing w:val="-3"/>
          <w:sz w:val="24"/>
          <w:szCs w:val="24"/>
          <w:highlight w:val="none"/>
        </w:rPr>
        <w:t>签订地：</w:t>
      </w:r>
    </w:p>
    <w:p w14:paraId="452CF856">
      <w:pPr>
        <w:pStyle w:val="7"/>
        <w:spacing w:line="246" w:lineRule="auto"/>
        <w:rPr>
          <w:highlight w:val="none"/>
        </w:rPr>
      </w:pPr>
    </w:p>
    <w:p w14:paraId="7A98E3D3">
      <w:pPr>
        <w:pStyle w:val="7"/>
        <w:spacing w:line="246" w:lineRule="auto"/>
        <w:rPr>
          <w:highlight w:val="none"/>
        </w:rPr>
      </w:pPr>
    </w:p>
    <w:p w14:paraId="2F3BA5F8">
      <w:pPr>
        <w:spacing w:before="78" w:line="219" w:lineRule="auto"/>
        <w:ind w:left="997"/>
        <w:rPr>
          <w:rFonts w:ascii="宋体" w:hAnsi="宋体" w:eastAsia="宋体" w:cs="宋体"/>
          <w:sz w:val="24"/>
          <w:szCs w:val="24"/>
          <w:highlight w:val="none"/>
        </w:rPr>
      </w:pPr>
      <w:r>
        <w:rPr>
          <w:rFonts w:ascii="宋体" w:hAnsi="宋体" w:eastAsia="宋体" w:cs="宋体"/>
          <w:spacing w:val="-2"/>
          <w:sz w:val="24"/>
          <w:szCs w:val="24"/>
          <w:highlight w:val="none"/>
        </w:rPr>
        <w:t>签订日期：年月日</w:t>
      </w:r>
    </w:p>
    <w:p w14:paraId="2D16508C">
      <w:pPr>
        <w:spacing w:line="219" w:lineRule="auto"/>
        <w:rPr>
          <w:rFonts w:ascii="宋体" w:hAnsi="宋体" w:eastAsia="宋体" w:cs="宋体"/>
          <w:sz w:val="24"/>
          <w:szCs w:val="24"/>
          <w:highlight w:val="none"/>
        </w:rPr>
        <w:sectPr>
          <w:footerReference r:id="rId17" w:type="default"/>
          <w:pgSz w:w="11907" w:h="16840"/>
          <w:pgMar w:top="1440" w:right="1800" w:bottom="1440" w:left="1800" w:header="0" w:footer="1059" w:gutter="0"/>
          <w:pgNumType w:fmt="decimal"/>
          <w:cols w:space="720" w:num="1"/>
        </w:sectPr>
      </w:pPr>
    </w:p>
    <w:p w14:paraId="0CE9E6CF">
      <w:pPr>
        <w:pStyle w:val="7"/>
        <w:spacing w:line="246" w:lineRule="auto"/>
        <w:rPr>
          <w:highlight w:val="none"/>
        </w:rPr>
      </w:pPr>
    </w:p>
    <w:p w14:paraId="5690E31A">
      <w:pPr>
        <w:pStyle w:val="7"/>
        <w:spacing w:line="246" w:lineRule="auto"/>
        <w:rPr>
          <w:highlight w:val="none"/>
        </w:rPr>
      </w:pPr>
    </w:p>
    <w:p w14:paraId="15BC93EB">
      <w:pPr>
        <w:pStyle w:val="7"/>
        <w:spacing w:line="246" w:lineRule="auto"/>
        <w:rPr>
          <w:highlight w:val="none"/>
        </w:rPr>
      </w:pPr>
    </w:p>
    <w:p w14:paraId="081D7C5B">
      <w:pPr>
        <w:pStyle w:val="7"/>
        <w:spacing w:line="246" w:lineRule="auto"/>
        <w:rPr>
          <w:highlight w:val="none"/>
        </w:rPr>
      </w:pPr>
    </w:p>
    <w:p w14:paraId="1EC9769F">
      <w:pPr>
        <w:pStyle w:val="7"/>
        <w:spacing w:line="246" w:lineRule="auto"/>
        <w:rPr>
          <w:highlight w:val="none"/>
        </w:rPr>
      </w:pPr>
    </w:p>
    <w:p w14:paraId="521A1CC3">
      <w:pPr>
        <w:spacing w:before="78" w:line="431" w:lineRule="auto"/>
        <w:ind w:left="51" w:firstLine="479"/>
        <w:jc w:val="both"/>
        <w:rPr>
          <w:rFonts w:ascii="宋体" w:hAnsi="宋体" w:eastAsia="宋体" w:cs="宋体"/>
          <w:sz w:val="24"/>
          <w:szCs w:val="24"/>
          <w:highlight w:val="none"/>
        </w:rPr>
      </w:pPr>
      <w:r>
        <w:rPr>
          <w:rFonts w:ascii="宋体" w:hAnsi="宋体" w:eastAsia="宋体" w:cs="宋体"/>
          <w:spacing w:val="-3"/>
          <w:sz w:val="24"/>
          <w:szCs w:val="24"/>
          <w:highlight w:val="none"/>
        </w:rPr>
        <w:t>年月日</w:t>
      </w:r>
      <w:r>
        <w:rPr>
          <w:rFonts w:ascii="宋体" w:hAnsi="宋体" w:eastAsia="宋体" w:cs="宋体"/>
          <w:spacing w:val="-33"/>
          <w:sz w:val="24"/>
          <w:szCs w:val="24"/>
          <w:highlight w:val="none"/>
        </w:rPr>
        <w:t>，</w:t>
      </w:r>
      <w:r>
        <w:rPr>
          <w:rFonts w:ascii="宋体" w:hAnsi="宋体" w:eastAsia="宋体" w:cs="宋体"/>
          <w:spacing w:val="-33"/>
          <w:sz w:val="24"/>
          <w:szCs w:val="24"/>
          <w:highlight w:val="none"/>
          <w:u w:val="single" w:color="auto"/>
        </w:rPr>
        <w:t>（</w:t>
      </w:r>
      <w:r>
        <w:rPr>
          <w:rFonts w:ascii="宋体" w:hAnsi="宋体" w:eastAsia="宋体" w:cs="宋体"/>
          <w:spacing w:val="-3"/>
          <w:sz w:val="24"/>
          <w:szCs w:val="24"/>
          <w:highlight w:val="none"/>
          <w:u w:val="single" w:color="auto"/>
        </w:rPr>
        <w:t>采购人名称）</w:t>
      </w:r>
      <w:r>
        <w:rPr>
          <w:rFonts w:ascii="宋体" w:hAnsi="宋体" w:eastAsia="宋体" w:cs="宋体"/>
          <w:spacing w:val="-3"/>
          <w:sz w:val="24"/>
          <w:szCs w:val="24"/>
          <w:highlight w:val="none"/>
        </w:rPr>
        <w:t>以</w:t>
      </w:r>
      <w:r>
        <w:rPr>
          <w:rFonts w:ascii="宋体" w:hAnsi="宋体" w:eastAsia="宋体" w:cs="宋体"/>
          <w:spacing w:val="-3"/>
          <w:sz w:val="24"/>
          <w:szCs w:val="24"/>
          <w:highlight w:val="none"/>
          <w:u w:val="single" w:color="auto"/>
        </w:rPr>
        <w:t>（政府采购方式）</w:t>
      </w:r>
      <w:r>
        <w:rPr>
          <w:rFonts w:ascii="宋体" w:hAnsi="宋体" w:eastAsia="宋体" w:cs="宋体"/>
          <w:spacing w:val="-3"/>
          <w:sz w:val="24"/>
          <w:szCs w:val="24"/>
          <w:highlight w:val="none"/>
        </w:rPr>
        <w:t>对</w:t>
      </w:r>
      <w:r>
        <w:rPr>
          <w:rFonts w:ascii="宋体" w:hAnsi="宋体" w:eastAsia="宋体" w:cs="宋体"/>
          <w:spacing w:val="-3"/>
          <w:sz w:val="24"/>
          <w:szCs w:val="24"/>
          <w:highlight w:val="none"/>
          <w:u w:val="single" w:color="auto"/>
        </w:rPr>
        <w:t>（同前页项目名称）</w:t>
      </w:r>
      <w:r>
        <w:rPr>
          <w:rFonts w:ascii="宋体" w:hAnsi="宋体" w:eastAsia="宋体" w:cs="宋体"/>
          <w:spacing w:val="-3"/>
          <w:sz w:val="24"/>
          <w:szCs w:val="24"/>
          <w:highlight w:val="none"/>
        </w:rPr>
        <w:t>项目进行了采购。</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经</w:t>
      </w:r>
      <w:r>
        <w:rPr>
          <w:rFonts w:ascii="宋体" w:hAnsi="宋体" w:eastAsia="宋体" w:cs="宋体"/>
          <w:spacing w:val="1"/>
          <w:sz w:val="24"/>
          <w:szCs w:val="24"/>
          <w:highlight w:val="none"/>
          <w:u w:val="single" w:color="auto"/>
        </w:rPr>
        <w:t>（相关评定主体名称）</w:t>
      </w:r>
      <w:r>
        <w:rPr>
          <w:rFonts w:ascii="宋体" w:hAnsi="宋体" w:eastAsia="宋体" w:cs="宋体"/>
          <w:spacing w:val="1"/>
          <w:sz w:val="24"/>
          <w:szCs w:val="24"/>
          <w:highlight w:val="none"/>
        </w:rPr>
        <w:t>评定</w:t>
      </w:r>
      <w:r>
        <w:rPr>
          <w:rFonts w:ascii="宋体" w:hAnsi="宋体" w:eastAsia="宋体" w:cs="宋体"/>
          <w:spacing w:val="-26"/>
          <w:sz w:val="24"/>
          <w:szCs w:val="24"/>
          <w:highlight w:val="none"/>
        </w:rPr>
        <w:t>，</w:t>
      </w:r>
      <w:r>
        <w:rPr>
          <w:rFonts w:ascii="宋体" w:hAnsi="宋体" w:eastAsia="宋体" w:cs="宋体"/>
          <w:spacing w:val="-26"/>
          <w:sz w:val="24"/>
          <w:szCs w:val="24"/>
          <w:highlight w:val="none"/>
          <w:u w:val="single" w:color="auto"/>
        </w:rPr>
        <w:t>（</w:t>
      </w:r>
      <w:r>
        <w:rPr>
          <w:rFonts w:ascii="宋体" w:hAnsi="宋体" w:eastAsia="宋体" w:cs="宋体"/>
          <w:spacing w:val="1"/>
          <w:sz w:val="24"/>
          <w:szCs w:val="24"/>
          <w:highlight w:val="none"/>
          <w:u w:val="single" w:color="auto"/>
        </w:rPr>
        <w:t>中标供应商名称）</w:t>
      </w:r>
      <w:r>
        <w:rPr>
          <w:rFonts w:ascii="宋体" w:hAnsi="宋体" w:eastAsia="宋体" w:cs="宋体"/>
          <w:spacing w:val="1"/>
          <w:sz w:val="24"/>
          <w:szCs w:val="24"/>
          <w:highlight w:val="none"/>
        </w:rPr>
        <w:t>为该项目中标供应商。现于中标通知</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书发出之日起三十日内，按照采购文件确定的事项签订本合同。</w:t>
      </w:r>
    </w:p>
    <w:p w14:paraId="6AE81D6C">
      <w:pPr>
        <w:tabs>
          <w:tab w:val="left" w:pos="175"/>
        </w:tabs>
        <w:spacing w:before="3" w:line="430" w:lineRule="auto"/>
        <w:ind w:left="39" w:right="80" w:firstLine="489"/>
        <w:jc w:val="both"/>
        <w:rPr>
          <w:rFonts w:ascii="宋体" w:hAnsi="宋体" w:eastAsia="宋体" w:cs="宋体"/>
          <w:sz w:val="24"/>
          <w:szCs w:val="24"/>
          <w:highlight w:val="none"/>
        </w:rPr>
      </w:pPr>
      <w:r>
        <w:rPr>
          <w:rFonts w:ascii="宋体" w:hAnsi="宋体" w:eastAsia="宋体" w:cs="宋体"/>
          <w:sz w:val="24"/>
          <w:szCs w:val="24"/>
          <w:highlight w:val="none"/>
        </w:rPr>
        <w:t>根据《中华人民共和国民法典》、《中华人民共和国政</w:t>
      </w:r>
      <w:r>
        <w:rPr>
          <w:rFonts w:ascii="宋体" w:hAnsi="宋体" w:eastAsia="宋体" w:cs="宋体"/>
          <w:spacing w:val="-1"/>
          <w:sz w:val="24"/>
          <w:szCs w:val="24"/>
          <w:highlight w:val="none"/>
        </w:rPr>
        <w:t>府采购法》等相关法律法规之</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规定，按照平等、</w:t>
      </w:r>
      <w:r>
        <w:rPr>
          <w:rFonts w:ascii="宋体" w:hAnsi="宋体" w:eastAsia="宋体" w:cs="宋体"/>
          <w:spacing w:val="-55"/>
          <w:sz w:val="24"/>
          <w:szCs w:val="24"/>
          <w:highlight w:val="none"/>
        </w:rPr>
        <w:t xml:space="preserve"> </w:t>
      </w:r>
      <w:r>
        <w:rPr>
          <w:rFonts w:ascii="宋体" w:hAnsi="宋体" w:eastAsia="宋体" w:cs="宋体"/>
          <w:spacing w:val="-3"/>
          <w:sz w:val="24"/>
          <w:szCs w:val="24"/>
          <w:highlight w:val="none"/>
        </w:rPr>
        <w:t>自愿、公平和诚实信用的原则，经</w:t>
      </w:r>
      <w:r>
        <w:rPr>
          <w:rFonts w:ascii="宋体" w:hAnsi="宋体" w:eastAsia="宋体" w:cs="宋体"/>
          <w:spacing w:val="-3"/>
          <w:sz w:val="24"/>
          <w:szCs w:val="24"/>
          <w:highlight w:val="none"/>
          <w:u w:val="single" w:color="auto"/>
        </w:rPr>
        <w:t>（采购人名称）</w:t>
      </w:r>
      <w:r>
        <w:rPr>
          <w:rFonts w:ascii="宋体" w:hAnsi="宋体" w:eastAsia="宋体" w:cs="宋体"/>
          <w:spacing w:val="-69"/>
          <w:sz w:val="24"/>
          <w:szCs w:val="24"/>
          <w:highlight w:val="none"/>
          <w:u w:val="single" w:color="auto"/>
        </w:rPr>
        <w:t xml:space="preserve"> </w:t>
      </w:r>
      <w:r>
        <w:rPr>
          <w:rFonts w:ascii="宋体" w:hAnsi="宋体" w:eastAsia="宋体" w:cs="宋体"/>
          <w:spacing w:val="-3"/>
          <w:sz w:val="24"/>
          <w:szCs w:val="24"/>
          <w:highlight w:val="none"/>
        </w:rPr>
        <w:t>(以下简称：甲方)和</w:t>
      </w:r>
      <w:r>
        <w:rPr>
          <w:rFonts w:ascii="宋体" w:hAnsi="宋体" w:eastAsia="宋体" w:cs="宋体"/>
          <w:sz w:val="24"/>
          <w:szCs w:val="24"/>
          <w:highlight w:val="none"/>
        </w:rPr>
        <w:t xml:space="preserve"> </w:t>
      </w:r>
      <w:r>
        <w:rPr>
          <w:rFonts w:ascii="宋体" w:hAnsi="宋体" w:eastAsia="宋体" w:cs="宋体"/>
          <w:sz w:val="24"/>
          <w:szCs w:val="24"/>
          <w:highlight w:val="none"/>
          <w:u w:val="single" w:color="auto"/>
        </w:rPr>
        <w:tab/>
      </w:r>
      <w:r>
        <w:rPr>
          <w:rFonts w:ascii="宋体" w:hAnsi="宋体" w:eastAsia="宋体" w:cs="宋体"/>
          <w:spacing w:val="-5"/>
          <w:sz w:val="24"/>
          <w:szCs w:val="24"/>
          <w:highlight w:val="none"/>
          <w:u w:val="single" w:color="auto"/>
        </w:rPr>
        <w:t>（中标供应商名称）</w:t>
      </w:r>
      <w:r>
        <w:rPr>
          <w:rFonts w:ascii="宋体" w:hAnsi="宋体" w:eastAsia="宋体" w:cs="宋体"/>
          <w:spacing w:val="-59"/>
          <w:sz w:val="24"/>
          <w:szCs w:val="24"/>
          <w:highlight w:val="none"/>
          <w:u w:val="single" w:color="auto"/>
        </w:rPr>
        <w:t xml:space="preserve"> </w:t>
      </w:r>
      <w:r>
        <w:rPr>
          <w:rFonts w:ascii="宋体" w:hAnsi="宋体" w:eastAsia="宋体" w:cs="宋体"/>
          <w:spacing w:val="-5"/>
          <w:sz w:val="24"/>
          <w:szCs w:val="24"/>
          <w:highlight w:val="none"/>
        </w:rPr>
        <w:t>(以下简称：乙方)协商一致，约定以下合同条款，以兹共同遵守、全</w:t>
      </w:r>
      <w:r>
        <w:rPr>
          <w:rFonts w:ascii="宋体" w:hAnsi="宋体" w:eastAsia="宋体" w:cs="宋体"/>
          <w:sz w:val="24"/>
          <w:szCs w:val="24"/>
          <w:highlight w:val="none"/>
        </w:rPr>
        <w:t xml:space="preserve"> 面履行。</w:t>
      </w:r>
    </w:p>
    <w:p w14:paraId="2B34B997">
      <w:pPr>
        <w:spacing w:line="219" w:lineRule="auto"/>
        <w:ind w:left="546"/>
        <w:outlineLvl w:val="0"/>
        <w:rPr>
          <w:rFonts w:ascii="宋体" w:hAnsi="宋体" w:eastAsia="宋体" w:cs="宋体"/>
          <w:sz w:val="24"/>
          <w:szCs w:val="24"/>
          <w:highlight w:val="none"/>
        </w:rPr>
      </w:pPr>
      <w:bookmarkStart w:id="813" w:name="_Toc8549"/>
      <w:r>
        <w:rPr>
          <w:rFonts w:ascii="宋体" w:hAnsi="宋体" w:eastAsia="宋体" w:cs="宋体"/>
          <w:b/>
          <w:bCs/>
          <w:spacing w:val="-6"/>
          <w:sz w:val="24"/>
          <w:szCs w:val="24"/>
          <w:highlight w:val="none"/>
        </w:rPr>
        <w:t>1.1</w:t>
      </w:r>
      <w:r>
        <w:rPr>
          <w:rFonts w:ascii="宋体" w:hAnsi="宋体" w:eastAsia="宋体" w:cs="宋体"/>
          <w:spacing w:val="-50"/>
          <w:sz w:val="24"/>
          <w:szCs w:val="24"/>
          <w:highlight w:val="none"/>
        </w:rPr>
        <w:t xml:space="preserve"> </w:t>
      </w:r>
      <w:r>
        <w:rPr>
          <w:rFonts w:ascii="宋体" w:hAnsi="宋体" w:eastAsia="宋体" w:cs="宋体"/>
          <w:b/>
          <w:bCs/>
          <w:spacing w:val="-6"/>
          <w:sz w:val="24"/>
          <w:szCs w:val="24"/>
          <w:highlight w:val="none"/>
        </w:rPr>
        <w:t>合同组成部分</w:t>
      </w:r>
      <w:bookmarkEnd w:id="813"/>
    </w:p>
    <w:p w14:paraId="4BA024D1">
      <w:pPr>
        <w:spacing w:before="273" w:line="431" w:lineRule="auto"/>
        <w:ind w:left="51" w:right="80" w:firstLine="485"/>
        <w:jc w:val="both"/>
        <w:rPr>
          <w:rFonts w:ascii="宋体" w:hAnsi="宋体" w:eastAsia="宋体" w:cs="宋体"/>
          <w:sz w:val="24"/>
          <w:szCs w:val="24"/>
          <w:highlight w:val="none"/>
        </w:rPr>
      </w:pPr>
      <w:r>
        <w:rPr>
          <w:rFonts w:ascii="宋体" w:hAnsi="宋体" w:eastAsia="宋体" w:cs="宋体"/>
          <w:spacing w:val="-1"/>
          <w:sz w:val="24"/>
          <w:szCs w:val="24"/>
          <w:highlight w:val="none"/>
        </w:rPr>
        <w:t>下列文件为本合同的组成部分，并构成一个整体，需综合解释、相互补充。如果下列</w:t>
      </w:r>
      <w:r>
        <w:rPr>
          <w:rFonts w:ascii="宋体" w:hAnsi="宋体" w:eastAsia="宋体" w:cs="宋体"/>
          <w:spacing w:val="16"/>
          <w:sz w:val="24"/>
          <w:szCs w:val="24"/>
          <w:highlight w:val="none"/>
        </w:rPr>
        <w:t xml:space="preserve"> </w:t>
      </w:r>
      <w:r>
        <w:rPr>
          <w:rFonts w:ascii="宋体" w:hAnsi="宋体" w:eastAsia="宋体" w:cs="宋体"/>
          <w:sz w:val="24"/>
          <w:szCs w:val="24"/>
          <w:highlight w:val="none"/>
        </w:rPr>
        <w:t>文件内容出现不一致的情形，那么在保证按照采购文件</w:t>
      </w:r>
      <w:r>
        <w:rPr>
          <w:rFonts w:ascii="宋体" w:hAnsi="宋体" w:eastAsia="宋体" w:cs="宋体"/>
          <w:spacing w:val="-1"/>
          <w:sz w:val="24"/>
          <w:szCs w:val="24"/>
          <w:highlight w:val="none"/>
        </w:rPr>
        <w:t>确定的事项的前提下，组成本合同</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的多个文件的优先适用顺序如下：</w:t>
      </w:r>
    </w:p>
    <w:p w14:paraId="0A8A63B6">
      <w:pPr>
        <w:spacing w:line="218" w:lineRule="auto"/>
        <w:ind w:left="546"/>
        <w:rPr>
          <w:rFonts w:ascii="宋体" w:hAnsi="宋体" w:eastAsia="宋体" w:cs="宋体"/>
          <w:sz w:val="24"/>
          <w:szCs w:val="24"/>
          <w:highlight w:val="none"/>
        </w:rPr>
      </w:pPr>
      <w:r>
        <w:rPr>
          <w:rFonts w:ascii="宋体" w:hAnsi="宋体" w:eastAsia="宋体" w:cs="宋体"/>
          <w:spacing w:val="-2"/>
          <w:sz w:val="24"/>
          <w:szCs w:val="24"/>
          <w:highlight w:val="none"/>
        </w:rPr>
        <w:t>1.1.1</w:t>
      </w:r>
      <w:r>
        <w:rPr>
          <w:rFonts w:ascii="宋体" w:hAnsi="宋体" w:eastAsia="宋体" w:cs="宋体"/>
          <w:spacing w:val="-49"/>
          <w:sz w:val="24"/>
          <w:szCs w:val="24"/>
          <w:highlight w:val="none"/>
        </w:rPr>
        <w:t xml:space="preserve"> </w:t>
      </w:r>
      <w:r>
        <w:rPr>
          <w:rFonts w:ascii="宋体" w:hAnsi="宋体" w:eastAsia="宋体" w:cs="宋体"/>
          <w:spacing w:val="-2"/>
          <w:sz w:val="24"/>
          <w:szCs w:val="24"/>
          <w:highlight w:val="none"/>
        </w:rPr>
        <w:t>本合同及其补充合同、变更协议；</w:t>
      </w:r>
    </w:p>
    <w:p w14:paraId="12904FFB">
      <w:pPr>
        <w:spacing w:before="277" w:line="219" w:lineRule="auto"/>
        <w:ind w:left="546"/>
        <w:rPr>
          <w:rFonts w:ascii="宋体" w:hAnsi="宋体" w:eastAsia="宋体" w:cs="宋体"/>
          <w:sz w:val="24"/>
          <w:szCs w:val="24"/>
          <w:highlight w:val="none"/>
        </w:rPr>
      </w:pPr>
      <w:r>
        <w:rPr>
          <w:rFonts w:ascii="宋体" w:hAnsi="宋体" w:eastAsia="宋体" w:cs="宋体"/>
          <w:spacing w:val="-6"/>
          <w:sz w:val="24"/>
          <w:szCs w:val="24"/>
          <w:highlight w:val="none"/>
        </w:rPr>
        <w:t>1.1.2</w:t>
      </w:r>
      <w:r>
        <w:rPr>
          <w:rFonts w:ascii="宋体" w:hAnsi="宋体" w:eastAsia="宋体" w:cs="宋体"/>
          <w:spacing w:val="-23"/>
          <w:sz w:val="24"/>
          <w:szCs w:val="24"/>
          <w:highlight w:val="none"/>
        </w:rPr>
        <w:t xml:space="preserve"> </w:t>
      </w:r>
      <w:r>
        <w:rPr>
          <w:rFonts w:ascii="宋体" w:hAnsi="宋体" w:eastAsia="宋体" w:cs="宋体"/>
          <w:spacing w:val="-6"/>
          <w:sz w:val="24"/>
          <w:szCs w:val="24"/>
          <w:highlight w:val="none"/>
        </w:rPr>
        <w:t>中标通知书；</w:t>
      </w:r>
    </w:p>
    <w:p w14:paraId="57D59414">
      <w:pPr>
        <w:spacing w:before="275" w:line="219" w:lineRule="auto"/>
        <w:ind w:left="546"/>
        <w:rPr>
          <w:rFonts w:ascii="宋体" w:hAnsi="宋体" w:eastAsia="宋体" w:cs="宋体"/>
          <w:sz w:val="24"/>
          <w:szCs w:val="24"/>
          <w:highlight w:val="none"/>
        </w:rPr>
      </w:pPr>
      <w:r>
        <w:rPr>
          <w:rFonts w:ascii="宋体" w:hAnsi="宋体" w:eastAsia="宋体" w:cs="宋体"/>
          <w:spacing w:val="-3"/>
          <w:sz w:val="24"/>
          <w:szCs w:val="24"/>
          <w:highlight w:val="none"/>
        </w:rPr>
        <w:t>1.1.3</w:t>
      </w:r>
      <w:r>
        <w:rPr>
          <w:rFonts w:ascii="宋体" w:hAnsi="宋体" w:eastAsia="宋体" w:cs="宋体"/>
          <w:spacing w:val="-48"/>
          <w:sz w:val="24"/>
          <w:szCs w:val="24"/>
          <w:highlight w:val="none"/>
        </w:rPr>
        <w:t xml:space="preserve"> </w:t>
      </w:r>
      <w:r>
        <w:rPr>
          <w:rFonts w:ascii="宋体" w:hAnsi="宋体" w:eastAsia="宋体" w:cs="宋体"/>
          <w:spacing w:val="-3"/>
          <w:sz w:val="24"/>
          <w:szCs w:val="24"/>
          <w:highlight w:val="none"/>
        </w:rPr>
        <w:t>投标文件（含澄清或者说明文件</w:t>
      </w:r>
      <w:r>
        <w:rPr>
          <w:rFonts w:ascii="宋体" w:hAnsi="宋体" w:eastAsia="宋体" w:cs="宋体"/>
          <w:spacing w:val="8"/>
          <w:sz w:val="24"/>
          <w:szCs w:val="24"/>
          <w:highlight w:val="none"/>
        </w:rPr>
        <w:t>）；</w:t>
      </w:r>
    </w:p>
    <w:p w14:paraId="4493DCA3">
      <w:pPr>
        <w:spacing w:before="275" w:line="219" w:lineRule="auto"/>
        <w:ind w:left="546"/>
        <w:rPr>
          <w:rFonts w:ascii="宋体" w:hAnsi="宋体" w:eastAsia="宋体" w:cs="宋体"/>
          <w:sz w:val="24"/>
          <w:szCs w:val="24"/>
          <w:highlight w:val="none"/>
        </w:rPr>
      </w:pPr>
      <w:r>
        <w:rPr>
          <w:rFonts w:ascii="宋体" w:hAnsi="宋体" w:eastAsia="宋体" w:cs="宋体"/>
          <w:spacing w:val="-2"/>
          <w:sz w:val="24"/>
          <w:szCs w:val="24"/>
          <w:highlight w:val="none"/>
        </w:rPr>
        <w:t>1.1.4</w:t>
      </w:r>
      <w:r>
        <w:rPr>
          <w:rFonts w:ascii="宋体" w:hAnsi="宋体" w:eastAsia="宋体" w:cs="宋体"/>
          <w:spacing w:val="-50"/>
          <w:sz w:val="24"/>
          <w:szCs w:val="24"/>
          <w:highlight w:val="none"/>
        </w:rPr>
        <w:t xml:space="preserve"> </w:t>
      </w:r>
      <w:r>
        <w:rPr>
          <w:rFonts w:ascii="宋体" w:hAnsi="宋体" w:eastAsia="宋体" w:cs="宋体"/>
          <w:spacing w:val="-2"/>
          <w:sz w:val="24"/>
          <w:szCs w:val="24"/>
          <w:highlight w:val="none"/>
        </w:rPr>
        <w:t>招标文件（含澄清或者修改文件</w:t>
      </w:r>
      <w:r>
        <w:rPr>
          <w:rFonts w:ascii="宋体" w:hAnsi="宋体" w:eastAsia="宋体" w:cs="宋体"/>
          <w:sz w:val="24"/>
          <w:szCs w:val="24"/>
          <w:highlight w:val="none"/>
        </w:rPr>
        <w:t>）；</w:t>
      </w:r>
    </w:p>
    <w:p w14:paraId="13A15794">
      <w:pPr>
        <w:spacing w:before="276" w:line="219" w:lineRule="auto"/>
        <w:ind w:left="546"/>
        <w:rPr>
          <w:rFonts w:ascii="宋体" w:hAnsi="宋体" w:eastAsia="宋体" w:cs="宋体"/>
          <w:sz w:val="24"/>
          <w:szCs w:val="24"/>
          <w:highlight w:val="none"/>
        </w:rPr>
      </w:pPr>
      <w:r>
        <w:rPr>
          <w:rFonts w:ascii="宋体" w:hAnsi="宋体" w:eastAsia="宋体" w:cs="宋体"/>
          <w:spacing w:val="-3"/>
          <w:sz w:val="24"/>
          <w:szCs w:val="24"/>
          <w:highlight w:val="none"/>
        </w:rPr>
        <w:t>1.1.5</w:t>
      </w:r>
      <w:r>
        <w:rPr>
          <w:rFonts w:ascii="宋体" w:hAnsi="宋体" w:eastAsia="宋体" w:cs="宋体"/>
          <w:spacing w:val="-47"/>
          <w:sz w:val="24"/>
          <w:szCs w:val="24"/>
          <w:highlight w:val="none"/>
        </w:rPr>
        <w:t xml:space="preserve"> </w:t>
      </w:r>
      <w:r>
        <w:rPr>
          <w:rFonts w:ascii="宋体" w:hAnsi="宋体" w:eastAsia="宋体" w:cs="宋体"/>
          <w:spacing w:val="-3"/>
          <w:sz w:val="24"/>
          <w:szCs w:val="24"/>
          <w:highlight w:val="none"/>
        </w:rPr>
        <w:t>其他相关采购文件。</w:t>
      </w:r>
    </w:p>
    <w:p w14:paraId="4E650741">
      <w:pPr>
        <w:spacing w:before="274" w:line="219" w:lineRule="auto"/>
        <w:ind w:left="546"/>
        <w:outlineLvl w:val="0"/>
        <w:rPr>
          <w:rFonts w:ascii="宋体" w:hAnsi="宋体" w:eastAsia="宋体" w:cs="宋体"/>
          <w:sz w:val="24"/>
          <w:szCs w:val="24"/>
          <w:highlight w:val="none"/>
        </w:rPr>
      </w:pPr>
      <w:bookmarkStart w:id="814" w:name="_Toc26618"/>
      <w:r>
        <w:rPr>
          <w:rFonts w:ascii="宋体" w:hAnsi="宋体" w:eastAsia="宋体" w:cs="宋体"/>
          <w:b/>
          <w:bCs/>
          <w:spacing w:val="-11"/>
          <w:sz w:val="24"/>
          <w:szCs w:val="24"/>
          <w:highlight w:val="none"/>
        </w:rPr>
        <w:t>1.2</w:t>
      </w:r>
      <w:r>
        <w:rPr>
          <w:rFonts w:ascii="宋体" w:hAnsi="宋体" w:eastAsia="宋体" w:cs="宋体"/>
          <w:spacing w:val="-44"/>
          <w:sz w:val="24"/>
          <w:szCs w:val="24"/>
          <w:highlight w:val="none"/>
        </w:rPr>
        <w:t xml:space="preserve"> </w:t>
      </w:r>
      <w:r>
        <w:rPr>
          <w:rFonts w:ascii="宋体" w:hAnsi="宋体" w:eastAsia="宋体" w:cs="宋体"/>
          <w:b/>
          <w:bCs/>
          <w:spacing w:val="-11"/>
          <w:sz w:val="24"/>
          <w:szCs w:val="24"/>
          <w:highlight w:val="none"/>
        </w:rPr>
        <w:t>货物</w:t>
      </w:r>
      <w:bookmarkEnd w:id="814"/>
    </w:p>
    <w:p w14:paraId="50E63154">
      <w:pPr>
        <w:spacing w:before="275" w:line="219" w:lineRule="auto"/>
        <w:ind w:left="546"/>
        <w:rPr>
          <w:rFonts w:ascii="宋体" w:hAnsi="宋体" w:eastAsia="宋体" w:cs="宋体"/>
          <w:sz w:val="24"/>
          <w:szCs w:val="24"/>
          <w:highlight w:val="none"/>
        </w:rPr>
      </w:pPr>
      <w:r>
        <w:rPr>
          <w:rFonts w:ascii="宋体" w:hAnsi="宋体" w:eastAsia="宋体" w:cs="宋体"/>
          <w:spacing w:val="-5"/>
          <w:sz w:val="24"/>
          <w:szCs w:val="24"/>
          <w:highlight w:val="none"/>
        </w:rPr>
        <w:t>1.2.1</w:t>
      </w:r>
      <w:r>
        <w:rPr>
          <w:rFonts w:ascii="宋体" w:hAnsi="宋体" w:eastAsia="宋体" w:cs="宋体"/>
          <w:spacing w:val="-44"/>
          <w:sz w:val="24"/>
          <w:szCs w:val="24"/>
          <w:highlight w:val="none"/>
        </w:rPr>
        <w:t xml:space="preserve"> </w:t>
      </w:r>
      <w:r>
        <w:rPr>
          <w:rFonts w:ascii="宋体" w:hAnsi="宋体" w:eastAsia="宋体" w:cs="宋体"/>
          <w:spacing w:val="-5"/>
          <w:sz w:val="24"/>
          <w:szCs w:val="24"/>
          <w:highlight w:val="none"/>
        </w:rPr>
        <w:t>货物名称</w:t>
      </w:r>
      <w:r>
        <w:rPr>
          <w:rFonts w:ascii="宋体" w:hAnsi="宋体" w:eastAsia="宋体" w:cs="宋体"/>
          <w:sz w:val="24"/>
          <w:szCs w:val="24"/>
          <w:highlight w:val="none"/>
        </w:rPr>
        <w:t>：；</w:t>
      </w:r>
    </w:p>
    <w:p w14:paraId="344BD4AC">
      <w:pPr>
        <w:spacing w:before="277" w:line="219" w:lineRule="auto"/>
        <w:ind w:left="546"/>
        <w:rPr>
          <w:rFonts w:ascii="宋体" w:hAnsi="宋体" w:eastAsia="宋体" w:cs="宋体"/>
          <w:sz w:val="24"/>
          <w:szCs w:val="24"/>
          <w:highlight w:val="none"/>
        </w:rPr>
      </w:pPr>
      <w:r>
        <w:rPr>
          <w:rFonts w:ascii="宋体" w:hAnsi="宋体" w:eastAsia="宋体" w:cs="宋体"/>
          <w:spacing w:val="-5"/>
          <w:sz w:val="24"/>
          <w:szCs w:val="24"/>
          <w:highlight w:val="none"/>
        </w:rPr>
        <w:t>1.2.2</w:t>
      </w:r>
      <w:r>
        <w:rPr>
          <w:rFonts w:ascii="宋体" w:hAnsi="宋体" w:eastAsia="宋体" w:cs="宋体"/>
          <w:spacing w:val="-44"/>
          <w:sz w:val="24"/>
          <w:szCs w:val="24"/>
          <w:highlight w:val="none"/>
        </w:rPr>
        <w:t xml:space="preserve"> </w:t>
      </w:r>
      <w:r>
        <w:rPr>
          <w:rFonts w:ascii="宋体" w:hAnsi="宋体" w:eastAsia="宋体" w:cs="宋体"/>
          <w:spacing w:val="-5"/>
          <w:sz w:val="24"/>
          <w:szCs w:val="24"/>
          <w:highlight w:val="none"/>
        </w:rPr>
        <w:t>货物数量</w:t>
      </w:r>
      <w:r>
        <w:rPr>
          <w:rFonts w:ascii="宋体" w:hAnsi="宋体" w:eastAsia="宋体" w:cs="宋体"/>
          <w:sz w:val="24"/>
          <w:szCs w:val="24"/>
          <w:highlight w:val="none"/>
        </w:rPr>
        <w:t>：；</w:t>
      </w:r>
    </w:p>
    <w:p w14:paraId="0B73BE28">
      <w:pPr>
        <w:spacing w:before="274" w:line="219" w:lineRule="auto"/>
        <w:ind w:left="546"/>
        <w:rPr>
          <w:rFonts w:ascii="宋体" w:hAnsi="宋体" w:eastAsia="宋体" w:cs="宋体"/>
          <w:sz w:val="24"/>
          <w:szCs w:val="24"/>
          <w:highlight w:val="none"/>
        </w:rPr>
      </w:pPr>
      <w:r>
        <w:rPr>
          <w:rFonts w:ascii="宋体" w:hAnsi="宋体" w:eastAsia="宋体" w:cs="宋体"/>
          <w:spacing w:val="-4"/>
          <w:sz w:val="24"/>
          <w:szCs w:val="24"/>
          <w:highlight w:val="none"/>
        </w:rPr>
        <w:t>1.2.3</w:t>
      </w:r>
      <w:r>
        <w:rPr>
          <w:rFonts w:ascii="宋体" w:hAnsi="宋体" w:eastAsia="宋体" w:cs="宋体"/>
          <w:spacing w:val="-45"/>
          <w:sz w:val="24"/>
          <w:szCs w:val="24"/>
          <w:highlight w:val="none"/>
        </w:rPr>
        <w:t xml:space="preserve"> </w:t>
      </w:r>
      <w:r>
        <w:rPr>
          <w:rFonts w:ascii="宋体" w:hAnsi="宋体" w:eastAsia="宋体" w:cs="宋体"/>
          <w:spacing w:val="-4"/>
          <w:sz w:val="24"/>
          <w:szCs w:val="24"/>
          <w:highlight w:val="none"/>
        </w:rPr>
        <w:t>货物质量：</w:t>
      </w:r>
      <w:r>
        <w:rPr>
          <w:rFonts w:ascii="宋体" w:hAnsi="宋体" w:eastAsia="宋体" w:cs="宋体"/>
          <w:spacing w:val="6"/>
          <w:sz w:val="24"/>
          <w:szCs w:val="24"/>
          <w:highlight w:val="none"/>
          <w:u w:val="single" w:color="auto"/>
        </w:rPr>
        <w:t xml:space="preserve">                   </w:t>
      </w:r>
      <w:r>
        <w:rPr>
          <w:rFonts w:ascii="宋体" w:hAnsi="宋体" w:eastAsia="宋体" w:cs="宋体"/>
          <w:spacing w:val="-4"/>
          <w:sz w:val="24"/>
          <w:szCs w:val="24"/>
          <w:highlight w:val="none"/>
        </w:rPr>
        <w:t>。</w:t>
      </w:r>
    </w:p>
    <w:p w14:paraId="64FEF756">
      <w:pPr>
        <w:spacing w:before="275" w:line="218" w:lineRule="auto"/>
        <w:ind w:left="546"/>
        <w:outlineLvl w:val="0"/>
        <w:rPr>
          <w:rFonts w:ascii="宋体" w:hAnsi="宋体" w:eastAsia="宋体" w:cs="宋体"/>
          <w:sz w:val="24"/>
          <w:szCs w:val="24"/>
          <w:highlight w:val="none"/>
        </w:rPr>
      </w:pPr>
      <w:bookmarkStart w:id="815" w:name="_Toc20131"/>
      <w:r>
        <w:rPr>
          <w:rFonts w:ascii="宋体" w:hAnsi="宋体" w:eastAsia="宋体" w:cs="宋体"/>
          <w:b/>
          <w:bCs/>
          <w:spacing w:val="-10"/>
          <w:sz w:val="24"/>
          <w:szCs w:val="24"/>
          <w:highlight w:val="none"/>
        </w:rPr>
        <w:t>1.3</w:t>
      </w:r>
      <w:r>
        <w:rPr>
          <w:rFonts w:ascii="宋体" w:hAnsi="宋体" w:eastAsia="宋体" w:cs="宋体"/>
          <w:spacing w:val="-49"/>
          <w:sz w:val="24"/>
          <w:szCs w:val="24"/>
          <w:highlight w:val="none"/>
        </w:rPr>
        <w:t xml:space="preserve"> </w:t>
      </w:r>
      <w:r>
        <w:rPr>
          <w:rFonts w:ascii="宋体" w:hAnsi="宋体" w:eastAsia="宋体" w:cs="宋体"/>
          <w:b/>
          <w:bCs/>
          <w:spacing w:val="-10"/>
          <w:sz w:val="24"/>
          <w:szCs w:val="24"/>
          <w:highlight w:val="none"/>
        </w:rPr>
        <w:t>价款</w:t>
      </w:r>
      <w:bookmarkEnd w:id="815"/>
    </w:p>
    <w:p w14:paraId="5E336773">
      <w:pPr>
        <w:spacing w:before="278" w:line="218" w:lineRule="auto"/>
        <w:ind w:left="530"/>
        <w:rPr>
          <w:rFonts w:ascii="宋体" w:hAnsi="宋体" w:eastAsia="宋体" w:cs="宋体"/>
          <w:sz w:val="24"/>
          <w:szCs w:val="24"/>
          <w:highlight w:val="none"/>
        </w:rPr>
      </w:pPr>
      <w:r>
        <w:rPr>
          <w:rFonts w:ascii="宋体" w:hAnsi="宋体" w:eastAsia="宋体" w:cs="宋体"/>
          <w:spacing w:val="-1"/>
          <w:sz w:val="24"/>
          <w:szCs w:val="24"/>
          <w:highlight w:val="none"/>
        </w:rPr>
        <w:t>本合同总价为：￥元（大写：元人民币）。</w:t>
      </w:r>
    </w:p>
    <w:p w14:paraId="08EFEABA">
      <w:pPr>
        <w:spacing w:before="276" w:line="218" w:lineRule="auto"/>
        <w:ind w:left="532"/>
        <w:rPr>
          <w:rFonts w:ascii="宋体" w:hAnsi="宋体" w:eastAsia="宋体" w:cs="宋体"/>
          <w:sz w:val="24"/>
          <w:szCs w:val="24"/>
          <w:highlight w:val="none"/>
        </w:rPr>
      </w:pPr>
      <w:r>
        <w:rPr>
          <w:rFonts w:ascii="宋体" w:hAnsi="宋体" w:eastAsia="宋体" w:cs="宋体"/>
          <w:spacing w:val="-3"/>
          <w:sz w:val="24"/>
          <w:szCs w:val="24"/>
          <w:highlight w:val="none"/>
        </w:rPr>
        <w:t>分项价格：</w:t>
      </w:r>
    </w:p>
    <w:p w14:paraId="640B5002">
      <w:pPr>
        <w:spacing w:line="34" w:lineRule="exact"/>
        <w:rPr>
          <w:highlight w:val="none"/>
        </w:rPr>
      </w:pPr>
    </w:p>
    <w:tbl>
      <w:tblPr>
        <w:tblStyle w:val="37"/>
        <w:tblW w:w="94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5"/>
        <w:gridCol w:w="3400"/>
        <w:gridCol w:w="4826"/>
      </w:tblGrid>
      <w:tr w14:paraId="15CC44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05" w:type="dxa"/>
            <w:vAlign w:val="top"/>
          </w:tcPr>
          <w:p w14:paraId="51D282F6">
            <w:pPr>
              <w:spacing w:before="248" w:line="221" w:lineRule="auto"/>
              <w:ind w:left="367"/>
              <w:rPr>
                <w:rFonts w:ascii="宋体" w:hAnsi="宋体" w:eastAsia="宋体" w:cs="宋体"/>
                <w:sz w:val="24"/>
                <w:szCs w:val="24"/>
                <w:highlight w:val="none"/>
              </w:rPr>
            </w:pPr>
            <w:r>
              <w:rPr>
                <w:rFonts w:ascii="宋体" w:hAnsi="宋体" w:eastAsia="宋体" w:cs="宋体"/>
                <w:spacing w:val="-5"/>
                <w:sz w:val="24"/>
                <w:szCs w:val="24"/>
                <w:highlight w:val="none"/>
              </w:rPr>
              <w:t>序号</w:t>
            </w:r>
          </w:p>
        </w:tc>
        <w:tc>
          <w:tcPr>
            <w:tcW w:w="3400" w:type="dxa"/>
            <w:vAlign w:val="top"/>
          </w:tcPr>
          <w:p w14:paraId="48E106CF">
            <w:pPr>
              <w:spacing w:before="248" w:line="220" w:lineRule="auto"/>
              <w:ind w:left="1328"/>
              <w:rPr>
                <w:rFonts w:ascii="宋体" w:hAnsi="宋体" w:eastAsia="宋体" w:cs="宋体"/>
                <w:sz w:val="24"/>
                <w:szCs w:val="24"/>
                <w:highlight w:val="none"/>
              </w:rPr>
            </w:pPr>
            <w:r>
              <w:rPr>
                <w:rFonts w:ascii="宋体" w:hAnsi="宋体" w:eastAsia="宋体" w:cs="宋体"/>
                <w:spacing w:val="-4"/>
                <w:sz w:val="24"/>
                <w:szCs w:val="24"/>
                <w:highlight w:val="none"/>
              </w:rPr>
              <w:t>分项名称</w:t>
            </w:r>
          </w:p>
        </w:tc>
        <w:tc>
          <w:tcPr>
            <w:tcW w:w="4826" w:type="dxa"/>
            <w:vAlign w:val="top"/>
          </w:tcPr>
          <w:p w14:paraId="74132CA2">
            <w:pPr>
              <w:spacing w:before="248" w:line="218" w:lineRule="auto"/>
              <w:ind w:left="1941"/>
              <w:rPr>
                <w:rFonts w:ascii="宋体" w:hAnsi="宋体" w:eastAsia="宋体" w:cs="宋体"/>
                <w:sz w:val="24"/>
                <w:szCs w:val="24"/>
                <w:highlight w:val="none"/>
              </w:rPr>
            </w:pPr>
            <w:r>
              <w:rPr>
                <w:rFonts w:ascii="宋体" w:hAnsi="宋体" w:eastAsia="宋体" w:cs="宋体"/>
                <w:spacing w:val="-4"/>
                <w:sz w:val="24"/>
                <w:szCs w:val="24"/>
                <w:highlight w:val="none"/>
              </w:rPr>
              <w:t>分项价格</w:t>
            </w:r>
          </w:p>
        </w:tc>
      </w:tr>
      <w:tr w14:paraId="6AB90C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205" w:type="dxa"/>
            <w:vAlign w:val="top"/>
          </w:tcPr>
          <w:p w14:paraId="779B8725">
            <w:pPr>
              <w:pStyle w:val="36"/>
              <w:rPr>
                <w:highlight w:val="none"/>
              </w:rPr>
            </w:pPr>
          </w:p>
        </w:tc>
        <w:tc>
          <w:tcPr>
            <w:tcW w:w="3400" w:type="dxa"/>
            <w:vAlign w:val="top"/>
          </w:tcPr>
          <w:p w14:paraId="6DBB87E6">
            <w:pPr>
              <w:pStyle w:val="36"/>
              <w:rPr>
                <w:highlight w:val="none"/>
              </w:rPr>
            </w:pPr>
          </w:p>
        </w:tc>
        <w:tc>
          <w:tcPr>
            <w:tcW w:w="4826" w:type="dxa"/>
            <w:vAlign w:val="top"/>
          </w:tcPr>
          <w:p w14:paraId="1A2AEF99">
            <w:pPr>
              <w:pStyle w:val="36"/>
              <w:rPr>
                <w:highlight w:val="none"/>
              </w:rPr>
            </w:pPr>
          </w:p>
        </w:tc>
      </w:tr>
      <w:tr w14:paraId="1FB558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5" w:type="dxa"/>
            <w:vAlign w:val="top"/>
          </w:tcPr>
          <w:p w14:paraId="4FB5C638">
            <w:pPr>
              <w:pStyle w:val="36"/>
              <w:rPr>
                <w:highlight w:val="none"/>
              </w:rPr>
            </w:pPr>
          </w:p>
        </w:tc>
        <w:tc>
          <w:tcPr>
            <w:tcW w:w="3400" w:type="dxa"/>
            <w:vAlign w:val="top"/>
          </w:tcPr>
          <w:p w14:paraId="3E0D2C4C">
            <w:pPr>
              <w:pStyle w:val="36"/>
              <w:rPr>
                <w:highlight w:val="none"/>
              </w:rPr>
            </w:pPr>
          </w:p>
        </w:tc>
        <w:tc>
          <w:tcPr>
            <w:tcW w:w="4826" w:type="dxa"/>
            <w:vAlign w:val="top"/>
          </w:tcPr>
          <w:p w14:paraId="281F0479">
            <w:pPr>
              <w:pStyle w:val="36"/>
              <w:rPr>
                <w:highlight w:val="none"/>
              </w:rPr>
            </w:pPr>
          </w:p>
        </w:tc>
      </w:tr>
      <w:tr w14:paraId="658AF5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5" w:type="dxa"/>
            <w:vAlign w:val="top"/>
          </w:tcPr>
          <w:p w14:paraId="4B7D7390">
            <w:pPr>
              <w:pStyle w:val="36"/>
              <w:rPr>
                <w:highlight w:val="none"/>
              </w:rPr>
            </w:pPr>
          </w:p>
        </w:tc>
        <w:tc>
          <w:tcPr>
            <w:tcW w:w="3400" w:type="dxa"/>
            <w:vAlign w:val="top"/>
          </w:tcPr>
          <w:p w14:paraId="0032F751">
            <w:pPr>
              <w:pStyle w:val="36"/>
              <w:rPr>
                <w:highlight w:val="none"/>
              </w:rPr>
            </w:pPr>
          </w:p>
        </w:tc>
        <w:tc>
          <w:tcPr>
            <w:tcW w:w="4826" w:type="dxa"/>
            <w:vAlign w:val="top"/>
          </w:tcPr>
          <w:p w14:paraId="4AA4CAE2">
            <w:pPr>
              <w:pStyle w:val="36"/>
              <w:rPr>
                <w:highlight w:val="none"/>
              </w:rPr>
            </w:pPr>
          </w:p>
        </w:tc>
      </w:tr>
      <w:tr w14:paraId="0ED8A6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5" w:type="dxa"/>
            <w:vAlign w:val="top"/>
          </w:tcPr>
          <w:p w14:paraId="1B3DAD5F">
            <w:pPr>
              <w:pStyle w:val="36"/>
              <w:rPr>
                <w:highlight w:val="none"/>
              </w:rPr>
            </w:pPr>
          </w:p>
        </w:tc>
        <w:tc>
          <w:tcPr>
            <w:tcW w:w="3400" w:type="dxa"/>
            <w:vAlign w:val="top"/>
          </w:tcPr>
          <w:p w14:paraId="3E777B6A">
            <w:pPr>
              <w:pStyle w:val="36"/>
              <w:rPr>
                <w:highlight w:val="none"/>
              </w:rPr>
            </w:pPr>
          </w:p>
        </w:tc>
        <w:tc>
          <w:tcPr>
            <w:tcW w:w="4826" w:type="dxa"/>
            <w:vAlign w:val="top"/>
          </w:tcPr>
          <w:p w14:paraId="7C587407">
            <w:pPr>
              <w:pStyle w:val="36"/>
              <w:rPr>
                <w:highlight w:val="none"/>
              </w:rPr>
            </w:pPr>
          </w:p>
        </w:tc>
      </w:tr>
      <w:tr w14:paraId="598CC3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4605" w:type="dxa"/>
            <w:gridSpan w:val="2"/>
            <w:vAlign w:val="top"/>
          </w:tcPr>
          <w:p w14:paraId="4F28B944">
            <w:pPr>
              <w:spacing w:before="247" w:line="218" w:lineRule="auto"/>
              <w:ind w:left="2177"/>
              <w:rPr>
                <w:rFonts w:ascii="宋体" w:hAnsi="宋体" w:eastAsia="宋体" w:cs="宋体"/>
                <w:sz w:val="24"/>
                <w:szCs w:val="24"/>
                <w:highlight w:val="none"/>
              </w:rPr>
            </w:pPr>
            <w:r>
              <w:rPr>
                <w:rFonts w:ascii="宋体" w:hAnsi="宋体" w:eastAsia="宋体" w:cs="宋体"/>
                <w:spacing w:val="-8"/>
                <w:sz w:val="24"/>
                <w:szCs w:val="24"/>
                <w:highlight w:val="none"/>
              </w:rPr>
              <w:t>总价</w:t>
            </w:r>
          </w:p>
        </w:tc>
        <w:tc>
          <w:tcPr>
            <w:tcW w:w="4826" w:type="dxa"/>
            <w:vAlign w:val="top"/>
          </w:tcPr>
          <w:p w14:paraId="1987FDC2">
            <w:pPr>
              <w:pStyle w:val="36"/>
              <w:rPr>
                <w:highlight w:val="none"/>
              </w:rPr>
            </w:pPr>
          </w:p>
        </w:tc>
      </w:tr>
    </w:tbl>
    <w:p w14:paraId="34A05415">
      <w:pPr>
        <w:spacing w:before="242" w:line="219" w:lineRule="auto"/>
        <w:ind w:left="546"/>
        <w:outlineLvl w:val="0"/>
        <w:rPr>
          <w:rFonts w:ascii="宋体" w:hAnsi="宋体" w:eastAsia="宋体" w:cs="宋体"/>
          <w:sz w:val="24"/>
          <w:szCs w:val="24"/>
          <w:highlight w:val="none"/>
        </w:rPr>
      </w:pPr>
      <w:bookmarkStart w:id="816" w:name="_Toc9628"/>
      <w:r>
        <w:rPr>
          <w:rFonts w:ascii="宋体" w:hAnsi="宋体" w:eastAsia="宋体" w:cs="宋体"/>
          <w:b/>
          <w:bCs/>
          <w:spacing w:val="-5"/>
          <w:sz w:val="24"/>
          <w:szCs w:val="24"/>
          <w:highlight w:val="none"/>
        </w:rPr>
        <w:t>1.4</w:t>
      </w:r>
      <w:r>
        <w:rPr>
          <w:rFonts w:ascii="宋体" w:hAnsi="宋体" w:eastAsia="宋体" w:cs="宋体"/>
          <w:spacing w:val="-42"/>
          <w:sz w:val="24"/>
          <w:szCs w:val="24"/>
          <w:highlight w:val="none"/>
        </w:rPr>
        <w:t xml:space="preserve"> </w:t>
      </w:r>
      <w:r>
        <w:rPr>
          <w:rFonts w:ascii="宋体" w:hAnsi="宋体" w:eastAsia="宋体" w:cs="宋体"/>
          <w:b/>
          <w:bCs/>
          <w:spacing w:val="-5"/>
          <w:sz w:val="24"/>
          <w:szCs w:val="24"/>
          <w:highlight w:val="none"/>
        </w:rPr>
        <w:t>付款方式和发票开具方式</w:t>
      </w:r>
      <w:bookmarkEnd w:id="816"/>
    </w:p>
    <w:p w14:paraId="58AFC76A">
      <w:pPr>
        <w:spacing w:before="274" w:line="219" w:lineRule="auto"/>
        <w:ind w:left="546"/>
        <w:rPr>
          <w:rFonts w:hint="default" w:ascii="宋体" w:hAnsi="宋体" w:eastAsia="宋体" w:cs="宋体"/>
          <w:spacing w:val="-4"/>
          <w:sz w:val="24"/>
          <w:szCs w:val="24"/>
          <w:highlight w:val="none"/>
          <w:lang w:val="en-US" w:eastAsia="zh-CN"/>
        </w:rPr>
      </w:pPr>
      <w:r>
        <w:rPr>
          <w:rFonts w:ascii="宋体" w:hAnsi="宋体" w:eastAsia="宋体" w:cs="宋体"/>
          <w:spacing w:val="-4"/>
          <w:sz w:val="24"/>
          <w:szCs w:val="24"/>
          <w:highlight w:val="none"/>
        </w:rPr>
        <w:t>1.4.1</w:t>
      </w:r>
      <w:r>
        <w:rPr>
          <w:rFonts w:hint="eastAsia" w:ascii="宋体" w:hAnsi="宋体" w:eastAsia="宋体" w:cs="宋体"/>
          <w:spacing w:val="-4"/>
          <w:sz w:val="24"/>
          <w:szCs w:val="24"/>
          <w:highlight w:val="none"/>
        </w:rPr>
        <w:t xml:space="preserve">付款方式：中标单位确定后，中标单位按照中标价向采购单位指定账户缴纳 5%履约 金后签订合同。甲乙双方确认本合同约定费用按照分期付款方式予以结算。合同生效之日且财政账户之日起_10_ 日内甲方向乙方预付价款 </w:t>
      </w:r>
      <w:r>
        <w:rPr>
          <w:rFonts w:hint="eastAsia" w:ascii="宋体" w:hAnsi="宋体" w:eastAsia="宋体" w:cs="宋体"/>
          <w:spacing w:val="-4"/>
          <w:sz w:val="24"/>
          <w:szCs w:val="24"/>
          <w:highlight w:val="none"/>
          <w:lang w:val="en-US" w:eastAsia="zh-CN"/>
        </w:rPr>
        <w:t>50</w:t>
      </w:r>
      <w:r>
        <w:rPr>
          <w:rFonts w:hint="eastAsia" w:ascii="宋体" w:hAnsi="宋体" w:eastAsia="宋体" w:cs="宋体"/>
          <w:spacing w:val="-4"/>
          <w:sz w:val="24"/>
          <w:szCs w:val="24"/>
          <w:highlight w:val="none"/>
        </w:rPr>
        <w:t xml:space="preserve"> ％</w:t>
      </w:r>
      <w:r>
        <w:rPr>
          <w:rFonts w:hint="eastAsia" w:ascii="宋体" w:hAnsi="宋体" w:eastAsia="宋体" w:cs="宋体"/>
          <w:spacing w:val="-4"/>
          <w:sz w:val="24"/>
          <w:szCs w:val="24"/>
          <w:highlight w:val="none"/>
          <w:lang w:eastAsia="zh-CN"/>
        </w:rPr>
        <w:t>，</w:t>
      </w:r>
      <w:r>
        <w:rPr>
          <w:rFonts w:hint="eastAsia" w:ascii="宋体" w:hAnsi="宋体" w:eastAsia="宋体" w:cs="宋体"/>
          <w:spacing w:val="-4"/>
          <w:sz w:val="24"/>
          <w:szCs w:val="24"/>
          <w:highlight w:val="none"/>
          <w:lang w:val="en-US" w:eastAsia="zh-CN"/>
        </w:rPr>
        <w:t>货到安装完成验收合格后支付剩余款项的50%</w:t>
      </w:r>
      <w:r>
        <w:rPr>
          <w:rFonts w:hint="eastAsia" w:ascii="宋体" w:hAnsi="宋体" w:eastAsia="宋体" w:cs="宋体"/>
          <w:spacing w:val="-4"/>
          <w:sz w:val="24"/>
          <w:szCs w:val="24"/>
          <w:highlight w:val="none"/>
        </w:rPr>
        <w:t>（具体以签订合同为准）</w:t>
      </w:r>
    </w:p>
    <w:p w14:paraId="54C57EC4">
      <w:pPr>
        <w:spacing w:before="274" w:line="219" w:lineRule="auto"/>
        <w:ind w:left="546"/>
        <w:rPr>
          <w:rFonts w:hint="default" w:ascii="宋体" w:hAnsi="宋体" w:eastAsia="宋体" w:cs="宋体"/>
          <w:sz w:val="24"/>
          <w:szCs w:val="24"/>
          <w:highlight w:val="none"/>
          <w:lang w:val="en-US" w:eastAsia="zh-CN"/>
        </w:rPr>
      </w:pPr>
      <w:r>
        <w:rPr>
          <w:rFonts w:ascii="宋体" w:hAnsi="宋体" w:eastAsia="宋体" w:cs="宋体"/>
          <w:spacing w:val="-4"/>
          <w:sz w:val="24"/>
          <w:szCs w:val="24"/>
          <w:highlight w:val="none"/>
        </w:rPr>
        <w:t>1.4.2</w:t>
      </w:r>
      <w:r>
        <w:rPr>
          <w:rFonts w:ascii="宋体" w:hAnsi="宋体" w:eastAsia="宋体" w:cs="宋体"/>
          <w:spacing w:val="-37"/>
          <w:sz w:val="24"/>
          <w:szCs w:val="24"/>
          <w:highlight w:val="none"/>
        </w:rPr>
        <w:t xml:space="preserve"> </w:t>
      </w:r>
      <w:r>
        <w:rPr>
          <w:rFonts w:ascii="宋体" w:hAnsi="宋体" w:eastAsia="宋体" w:cs="宋体"/>
          <w:spacing w:val="-4"/>
          <w:sz w:val="24"/>
          <w:szCs w:val="24"/>
          <w:highlight w:val="none"/>
        </w:rPr>
        <w:t>发票开具方式：</w:t>
      </w:r>
      <w:r>
        <w:rPr>
          <w:rFonts w:hint="eastAsia" w:ascii="宋体" w:hAnsi="宋体" w:eastAsia="宋体" w:cs="宋体"/>
          <w:spacing w:val="-4"/>
          <w:sz w:val="24"/>
          <w:szCs w:val="24"/>
          <w:highlight w:val="none"/>
          <w:lang w:val="en-US" w:eastAsia="zh-CN"/>
        </w:rPr>
        <w:t>电子普票</w:t>
      </w:r>
    </w:p>
    <w:p w14:paraId="46295010">
      <w:pPr>
        <w:spacing w:before="273" w:line="219" w:lineRule="auto"/>
        <w:ind w:left="546"/>
        <w:outlineLvl w:val="0"/>
        <w:rPr>
          <w:rFonts w:ascii="宋体" w:hAnsi="宋体" w:eastAsia="宋体" w:cs="宋体"/>
          <w:sz w:val="24"/>
          <w:szCs w:val="24"/>
          <w:highlight w:val="none"/>
        </w:rPr>
      </w:pPr>
      <w:bookmarkStart w:id="817" w:name="_Toc4417"/>
      <w:r>
        <w:rPr>
          <w:rFonts w:ascii="宋体" w:hAnsi="宋体" w:eastAsia="宋体" w:cs="宋体"/>
          <w:b/>
          <w:bCs/>
          <w:spacing w:val="-5"/>
          <w:sz w:val="24"/>
          <w:szCs w:val="24"/>
          <w:highlight w:val="none"/>
        </w:rPr>
        <w:t>1.5</w:t>
      </w:r>
      <w:r>
        <w:rPr>
          <w:rFonts w:ascii="宋体" w:hAnsi="宋体" w:eastAsia="宋体" w:cs="宋体"/>
          <w:spacing w:val="-39"/>
          <w:sz w:val="24"/>
          <w:szCs w:val="24"/>
          <w:highlight w:val="none"/>
        </w:rPr>
        <w:t xml:space="preserve"> </w:t>
      </w:r>
      <w:r>
        <w:rPr>
          <w:rFonts w:ascii="宋体" w:hAnsi="宋体" w:eastAsia="宋体" w:cs="宋体"/>
          <w:b/>
          <w:bCs/>
          <w:spacing w:val="-5"/>
          <w:sz w:val="24"/>
          <w:szCs w:val="24"/>
          <w:highlight w:val="none"/>
        </w:rPr>
        <w:t>货物交付期限、地点和方式</w:t>
      </w:r>
      <w:bookmarkEnd w:id="817"/>
    </w:p>
    <w:p w14:paraId="5A557446">
      <w:pPr>
        <w:spacing w:before="278" w:line="219" w:lineRule="auto"/>
        <w:ind w:left="546"/>
        <w:rPr>
          <w:rFonts w:hint="default" w:ascii="宋体" w:hAnsi="宋体" w:eastAsia="宋体" w:cs="宋体"/>
          <w:sz w:val="24"/>
          <w:szCs w:val="24"/>
          <w:highlight w:val="none"/>
          <w:lang w:val="en-US" w:eastAsia="zh-CN"/>
        </w:rPr>
      </w:pPr>
      <w:r>
        <w:rPr>
          <w:rFonts w:ascii="宋体" w:hAnsi="宋体" w:eastAsia="宋体" w:cs="宋体"/>
          <w:spacing w:val="-5"/>
          <w:sz w:val="24"/>
          <w:szCs w:val="24"/>
          <w:highlight w:val="none"/>
        </w:rPr>
        <w:t>1.5.1</w:t>
      </w:r>
      <w:r>
        <w:rPr>
          <w:rFonts w:ascii="宋体" w:hAnsi="宋体" w:eastAsia="宋体" w:cs="宋体"/>
          <w:spacing w:val="-46"/>
          <w:sz w:val="24"/>
          <w:szCs w:val="24"/>
          <w:highlight w:val="none"/>
        </w:rPr>
        <w:t xml:space="preserve"> </w:t>
      </w:r>
      <w:r>
        <w:rPr>
          <w:rFonts w:ascii="宋体" w:hAnsi="宋体" w:eastAsia="宋体" w:cs="宋体"/>
          <w:spacing w:val="-5"/>
          <w:sz w:val="24"/>
          <w:szCs w:val="24"/>
          <w:highlight w:val="none"/>
        </w:rPr>
        <w:t>交付期限</w:t>
      </w:r>
      <w:r>
        <w:rPr>
          <w:rFonts w:ascii="宋体" w:hAnsi="宋体" w:eastAsia="宋体" w:cs="宋体"/>
          <w:spacing w:val="1"/>
          <w:sz w:val="24"/>
          <w:szCs w:val="24"/>
          <w:highlight w:val="none"/>
        </w:rPr>
        <w:t>：</w:t>
      </w:r>
      <w:r>
        <w:rPr>
          <w:rFonts w:hint="eastAsia" w:ascii="宋体" w:hAnsi="宋体" w:eastAsia="宋体" w:cs="宋体"/>
          <w:spacing w:val="1"/>
          <w:sz w:val="24"/>
          <w:szCs w:val="24"/>
          <w:highlight w:val="none"/>
          <w:lang w:val="en-US" w:eastAsia="zh-CN"/>
        </w:rPr>
        <w:t>签订合同后</w:t>
      </w:r>
      <w:r>
        <w:rPr>
          <w:rFonts w:hint="eastAsia" w:ascii="宋体" w:hAnsi="宋体" w:cs="宋体"/>
          <w:spacing w:val="1"/>
          <w:sz w:val="24"/>
          <w:szCs w:val="24"/>
          <w:highlight w:val="none"/>
          <w:lang w:val="en-US" w:eastAsia="zh-CN"/>
        </w:rPr>
        <w:t>90</w:t>
      </w:r>
      <w:r>
        <w:rPr>
          <w:rFonts w:hint="eastAsia" w:ascii="宋体" w:hAnsi="宋体" w:eastAsia="宋体" w:cs="宋体"/>
          <w:spacing w:val="1"/>
          <w:sz w:val="24"/>
          <w:szCs w:val="24"/>
          <w:highlight w:val="none"/>
          <w:lang w:val="en-US" w:eastAsia="zh-CN"/>
        </w:rPr>
        <w:t>天内完成供货</w:t>
      </w:r>
    </w:p>
    <w:p w14:paraId="07E005A5">
      <w:pPr>
        <w:spacing w:before="274" w:line="219" w:lineRule="auto"/>
        <w:ind w:left="546"/>
        <w:rPr>
          <w:rFonts w:hint="default" w:ascii="宋体" w:hAnsi="宋体" w:eastAsia="宋体" w:cs="宋体"/>
          <w:sz w:val="24"/>
          <w:szCs w:val="24"/>
          <w:highlight w:val="none"/>
          <w:lang w:val="en-US" w:eastAsia="zh-CN"/>
        </w:rPr>
      </w:pPr>
      <w:r>
        <w:rPr>
          <w:rFonts w:ascii="宋体" w:hAnsi="宋体" w:eastAsia="宋体" w:cs="宋体"/>
          <w:spacing w:val="-5"/>
          <w:sz w:val="24"/>
          <w:szCs w:val="24"/>
          <w:highlight w:val="none"/>
        </w:rPr>
        <w:t>1.5.2</w:t>
      </w:r>
      <w:r>
        <w:rPr>
          <w:rFonts w:ascii="宋体" w:hAnsi="宋体" w:eastAsia="宋体" w:cs="宋体"/>
          <w:spacing w:val="-46"/>
          <w:sz w:val="24"/>
          <w:szCs w:val="24"/>
          <w:highlight w:val="none"/>
        </w:rPr>
        <w:t xml:space="preserve"> </w:t>
      </w:r>
      <w:r>
        <w:rPr>
          <w:rFonts w:ascii="宋体" w:hAnsi="宋体" w:eastAsia="宋体" w:cs="宋体"/>
          <w:spacing w:val="-5"/>
          <w:sz w:val="24"/>
          <w:szCs w:val="24"/>
          <w:highlight w:val="none"/>
        </w:rPr>
        <w:t>交付地点</w:t>
      </w:r>
      <w:r>
        <w:rPr>
          <w:rFonts w:ascii="宋体" w:hAnsi="宋体" w:eastAsia="宋体" w:cs="宋体"/>
          <w:spacing w:val="1"/>
          <w:sz w:val="24"/>
          <w:szCs w:val="24"/>
          <w:highlight w:val="none"/>
        </w:rPr>
        <w:t>：</w:t>
      </w:r>
      <w:r>
        <w:rPr>
          <w:rFonts w:hint="eastAsia" w:ascii="宋体" w:hAnsi="宋体" w:eastAsia="宋体" w:cs="宋体"/>
          <w:spacing w:val="1"/>
          <w:sz w:val="24"/>
          <w:szCs w:val="24"/>
          <w:highlight w:val="none"/>
          <w:lang w:val="en-US" w:eastAsia="zh-CN"/>
        </w:rPr>
        <w:t>甲方指定地点</w:t>
      </w:r>
    </w:p>
    <w:p w14:paraId="68878046">
      <w:pPr>
        <w:spacing w:before="275" w:line="219" w:lineRule="auto"/>
        <w:ind w:left="546"/>
        <w:rPr>
          <w:rFonts w:hint="default" w:ascii="宋体" w:hAnsi="宋体" w:eastAsia="宋体" w:cs="宋体"/>
          <w:sz w:val="24"/>
          <w:szCs w:val="24"/>
          <w:highlight w:val="none"/>
          <w:lang w:val="en-US" w:eastAsia="zh-CN"/>
        </w:rPr>
      </w:pPr>
      <w:r>
        <w:rPr>
          <w:rFonts w:ascii="宋体" w:hAnsi="宋体" w:eastAsia="宋体" w:cs="宋体"/>
          <w:spacing w:val="-4"/>
          <w:sz w:val="24"/>
          <w:szCs w:val="24"/>
          <w:highlight w:val="none"/>
        </w:rPr>
        <w:t>1.5.3</w:t>
      </w:r>
      <w:r>
        <w:rPr>
          <w:rFonts w:ascii="宋体" w:hAnsi="宋体" w:eastAsia="宋体" w:cs="宋体"/>
          <w:spacing w:val="-45"/>
          <w:sz w:val="24"/>
          <w:szCs w:val="24"/>
          <w:highlight w:val="none"/>
        </w:rPr>
        <w:t xml:space="preserve"> </w:t>
      </w:r>
      <w:r>
        <w:rPr>
          <w:rFonts w:ascii="宋体" w:hAnsi="宋体" w:eastAsia="宋体" w:cs="宋体"/>
          <w:spacing w:val="-4"/>
          <w:sz w:val="24"/>
          <w:szCs w:val="24"/>
          <w:highlight w:val="none"/>
        </w:rPr>
        <w:t>交付方式：</w:t>
      </w:r>
      <w:r>
        <w:rPr>
          <w:rFonts w:hint="eastAsia" w:ascii="宋体" w:hAnsi="宋体" w:eastAsia="宋体" w:cs="宋体"/>
          <w:spacing w:val="-4"/>
          <w:sz w:val="24"/>
          <w:szCs w:val="24"/>
          <w:highlight w:val="none"/>
          <w:lang w:val="en-US" w:eastAsia="zh-CN"/>
        </w:rPr>
        <w:t>现场交付</w:t>
      </w:r>
    </w:p>
    <w:p w14:paraId="005C1AD7">
      <w:pPr>
        <w:spacing w:before="277" w:line="219" w:lineRule="auto"/>
        <w:ind w:left="546"/>
        <w:outlineLvl w:val="0"/>
        <w:rPr>
          <w:rFonts w:ascii="宋体" w:hAnsi="宋体" w:eastAsia="宋体" w:cs="宋体"/>
          <w:sz w:val="24"/>
          <w:szCs w:val="24"/>
          <w:highlight w:val="none"/>
        </w:rPr>
      </w:pPr>
      <w:bookmarkStart w:id="818" w:name="_Toc2132"/>
      <w:r>
        <w:rPr>
          <w:rFonts w:ascii="宋体" w:hAnsi="宋体" w:eastAsia="宋体" w:cs="宋体"/>
          <w:b/>
          <w:bCs/>
          <w:spacing w:val="-8"/>
          <w:sz w:val="24"/>
          <w:szCs w:val="24"/>
          <w:highlight w:val="none"/>
        </w:rPr>
        <w:t>1.6</w:t>
      </w:r>
      <w:r>
        <w:rPr>
          <w:rFonts w:ascii="宋体" w:hAnsi="宋体" w:eastAsia="宋体" w:cs="宋体"/>
          <w:spacing w:val="-45"/>
          <w:sz w:val="24"/>
          <w:szCs w:val="24"/>
          <w:highlight w:val="none"/>
        </w:rPr>
        <w:t xml:space="preserve"> </w:t>
      </w:r>
      <w:r>
        <w:rPr>
          <w:rFonts w:ascii="宋体" w:hAnsi="宋体" w:eastAsia="宋体" w:cs="宋体"/>
          <w:b/>
          <w:bCs/>
          <w:spacing w:val="-8"/>
          <w:sz w:val="24"/>
          <w:szCs w:val="24"/>
          <w:highlight w:val="none"/>
        </w:rPr>
        <w:t>违约责任</w:t>
      </w:r>
      <w:bookmarkEnd w:id="818"/>
    </w:p>
    <w:p w14:paraId="285A2290">
      <w:pPr>
        <w:spacing w:before="272" w:line="378" w:lineRule="auto"/>
        <w:ind w:left="49" w:right="39" w:firstLine="497"/>
        <w:rPr>
          <w:rFonts w:ascii="宋体" w:hAnsi="宋体" w:eastAsia="宋体" w:cs="宋体"/>
          <w:sz w:val="24"/>
          <w:szCs w:val="24"/>
          <w:highlight w:val="none"/>
        </w:rPr>
      </w:pPr>
      <w:r>
        <w:rPr>
          <w:rFonts w:ascii="宋体" w:hAnsi="宋体" w:eastAsia="宋体" w:cs="宋体"/>
          <w:sz w:val="24"/>
          <w:szCs w:val="24"/>
          <w:highlight w:val="none"/>
        </w:rPr>
        <w:t>1.6.1</w:t>
      </w:r>
      <w:r>
        <w:rPr>
          <w:rFonts w:ascii="宋体" w:hAnsi="宋体" w:eastAsia="宋体" w:cs="宋体"/>
          <w:spacing w:val="-31"/>
          <w:sz w:val="24"/>
          <w:szCs w:val="24"/>
          <w:highlight w:val="none"/>
        </w:rPr>
        <w:t xml:space="preserve"> </w:t>
      </w:r>
      <w:r>
        <w:rPr>
          <w:rFonts w:ascii="宋体" w:hAnsi="宋体" w:eastAsia="宋体" w:cs="宋体"/>
          <w:sz w:val="24"/>
          <w:szCs w:val="24"/>
          <w:highlight w:val="none"/>
        </w:rPr>
        <w:t>除不可抗力外，如果乙方没有按照本合同约定的期限、地点和方式交付货物， 那么甲方可要求乙方支付违约金，违约金按每迟延交付货物</w:t>
      </w:r>
      <w:r>
        <w:rPr>
          <w:rFonts w:ascii="宋体" w:hAnsi="宋体" w:eastAsia="宋体" w:cs="宋体"/>
          <w:spacing w:val="-1"/>
          <w:sz w:val="24"/>
          <w:szCs w:val="24"/>
          <w:highlight w:val="none"/>
        </w:rPr>
        <w:t>一日的应交付而未交付货物价</w:t>
      </w:r>
      <w:r>
        <w:rPr>
          <w:rFonts w:ascii="宋体" w:hAnsi="宋体" w:eastAsia="宋体" w:cs="宋体"/>
          <w:sz w:val="24"/>
          <w:szCs w:val="24"/>
          <w:highlight w:val="none"/>
        </w:rPr>
        <w:t xml:space="preserve"> 格的</w:t>
      </w:r>
      <w:r>
        <w:rPr>
          <w:rFonts w:hint="eastAsia" w:ascii="宋体" w:hAnsi="宋体" w:eastAsia="宋体" w:cs="宋体"/>
          <w:sz w:val="24"/>
          <w:szCs w:val="24"/>
          <w:highlight w:val="none"/>
          <w:lang w:val="en-US" w:eastAsia="zh-CN"/>
        </w:rPr>
        <w:t>1</w:t>
      </w:r>
      <w:r>
        <w:rPr>
          <w:rFonts w:ascii="宋体" w:hAnsi="宋体" w:eastAsia="宋体" w:cs="宋体"/>
          <w:sz w:val="24"/>
          <w:szCs w:val="24"/>
          <w:highlight w:val="none"/>
        </w:rPr>
        <w:t>%计算，最高限额为本合同总价的</w:t>
      </w:r>
      <w:r>
        <w:rPr>
          <w:rFonts w:hint="eastAsia" w:ascii="宋体" w:hAnsi="宋体" w:eastAsia="宋体" w:cs="宋体"/>
          <w:sz w:val="24"/>
          <w:szCs w:val="24"/>
          <w:highlight w:val="none"/>
          <w:lang w:val="en-US" w:eastAsia="zh-CN"/>
        </w:rPr>
        <w:t>10</w:t>
      </w:r>
      <w:r>
        <w:rPr>
          <w:rFonts w:ascii="宋体" w:hAnsi="宋体" w:eastAsia="宋体" w:cs="宋体"/>
          <w:sz w:val="24"/>
          <w:szCs w:val="24"/>
          <w:highlight w:val="none"/>
        </w:rPr>
        <w:t>%；迟延交付货物的违</w:t>
      </w:r>
      <w:r>
        <w:rPr>
          <w:rFonts w:ascii="宋体" w:hAnsi="宋体" w:eastAsia="宋体" w:cs="宋体"/>
          <w:spacing w:val="-1"/>
          <w:sz w:val="24"/>
          <w:szCs w:val="24"/>
          <w:highlight w:val="none"/>
        </w:rPr>
        <w:t>约金计算数额达到前述最高限</w:t>
      </w:r>
      <w:r>
        <w:rPr>
          <w:rFonts w:ascii="宋体" w:hAnsi="宋体" w:eastAsia="宋体" w:cs="宋体"/>
          <w:sz w:val="24"/>
          <w:szCs w:val="24"/>
          <w:highlight w:val="none"/>
        </w:rPr>
        <w:t>额之日起，甲方有权在要求乙方支付违约金的同时，书</w:t>
      </w:r>
      <w:r>
        <w:rPr>
          <w:rFonts w:ascii="宋体" w:hAnsi="宋体" w:eastAsia="宋体" w:cs="宋体"/>
          <w:spacing w:val="-1"/>
          <w:sz w:val="24"/>
          <w:szCs w:val="24"/>
          <w:highlight w:val="none"/>
        </w:rPr>
        <w:t>面通知乙方解除本合同；</w:t>
      </w:r>
    </w:p>
    <w:p w14:paraId="3C1E9A4F">
      <w:pPr>
        <w:spacing w:before="274" w:line="378" w:lineRule="auto"/>
        <w:ind w:left="50" w:right="39" w:firstLine="496"/>
        <w:rPr>
          <w:rFonts w:ascii="宋体" w:hAnsi="宋体" w:eastAsia="宋体" w:cs="宋体"/>
          <w:sz w:val="24"/>
          <w:szCs w:val="24"/>
          <w:highlight w:val="none"/>
        </w:rPr>
      </w:pPr>
      <w:r>
        <w:rPr>
          <w:rFonts w:ascii="宋体" w:hAnsi="宋体" w:eastAsia="宋体" w:cs="宋体"/>
          <w:sz w:val="24"/>
          <w:szCs w:val="24"/>
          <w:highlight w:val="none"/>
        </w:rPr>
        <w:t>1.6.2</w:t>
      </w:r>
      <w:r>
        <w:rPr>
          <w:rFonts w:ascii="宋体" w:hAnsi="宋体" w:eastAsia="宋体" w:cs="宋体"/>
          <w:spacing w:val="-31"/>
          <w:sz w:val="24"/>
          <w:szCs w:val="24"/>
          <w:highlight w:val="none"/>
        </w:rPr>
        <w:t xml:space="preserve"> </w:t>
      </w:r>
      <w:r>
        <w:rPr>
          <w:rFonts w:ascii="宋体" w:hAnsi="宋体" w:eastAsia="宋体" w:cs="宋体"/>
          <w:sz w:val="24"/>
          <w:szCs w:val="24"/>
          <w:highlight w:val="none"/>
        </w:rPr>
        <w:t xml:space="preserve">除不可抗力外，如果甲方没有按照本合同约定的付款方式付款，那么乙方可要 </w:t>
      </w:r>
      <w:r>
        <w:rPr>
          <w:rFonts w:ascii="宋体" w:hAnsi="宋体" w:eastAsia="宋体" w:cs="宋体"/>
          <w:spacing w:val="3"/>
          <w:sz w:val="24"/>
          <w:szCs w:val="24"/>
          <w:highlight w:val="none"/>
        </w:rPr>
        <w:t>求甲方支付违约金，违约金按每迟延付款一日的应付而未</w:t>
      </w:r>
      <w:r>
        <w:rPr>
          <w:rFonts w:ascii="宋体" w:hAnsi="宋体" w:eastAsia="宋体" w:cs="宋体"/>
          <w:spacing w:val="2"/>
          <w:sz w:val="24"/>
          <w:szCs w:val="24"/>
          <w:highlight w:val="none"/>
        </w:rPr>
        <w:t>付款的</w:t>
      </w:r>
      <w:r>
        <w:rPr>
          <w:rFonts w:hint="eastAsia" w:ascii="宋体" w:hAnsi="宋体" w:eastAsia="宋体" w:cs="宋体"/>
          <w:spacing w:val="2"/>
          <w:sz w:val="24"/>
          <w:szCs w:val="24"/>
          <w:highlight w:val="none"/>
          <w:lang w:val="en-US" w:eastAsia="zh-CN"/>
        </w:rPr>
        <w:t>0.5</w:t>
      </w:r>
      <w:r>
        <w:rPr>
          <w:rFonts w:ascii="宋体" w:hAnsi="宋体" w:eastAsia="宋体" w:cs="宋体"/>
          <w:spacing w:val="2"/>
          <w:sz w:val="24"/>
          <w:szCs w:val="24"/>
          <w:highlight w:val="none"/>
        </w:rPr>
        <w:t>%计算，最高限额为本合</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同总价的</w:t>
      </w:r>
      <w:r>
        <w:rPr>
          <w:rFonts w:hint="eastAsia" w:ascii="宋体" w:hAnsi="宋体" w:eastAsia="宋体" w:cs="宋体"/>
          <w:spacing w:val="3"/>
          <w:sz w:val="24"/>
          <w:szCs w:val="24"/>
          <w:highlight w:val="none"/>
          <w:lang w:val="en-US" w:eastAsia="zh-CN"/>
        </w:rPr>
        <w:t>10</w:t>
      </w:r>
      <w:r>
        <w:rPr>
          <w:rFonts w:ascii="宋体" w:hAnsi="宋体" w:eastAsia="宋体" w:cs="宋体"/>
          <w:spacing w:val="3"/>
          <w:sz w:val="24"/>
          <w:szCs w:val="24"/>
          <w:highlight w:val="none"/>
        </w:rPr>
        <w:t>%；迟延付款的违约金计算数额达到前述最高限额之日</w:t>
      </w:r>
      <w:r>
        <w:rPr>
          <w:rFonts w:ascii="宋体" w:hAnsi="宋体" w:eastAsia="宋体" w:cs="宋体"/>
          <w:spacing w:val="2"/>
          <w:sz w:val="24"/>
          <w:szCs w:val="24"/>
          <w:highlight w:val="none"/>
        </w:rPr>
        <w:t>起，乙方有权在要求甲方</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支付违约金的同时，书面通知甲方解除本合同；</w:t>
      </w:r>
    </w:p>
    <w:p w14:paraId="2FC6C8D5">
      <w:pPr>
        <w:spacing w:before="276" w:line="360" w:lineRule="auto"/>
        <w:ind w:left="52" w:right="39" w:firstLine="494"/>
        <w:rPr>
          <w:highlight w:val="none"/>
        </w:rPr>
      </w:pPr>
      <w:r>
        <w:rPr>
          <w:rFonts w:ascii="宋体" w:hAnsi="宋体" w:eastAsia="宋体" w:cs="宋体"/>
          <w:sz w:val="24"/>
          <w:szCs w:val="24"/>
          <w:highlight w:val="none"/>
        </w:rPr>
        <w:t>1.6.3</w:t>
      </w:r>
      <w:r>
        <w:rPr>
          <w:rFonts w:ascii="宋体" w:hAnsi="宋体" w:eastAsia="宋体" w:cs="宋体"/>
          <w:spacing w:val="-31"/>
          <w:sz w:val="24"/>
          <w:szCs w:val="24"/>
          <w:highlight w:val="none"/>
        </w:rPr>
        <w:t xml:space="preserve"> </w:t>
      </w:r>
      <w:r>
        <w:rPr>
          <w:rFonts w:ascii="宋体" w:hAnsi="宋体" w:eastAsia="宋体" w:cs="宋体"/>
          <w:sz w:val="24"/>
          <w:szCs w:val="24"/>
          <w:highlight w:val="none"/>
        </w:rPr>
        <w:t>除不可抗力外，任何一方未能履行本合同约定的其他主要义务，经催告后在合 理期限内仍未履行的，或者任何一方有其他违约行为</w:t>
      </w:r>
      <w:r>
        <w:rPr>
          <w:rFonts w:ascii="宋体" w:hAnsi="宋体" w:eastAsia="宋体" w:cs="宋体"/>
          <w:spacing w:val="-1"/>
          <w:sz w:val="24"/>
          <w:szCs w:val="24"/>
          <w:highlight w:val="none"/>
        </w:rPr>
        <w:t>致使不能实现合同目的的，或者任何</w:t>
      </w:r>
      <w:r>
        <w:rPr>
          <w:rFonts w:ascii="宋体" w:hAnsi="宋体" w:eastAsia="宋体" w:cs="宋体"/>
          <w:sz w:val="24"/>
          <w:szCs w:val="24"/>
          <w:highlight w:val="none"/>
        </w:rPr>
        <w:t xml:space="preserve"> 一方有腐败行为（即：提供或给予或接受或索取任何</w:t>
      </w:r>
      <w:r>
        <w:rPr>
          <w:rFonts w:ascii="宋体" w:hAnsi="宋体" w:eastAsia="宋体" w:cs="宋体"/>
          <w:spacing w:val="-1"/>
          <w:sz w:val="24"/>
          <w:szCs w:val="24"/>
          <w:highlight w:val="none"/>
        </w:rPr>
        <w:t>财物或其他好处或者采取其他不正当</w:t>
      </w:r>
    </w:p>
    <w:p w14:paraId="417156FE">
      <w:pPr>
        <w:pStyle w:val="7"/>
        <w:spacing w:line="246" w:lineRule="auto"/>
        <w:rPr>
          <w:highlight w:val="none"/>
        </w:rPr>
      </w:pPr>
    </w:p>
    <w:p w14:paraId="4DE726C2">
      <w:pPr>
        <w:pStyle w:val="7"/>
        <w:spacing w:line="246" w:lineRule="auto"/>
        <w:rPr>
          <w:highlight w:val="none"/>
        </w:rPr>
      </w:pPr>
    </w:p>
    <w:p w14:paraId="3CEAFB8E">
      <w:pPr>
        <w:pStyle w:val="7"/>
        <w:spacing w:line="246" w:lineRule="auto"/>
        <w:rPr>
          <w:highlight w:val="none"/>
        </w:rPr>
      </w:pPr>
    </w:p>
    <w:p w14:paraId="1E49CDED">
      <w:pPr>
        <w:pStyle w:val="7"/>
        <w:spacing w:line="246" w:lineRule="auto"/>
        <w:rPr>
          <w:highlight w:val="none"/>
        </w:rPr>
      </w:pPr>
    </w:p>
    <w:p w14:paraId="7864D1FF">
      <w:pPr>
        <w:spacing w:before="78" w:line="431" w:lineRule="auto"/>
        <w:ind w:left="1" w:hanging="1"/>
        <w:jc w:val="both"/>
        <w:rPr>
          <w:rFonts w:ascii="宋体" w:hAnsi="宋体" w:eastAsia="宋体" w:cs="宋体"/>
          <w:sz w:val="24"/>
          <w:szCs w:val="24"/>
          <w:highlight w:val="none"/>
        </w:rPr>
      </w:pPr>
      <w:r>
        <w:rPr>
          <w:rFonts w:ascii="宋体" w:hAnsi="宋体" w:eastAsia="宋体" w:cs="宋体"/>
          <w:sz w:val="24"/>
          <w:szCs w:val="24"/>
          <w:highlight w:val="none"/>
        </w:rPr>
        <w:t>手段影响对方当事人在合同签订、履行过程中的行为）或者</w:t>
      </w:r>
      <w:r>
        <w:rPr>
          <w:rFonts w:ascii="宋体" w:hAnsi="宋体" w:eastAsia="宋体" w:cs="宋体"/>
          <w:spacing w:val="-1"/>
          <w:sz w:val="24"/>
          <w:szCs w:val="24"/>
          <w:highlight w:val="none"/>
        </w:rPr>
        <w:t>欺诈行为（即：以谎报事实或</w:t>
      </w:r>
      <w:r>
        <w:rPr>
          <w:rFonts w:ascii="宋体" w:hAnsi="宋体" w:eastAsia="宋体" w:cs="宋体"/>
          <w:sz w:val="24"/>
          <w:szCs w:val="24"/>
          <w:highlight w:val="none"/>
        </w:rPr>
        <w:t xml:space="preserve"> 者隐瞒真相的方法来影响对方当事人在合同签订、履行</w:t>
      </w:r>
      <w:r>
        <w:rPr>
          <w:rFonts w:ascii="宋体" w:hAnsi="宋体" w:eastAsia="宋体" w:cs="宋体"/>
          <w:spacing w:val="-1"/>
          <w:sz w:val="24"/>
          <w:szCs w:val="24"/>
          <w:highlight w:val="none"/>
        </w:rPr>
        <w:t>过程中的行为）的，对方当事人可</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以书面通知违约方解除本合同；</w:t>
      </w:r>
    </w:p>
    <w:p w14:paraId="5F3C723B">
      <w:pPr>
        <w:spacing w:before="2" w:line="388" w:lineRule="auto"/>
        <w:ind w:left="1" w:firstLine="496"/>
        <w:rPr>
          <w:rFonts w:ascii="宋体" w:hAnsi="宋体" w:eastAsia="宋体" w:cs="宋体"/>
          <w:sz w:val="24"/>
          <w:szCs w:val="24"/>
          <w:highlight w:val="none"/>
        </w:rPr>
      </w:pPr>
      <w:r>
        <w:rPr>
          <w:rFonts w:ascii="宋体" w:hAnsi="宋体" w:eastAsia="宋体" w:cs="宋体"/>
          <w:sz w:val="24"/>
          <w:szCs w:val="24"/>
          <w:highlight w:val="none"/>
        </w:rPr>
        <w:t>1.6.4</w:t>
      </w:r>
      <w:r>
        <w:rPr>
          <w:rFonts w:ascii="宋体" w:hAnsi="宋体" w:eastAsia="宋体" w:cs="宋体"/>
          <w:spacing w:val="-31"/>
          <w:sz w:val="24"/>
          <w:szCs w:val="24"/>
          <w:highlight w:val="none"/>
        </w:rPr>
        <w:t xml:space="preserve"> </w:t>
      </w:r>
      <w:r>
        <w:rPr>
          <w:rFonts w:ascii="宋体" w:hAnsi="宋体" w:eastAsia="宋体" w:cs="宋体"/>
          <w:sz w:val="24"/>
          <w:szCs w:val="24"/>
          <w:highlight w:val="none"/>
        </w:rPr>
        <w:t>任何一方按照前述约定要求违约方支付违约金的同时，仍有权要求违约方继续 履行合同、采取补救措施，并有权按照己方实际损失情况</w:t>
      </w:r>
      <w:r>
        <w:rPr>
          <w:rFonts w:ascii="宋体" w:hAnsi="宋体" w:eastAsia="宋体" w:cs="宋体"/>
          <w:spacing w:val="-1"/>
          <w:sz w:val="24"/>
          <w:szCs w:val="24"/>
          <w:highlight w:val="none"/>
        </w:rPr>
        <w:t>要求违约方赔偿损失；任何一方</w:t>
      </w:r>
      <w:r>
        <w:rPr>
          <w:rFonts w:ascii="宋体" w:hAnsi="宋体" w:eastAsia="宋体" w:cs="宋体"/>
          <w:sz w:val="24"/>
          <w:szCs w:val="24"/>
          <w:highlight w:val="none"/>
        </w:rPr>
        <w:t xml:space="preserve"> 按照前述约定要求解除本合同的同时，仍有权要求违约方</w:t>
      </w:r>
      <w:r>
        <w:rPr>
          <w:rFonts w:ascii="宋体" w:hAnsi="宋体" w:eastAsia="宋体" w:cs="宋体"/>
          <w:spacing w:val="-1"/>
          <w:sz w:val="24"/>
          <w:szCs w:val="24"/>
          <w:highlight w:val="none"/>
        </w:rPr>
        <w:t>支付违约金和按照己方实际损失</w:t>
      </w:r>
      <w:r>
        <w:rPr>
          <w:rFonts w:ascii="宋体" w:hAnsi="宋体" w:eastAsia="宋体" w:cs="宋体"/>
          <w:sz w:val="24"/>
          <w:szCs w:val="24"/>
          <w:highlight w:val="none"/>
        </w:rPr>
        <w:t xml:space="preserve"> 情况要求违约方赔偿损失；且守约方行使的任何权利救济</w:t>
      </w:r>
      <w:r>
        <w:rPr>
          <w:rFonts w:ascii="宋体" w:hAnsi="宋体" w:eastAsia="宋体" w:cs="宋体"/>
          <w:spacing w:val="-1"/>
          <w:sz w:val="24"/>
          <w:szCs w:val="24"/>
          <w:highlight w:val="none"/>
        </w:rPr>
        <w:t>方式均不视为其放弃了其他法定</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或者约定的权利救济方式；</w:t>
      </w:r>
    </w:p>
    <w:p w14:paraId="53ABF126">
      <w:pPr>
        <w:spacing w:before="276" w:line="360" w:lineRule="auto"/>
        <w:ind w:firstLine="497"/>
        <w:rPr>
          <w:rFonts w:ascii="宋体" w:hAnsi="宋体" w:eastAsia="宋体" w:cs="宋体"/>
          <w:sz w:val="24"/>
          <w:szCs w:val="24"/>
          <w:highlight w:val="none"/>
        </w:rPr>
      </w:pPr>
      <w:r>
        <w:rPr>
          <w:rFonts w:ascii="宋体" w:hAnsi="宋体" w:eastAsia="宋体" w:cs="宋体"/>
          <w:sz w:val="24"/>
          <w:szCs w:val="24"/>
          <w:highlight w:val="none"/>
        </w:rPr>
        <w:t>1.6.5</w:t>
      </w:r>
      <w:r>
        <w:rPr>
          <w:rFonts w:ascii="宋体" w:hAnsi="宋体" w:eastAsia="宋体" w:cs="宋体"/>
          <w:spacing w:val="-31"/>
          <w:sz w:val="24"/>
          <w:szCs w:val="24"/>
          <w:highlight w:val="none"/>
        </w:rPr>
        <w:t xml:space="preserve"> </w:t>
      </w:r>
      <w:r>
        <w:rPr>
          <w:rFonts w:ascii="宋体" w:hAnsi="宋体" w:eastAsia="宋体" w:cs="宋体"/>
          <w:sz w:val="24"/>
          <w:szCs w:val="24"/>
          <w:highlight w:val="none"/>
        </w:rPr>
        <w:t>除前述约定外，除不可抗力外，任何一方未能履行本合同约定的义务，对方当 事人均有权要求继续履行、采取补救措施或者赔偿损失等，</w:t>
      </w:r>
      <w:r>
        <w:rPr>
          <w:rFonts w:ascii="宋体" w:hAnsi="宋体" w:eastAsia="宋体" w:cs="宋体"/>
          <w:spacing w:val="-1"/>
          <w:sz w:val="24"/>
          <w:szCs w:val="24"/>
          <w:highlight w:val="none"/>
        </w:rPr>
        <w:t>且对方当事人行使的任何权利</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救济方式均不视为其放弃了其他法定或者约定的权利救济方式；</w:t>
      </w:r>
    </w:p>
    <w:p w14:paraId="6E4D2154">
      <w:pPr>
        <w:spacing w:before="273" w:line="361" w:lineRule="auto"/>
        <w:ind w:left="1" w:firstLine="496"/>
        <w:rPr>
          <w:rFonts w:ascii="宋体" w:hAnsi="宋体" w:eastAsia="宋体" w:cs="宋体"/>
          <w:sz w:val="24"/>
          <w:szCs w:val="24"/>
          <w:highlight w:val="none"/>
        </w:rPr>
      </w:pPr>
      <w:r>
        <w:rPr>
          <w:rFonts w:ascii="宋体" w:hAnsi="宋体" w:eastAsia="宋体" w:cs="宋体"/>
          <w:sz w:val="24"/>
          <w:szCs w:val="24"/>
          <w:highlight w:val="none"/>
        </w:rPr>
        <w:t>1.6.6</w:t>
      </w:r>
      <w:r>
        <w:rPr>
          <w:rFonts w:ascii="宋体" w:hAnsi="宋体" w:eastAsia="宋体" w:cs="宋体"/>
          <w:spacing w:val="-31"/>
          <w:sz w:val="24"/>
          <w:szCs w:val="24"/>
          <w:highlight w:val="none"/>
        </w:rPr>
        <w:t xml:space="preserve"> </w:t>
      </w:r>
      <w:r>
        <w:rPr>
          <w:rFonts w:ascii="宋体" w:hAnsi="宋体" w:eastAsia="宋体" w:cs="宋体"/>
          <w:sz w:val="24"/>
          <w:szCs w:val="24"/>
          <w:highlight w:val="none"/>
        </w:rPr>
        <w:t>如果出现政府采购监督管理部门在处理投诉事项期间，书面通知甲方暂停采购 活动的情形，或者询问或质疑事项可能影响中标结果的，</w:t>
      </w:r>
      <w:r>
        <w:rPr>
          <w:rFonts w:ascii="宋体" w:hAnsi="宋体" w:eastAsia="宋体" w:cs="宋体"/>
          <w:spacing w:val="-1"/>
          <w:sz w:val="24"/>
          <w:szCs w:val="24"/>
          <w:highlight w:val="none"/>
        </w:rPr>
        <w:t>导致甲方中止履行合同的情形，</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均不视为甲方违约。</w:t>
      </w:r>
    </w:p>
    <w:p w14:paraId="21C04D61">
      <w:pPr>
        <w:spacing w:before="273" w:line="219" w:lineRule="auto"/>
        <w:ind w:left="498"/>
        <w:outlineLvl w:val="0"/>
        <w:rPr>
          <w:rFonts w:ascii="宋体" w:hAnsi="宋体" w:eastAsia="宋体" w:cs="宋体"/>
          <w:sz w:val="24"/>
          <w:szCs w:val="24"/>
          <w:highlight w:val="none"/>
        </w:rPr>
      </w:pPr>
      <w:bookmarkStart w:id="819" w:name="_Toc4612"/>
      <w:r>
        <w:rPr>
          <w:rFonts w:ascii="宋体" w:hAnsi="宋体" w:eastAsia="宋体" w:cs="宋体"/>
          <w:b/>
          <w:bCs/>
          <w:spacing w:val="-6"/>
          <w:sz w:val="24"/>
          <w:szCs w:val="24"/>
          <w:highlight w:val="none"/>
        </w:rPr>
        <w:t>1.7</w:t>
      </w:r>
      <w:r>
        <w:rPr>
          <w:rFonts w:ascii="宋体" w:hAnsi="宋体" w:eastAsia="宋体" w:cs="宋体"/>
          <w:spacing w:val="-47"/>
          <w:sz w:val="24"/>
          <w:szCs w:val="24"/>
          <w:highlight w:val="none"/>
        </w:rPr>
        <w:t xml:space="preserve"> </w:t>
      </w:r>
      <w:r>
        <w:rPr>
          <w:rFonts w:ascii="宋体" w:hAnsi="宋体" w:eastAsia="宋体" w:cs="宋体"/>
          <w:b/>
          <w:bCs/>
          <w:spacing w:val="-6"/>
          <w:sz w:val="24"/>
          <w:szCs w:val="24"/>
          <w:highlight w:val="none"/>
        </w:rPr>
        <w:t>合同争议的解决</w:t>
      </w:r>
      <w:bookmarkEnd w:id="819"/>
    </w:p>
    <w:p w14:paraId="2BEEAF5E">
      <w:pPr>
        <w:spacing w:before="276" w:line="430" w:lineRule="auto"/>
        <w:ind w:firstLine="481"/>
        <w:rPr>
          <w:rFonts w:ascii="宋体" w:hAnsi="宋体" w:eastAsia="宋体" w:cs="宋体"/>
          <w:sz w:val="24"/>
          <w:szCs w:val="24"/>
          <w:highlight w:val="none"/>
        </w:rPr>
      </w:pPr>
      <w:r>
        <w:rPr>
          <w:rFonts w:ascii="宋体" w:hAnsi="宋体" w:eastAsia="宋体" w:cs="宋体"/>
          <w:sz w:val="24"/>
          <w:szCs w:val="24"/>
          <w:highlight w:val="none"/>
        </w:rPr>
        <w:t>本合同履行过程中发生的任何争议，双方当事人均可</w:t>
      </w:r>
      <w:r>
        <w:rPr>
          <w:rFonts w:ascii="宋体" w:hAnsi="宋体" w:eastAsia="宋体" w:cs="宋体"/>
          <w:spacing w:val="-1"/>
          <w:sz w:val="24"/>
          <w:szCs w:val="24"/>
          <w:highlight w:val="none"/>
        </w:rPr>
        <w:t>通过和解或者调解解决；不愿和</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解、调解或者和解、调解不成的，可以选择下列第种方式解决：</w:t>
      </w:r>
    </w:p>
    <w:p w14:paraId="642E104C">
      <w:pPr>
        <w:spacing w:before="1" w:line="218" w:lineRule="auto"/>
        <w:ind w:left="498"/>
        <w:rPr>
          <w:rFonts w:ascii="宋体" w:hAnsi="宋体" w:eastAsia="宋体" w:cs="宋体"/>
          <w:sz w:val="24"/>
          <w:szCs w:val="24"/>
          <w:highlight w:val="none"/>
        </w:rPr>
      </w:pPr>
      <w:r>
        <w:rPr>
          <w:rFonts w:ascii="宋体" w:hAnsi="宋体" w:eastAsia="宋体" w:cs="宋体"/>
          <w:spacing w:val="-1"/>
          <w:sz w:val="24"/>
          <w:szCs w:val="24"/>
          <w:highlight w:val="none"/>
        </w:rPr>
        <w:t>1.7.1</w:t>
      </w:r>
      <w:r>
        <w:rPr>
          <w:rFonts w:ascii="宋体" w:hAnsi="宋体" w:eastAsia="宋体" w:cs="宋体"/>
          <w:spacing w:val="-53"/>
          <w:sz w:val="24"/>
          <w:szCs w:val="24"/>
          <w:highlight w:val="none"/>
        </w:rPr>
        <w:t xml:space="preserve"> </w:t>
      </w:r>
      <w:r>
        <w:rPr>
          <w:rFonts w:ascii="宋体" w:hAnsi="宋体" w:eastAsia="宋体" w:cs="宋体"/>
          <w:spacing w:val="-1"/>
          <w:sz w:val="24"/>
          <w:szCs w:val="24"/>
          <w:highlight w:val="none"/>
        </w:rPr>
        <w:t>将争议提交仲裁委员会依申请仲裁时其现行有效的仲裁规则裁</w:t>
      </w:r>
      <w:r>
        <w:rPr>
          <w:rFonts w:ascii="宋体" w:hAnsi="宋体" w:eastAsia="宋体" w:cs="宋体"/>
          <w:spacing w:val="-2"/>
          <w:sz w:val="24"/>
          <w:szCs w:val="24"/>
          <w:highlight w:val="none"/>
        </w:rPr>
        <w:t>决；</w:t>
      </w:r>
    </w:p>
    <w:p w14:paraId="413D4B74">
      <w:pPr>
        <w:spacing w:before="277" w:line="325" w:lineRule="auto"/>
        <w:ind w:left="5" w:firstLine="492"/>
        <w:rPr>
          <w:rFonts w:ascii="宋体" w:hAnsi="宋体" w:eastAsia="宋体" w:cs="宋体"/>
          <w:sz w:val="24"/>
          <w:szCs w:val="24"/>
          <w:highlight w:val="none"/>
        </w:rPr>
      </w:pPr>
      <w:r>
        <w:rPr>
          <w:rFonts w:ascii="宋体" w:hAnsi="宋体" w:eastAsia="宋体" w:cs="宋体"/>
          <w:sz w:val="24"/>
          <w:szCs w:val="24"/>
          <w:highlight w:val="none"/>
        </w:rPr>
        <w:t>1.7.2</w:t>
      </w:r>
      <w:r>
        <w:rPr>
          <w:rFonts w:ascii="宋体" w:hAnsi="宋体" w:eastAsia="宋体" w:cs="宋体"/>
          <w:spacing w:val="-24"/>
          <w:sz w:val="24"/>
          <w:szCs w:val="24"/>
          <w:highlight w:val="none"/>
        </w:rPr>
        <w:t xml:space="preserve"> </w:t>
      </w:r>
      <w:r>
        <w:rPr>
          <w:rFonts w:ascii="宋体" w:hAnsi="宋体" w:eastAsia="宋体" w:cs="宋体"/>
          <w:sz w:val="24"/>
          <w:szCs w:val="24"/>
          <w:highlight w:val="none"/>
        </w:rPr>
        <w:t>向</w:t>
      </w:r>
      <w:r>
        <w:rPr>
          <w:rFonts w:ascii="宋体" w:hAnsi="宋体" w:eastAsia="宋体" w:cs="宋体"/>
          <w:sz w:val="24"/>
          <w:szCs w:val="24"/>
          <w:highlight w:val="none"/>
          <w:u w:val="single" w:color="auto"/>
        </w:rPr>
        <w:t>（被告住所地、合同履行地、合同签订地、原告住所地、标</w:t>
      </w:r>
      <w:r>
        <w:rPr>
          <w:rFonts w:ascii="宋体" w:hAnsi="宋体" w:eastAsia="宋体" w:cs="宋体"/>
          <w:spacing w:val="-1"/>
          <w:sz w:val="24"/>
          <w:szCs w:val="24"/>
          <w:highlight w:val="none"/>
          <w:u w:val="single" w:color="auto"/>
        </w:rPr>
        <w:t>的物所在地等与</w:t>
      </w:r>
      <w:r>
        <w:rPr>
          <w:rFonts w:ascii="宋体" w:hAnsi="宋体" w:eastAsia="宋体" w:cs="宋体"/>
          <w:sz w:val="24"/>
          <w:szCs w:val="24"/>
          <w:highlight w:val="none"/>
        </w:rPr>
        <w:t xml:space="preserve"> </w:t>
      </w:r>
      <w:r>
        <w:rPr>
          <w:rFonts w:ascii="宋体" w:hAnsi="宋体" w:eastAsia="宋体" w:cs="宋体"/>
          <w:spacing w:val="-1"/>
          <w:sz w:val="24"/>
          <w:szCs w:val="24"/>
          <w:highlight w:val="none"/>
          <w:u w:val="single" w:color="auto"/>
        </w:rPr>
        <w:t>争议有实际联系的地点中选出的人民法院名称）</w:t>
      </w:r>
      <w:r>
        <w:rPr>
          <w:rFonts w:ascii="宋体" w:hAnsi="宋体" w:eastAsia="宋体" w:cs="宋体"/>
          <w:spacing w:val="-1"/>
          <w:sz w:val="24"/>
          <w:szCs w:val="24"/>
          <w:highlight w:val="none"/>
        </w:rPr>
        <w:t>人民法院起诉。</w:t>
      </w:r>
    </w:p>
    <w:p w14:paraId="176872F5">
      <w:pPr>
        <w:spacing w:before="274" w:line="220" w:lineRule="auto"/>
        <w:ind w:left="498"/>
        <w:outlineLvl w:val="0"/>
        <w:rPr>
          <w:rFonts w:ascii="宋体" w:hAnsi="宋体" w:eastAsia="宋体" w:cs="宋体"/>
          <w:sz w:val="24"/>
          <w:szCs w:val="24"/>
          <w:highlight w:val="none"/>
        </w:rPr>
      </w:pPr>
      <w:bookmarkStart w:id="820" w:name="_Toc4457"/>
      <w:r>
        <w:rPr>
          <w:rFonts w:ascii="宋体" w:hAnsi="宋体" w:eastAsia="宋体" w:cs="宋体"/>
          <w:b/>
          <w:bCs/>
          <w:spacing w:val="-8"/>
          <w:sz w:val="24"/>
          <w:szCs w:val="24"/>
          <w:highlight w:val="none"/>
        </w:rPr>
        <w:t>1.8</w:t>
      </w:r>
      <w:r>
        <w:rPr>
          <w:rFonts w:ascii="宋体" w:hAnsi="宋体" w:eastAsia="宋体" w:cs="宋体"/>
          <w:spacing w:val="-45"/>
          <w:sz w:val="24"/>
          <w:szCs w:val="24"/>
          <w:highlight w:val="none"/>
        </w:rPr>
        <w:t xml:space="preserve"> </w:t>
      </w:r>
      <w:r>
        <w:rPr>
          <w:rFonts w:ascii="宋体" w:hAnsi="宋体" w:eastAsia="宋体" w:cs="宋体"/>
          <w:b/>
          <w:bCs/>
          <w:spacing w:val="-8"/>
          <w:sz w:val="24"/>
          <w:szCs w:val="24"/>
          <w:highlight w:val="none"/>
        </w:rPr>
        <w:t>合同生效</w:t>
      </w:r>
      <w:bookmarkEnd w:id="820"/>
    </w:p>
    <w:p w14:paraId="011C2386">
      <w:pPr>
        <w:spacing w:before="275" w:line="219" w:lineRule="auto"/>
        <w:ind w:left="481"/>
        <w:rPr>
          <w:rFonts w:ascii="宋体" w:hAnsi="宋体" w:eastAsia="宋体" w:cs="宋体"/>
          <w:sz w:val="24"/>
          <w:szCs w:val="24"/>
          <w:highlight w:val="none"/>
        </w:rPr>
      </w:pPr>
      <w:r>
        <w:rPr>
          <w:rFonts w:ascii="宋体" w:hAnsi="宋体" w:eastAsia="宋体" w:cs="宋体"/>
          <w:spacing w:val="-1"/>
          <w:sz w:val="24"/>
          <w:szCs w:val="24"/>
          <w:highlight w:val="none"/>
        </w:rPr>
        <w:t>本合同自双方当事人盖章或者签字时生效。</w:t>
      </w:r>
    </w:p>
    <w:p w14:paraId="46D4F3B8">
      <w:pPr>
        <w:spacing w:line="219" w:lineRule="auto"/>
        <w:rPr>
          <w:rFonts w:ascii="宋体" w:hAnsi="宋体" w:eastAsia="宋体" w:cs="宋体"/>
          <w:sz w:val="24"/>
          <w:szCs w:val="24"/>
          <w:highlight w:val="none"/>
        </w:rPr>
        <w:sectPr>
          <w:footerReference r:id="rId18" w:type="default"/>
          <w:pgSz w:w="11907" w:h="16840"/>
          <w:pgMar w:top="400" w:right="1133" w:bottom="1290" w:left="1424" w:header="0" w:footer="1056" w:gutter="0"/>
          <w:pgNumType w:fmt="decimal"/>
          <w:cols w:space="720" w:num="1"/>
        </w:sectPr>
      </w:pPr>
    </w:p>
    <w:p w14:paraId="6CC898B0">
      <w:pPr>
        <w:pStyle w:val="7"/>
        <w:spacing w:line="246" w:lineRule="auto"/>
        <w:rPr>
          <w:highlight w:val="none"/>
        </w:rPr>
      </w:pPr>
    </w:p>
    <w:p w14:paraId="5019F7CF">
      <w:pPr>
        <w:pStyle w:val="7"/>
        <w:spacing w:line="246" w:lineRule="auto"/>
        <w:rPr>
          <w:highlight w:val="none"/>
        </w:rPr>
      </w:pPr>
    </w:p>
    <w:p w14:paraId="50C4853F">
      <w:pPr>
        <w:pStyle w:val="7"/>
        <w:spacing w:line="246" w:lineRule="auto"/>
        <w:rPr>
          <w:highlight w:val="none"/>
        </w:rPr>
      </w:pPr>
    </w:p>
    <w:p w14:paraId="22F1413E">
      <w:pPr>
        <w:pStyle w:val="7"/>
        <w:spacing w:line="246" w:lineRule="auto"/>
        <w:rPr>
          <w:highlight w:val="none"/>
        </w:rPr>
      </w:pPr>
    </w:p>
    <w:p w14:paraId="4BDA4B69">
      <w:pPr>
        <w:pStyle w:val="7"/>
        <w:spacing w:line="247" w:lineRule="auto"/>
        <w:rPr>
          <w:highlight w:val="none"/>
        </w:rPr>
      </w:pPr>
    </w:p>
    <w:p w14:paraId="4DFC9B39">
      <w:pPr>
        <w:spacing w:before="78" w:line="221" w:lineRule="auto"/>
        <w:ind w:left="32"/>
        <w:rPr>
          <w:rFonts w:ascii="宋体" w:hAnsi="宋体" w:eastAsia="宋体" w:cs="宋体"/>
          <w:sz w:val="24"/>
          <w:szCs w:val="24"/>
          <w:highlight w:val="none"/>
        </w:rPr>
      </w:pPr>
      <w:bookmarkStart w:id="821" w:name="bookmark25"/>
      <w:bookmarkEnd w:id="821"/>
      <w:r>
        <w:rPr>
          <w:rFonts w:ascii="宋体" w:hAnsi="宋体" w:eastAsia="宋体" w:cs="宋体"/>
          <w:b/>
          <w:bCs/>
          <w:spacing w:val="-8"/>
          <w:sz w:val="24"/>
          <w:szCs w:val="24"/>
          <w:highlight w:val="none"/>
        </w:rPr>
        <w:t>甲方</w:t>
      </w:r>
      <w:r>
        <w:rPr>
          <w:rFonts w:ascii="宋体" w:hAnsi="宋体" w:eastAsia="宋体" w:cs="宋体"/>
          <w:spacing w:val="-8"/>
          <w:sz w:val="24"/>
          <w:szCs w:val="24"/>
          <w:highlight w:val="none"/>
        </w:rPr>
        <w:t>：</w:t>
      </w:r>
      <w:r>
        <w:rPr>
          <w:rFonts w:ascii="宋体" w:hAnsi="宋体" w:eastAsia="宋体" w:cs="宋体"/>
          <w:b/>
          <w:bCs/>
          <w:spacing w:val="-8"/>
          <w:sz w:val="24"/>
          <w:szCs w:val="24"/>
          <w:highlight w:val="none"/>
        </w:rPr>
        <w:t>乙方</w:t>
      </w:r>
      <w:r>
        <w:rPr>
          <w:rFonts w:ascii="宋体" w:hAnsi="宋体" w:eastAsia="宋体" w:cs="宋体"/>
          <w:spacing w:val="-8"/>
          <w:sz w:val="24"/>
          <w:szCs w:val="24"/>
          <w:highlight w:val="none"/>
        </w:rPr>
        <w:t>：</w:t>
      </w:r>
    </w:p>
    <w:p w14:paraId="49B37593">
      <w:pPr>
        <w:spacing w:before="271" w:line="219" w:lineRule="auto"/>
        <w:ind w:left="7"/>
        <w:rPr>
          <w:highlight w:val="none"/>
        </w:rPr>
      </w:pPr>
      <w:r>
        <w:rPr>
          <w:rFonts w:ascii="宋体" w:hAnsi="宋体" w:eastAsia="宋体" w:cs="宋体"/>
          <w:spacing w:val="-1"/>
          <w:sz w:val="24"/>
          <w:szCs w:val="24"/>
          <w:highlight w:val="none"/>
        </w:rPr>
        <w:t>统一社会信用代码：统一社会信用代码或身份证号码：</w:t>
      </w:r>
    </w:p>
    <w:p w14:paraId="1BBF4DE2">
      <w:pPr>
        <w:spacing w:before="78" w:line="220" w:lineRule="auto"/>
        <w:rPr>
          <w:rFonts w:ascii="宋体" w:hAnsi="宋体" w:eastAsia="宋体" w:cs="宋体"/>
          <w:sz w:val="24"/>
          <w:szCs w:val="24"/>
          <w:highlight w:val="none"/>
        </w:rPr>
      </w:pPr>
      <w:r>
        <w:rPr>
          <w:rFonts w:ascii="宋体" w:hAnsi="宋体" w:eastAsia="宋体" w:cs="宋体"/>
          <w:spacing w:val="-2"/>
          <w:sz w:val="24"/>
          <w:szCs w:val="24"/>
          <w:highlight w:val="none"/>
        </w:rPr>
        <w:t>住所：住所：</w:t>
      </w:r>
    </w:p>
    <w:p w14:paraId="2B24A3C8">
      <w:pPr>
        <w:spacing w:before="273" w:line="219" w:lineRule="auto"/>
        <w:ind w:left="2"/>
        <w:rPr>
          <w:rFonts w:ascii="宋体" w:hAnsi="宋体" w:eastAsia="宋体" w:cs="宋体"/>
          <w:sz w:val="24"/>
          <w:szCs w:val="24"/>
          <w:highlight w:val="none"/>
        </w:rPr>
      </w:pPr>
      <w:r>
        <w:rPr>
          <w:rFonts w:ascii="宋体" w:hAnsi="宋体" w:eastAsia="宋体" w:cs="宋体"/>
          <w:spacing w:val="-1"/>
          <w:sz w:val="24"/>
          <w:szCs w:val="24"/>
          <w:highlight w:val="none"/>
        </w:rPr>
        <w:t>法定代表人或法定代表人</w:t>
      </w:r>
    </w:p>
    <w:p w14:paraId="29BC4C81">
      <w:pPr>
        <w:spacing w:before="274" w:line="219" w:lineRule="auto"/>
        <w:rPr>
          <w:rFonts w:ascii="宋体" w:hAnsi="宋体" w:eastAsia="宋体" w:cs="宋体"/>
          <w:sz w:val="24"/>
          <w:szCs w:val="24"/>
          <w:highlight w:val="none"/>
        </w:rPr>
      </w:pPr>
      <w:r>
        <w:rPr>
          <w:rFonts w:ascii="宋体" w:hAnsi="宋体" w:eastAsia="宋体" w:cs="宋体"/>
          <w:spacing w:val="1"/>
          <w:sz w:val="24"/>
          <w:szCs w:val="24"/>
          <w:highlight w:val="none"/>
        </w:rPr>
        <w:t>授权代表（签字</w:t>
      </w:r>
      <w:r>
        <w:rPr>
          <w:rFonts w:ascii="宋体" w:hAnsi="宋体" w:eastAsia="宋体" w:cs="宋体"/>
          <w:spacing w:val="9"/>
          <w:sz w:val="24"/>
          <w:szCs w:val="24"/>
          <w:highlight w:val="none"/>
        </w:rPr>
        <w:t>）：</w:t>
      </w:r>
      <w:r>
        <w:rPr>
          <w:rFonts w:ascii="宋体" w:hAnsi="宋体" w:eastAsia="宋体" w:cs="宋体"/>
          <w:spacing w:val="1"/>
          <w:sz w:val="24"/>
          <w:szCs w:val="24"/>
          <w:highlight w:val="none"/>
        </w:rPr>
        <w:t>或授权代表（签字）:</w:t>
      </w:r>
    </w:p>
    <w:p w14:paraId="021D6A67">
      <w:pPr>
        <w:spacing w:before="277" w:line="221" w:lineRule="auto"/>
        <w:ind w:left="2"/>
        <w:rPr>
          <w:rFonts w:ascii="宋体" w:hAnsi="宋体" w:eastAsia="宋体" w:cs="宋体"/>
          <w:sz w:val="24"/>
          <w:szCs w:val="24"/>
          <w:highlight w:val="none"/>
        </w:rPr>
      </w:pPr>
      <w:r>
        <w:rPr>
          <w:rFonts w:ascii="宋体" w:hAnsi="宋体" w:eastAsia="宋体" w:cs="宋体"/>
          <w:spacing w:val="-2"/>
          <w:sz w:val="24"/>
          <w:szCs w:val="24"/>
          <w:highlight w:val="none"/>
        </w:rPr>
        <w:t>联系人：联系人：</w:t>
      </w:r>
    </w:p>
    <w:p w14:paraId="2234E68B">
      <w:pPr>
        <w:spacing w:before="271" w:line="220" w:lineRule="auto"/>
        <w:ind w:left="7"/>
        <w:rPr>
          <w:rFonts w:ascii="宋体" w:hAnsi="宋体" w:eastAsia="宋体" w:cs="宋体"/>
          <w:sz w:val="24"/>
          <w:szCs w:val="24"/>
          <w:highlight w:val="none"/>
        </w:rPr>
      </w:pPr>
      <w:r>
        <w:rPr>
          <w:rFonts w:ascii="宋体" w:hAnsi="宋体" w:eastAsia="宋体" w:cs="宋体"/>
          <w:spacing w:val="-2"/>
          <w:sz w:val="24"/>
          <w:szCs w:val="24"/>
          <w:highlight w:val="none"/>
        </w:rPr>
        <w:t>约定送达地址：约定送达地址：</w:t>
      </w:r>
    </w:p>
    <w:p w14:paraId="57FECD3C">
      <w:pPr>
        <w:spacing w:before="274" w:line="219" w:lineRule="auto"/>
        <w:ind w:left="19"/>
        <w:rPr>
          <w:rFonts w:ascii="宋体" w:hAnsi="宋体" w:eastAsia="宋体" w:cs="宋体"/>
          <w:sz w:val="24"/>
          <w:szCs w:val="24"/>
          <w:highlight w:val="none"/>
        </w:rPr>
      </w:pPr>
      <w:r>
        <w:rPr>
          <w:rFonts w:ascii="宋体" w:hAnsi="宋体" w:eastAsia="宋体" w:cs="宋体"/>
          <w:spacing w:val="-3"/>
          <w:sz w:val="24"/>
          <w:szCs w:val="24"/>
          <w:highlight w:val="none"/>
        </w:rPr>
        <w:t>邮政编码：邮政编码：</w:t>
      </w:r>
    </w:p>
    <w:p w14:paraId="484BAFB3">
      <w:pPr>
        <w:spacing w:before="277" w:line="221" w:lineRule="auto"/>
        <w:ind w:left="30"/>
        <w:rPr>
          <w:rFonts w:ascii="宋体" w:hAnsi="宋体" w:eastAsia="宋体" w:cs="宋体"/>
          <w:sz w:val="24"/>
          <w:szCs w:val="24"/>
          <w:highlight w:val="none"/>
        </w:rPr>
      </w:pPr>
      <w:r>
        <w:rPr>
          <w:rFonts w:ascii="宋体" w:hAnsi="宋体" w:eastAsia="宋体" w:cs="宋体"/>
          <w:spacing w:val="1"/>
          <w:sz w:val="24"/>
          <w:szCs w:val="24"/>
          <w:highlight w:val="none"/>
        </w:rPr>
        <w:t>电话:电话:</w:t>
      </w:r>
    </w:p>
    <w:p w14:paraId="5DBF0EC8">
      <w:pPr>
        <w:spacing w:before="271" w:line="219" w:lineRule="auto"/>
        <w:rPr>
          <w:rFonts w:ascii="宋体" w:hAnsi="宋体" w:eastAsia="宋体" w:cs="宋体"/>
          <w:sz w:val="24"/>
          <w:szCs w:val="24"/>
          <w:highlight w:val="none"/>
        </w:rPr>
      </w:pPr>
      <w:r>
        <w:rPr>
          <w:rFonts w:ascii="宋体" w:hAnsi="宋体" w:eastAsia="宋体" w:cs="宋体"/>
          <w:spacing w:val="6"/>
          <w:sz w:val="24"/>
          <w:szCs w:val="24"/>
          <w:highlight w:val="none"/>
        </w:rPr>
        <w:t>传真:传真:</w:t>
      </w:r>
    </w:p>
    <w:p w14:paraId="11C8A543">
      <w:pPr>
        <w:spacing w:before="275" w:line="220" w:lineRule="auto"/>
        <w:ind w:left="30"/>
        <w:rPr>
          <w:rFonts w:ascii="宋体" w:hAnsi="宋体" w:eastAsia="宋体" w:cs="宋体"/>
          <w:sz w:val="24"/>
          <w:szCs w:val="24"/>
          <w:highlight w:val="none"/>
        </w:rPr>
      </w:pPr>
      <w:r>
        <w:rPr>
          <w:rFonts w:ascii="宋体" w:hAnsi="宋体" w:eastAsia="宋体" w:cs="宋体"/>
          <w:spacing w:val="-4"/>
          <w:sz w:val="24"/>
          <w:szCs w:val="24"/>
          <w:highlight w:val="none"/>
        </w:rPr>
        <w:t>电子邮箱：电子邮箱：</w:t>
      </w:r>
    </w:p>
    <w:p w14:paraId="72B98532">
      <w:pPr>
        <w:spacing w:before="275" w:line="220" w:lineRule="auto"/>
        <w:ind w:left="2"/>
        <w:rPr>
          <w:rFonts w:ascii="宋体" w:hAnsi="宋体" w:eastAsia="宋体" w:cs="宋体"/>
          <w:sz w:val="24"/>
          <w:szCs w:val="24"/>
          <w:highlight w:val="none"/>
        </w:rPr>
      </w:pPr>
      <w:r>
        <w:rPr>
          <w:rFonts w:ascii="宋体" w:hAnsi="宋体" w:eastAsia="宋体" w:cs="宋体"/>
          <w:spacing w:val="-2"/>
          <w:sz w:val="24"/>
          <w:szCs w:val="24"/>
          <w:highlight w:val="none"/>
        </w:rPr>
        <w:t>开户银行：开户银行：</w:t>
      </w:r>
    </w:p>
    <w:p w14:paraId="2161F921">
      <w:pPr>
        <w:spacing w:before="273" w:line="220" w:lineRule="auto"/>
        <w:ind w:left="2"/>
        <w:rPr>
          <w:rFonts w:ascii="宋体" w:hAnsi="宋体" w:eastAsia="宋体" w:cs="宋体"/>
          <w:sz w:val="24"/>
          <w:szCs w:val="24"/>
          <w:highlight w:val="none"/>
        </w:rPr>
      </w:pPr>
      <w:r>
        <w:rPr>
          <w:rFonts w:ascii="宋体" w:hAnsi="宋体" w:eastAsia="宋体" w:cs="宋体"/>
          <w:spacing w:val="-2"/>
          <w:sz w:val="24"/>
          <w:szCs w:val="24"/>
          <w:highlight w:val="none"/>
        </w:rPr>
        <w:t>开户名称：开户名称：</w:t>
      </w:r>
    </w:p>
    <w:p w14:paraId="6C689FAC">
      <w:pPr>
        <w:spacing w:before="274" w:line="220" w:lineRule="auto"/>
        <w:ind w:left="2"/>
        <w:rPr>
          <w:rFonts w:ascii="宋体" w:hAnsi="宋体" w:eastAsia="宋体" w:cs="宋体"/>
          <w:sz w:val="24"/>
          <w:szCs w:val="24"/>
          <w:highlight w:val="none"/>
        </w:rPr>
      </w:pPr>
      <w:r>
        <w:rPr>
          <w:rFonts w:ascii="宋体" w:hAnsi="宋体" w:eastAsia="宋体" w:cs="宋体"/>
          <w:spacing w:val="-2"/>
          <w:sz w:val="24"/>
          <w:szCs w:val="24"/>
          <w:highlight w:val="none"/>
        </w:rPr>
        <w:t>开户账号：开户账号：</w:t>
      </w:r>
    </w:p>
    <w:p w14:paraId="52DAE74B">
      <w:pPr>
        <w:spacing w:line="220" w:lineRule="auto"/>
        <w:rPr>
          <w:rFonts w:ascii="宋体" w:hAnsi="宋体" w:eastAsia="宋体" w:cs="宋体"/>
          <w:sz w:val="24"/>
          <w:szCs w:val="24"/>
          <w:highlight w:val="none"/>
        </w:rPr>
        <w:sectPr>
          <w:footerReference r:id="rId19" w:type="default"/>
          <w:pgSz w:w="11907" w:h="16840"/>
          <w:pgMar w:top="400" w:right="1786" w:bottom="1290" w:left="1423" w:header="0" w:footer="1056" w:gutter="0"/>
          <w:pgNumType w:fmt="decimal"/>
          <w:cols w:space="720" w:num="1"/>
        </w:sectPr>
      </w:pPr>
    </w:p>
    <w:p w14:paraId="3AFBA919">
      <w:pPr>
        <w:pStyle w:val="7"/>
        <w:spacing w:line="246" w:lineRule="auto"/>
        <w:rPr>
          <w:highlight w:val="none"/>
        </w:rPr>
      </w:pPr>
    </w:p>
    <w:p w14:paraId="4BEAE452">
      <w:pPr>
        <w:pStyle w:val="7"/>
        <w:spacing w:line="247" w:lineRule="auto"/>
        <w:rPr>
          <w:highlight w:val="none"/>
        </w:rPr>
      </w:pPr>
    </w:p>
    <w:p w14:paraId="78623A55">
      <w:pPr>
        <w:spacing w:before="78" w:line="219" w:lineRule="auto"/>
        <w:ind w:left="3574"/>
        <w:rPr>
          <w:rFonts w:ascii="宋体" w:hAnsi="宋体" w:eastAsia="宋体" w:cs="宋体"/>
          <w:sz w:val="24"/>
          <w:szCs w:val="24"/>
          <w:highlight w:val="none"/>
        </w:rPr>
      </w:pPr>
      <w:r>
        <w:rPr>
          <w:rFonts w:ascii="宋体" w:hAnsi="宋体" w:eastAsia="宋体" w:cs="宋体"/>
          <w:b/>
          <w:bCs/>
          <w:spacing w:val="-3"/>
          <w:sz w:val="24"/>
          <w:szCs w:val="24"/>
          <w:highlight w:val="none"/>
        </w:rPr>
        <w:t>第二部分合同一般条款</w:t>
      </w:r>
    </w:p>
    <w:p w14:paraId="1859F8CF">
      <w:pPr>
        <w:spacing w:before="274" w:line="220" w:lineRule="auto"/>
        <w:ind w:left="483"/>
        <w:outlineLvl w:val="0"/>
        <w:rPr>
          <w:rFonts w:ascii="宋体" w:hAnsi="宋体" w:eastAsia="宋体" w:cs="宋体"/>
          <w:sz w:val="24"/>
          <w:szCs w:val="24"/>
          <w:highlight w:val="none"/>
        </w:rPr>
      </w:pPr>
      <w:bookmarkStart w:id="822" w:name="_Toc16968"/>
      <w:r>
        <w:rPr>
          <w:rFonts w:ascii="宋体" w:hAnsi="宋体" w:eastAsia="宋体" w:cs="宋体"/>
          <w:b/>
          <w:bCs/>
          <w:spacing w:val="-8"/>
          <w:sz w:val="24"/>
          <w:szCs w:val="24"/>
          <w:highlight w:val="none"/>
        </w:rPr>
        <w:t>2.1</w:t>
      </w:r>
      <w:r>
        <w:rPr>
          <w:rFonts w:ascii="宋体" w:hAnsi="宋体" w:eastAsia="宋体" w:cs="宋体"/>
          <w:spacing w:val="-44"/>
          <w:sz w:val="24"/>
          <w:szCs w:val="24"/>
          <w:highlight w:val="none"/>
        </w:rPr>
        <w:t xml:space="preserve"> </w:t>
      </w:r>
      <w:r>
        <w:rPr>
          <w:rFonts w:ascii="宋体" w:hAnsi="宋体" w:eastAsia="宋体" w:cs="宋体"/>
          <w:b/>
          <w:bCs/>
          <w:spacing w:val="-8"/>
          <w:sz w:val="24"/>
          <w:szCs w:val="24"/>
          <w:highlight w:val="none"/>
        </w:rPr>
        <w:t>定义</w:t>
      </w:r>
      <w:bookmarkEnd w:id="822"/>
    </w:p>
    <w:p w14:paraId="1681CC1D">
      <w:pPr>
        <w:spacing w:before="272" w:line="219" w:lineRule="auto"/>
        <w:ind w:left="481"/>
        <w:rPr>
          <w:rFonts w:ascii="宋体" w:hAnsi="宋体" w:eastAsia="宋体" w:cs="宋体"/>
          <w:sz w:val="24"/>
          <w:szCs w:val="24"/>
          <w:highlight w:val="none"/>
        </w:rPr>
      </w:pPr>
      <w:r>
        <w:rPr>
          <w:rFonts w:ascii="宋体" w:hAnsi="宋体" w:eastAsia="宋体" w:cs="宋体"/>
          <w:spacing w:val="-1"/>
          <w:sz w:val="24"/>
          <w:szCs w:val="24"/>
          <w:highlight w:val="none"/>
        </w:rPr>
        <w:t>本合同中的下列词语应按以下内容进行解释：</w:t>
      </w:r>
    </w:p>
    <w:p w14:paraId="668D1C8E">
      <w:pPr>
        <w:spacing w:before="278" w:line="324" w:lineRule="auto"/>
        <w:ind w:right="4" w:firstLine="482"/>
        <w:rPr>
          <w:rFonts w:ascii="宋体" w:hAnsi="宋体" w:eastAsia="宋体" w:cs="宋体"/>
          <w:sz w:val="24"/>
          <w:szCs w:val="24"/>
          <w:highlight w:val="none"/>
        </w:rPr>
      </w:pPr>
      <w:r>
        <w:rPr>
          <w:rFonts w:ascii="宋体" w:hAnsi="宋体" w:eastAsia="宋体" w:cs="宋体"/>
          <w:spacing w:val="2"/>
          <w:sz w:val="24"/>
          <w:szCs w:val="24"/>
          <w:highlight w:val="none"/>
        </w:rPr>
        <w:t>2.1.1“合同</w:t>
      </w:r>
      <w:r>
        <w:rPr>
          <w:rFonts w:ascii="宋体" w:hAnsi="宋体" w:eastAsia="宋体" w:cs="宋体"/>
          <w:spacing w:val="-84"/>
          <w:sz w:val="24"/>
          <w:szCs w:val="24"/>
          <w:highlight w:val="none"/>
        </w:rPr>
        <w:t xml:space="preserve"> </w:t>
      </w:r>
      <w:r>
        <w:rPr>
          <w:rFonts w:ascii="宋体" w:hAnsi="宋体" w:eastAsia="宋体" w:cs="宋体"/>
          <w:spacing w:val="2"/>
          <w:sz w:val="24"/>
          <w:szCs w:val="24"/>
          <w:highlight w:val="none"/>
        </w:rPr>
        <w:t>”系指采购人和中标供应商签订的载明双</w:t>
      </w:r>
      <w:r>
        <w:rPr>
          <w:rFonts w:ascii="宋体" w:hAnsi="宋体" w:eastAsia="宋体" w:cs="宋体"/>
          <w:spacing w:val="1"/>
          <w:sz w:val="24"/>
          <w:szCs w:val="24"/>
          <w:highlight w:val="none"/>
        </w:rPr>
        <w:t>方当事人所达成的协议，并包</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括所有的附件、附录和构成合同的其他文件。</w:t>
      </w:r>
    </w:p>
    <w:p w14:paraId="6857C51E">
      <w:pPr>
        <w:spacing w:before="274" w:line="325" w:lineRule="auto"/>
        <w:ind w:left="1" w:right="2" w:firstLine="481"/>
        <w:rPr>
          <w:rFonts w:ascii="宋体" w:hAnsi="宋体" w:eastAsia="宋体" w:cs="宋体"/>
          <w:sz w:val="24"/>
          <w:szCs w:val="24"/>
          <w:highlight w:val="none"/>
        </w:rPr>
      </w:pPr>
      <w:r>
        <w:rPr>
          <w:rFonts w:ascii="宋体" w:hAnsi="宋体" w:eastAsia="宋体" w:cs="宋体"/>
          <w:spacing w:val="2"/>
          <w:sz w:val="24"/>
          <w:szCs w:val="24"/>
          <w:highlight w:val="none"/>
        </w:rPr>
        <w:t>2.1.2“合同价</w:t>
      </w:r>
      <w:r>
        <w:rPr>
          <w:rFonts w:ascii="宋体" w:hAnsi="宋体" w:eastAsia="宋体" w:cs="宋体"/>
          <w:spacing w:val="-85"/>
          <w:sz w:val="24"/>
          <w:szCs w:val="24"/>
          <w:highlight w:val="none"/>
        </w:rPr>
        <w:t xml:space="preserve"> </w:t>
      </w:r>
      <w:r>
        <w:rPr>
          <w:rFonts w:ascii="宋体" w:hAnsi="宋体" w:eastAsia="宋体" w:cs="宋体"/>
          <w:spacing w:val="2"/>
          <w:sz w:val="24"/>
          <w:szCs w:val="24"/>
          <w:highlight w:val="none"/>
        </w:rPr>
        <w:t>”系指根据合同约定，中标供应商在完全履行合</w:t>
      </w:r>
      <w:r>
        <w:rPr>
          <w:rFonts w:ascii="宋体" w:hAnsi="宋体" w:eastAsia="宋体" w:cs="宋体"/>
          <w:spacing w:val="1"/>
          <w:sz w:val="24"/>
          <w:szCs w:val="24"/>
          <w:highlight w:val="none"/>
        </w:rPr>
        <w:t>同义务后，采购人应</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支付给中标供应商的价格。</w:t>
      </w:r>
    </w:p>
    <w:p w14:paraId="7732093B">
      <w:pPr>
        <w:spacing w:before="277" w:line="360" w:lineRule="auto"/>
        <w:ind w:left="5" w:right="2" w:firstLine="478"/>
        <w:rPr>
          <w:rFonts w:ascii="宋体" w:hAnsi="宋体" w:eastAsia="宋体" w:cs="宋体"/>
          <w:sz w:val="24"/>
          <w:szCs w:val="24"/>
          <w:highlight w:val="none"/>
        </w:rPr>
      </w:pPr>
      <w:r>
        <w:rPr>
          <w:rFonts w:ascii="宋体" w:hAnsi="宋体" w:eastAsia="宋体" w:cs="宋体"/>
          <w:spacing w:val="2"/>
          <w:sz w:val="24"/>
          <w:szCs w:val="24"/>
          <w:highlight w:val="none"/>
        </w:rPr>
        <w:t>2.1.3“货物</w:t>
      </w:r>
      <w:r>
        <w:rPr>
          <w:rFonts w:ascii="宋体" w:hAnsi="宋体" w:eastAsia="宋体" w:cs="宋体"/>
          <w:spacing w:val="-84"/>
          <w:sz w:val="24"/>
          <w:szCs w:val="24"/>
          <w:highlight w:val="none"/>
        </w:rPr>
        <w:t xml:space="preserve"> </w:t>
      </w:r>
      <w:r>
        <w:rPr>
          <w:rFonts w:ascii="宋体" w:hAnsi="宋体" w:eastAsia="宋体" w:cs="宋体"/>
          <w:spacing w:val="2"/>
          <w:sz w:val="24"/>
          <w:szCs w:val="24"/>
          <w:highlight w:val="none"/>
        </w:rPr>
        <w:t>”系指中标供应商根据合同约定应向采购</w:t>
      </w:r>
      <w:r>
        <w:rPr>
          <w:rFonts w:ascii="宋体" w:hAnsi="宋体" w:eastAsia="宋体" w:cs="宋体"/>
          <w:spacing w:val="1"/>
          <w:sz w:val="24"/>
          <w:szCs w:val="24"/>
          <w:highlight w:val="none"/>
        </w:rPr>
        <w:t>人交付的一切各种形态和种类</w:t>
      </w:r>
      <w:r>
        <w:rPr>
          <w:rFonts w:ascii="宋体" w:hAnsi="宋体" w:eastAsia="宋体" w:cs="宋体"/>
          <w:sz w:val="24"/>
          <w:szCs w:val="24"/>
          <w:highlight w:val="none"/>
        </w:rPr>
        <w:t xml:space="preserve"> 的物品，包括原材料、燃料、设备、机械、仪表</w:t>
      </w:r>
      <w:r>
        <w:rPr>
          <w:rFonts w:ascii="宋体" w:hAnsi="宋体" w:eastAsia="宋体" w:cs="宋体"/>
          <w:spacing w:val="-1"/>
          <w:sz w:val="24"/>
          <w:szCs w:val="24"/>
          <w:highlight w:val="none"/>
        </w:rPr>
        <w:t>、备件、计算机软件、产品等，并包括工</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具、手册等其他相关资料。</w:t>
      </w:r>
    </w:p>
    <w:p w14:paraId="093F5F96">
      <w:pPr>
        <w:spacing w:before="276" w:line="324" w:lineRule="auto"/>
        <w:ind w:left="1" w:right="4" w:firstLine="481"/>
        <w:rPr>
          <w:rFonts w:ascii="宋体" w:hAnsi="宋体" w:eastAsia="宋体" w:cs="宋体"/>
          <w:sz w:val="24"/>
          <w:szCs w:val="24"/>
          <w:highlight w:val="none"/>
        </w:rPr>
      </w:pPr>
      <w:r>
        <w:rPr>
          <w:rFonts w:ascii="宋体" w:hAnsi="宋体" w:eastAsia="宋体" w:cs="宋体"/>
          <w:spacing w:val="1"/>
          <w:sz w:val="24"/>
          <w:szCs w:val="24"/>
          <w:highlight w:val="none"/>
        </w:rPr>
        <w:t>2.1.4“</w:t>
      </w:r>
      <w:r>
        <w:rPr>
          <w:rFonts w:ascii="宋体" w:hAnsi="宋体" w:eastAsia="宋体" w:cs="宋体"/>
          <w:spacing w:val="-77"/>
          <w:sz w:val="24"/>
          <w:szCs w:val="24"/>
          <w:highlight w:val="none"/>
        </w:rPr>
        <w:t xml:space="preserve"> </w:t>
      </w:r>
      <w:r>
        <w:rPr>
          <w:rFonts w:ascii="宋体" w:hAnsi="宋体" w:eastAsia="宋体" w:cs="宋体"/>
          <w:spacing w:val="1"/>
          <w:sz w:val="24"/>
          <w:szCs w:val="24"/>
          <w:highlight w:val="none"/>
        </w:rPr>
        <w:t>甲方</w:t>
      </w:r>
      <w:r>
        <w:rPr>
          <w:rFonts w:ascii="宋体" w:hAnsi="宋体" w:eastAsia="宋体" w:cs="宋体"/>
          <w:spacing w:val="-84"/>
          <w:sz w:val="24"/>
          <w:szCs w:val="24"/>
          <w:highlight w:val="none"/>
        </w:rPr>
        <w:t xml:space="preserve"> </w:t>
      </w:r>
      <w:r>
        <w:rPr>
          <w:rFonts w:ascii="宋体" w:hAnsi="宋体" w:eastAsia="宋体" w:cs="宋体"/>
          <w:spacing w:val="1"/>
          <w:sz w:val="24"/>
          <w:szCs w:val="24"/>
          <w:highlight w:val="none"/>
        </w:rPr>
        <w:t>”系指与中标供应商签署合同的</w:t>
      </w:r>
      <w:r>
        <w:rPr>
          <w:rFonts w:ascii="宋体" w:hAnsi="宋体" w:eastAsia="宋体" w:cs="宋体"/>
          <w:sz w:val="24"/>
          <w:szCs w:val="24"/>
          <w:highlight w:val="none"/>
        </w:rPr>
        <w:t xml:space="preserve">采购人；采购人委托采购代理机构代表 </w:t>
      </w:r>
      <w:r>
        <w:rPr>
          <w:rFonts w:ascii="宋体" w:hAnsi="宋体" w:eastAsia="宋体" w:cs="宋体"/>
          <w:spacing w:val="-1"/>
          <w:sz w:val="24"/>
          <w:szCs w:val="24"/>
          <w:highlight w:val="none"/>
        </w:rPr>
        <w:t>其与乙方签订合同的，采购人的授权委托书作为合同附件。</w:t>
      </w:r>
    </w:p>
    <w:p w14:paraId="7074A3FF">
      <w:pPr>
        <w:spacing w:before="276" w:line="360" w:lineRule="auto"/>
        <w:ind w:right="2" w:firstLine="482"/>
        <w:rPr>
          <w:rFonts w:ascii="宋体" w:hAnsi="宋体" w:eastAsia="宋体" w:cs="宋体"/>
          <w:sz w:val="24"/>
          <w:szCs w:val="24"/>
          <w:highlight w:val="none"/>
        </w:rPr>
      </w:pPr>
      <w:r>
        <w:rPr>
          <w:rFonts w:ascii="宋体" w:hAnsi="宋体" w:eastAsia="宋体" w:cs="宋体"/>
          <w:spacing w:val="1"/>
          <w:sz w:val="24"/>
          <w:szCs w:val="24"/>
          <w:highlight w:val="none"/>
        </w:rPr>
        <w:t>2.1.5“</w:t>
      </w:r>
      <w:r>
        <w:rPr>
          <w:rFonts w:ascii="宋体" w:hAnsi="宋体" w:eastAsia="宋体" w:cs="宋体"/>
          <w:spacing w:val="-84"/>
          <w:sz w:val="24"/>
          <w:szCs w:val="24"/>
          <w:highlight w:val="none"/>
        </w:rPr>
        <w:t xml:space="preserve"> </w:t>
      </w:r>
      <w:r>
        <w:rPr>
          <w:rFonts w:ascii="宋体" w:hAnsi="宋体" w:eastAsia="宋体" w:cs="宋体"/>
          <w:spacing w:val="1"/>
          <w:sz w:val="24"/>
          <w:szCs w:val="24"/>
          <w:highlight w:val="none"/>
        </w:rPr>
        <w:t>乙方</w:t>
      </w:r>
      <w:r>
        <w:rPr>
          <w:rFonts w:ascii="宋体" w:hAnsi="宋体" w:eastAsia="宋体" w:cs="宋体"/>
          <w:spacing w:val="-84"/>
          <w:sz w:val="24"/>
          <w:szCs w:val="24"/>
          <w:highlight w:val="none"/>
        </w:rPr>
        <w:t xml:space="preserve"> </w:t>
      </w:r>
      <w:r>
        <w:rPr>
          <w:rFonts w:ascii="宋体" w:hAnsi="宋体" w:eastAsia="宋体" w:cs="宋体"/>
          <w:spacing w:val="1"/>
          <w:sz w:val="24"/>
          <w:szCs w:val="24"/>
          <w:highlight w:val="none"/>
        </w:rPr>
        <w:t>”系指根据合同约定交付货物的中标供应商；两</w:t>
      </w:r>
      <w:r>
        <w:rPr>
          <w:rFonts w:ascii="宋体" w:hAnsi="宋体" w:eastAsia="宋体" w:cs="宋体"/>
          <w:sz w:val="24"/>
          <w:szCs w:val="24"/>
          <w:highlight w:val="none"/>
        </w:rPr>
        <w:t>个以上的自然人、法人 或者其他组织组成一个联合体，以一个供应商的身份共同参</w:t>
      </w:r>
      <w:r>
        <w:rPr>
          <w:rFonts w:ascii="宋体" w:hAnsi="宋体" w:eastAsia="宋体" w:cs="宋体"/>
          <w:spacing w:val="-1"/>
          <w:sz w:val="24"/>
          <w:szCs w:val="24"/>
          <w:highlight w:val="none"/>
        </w:rPr>
        <w:t>加政府采购的，联合体各方均</w:t>
      </w:r>
      <w:r>
        <w:rPr>
          <w:rFonts w:ascii="宋体" w:hAnsi="宋体" w:eastAsia="宋体" w:cs="宋体"/>
          <w:sz w:val="24"/>
          <w:szCs w:val="24"/>
          <w:highlight w:val="none"/>
        </w:rPr>
        <w:t xml:space="preserve"> 应为乙方或者与乙方相同地位的合同当事人，并就合同约定的事</w:t>
      </w:r>
      <w:r>
        <w:rPr>
          <w:rFonts w:ascii="宋体" w:hAnsi="宋体" w:eastAsia="宋体" w:cs="宋体"/>
          <w:spacing w:val="-1"/>
          <w:sz w:val="24"/>
          <w:szCs w:val="24"/>
          <w:highlight w:val="none"/>
        </w:rPr>
        <w:t>项对甲方承担连带责任。</w:t>
      </w:r>
    </w:p>
    <w:p w14:paraId="03AF8F92">
      <w:pPr>
        <w:spacing w:before="276" w:line="219" w:lineRule="auto"/>
        <w:ind w:left="483"/>
        <w:rPr>
          <w:rFonts w:ascii="宋体" w:hAnsi="宋体" w:eastAsia="宋体" w:cs="宋体"/>
          <w:sz w:val="24"/>
          <w:szCs w:val="24"/>
          <w:highlight w:val="none"/>
        </w:rPr>
      </w:pPr>
      <w:r>
        <w:rPr>
          <w:rFonts w:ascii="宋体" w:hAnsi="宋体" w:eastAsia="宋体" w:cs="宋体"/>
          <w:spacing w:val="-2"/>
          <w:sz w:val="24"/>
          <w:szCs w:val="24"/>
          <w:highlight w:val="none"/>
        </w:rPr>
        <w:t>2.1.6“现场</w:t>
      </w:r>
      <w:r>
        <w:rPr>
          <w:rFonts w:ascii="宋体" w:hAnsi="宋体" w:eastAsia="宋体" w:cs="宋体"/>
          <w:spacing w:val="-76"/>
          <w:sz w:val="24"/>
          <w:szCs w:val="24"/>
          <w:highlight w:val="none"/>
        </w:rPr>
        <w:t xml:space="preserve"> </w:t>
      </w:r>
      <w:r>
        <w:rPr>
          <w:rFonts w:ascii="宋体" w:hAnsi="宋体" w:eastAsia="宋体" w:cs="宋体"/>
          <w:spacing w:val="-2"/>
          <w:sz w:val="24"/>
          <w:szCs w:val="24"/>
          <w:highlight w:val="none"/>
        </w:rPr>
        <w:t>”系指合同约定货物将要运至或者安装的地点。</w:t>
      </w:r>
    </w:p>
    <w:p w14:paraId="59ABC48D">
      <w:pPr>
        <w:spacing w:before="276" w:line="219" w:lineRule="auto"/>
        <w:ind w:left="483"/>
        <w:outlineLvl w:val="0"/>
        <w:rPr>
          <w:rFonts w:ascii="宋体" w:hAnsi="宋体" w:eastAsia="宋体" w:cs="宋体"/>
          <w:sz w:val="24"/>
          <w:szCs w:val="24"/>
          <w:highlight w:val="none"/>
        </w:rPr>
      </w:pPr>
      <w:bookmarkStart w:id="823" w:name="_Toc21812"/>
      <w:r>
        <w:rPr>
          <w:rFonts w:ascii="宋体" w:hAnsi="宋体" w:eastAsia="宋体" w:cs="宋体"/>
          <w:b/>
          <w:bCs/>
          <w:spacing w:val="-6"/>
          <w:sz w:val="24"/>
          <w:szCs w:val="24"/>
          <w:highlight w:val="none"/>
        </w:rPr>
        <w:t>2.2</w:t>
      </w:r>
      <w:r>
        <w:rPr>
          <w:rFonts w:ascii="宋体" w:hAnsi="宋体" w:eastAsia="宋体" w:cs="宋体"/>
          <w:spacing w:val="-45"/>
          <w:sz w:val="24"/>
          <w:szCs w:val="24"/>
          <w:highlight w:val="none"/>
        </w:rPr>
        <w:t xml:space="preserve"> </w:t>
      </w:r>
      <w:r>
        <w:rPr>
          <w:rFonts w:ascii="宋体" w:hAnsi="宋体" w:eastAsia="宋体" w:cs="宋体"/>
          <w:b/>
          <w:bCs/>
          <w:spacing w:val="-6"/>
          <w:sz w:val="24"/>
          <w:szCs w:val="24"/>
          <w:highlight w:val="none"/>
        </w:rPr>
        <w:t>技术规范</w:t>
      </w:r>
      <w:bookmarkEnd w:id="823"/>
    </w:p>
    <w:p w14:paraId="4A7398C6">
      <w:pPr>
        <w:spacing w:before="273" w:line="431" w:lineRule="auto"/>
        <w:ind w:firstLine="486"/>
        <w:jc w:val="both"/>
        <w:rPr>
          <w:rFonts w:ascii="宋体" w:hAnsi="宋体" w:eastAsia="宋体" w:cs="宋体"/>
          <w:sz w:val="24"/>
          <w:szCs w:val="24"/>
          <w:highlight w:val="none"/>
        </w:rPr>
      </w:pPr>
      <w:r>
        <w:rPr>
          <w:rFonts w:ascii="宋体" w:hAnsi="宋体" w:eastAsia="宋体" w:cs="宋体"/>
          <w:sz w:val="24"/>
          <w:szCs w:val="24"/>
          <w:highlight w:val="none"/>
        </w:rPr>
        <w:t>货物所应遵守的技术规范应与采购文件规定的技</w:t>
      </w:r>
      <w:r>
        <w:rPr>
          <w:rFonts w:ascii="宋体" w:hAnsi="宋体" w:eastAsia="宋体" w:cs="宋体"/>
          <w:spacing w:val="-1"/>
          <w:sz w:val="24"/>
          <w:szCs w:val="24"/>
          <w:highlight w:val="none"/>
        </w:rPr>
        <w:t>术规范和技术规范附件(如果有的话)</w:t>
      </w:r>
      <w:r>
        <w:rPr>
          <w:rFonts w:ascii="宋体" w:hAnsi="宋体" w:eastAsia="宋体" w:cs="宋体"/>
          <w:sz w:val="24"/>
          <w:szCs w:val="24"/>
          <w:highlight w:val="none"/>
        </w:rPr>
        <w:t xml:space="preserve"> 及其技术规范偏差表(如果被甲方接受的话)相一致；如果采购</w:t>
      </w:r>
      <w:r>
        <w:rPr>
          <w:rFonts w:ascii="宋体" w:hAnsi="宋体" w:eastAsia="宋体" w:cs="宋体"/>
          <w:spacing w:val="-1"/>
          <w:sz w:val="24"/>
          <w:szCs w:val="24"/>
          <w:highlight w:val="none"/>
        </w:rPr>
        <w:t>文件中没有技术规范的相应</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说明，那么应以国家有关部门最新颁布的相应标准和规范为准。</w:t>
      </w:r>
    </w:p>
    <w:p w14:paraId="6C288565">
      <w:pPr>
        <w:spacing w:line="219" w:lineRule="auto"/>
        <w:ind w:left="483"/>
        <w:outlineLvl w:val="0"/>
        <w:rPr>
          <w:rFonts w:ascii="宋体" w:hAnsi="宋体" w:eastAsia="宋体" w:cs="宋体"/>
          <w:sz w:val="24"/>
          <w:szCs w:val="24"/>
          <w:highlight w:val="none"/>
        </w:rPr>
      </w:pPr>
      <w:bookmarkStart w:id="824" w:name="_Toc21444"/>
      <w:r>
        <w:rPr>
          <w:rFonts w:ascii="宋体" w:hAnsi="宋体" w:eastAsia="宋体" w:cs="宋体"/>
          <w:b/>
          <w:bCs/>
          <w:spacing w:val="-6"/>
          <w:sz w:val="24"/>
          <w:szCs w:val="24"/>
          <w:highlight w:val="none"/>
        </w:rPr>
        <w:t>2.3</w:t>
      </w:r>
      <w:r>
        <w:rPr>
          <w:rFonts w:ascii="宋体" w:hAnsi="宋体" w:eastAsia="宋体" w:cs="宋体"/>
          <w:spacing w:val="-45"/>
          <w:sz w:val="24"/>
          <w:szCs w:val="24"/>
          <w:highlight w:val="none"/>
        </w:rPr>
        <w:t xml:space="preserve"> </w:t>
      </w:r>
      <w:r>
        <w:rPr>
          <w:rFonts w:ascii="宋体" w:hAnsi="宋体" w:eastAsia="宋体" w:cs="宋体"/>
          <w:b/>
          <w:bCs/>
          <w:spacing w:val="-6"/>
          <w:sz w:val="24"/>
          <w:szCs w:val="24"/>
          <w:highlight w:val="none"/>
        </w:rPr>
        <w:t>知识产权</w:t>
      </w:r>
      <w:bookmarkEnd w:id="824"/>
    </w:p>
    <w:p w14:paraId="36CD5B6E">
      <w:pPr>
        <w:spacing w:before="275" w:line="432" w:lineRule="auto"/>
        <w:ind w:left="1" w:right="2" w:firstLine="481"/>
        <w:jc w:val="both"/>
        <w:rPr>
          <w:rFonts w:ascii="宋体" w:hAnsi="宋体" w:eastAsia="宋体" w:cs="宋体"/>
          <w:sz w:val="24"/>
          <w:szCs w:val="24"/>
          <w:highlight w:val="none"/>
        </w:rPr>
      </w:pPr>
      <w:r>
        <w:rPr>
          <w:rFonts w:ascii="宋体" w:hAnsi="宋体" w:eastAsia="宋体" w:cs="宋体"/>
          <w:sz w:val="24"/>
          <w:szCs w:val="24"/>
          <w:highlight w:val="none"/>
        </w:rPr>
        <w:t>2.3.1</w:t>
      </w:r>
      <w:r>
        <w:rPr>
          <w:rFonts w:ascii="宋体" w:hAnsi="宋体" w:eastAsia="宋体" w:cs="宋体"/>
          <w:spacing w:val="-16"/>
          <w:sz w:val="24"/>
          <w:szCs w:val="24"/>
          <w:highlight w:val="none"/>
        </w:rPr>
        <w:t xml:space="preserve"> </w:t>
      </w:r>
      <w:r>
        <w:rPr>
          <w:rFonts w:ascii="宋体" w:hAnsi="宋体" w:eastAsia="宋体" w:cs="宋体"/>
          <w:sz w:val="24"/>
          <w:szCs w:val="24"/>
          <w:highlight w:val="none"/>
        </w:rPr>
        <w:t>乙方应保证甲方在使用该货物或其任何一部分时不受任何第三方提出的侵犯其 著作权、商标权、专利权等知识产权方面的起诉；如果任</w:t>
      </w:r>
      <w:r>
        <w:rPr>
          <w:rFonts w:ascii="宋体" w:hAnsi="宋体" w:eastAsia="宋体" w:cs="宋体"/>
          <w:spacing w:val="-1"/>
          <w:sz w:val="24"/>
          <w:szCs w:val="24"/>
          <w:highlight w:val="none"/>
        </w:rPr>
        <w:t>何第三方提出侵权指控，那么乙</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方须与该第三方交涉并承担由此发生的一切责任、费用和赔偿；</w:t>
      </w:r>
    </w:p>
    <w:p w14:paraId="505F6169">
      <w:pPr>
        <w:spacing w:line="432" w:lineRule="auto"/>
        <w:rPr>
          <w:rFonts w:ascii="宋体" w:hAnsi="宋体" w:eastAsia="宋体" w:cs="宋体"/>
          <w:sz w:val="24"/>
          <w:szCs w:val="24"/>
          <w:highlight w:val="none"/>
        </w:rPr>
        <w:sectPr>
          <w:footerReference r:id="rId20" w:type="default"/>
          <w:pgSz w:w="11907" w:h="16840"/>
          <w:pgMar w:top="400" w:right="1130" w:bottom="1290" w:left="1424" w:header="0" w:footer="1056" w:gutter="0"/>
          <w:pgNumType w:fmt="decimal"/>
          <w:cols w:space="720" w:num="1"/>
        </w:sectPr>
      </w:pPr>
    </w:p>
    <w:p w14:paraId="25E69188">
      <w:pPr>
        <w:pStyle w:val="7"/>
        <w:spacing w:line="245" w:lineRule="auto"/>
        <w:rPr>
          <w:highlight w:val="none"/>
        </w:rPr>
      </w:pPr>
    </w:p>
    <w:p w14:paraId="6585729C">
      <w:pPr>
        <w:pStyle w:val="7"/>
        <w:spacing w:line="245" w:lineRule="auto"/>
        <w:rPr>
          <w:highlight w:val="none"/>
        </w:rPr>
      </w:pPr>
    </w:p>
    <w:p w14:paraId="1EC23881">
      <w:pPr>
        <w:pStyle w:val="7"/>
        <w:spacing w:line="246" w:lineRule="auto"/>
        <w:rPr>
          <w:highlight w:val="none"/>
        </w:rPr>
      </w:pPr>
    </w:p>
    <w:p w14:paraId="433BA602">
      <w:pPr>
        <w:pStyle w:val="7"/>
        <w:spacing w:line="246" w:lineRule="auto"/>
        <w:rPr>
          <w:highlight w:val="none"/>
        </w:rPr>
      </w:pPr>
    </w:p>
    <w:p w14:paraId="647A335E">
      <w:pPr>
        <w:pStyle w:val="7"/>
        <w:spacing w:line="246" w:lineRule="auto"/>
        <w:rPr>
          <w:highlight w:val="none"/>
        </w:rPr>
      </w:pPr>
    </w:p>
    <w:p w14:paraId="0BEFDCED">
      <w:pPr>
        <w:spacing w:before="81" w:line="212" w:lineRule="auto"/>
        <w:ind w:left="484"/>
        <w:rPr>
          <w:rFonts w:ascii="宋体" w:hAnsi="宋体" w:eastAsia="宋体" w:cs="宋体"/>
          <w:sz w:val="24"/>
          <w:szCs w:val="24"/>
          <w:highlight w:val="none"/>
        </w:rPr>
      </w:pPr>
      <w:r>
        <w:rPr>
          <w:rFonts w:ascii="宋体" w:hAnsi="宋体" w:eastAsia="宋体" w:cs="宋体"/>
          <w:spacing w:val="-2"/>
          <w:sz w:val="24"/>
          <w:szCs w:val="24"/>
          <w:highlight w:val="none"/>
        </w:rPr>
        <w:t>2.3.2</w:t>
      </w:r>
      <w:r>
        <w:rPr>
          <w:rFonts w:ascii="宋体" w:hAnsi="宋体" w:eastAsia="宋体" w:cs="宋体"/>
          <w:spacing w:val="-30"/>
          <w:sz w:val="24"/>
          <w:szCs w:val="24"/>
          <w:highlight w:val="none"/>
        </w:rPr>
        <w:t xml:space="preserve"> </w:t>
      </w:r>
      <w:r>
        <w:rPr>
          <w:rFonts w:ascii="宋体" w:hAnsi="宋体" w:eastAsia="宋体" w:cs="宋体"/>
          <w:spacing w:val="-2"/>
          <w:sz w:val="24"/>
          <w:szCs w:val="24"/>
          <w:highlight w:val="none"/>
        </w:rPr>
        <w:t>具有知识产权的计算机软件等货物的知识产权归属，详见</w:t>
      </w:r>
      <w:r>
        <w:rPr>
          <w:rFonts w:ascii="宋体" w:hAnsi="宋体" w:eastAsia="宋体" w:cs="宋体"/>
          <w:i/>
          <w:iCs/>
          <w:spacing w:val="-2"/>
          <w:sz w:val="25"/>
          <w:szCs w:val="25"/>
          <w:highlight w:val="none"/>
          <w:u w:val="single" w:color="auto"/>
        </w:rPr>
        <w:t>合同专用条款</w:t>
      </w:r>
      <w:r>
        <w:rPr>
          <w:rFonts w:ascii="宋体" w:hAnsi="宋体" w:eastAsia="宋体" w:cs="宋体"/>
          <w:spacing w:val="-2"/>
          <w:sz w:val="24"/>
          <w:szCs w:val="24"/>
          <w:highlight w:val="none"/>
        </w:rPr>
        <w:t>。</w:t>
      </w:r>
    </w:p>
    <w:p w14:paraId="5C8ECBBA">
      <w:pPr>
        <w:spacing w:before="272" w:line="220" w:lineRule="auto"/>
        <w:ind w:left="484"/>
        <w:outlineLvl w:val="0"/>
        <w:rPr>
          <w:rFonts w:ascii="宋体" w:hAnsi="宋体" w:eastAsia="宋体" w:cs="宋体"/>
          <w:sz w:val="24"/>
          <w:szCs w:val="24"/>
          <w:highlight w:val="none"/>
        </w:rPr>
      </w:pPr>
      <w:bookmarkStart w:id="825" w:name="bookmark26"/>
      <w:bookmarkEnd w:id="825"/>
      <w:bookmarkStart w:id="826" w:name="_Toc31305"/>
      <w:r>
        <w:rPr>
          <w:rFonts w:ascii="宋体" w:hAnsi="宋体" w:eastAsia="宋体" w:cs="宋体"/>
          <w:b/>
          <w:bCs/>
          <w:spacing w:val="-5"/>
          <w:sz w:val="24"/>
          <w:szCs w:val="24"/>
          <w:highlight w:val="none"/>
        </w:rPr>
        <w:t>2.4</w:t>
      </w:r>
      <w:r>
        <w:rPr>
          <w:rFonts w:ascii="宋体" w:hAnsi="宋体" w:eastAsia="宋体" w:cs="宋体"/>
          <w:spacing w:val="-47"/>
          <w:sz w:val="24"/>
          <w:szCs w:val="24"/>
          <w:highlight w:val="none"/>
        </w:rPr>
        <w:t xml:space="preserve"> </w:t>
      </w:r>
      <w:r>
        <w:rPr>
          <w:rFonts w:ascii="宋体" w:hAnsi="宋体" w:eastAsia="宋体" w:cs="宋体"/>
          <w:b/>
          <w:bCs/>
          <w:spacing w:val="-5"/>
          <w:sz w:val="24"/>
          <w:szCs w:val="24"/>
          <w:highlight w:val="none"/>
        </w:rPr>
        <w:t>包装和装运</w:t>
      </w:r>
      <w:bookmarkEnd w:id="826"/>
    </w:p>
    <w:p w14:paraId="23DCE390">
      <w:pPr>
        <w:spacing w:before="269" w:line="386" w:lineRule="auto"/>
        <w:ind w:firstLine="484"/>
        <w:rPr>
          <w:rFonts w:ascii="宋体" w:hAnsi="宋体" w:eastAsia="宋体" w:cs="宋体"/>
          <w:sz w:val="24"/>
          <w:szCs w:val="24"/>
          <w:highlight w:val="none"/>
        </w:rPr>
      </w:pPr>
      <w:r>
        <w:rPr>
          <w:rFonts w:ascii="宋体" w:hAnsi="宋体" w:eastAsia="宋体" w:cs="宋体"/>
          <w:spacing w:val="-1"/>
          <w:sz w:val="24"/>
          <w:szCs w:val="24"/>
          <w:highlight w:val="none"/>
        </w:rPr>
        <w:t>2.4.1</w:t>
      </w:r>
      <w:r>
        <w:rPr>
          <w:rFonts w:ascii="宋体" w:hAnsi="宋体" w:eastAsia="宋体" w:cs="宋体"/>
          <w:spacing w:val="-34"/>
          <w:sz w:val="24"/>
          <w:szCs w:val="24"/>
          <w:highlight w:val="none"/>
        </w:rPr>
        <w:t xml:space="preserve"> </w:t>
      </w:r>
      <w:r>
        <w:rPr>
          <w:rFonts w:ascii="宋体" w:hAnsi="宋体" w:eastAsia="宋体" w:cs="宋体"/>
          <w:spacing w:val="-1"/>
          <w:sz w:val="24"/>
          <w:szCs w:val="24"/>
          <w:highlight w:val="none"/>
        </w:rPr>
        <w:t>除</w:t>
      </w:r>
      <w:r>
        <w:rPr>
          <w:rFonts w:ascii="宋体" w:hAnsi="宋体" w:eastAsia="宋体" w:cs="宋体"/>
          <w:i/>
          <w:iCs/>
          <w:spacing w:val="-1"/>
          <w:sz w:val="25"/>
          <w:szCs w:val="25"/>
          <w:highlight w:val="none"/>
          <w:u w:val="single" w:color="auto"/>
        </w:rPr>
        <w:t>合同专用条款</w:t>
      </w:r>
      <w:r>
        <w:rPr>
          <w:rFonts w:ascii="宋体" w:hAnsi="宋体" w:eastAsia="宋体" w:cs="宋体"/>
          <w:spacing w:val="-1"/>
          <w:sz w:val="24"/>
          <w:szCs w:val="24"/>
          <w:highlight w:val="none"/>
        </w:rPr>
        <w:t>另有约定外,乙方交付的全部货物,均应采用本行业</w:t>
      </w:r>
      <w:r>
        <w:rPr>
          <w:rFonts w:ascii="宋体" w:hAnsi="宋体" w:eastAsia="宋体" w:cs="宋体"/>
          <w:spacing w:val="-2"/>
          <w:sz w:val="24"/>
          <w:szCs w:val="24"/>
          <w:highlight w:val="none"/>
        </w:rPr>
        <w:t>通用的方式</w:t>
      </w:r>
      <w:r>
        <w:rPr>
          <w:rFonts w:ascii="宋体" w:hAnsi="宋体" w:eastAsia="宋体" w:cs="宋体"/>
          <w:sz w:val="24"/>
          <w:szCs w:val="24"/>
          <w:highlight w:val="none"/>
        </w:rPr>
        <w:t xml:space="preserve"> 进行包装，没有通用方式的，应当采取足以保护货物的包装方式</w:t>
      </w:r>
      <w:r>
        <w:rPr>
          <w:rFonts w:ascii="宋体" w:hAnsi="宋体" w:eastAsia="宋体" w:cs="宋体"/>
          <w:spacing w:val="-1"/>
          <w:sz w:val="24"/>
          <w:szCs w:val="24"/>
          <w:highlight w:val="none"/>
        </w:rPr>
        <w:t>，且该包装应符合国家有</w:t>
      </w:r>
      <w:r>
        <w:rPr>
          <w:rFonts w:ascii="宋体" w:hAnsi="宋体" w:eastAsia="宋体" w:cs="宋体"/>
          <w:sz w:val="24"/>
          <w:szCs w:val="24"/>
          <w:highlight w:val="none"/>
        </w:rPr>
        <w:t xml:space="preserve"> 关包装的法律、法规的规定。如有必要，包装应适用于远</w:t>
      </w:r>
      <w:r>
        <w:rPr>
          <w:rFonts w:ascii="宋体" w:hAnsi="宋体" w:eastAsia="宋体" w:cs="宋体"/>
          <w:spacing w:val="-1"/>
          <w:sz w:val="24"/>
          <w:szCs w:val="24"/>
          <w:highlight w:val="none"/>
        </w:rPr>
        <w:t>距离运输、防潮、防震、防锈和</w:t>
      </w:r>
      <w:r>
        <w:rPr>
          <w:rFonts w:ascii="宋体" w:hAnsi="宋体" w:eastAsia="宋体" w:cs="宋体"/>
          <w:sz w:val="24"/>
          <w:szCs w:val="24"/>
          <w:highlight w:val="none"/>
        </w:rPr>
        <w:t xml:space="preserve"> 防粗暴装卸，确保货物安全无损地运抵现场。由于包装不善所引</w:t>
      </w:r>
      <w:r>
        <w:rPr>
          <w:rFonts w:ascii="宋体" w:hAnsi="宋体" w:eastAsia="宋体" w:cs="宋体"/>
          <w:spacing w:val="-1"/>
          <w:sz w:val="24"/>
          <w:szCs w:val="24"/>
          <w:highlight w:val="none"/>
        </w:rPr>
        <w:t>起的货物锈蚀、损坏和损</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失等一切风险均由乙方承担。</w:t>
      </w:r>
    </w:p>
    <w:p w14:paraId="6606733A">
      <w:pPr>
        <w:spacing w:before="274" w:line="212" w:lineRule="auto"/>
        <w:ind w:left="484"/>
        <w:rPr>
          <w:rFonts w:ascii="宋体" w:hAnsi="宋体" w:eastAsia="宋体" w:cs="宋体"/>
          <w:sz w:val="24"/>
          <w:szCs w:val="24"/>
          <w:highlight w:val="none"/>
        </w:rPr>
      </w:pPr>
      <w:r>
        <w:rPr>
          <w:rFonts w:ascii="宋体" w:hAnsi="宋体" w:eastAsia="宋体" w:cs="宋体"/>
          <w:spacing w:val="-2"/>
          <w:sz w:val="24"/>
          <w:szCs w:val="24"/>
          <w:highlight w:val="none"/>
        </w:rPr>
        <w:t>2.4.2</w:t>
      </w:r>
      <w:r>
        <w:rPr>
          <w:rFonts w:ascii="宋体" w:hAnsi="宋体" w:eastAsia="宋体" w:cs="宋体"/>
          <w:spacing w:val="-51"/>
          <w:sz w:val="24"/>
          <w:szCs w:val="24"/>
          <w:highlight w:val="none"/>
        </w:rPr>
        <w:t xml:space="preserve"> </w:t>
      </w:r>
      <w:r>
        <w:rPr>
          <w:rFonts w:ascii="宋体" w:hAnsi="宋体" w:eastAsia="宋体" w:cs="宋体"/>
          <w:spacing w:val="-2"/>
          <w:sz w:val="24"/>
          <w:szCs w:val="24"/>
          <w:highlight w:val="none"/>
        </w:rPr>
        <w:t>装运货物的要求和通知，详见</w:t>
      </w:r>
      <w:r>
        <w:rPr>
          <w:rFonts w:ascii="宋体" w:hAnsi="宋体" w:eastAsia="宋体" w:cs="宋体"/>
          <w:i/>
          <w:iCs/>
          <w:spacing w:val="-2"/>
          <w:sz w:val="25"/>
          <w:szCs w:val="25"/>
          <w:highlight w:val="none"/>
          <w:u w:val="single" w:color="auto"/>
        </w:rPr>
        <w:t>合同专用</w:t>
      </w:r>
      <w:r>
        <w:rPr>
          <w:rFonts w:ascii="宋体" w:hAnsi="宋体" w:eastAsia="宋体" w:cs="宋体"/>
          <w:i/>
          <w:iCs/>
          <w:spacing w:val="-3"/>
          <w:sz w:val="25"/>
          <w:szCs w:val="25"/>
          <w:highlight w:val="none"/>
          <w:u w:val="single" w:color="auto"/>
        </w:rPr>
        <w:t>条款</w:t>
      </w:r>
      <w:r>
        <w:rPr>
          <w:rFonts w:ascii="宋体" w:hAnsi="宋体" w:eastAsia="宋体" w:cs="宋体"/>
          <w:spacing w:val="-3"/>
          <w:sz w:val="24"/>
          <w:szCs w:val="24"/>
          <w:highlight w:val="none"/>
        </w:rPr>
        <w:t>。</w:t>
      </w:r>
    </w:p>
    <w:p w14:paraId="5670E0B1">
      <w:pPr>
        <w:spacing w:before="272" w:line="219" w:lineRule="auto"/>
        <w:ind w:left="484"/>
        <w:outlineLvl w:val="0"/>
        <w:rPr>
          <w:rFonts w:ascii="宋体" w:hAnsi="宋体" w:eastAsia="宋体" w:cs="宋体"/>
          <w:sz w:val="24"/>
          <w:szCs w:val="24"/>
          <w:highlight w:val="none"/>
        </w:rPr>
      </w:pPr>
      <w:bookmarkStart w:id="827" w:name="_Toc1936"/>
      <w:r>
        <w:rPr>
          <w:rFonts w:ascii="宋体" w:hAnsi="宋体" w:eastAsia="宋体" w:cs="宋体"/>
          <w:b/>
          <w:bCs/>
          <w:spacing w:val="-4"/>
          <w:sz w:val="24"/>
          <w:szCs w:val="24"/>
          <w:highlight w:val="none"/>
        </w:rPr>
        <w:t>2.5</w:t>
      </w:r>
      <w:r>
        <w:rPr>
          <w:rFonts w:ascii="宋体" w:hAnsi="宋体" w:eastAsia="宋体" w:cs="宋体"/>
          <w:spacing w:val="-46"/>
          <w:sz w:val="24"/>
          <w:szCs w:val="24"/>
          <w:highlight w:val="none"/>
        </w:rPr>
        <w:t xml:space="preserve"> </w:t>
      </w:r>
      <w:r>
        <w:rPr>
          <w:rFonts w:ascii="宋体" w:hAnsi="宋体" w:eastAsia="宋体" w:cs="宋体"/>
          <w:b/>
          <w:bCs/>
          <w:spacing w:val="-4"/>
          <w:sz w:val="24"/>
          <w:szCs w:val="24"/>
          <w:highlight w:val="none"/>
        </w:rPr>
        <w:t>履约检查和问题反馈</w:t>
      </w:r>
      <w:bookmarkEnd w:id="827"/>
    </w:p>
    <w:p w14:paraId="796570CF">
      <w:pPr>
        <w:spacing w:before="277" w:line="360" w:lineRule="auto"/>
        <w:ind w:left="4" w:firstLine="480"/>
        <w:rPr>
          <w:rFonts w:ascii="宋体" w:hAnsi="宋体" w:eastAsia="宋体" w:cs="宋体"/>
          <w:sz w:val="24"/>
          <w:szCs w:val="24"/>
          <w:highlight w:val="none"/>
        </w:rPr>
      </w:pPr>
      <w:r>
        <w:rPr>
          <w:rFonts w:ascii="宋体" w:hAnsi="宋体" w:eastAsia="宋体" w:cs="宋体"/>
          <w:sz w:val="24"/>
          <w:szCs w:val="24"/>
          <w:highlight w:val="none"/>
        </w:rPr>
        <w:t>2.5.1 甲方有权在其认为必要时，对乙方是否能</w:t>
      </w:r>
      <w:r>
        <w:rPr>
          <w:rFonts w:ascii="宋体" w:hAnsi="宋体" w:eastAsia="宋体" w:cs="宋体"/>
          <w:spacing w:val="-1"/>
          <w:sz w:val="24"/>
          <w:szCs w:val="24"/>
          <w:highlight w:val="none"/>
        </w:rPr>
        <w:t>够按照合同约定交付货物进行履约检</w:t>
      </w:r>
      <w:r>
        <w:rPr>
          <w:rFonts w:ascii="宋体" w:hAnsi="宋体" w:eastAsia="宋体" w:cs="宋体"/>
          <w:sz w:val="24"/>
          <w:szCs w:val="24"/>
          <w:highlight w:val="none"/>
        </w:rPr>
        <w:t xml:space="preserve"> 查，以确保乙方所交付的货物能够依约满足甲方之项</w:t>
      </w:r>
      <w:r>
        <w:rPr>
          <w:rFonts w:ascii="宋体" w:hAnsi="宋体" w:eastAsia="宋体" w:cs="宋体"/>
          <w:spacing w:val="-1"/>
          <w:sz w:val="24"/>
          <w:szCs w:val="24"/>
          <w:highlight w:val="none"/>
        </w:rPr>
        <w:t>目需求，但不得因履约检查妨碍乙方</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的正常工作，乙方应予积极配合；</w:t>
      </w:r>
    </w:p>
    <w:p w14:paraId="094F03C1">
      <w:pPr>
        <w:spacing w:before="276" w:line="324" w:lineRule="auto"/>
        <w:ind w:left="29" w:firstLine="455"/>
        <w:rPr>
          <w:rFonts w:ascii="宋体" w:hAnsi="宋体" w:eastAsia="宋体" w:cs="宋体"/>
          <w:sz w:val="24"/>
          <w:szCs w:val="24"/>
          <w:highlight w:val="none"/>
        </w:rPr>
      </w:pPr>
      <w:r>
        <w:rPr>
          <w:rFonts w:ascii="宋体" w:hAnsi="宋体" w:eastAsia="宋体" w:cs="宋体"/>
          <w:spacing w:val="1"/>
          <w:sz w:val="24"/>
          <w:szCs w:val="24"/>
          <w:highlight w:val="none"/>
        </w:rPr>
        <w:t>2.5.2</w:t>
      </w:r>
      <w:r>
        <w:rPr>
          <w:rFonts w:ascii="宋体" w:hAnsi="宋体" w:eastAsia="宋体" w:cs="宋体"/>
          <w:spacing w:val="-47"/>
          <w:sz w:val="24"/>
          <w:szCs w:val="24"/>
          <w:highlight w:val="none"/>
        </w:rPr>
        <w:t xml:space="preserve"> </w:t>
      </w:r>
      <w:r>
        <w:rPr>
          <w:rFonts w:ascii="宋体" w:hAnsi="宋体" w:eastAsia="宋体" w:cs="宋体"/>
          <w:spacing w:val="1"/>
          <w:sz w:val="24"/>
          <w:szCs w:val="24"/>
          <w:highlight w:val="none"/>
        </w:rPr>
        <w:t>合同履行期间，甲方有权将履行过程中出现的问题反馈给乙</w:t>
      </w:r>
      <w:r>
        <w:rPr>
          <w:rFonts w:ascii="宋体" w:hAnsi="宋体" w:eastAsia="宋体" w:cs="宋体"/>
          <w:sz w:val="24"/>
          <w:szCs w:val="24"/>
          <w:highlight w:val="none"/>
        </w:rPr>
        <w:t xml:space="preserve">方，双方当事人应 </w:t>
      </w:r>
      <w:r>
        <w:rPr>
          <w:rFonts w:ascii="宋体" w:hAnsi="宋体" w:eastAsia="宋体" w:cs="宋体"/>
          <w:spacing w:val="-3"/>
          <w:sz w:val="24"/>
          <w:szCs w:val="24"/>
          <w:highlight w:val="none"/>
        </w:rPr>
        <w:t>以书面形式约定需要完善和改进的内容。</w:t>
      </w:r>
    </w:p>
    <w:p w14:paraId="3DEC2953">
      <w:pPr>
        <w:spacing w:before="276" w:line="219" w:lineRule="auto"/>
        <w:ind w:left="484"/>
        <w:outlineLvl w:val="0"/>
        <w:rPr>
          <w:rFonts w:ascii="宋体" w:hAnsi="宋体" w:eastAsia="宋体" w:cs="宋体"/>
          <w:sz w:val="24"/>
          <w:szCs w:val="24"/>
          <w:highlight w:val="none"/>
        </w:rPr>
      </w:pPr>
      <w:bookmarkStart w:id="828" w:name="_Toc26342"/>
      <w:r>
        <w:rPr>
          <w:rFonts w:ascii="宋体" w:hAnsi="宋体" w:eastAsia="宋体" w:cs="宋体"/>
          <w:b/>
          <w:bCs/>
          <w:spacing w:val="-5"/>
          <w:sz w:val="24"/>
          <w:szCs w:val="24"/>
          <w:highlight w:val="none"/>
        </w:rPr>
        <w:t>2.6</w:t>
      </w:r>
      <w:r>
        <w:rPr>
          <w:rFonts w:ascii="宋体" w:hAnsi="宋体" w:eastAsia="宋体" w:cs="宋体"/>
          <w:spacing w:val="-34"/>
          <w:sz w:val="24"/>
          <w:szCs w:val="24"/>
          <w:highlight w:val="none"/>
        </w:rPr>
        <w:t xml:space="preserve"> </w:t>
      </w:r>
      <w:r>
        <w:rPr>
          <w:rFonts w:ascii="宋体" w:hAnsi="宋体" w:eastAsia="宋体" w:cs="宋体"/>
          <w:b/>
          <w:bCs/>
          <w:spacing w:val="-5"/>
          <w:sz w:val="24"/>
          <w:szCs w:val="24"/>
          <w:highlight w:val="none"/>
        </w:rPr>
        <w:t>结算方式和付款条件</w:t>
      </w:r>
      <w:bookmarkEnd w:id="828"/>
    </w:p>
    <w:p w14:paraId="6BA486D7">
      <w:pPr>
        <w:spacing w:before="276" w:line="212" w:lineRule="auto"/>
        <w:ind w:left="484"/>
        <w:rPr>
          <w:rFonts w:ascii="宋体" w:hAnsi="宋体" w:eastAsia="宋体" w:cs="宋体"/>
          <w:sz w:val="24"/>
          <w:szCs w:val="24"/>
          <w:highlight w:val="none"/>
        </w:rPr>
      </w:pPr>
      <w:r>
        <w:rPr>
          <w:rFonts w:ascii="宋体" w:hAnsi="宋体" w:eastAsia="宋体" w:cs="宋体"/>
          <w:spacing w:val="-5"/>
          <w:sz w:val="24"/>
          <w:szCs w:val="24"/>
          <w:highlight w:val="none"/>
        </w:rPr>
        <w:t>详见</w:t>
      </w:r>
      <w:r>
        <w:rPr>
          <w:rFonts w:ascii="宋体" w:hAnsi="宋体" w:eastAsia="宋体" w:cs="宋体"/>
          <w:i/>
          <w:iCs/>
          <w:spacing w:val="-5"/>
          <w:sz w:val="25"/>
          <w:szCs w:val="25"/>
          <w:highlight w:val="none"/>
          <w:u w:val="single" w:color="auto"/>
        </w:rPr>
        <w:t>合同专用条款</w:t>
      </w:r>
      <w:r>
        <w:rPr>
          <w:rFonts w:ascii="宋体" w:hAnsi="宋体" w:eastAsia="宋体" w:cs="宋体"/>
          <w:spacing w:val="-5"/>
          <w:sz w:val="24"/>
          <w:szCs w:val="24"/>
          <w:highlight w:val="none"/>
        </w:rPr>
        <w:t>。</w:t>
      </w:r>
    </w:p>
    <w:p w14:paraId="570ED6CB">
      <w:pPr>
        <w:spacing w:before="273" w:line="219" w:lineRule="auto"/>
        <w:ind w:left="484"/>
        <w:outlineLvl w:val="0"/>
        <w:rPr>
          <w:rFonts w:ascii="宋体" w:hAnsi="宋体" w:eastAsia="宋体" w:cs="宋体"/>
          <w:sz w:val="24"/>
          <w:szCs w:val="24"/>
          <w:highlight w:val="none"/>
        </w:rPr>
      </w:pPr>
      <w:bookmarkStart w:id="829" w:name="_Toc22097"/>
      <w:r>
        <w:rPr>
          <w:rFonts w:ascii="宋体" w:hAnsi="宋体" w:eastAsia="宋体" w:cs="宋体"/>
          <w:b/>
          <w:bCs/>
          <w:spacing w:val="-4"/>
          <w:sz w:val="24"/>
          <w:szCs w:val="24"/>
          <w:highlight w:val="none"/>
        </w:rPr>
        <w:t>2.7</w:t>
      </w:r>
      <w:r>
        <w:rPr>
          <w:rFonts w:ascii="宋体" w:hAnsi="宋体" w:eastAsia="宋体" w:cs="宋体"/>
          <w:spacing w:val="-46"/>
          <w:sz w:val="24"/>
          <w:szCs w:val="24"/>
          <w:highlight w:val="none"/>
        </w:rPr>
        <w:t xml:space="preserve"> </w:t>
      </w:r>
      <w:r>
        <w:rPr>
          <w:rFonts w:ascii="宋体" w:hAnsi="宋体" w:eastAsia="宋体" w:cs="宋体"/>
          <w:b/>
          <w:bCs/>
          <w:spacing w:val="-4"/>
          <w:sz w:val="24"/>
          <w:szCs w:val="24"/>
          <w:highlight w:val="none"/>
        </w:rPr>
        <w:t>技术资料和保密义务</w:t>
      </w:r>
      <w:bookmarkEnd w:id="829"/>
    </w:p>
    <w:p w14:paraId="305F07CB">
      <w:pPr>
        <w:spacing w:before="274" w:line="326" w:lineRule="auto"/>
        <w:ind w:left="32" w:right="58" w:firstLine="451"/>
        <w:rPr>
          <w:rFonts w:ascii="宋体" w:hAnsi="宋体" w:eastAsia="宋体" w:cs="宋体"/>
          <w:sz w:val="24"/>
          <w:szCs w:val="24"/>
          <w:highlight w:val="none"/>
        </w:rPr>
      </w:pPr>
      <w:r>
        <w:rPr>
          <w:rFonts w:ascii="宋体" w:hAnsi="宋体" w:eastAsia="宋体" w:cs="宋体"/>
          <w:spacing w:val="-1"/>
          <w:sz w:val="24"/>
          <w:szCs w:val="24"/>
          <w:highlight w:val="none"/>
        </w:rPr>
        <w:t>2.7.1</w:t>
      </w:r>
      <w:r>
        <w:rPr>
          <w:rFonts w:ascii="宋体" w:hAnsi="宋体" w:eastAsia="宋体" w:cs="宋体"/>
          <w:spacing w:val="-25"/>
          <w:sz w:val="24"/>
          <w:szCs w:val="24"/>
          <w:highlight w:val="none"/>
        </w:rPr>
        <w:t xml:space="preserve"> </w:t>
      </w:r>
      <w:r>
        <w:rPr>
          <w:rFonts w:ascii="宋体" w:hAnsi="宋体" w:eastAsia="宋体" w:cs="宋体"/>
          <w:spacing w:val="-1"/>
          <w:sz w:val="24"/>
          <w:szCs w:val="24"/>
          <w:highlight w:val="none"/>
        </w:rPr>
        <w:t>乙方有权依据合同约定和项目需要，向甲方了解有关</w:t>
      </w:r>
      <w:r>
        <w:rPr>
          <w:rFonts w:ascii="宋体" w:hAnsi="宋体" w:eastAsia="宋体" w:cs="宋体"/>
          <w:spacing w:val="-2"/>
          <w:sz w:val="24"/>
          <w:szCs w:val="24"/>
          <w:highlight w:val="none"/>
        </w:rPr>
        <w:t>情况，调阅有关资料等，</w:t>
      </w:r>
      <w:r>
        <w:rPr>
          <w:rFonts w:ascii="宋体" w:hAnsi="宋体" w:eastAsia="宋体" w:cs="宋体"/>
          <w:sz w:val="24"/>
          <w:szCs w:val="24"/>
          <w:highlight w:val="none"/>
        </w:rPr>
        <w:t xml:space="preserve"> </w:t>
      </w:r>
      <w:r>
        <w:rPr>
          <w:rFonts w:ascii="宋体" w:hAnsi="宋体" w:eastAsia="宋体" w:cs="宋体"/>
          <w:spacing w:val="-5"/>
          <w:sz w:val="24"/>
          <w:szCs w:val="24"/>
          <w:highlight w:val="none"/>
        </w:rPr>
        <w:t>甲方应予积极配合；</w:t>
      </w:r>
    </w:p>
    <w:p w14:paraId="3CCC7AD8">
      <w:pPr>
        <w:spacing w:before="273" w:line="219" w:lineRule="auto"/>
        <w:ind w:left="484"/>
        <w:rPr>
          <w:rFonts w:ascii="宋体" w:hAnsi="宋体" w:eastAsia="宋体" w:cs="宋体"/>
          <w:sz w:val="24"/>
          <w:szCs w:val="24"/>
          <w:highlight w:val="none"/>
        </w:rPr>
      </w:pPr>
      <w:r>
        <w:rPr>
          <w:rFonts w:ascii="宋体" w:hAnsi="宋体" w:eastAsia="宋体" w:cs="宋体"/>
          <w:spacing w:val="-2"/>
          <w:sz w:val="24"/>
          <w:szCs w:val="24"/>
          <w:highlight w:val="none"/>
        </w:rPr>
        <w:t>2.7.2</w:t>
      </w:r>
      <w:r>
        <w:rPr>
          <w:rFonts w:ascii="宋体" w:hAnsi="宋体" w:eastAsia="宋体" w:cs="宋体"/>
          <w:spacing w:val="-10"/>
          <w:sz w:val="24"/>
          <w:szCs w:val="24"/>
          <w:highlight w:val="none"/>
        </w:rPr>
        <w:t xml:space="preserve"> </w:t>
      </w:r>
      <w:r>
        <w:rPr>
          <w:rFonts w:ascii="宋体" w:hAnsi="宋体" w:eastAsia="宋体" w:cs="宋体"/>
          <w:spacing w:val="-2"/>
          <w:sz w:val="24"/>
          <w:szCs w:val="24"/>
          <w:highlight w:val="none"/>
        </w:rPr>
        <w:t>乙方有义务妥善保管和保护由甲方提供的前款信息和资料等；</w:t>
      </w:r>
    </w:p>
    <w:p w14:paraId="7DACA684">
      <w:pPr>
        <w:spacing w:before="274" w:line="378" w:lineRule="auto"/>
        <w:ind w:left="1" w:firstLine="482"/>
        <w:rPr>
          <w:rFonts w:ascii="宋体" w:hAnsi="宋体" w:eastAsia="宋体" w:cs="宋体"/>
          <w:sz w:val="24"/>
          <w:szCs w:val="24"/>
          <w:highlight w:val="none"/>
        </w:rPr>
      </w:pPr>
      <w:r>
        <w:rPr>
          <w:rFonts w:ascii="宋体" w:hAnsi="宋体" w:eastAsia="宋体" w:cs="宋体"/>
          <w:sz w:val="24"/>
          <w:szCs w:val="24"/>
          <w:highlight w:val="none"/>
        </w:rPr>
        <w:t>2.7.3</w:t>
      </w:r>
      <w:r>
        <w:rPr>
          <w:rFonts w:ascii="宋体" w:hAnsi="宋体" w:eastAsia="宋体" w:cs="宋体"/>
          <w:spacing w:val="-16"/>
          <w:sz w:val="24"/>
          <w:szCs w:val="24"/>
          <w:highlight w:val="none"/>
        </w:rPr>
        <w:t xml:space="preserve"> </w:t>
      </w:r>
      <w:r>
        <w:rPr>
          <w:rFonts w:ascii="宋体" w:hAnsi="宋体" w:eastAsia="宋体" w:cs="宋体"/>
          <w:sz w:val="24"/>
          <w:szCs w:val="24"/>
          <w:highlight w:val="none"/>
        </w:rPr>
        <w:t xml:space="preserve">除非依照法律规定或者对方当事人的书面同意，任何一方均应保证不向任何第 </w:t>
      </w:r>
      <w:r>
        <w:rPr>
          <w:rFonts w:ascii="宋体" w:hAnsi="宋体" w:eastAsia="宋体" w:cs="宋体"/>
          <w:spacing w:val="6"/>
          <w:sz w:val="24"/>
          <w:szCs w:val="24"/>
          <w:highlight w:val="none"/>
        </w:rPr>
        <w:t>三方提供或披露有关合同的或者履行合同过程中知悉的对方当事人任何未公开</w:t>
      </w:r>
      <w:r>
        <w:rPr>
          <w:rFonts w:ascii="宋体" w:hAnsi="宋体" w:eastAsia="宋体" w:cs="宋体"/>
          <w:spacing w:val="5"/>
          <w:sz w:val="24"/>
          <w:szCs w:val="24"/>
          <w:highlight w:val="none"/>
        </w:rPr>
        <w:t>的信息和</w:t>
      </w:r>
      <w:r>
        <w:rPr>
          <w:rFonts w:ascii="宋体" w:hAnsi="宋体" w:eastAsia="宋体" w:cs="宋体"/>
          <w:sz w:val="24"/>
          <w:szCs w:val="24"/>
          <w:highlight w:val="none"/>
        </w:rPr>
        <w:t xml:space="preserve"> 资料，包括但不限于技术情报、技术资料、商业秘密和商业</w:t>
      </w:r>
      <w:r>
        <w:rPr>
          <w:rFonts w:ascii="宋体" w:hAnsi="宋体" w:eastAsia="宋体" w:cs="宋体"/>
          <w:spacing w:val="-1"/>
          <w:sz w:val="24"/>
          <w:szCs w:val="24"/>
          <w:highlight w:val="none"/>
        </w:rPr>
        <w:t>信息等，并采取一切合理和必</w:t>
      </w:r>
      <w:r>
        <w:rPr>
          <w:rFonts w:ascii="宋体" w:hAnsi="宋体" w:eastAsia="宋体" w:cs="宋体"/>
          <w:sz w:val="24"/>
          <w:szCs w:val="24"/>
          <w:highlight w:val="none"/>
        </w:rPr>
        <w:t xml:space="preserve"> 要措施和方式防止任何第三方接触到对方当事人</w:t>
      </w:r>
      <w:r>
        <w:rPr>
          <w:rFonts w:ascii="宋体" w:hAnsi="宋体" w:eastAsia="宋体" w:cs="宋体"/>
          <w:spacing w:val="-1"/>
          <w:sz w:val="24"/>
          <w:szCs w:val="24"/>
          <w:highlight w:val="none"/>
        </w:rPr>
        <w:t>的上述保密信息和资料。</w:t>
      </w:r>
    </w:p>
    <w:p w14:paraId="73265E73">
      <w:pPr>
        <w:spacing w:before="78" w:line="220" w:lineRule="auto"/>
        <w:ind w:left="484"/>
        <w:outlineLvl w:val="0"/>
        <w:rPr>
          <w:rFonts w:ascii="宋体" w:hAnsi="宋体" w:eastAsia="宋体" w:cs="宋体"/>
          <w:sz w:val="24"/>
          <w:szCs w:val="24"/>
          <w:highlight w:val="none"/>
        </w:rPr>
      </w:pPr>
      <w:bookmarkStart w:id="830" w:name="_Toc14074"/>
      <w:r>
        <w:rPr>
          <w:rFonts w:ascii="宋体" w:hAnsi="宋体" w:eastAsia="宋体" w:cs="宋体"/>
          <w:b/>
          <w:bCs/>
          <w:spacing w:val="-6"/>
          <w:sz w:val="24"/>
          <w:szCs w:val="24"/>
          <w:highlight w:val="none"/>
        </w:rPr>
        <w:t>2.8</w:t>
      </w:r>
      <w:r>
        <w:rPr>
          <w:rFonts w:ascii="宋体" w:hAnsi="宋体" w:eastAsia="宋体" w:cs="宋体"/>
          <w:spacing w:val="-45"/>
          <w:sz w:val="24"/>
          <w:szCs w:val="24"/>
          <w:highlight w:val="none"/>
        </w:rPr>
        <w:t xml:space="preserve"> </w:t>
      </w:r>
      <w:r>
        <w:rPr>
          <w:rFonts w:ascii="宋体" w:hAnsi="宋体" w:eastAsia="宋体" w:cs="宋体"/>
          <w:b/>
          <w:bCs/>
          <w:spacing w:val="-6"/>
          <w:sz w:val="24"/>
          <w:szCs w:val="24"/>
          <w:highlight w:val="none"/>
        </w:rPr>
        <w:t>质量保证</w:t>
      </w:r>
      <w:bookmarkEnd w:id="830"/>
    </w:p>
    <w:p w14:paraId="792FD7F6">
      <w:pPr>
        <w:spacing w:before="272" w:line="325" w:lineRule="auto"/>
        <w:ind w:left="32" w:right="61" w:firstLine="451"/>
        <w:rPr>
          <w:rFonts w:ascii="宋体" w:hAnsi="宋体" w:eastAsia="宋体" w:cs="宋体"/>
          <w:sz w:val="24"/>
          <w:szCs w:val="24"/>
          <w:highlight w:val="none"/>
        </w:rPr>
      </w:pPr>
      <w:r>
        <w:rPr>
          <w:rFonts w:ascii="宋体" w:hAnsi="宋体" w:eastAsia="宋体" w:cs="宋体"/>
          <w:sz w:val="24"/>
          <w:szCs w:val="24"/>
          <w:highlight w:val="none"/>
        </w:rPr>
        <w:t>2.8.1</w:t>
      </w:r>
      <w:r>
        <w:rPr>
          <w:rFonts w:ascii="宋体" w:hAnsi="宋体" w:eastAsia="宋体" w:cs="宋体"/>
          <w:spacing w:val="-16"/>
          <w:sz w:val="24"/>
          <w:szCs w:val="24"/>
          <w:highlight w:val="none"/>
        </w:rPr>
        <w:t xml:space="preserve"> </w:t>
      </w:r>
      <w:r>
        <w:rPr>
          <w:rFonts w:ascii="宋体" w:hAnsi="宋体" w:eastAsia="宋体" w:cs="宋体"/>
          <w:sz w:val="24"/>
          <w:szCs w:val="24"/>
          <w:highlight w:val="none"/>
        </w:rPr>
        <w:t xml:space="preserve">乙方应建立和完善履行合同的内部质量保证体系，并提供相关内部规章制度给 </w:t>
      </w:r>
      <w:r>
        <w:rPr>
          <w:rFonts w:ascii="宋体" w:hAnsi="宋体" w:eastAsia="宋体" w:cs="宋体"/>
          <w:spacing w:val="-3"/>
          <w:sz w:val="24"/>
          <w:szCs w:val="24"/>
          <w:highlight w:val="none"/>
        </w:rPr>
        <w:t>甲方，以便甲方进行监督检查；</w:t>
      </w:r>
    </w:p>
    <w:p w14:paraId="49D37C7A">
      <w:pPr>
        <w:spacing w:before="275" w:line="325" w:lineRule="auto"/>
        <w:ind w:left="2" w:right="61" w:firstLine="481"/>
        <w:rPr>
          <w:rFonts w:ascii="宋体" w:hAnsi="宋体" w:eastAsia="宋体" w:cs="宋体"/>
          <w:sz w:val="24"/>
          <w:szCs w:val="24"/>
          <w:highlight w:val="none"/>
        </w:rPr>
      </w:pPr>
      <w:r>
        <w:rPr>
          <w:rFonts w:ascii="宋体" w:hAnsi="宋体" w:eastAsia="宋体" w:cs="宋体"/>
          <w:sz w:val="24"/>
          <w:szCs w:val="24"/>
          <w:highlight w:val="none"/>
        </w:rPr>
        <w:t>2.8.2</w:t>
      </w:r>
      <w:r>
        <w:rPr>
          <w:rFonts w:ascii="宋体" w:hAnsi="宋体" w:eastAsia="宋体" w:cs="宋体"/>
          <w:spacing w:val="-16"/>
          <w:sz w:val="24"/>
          <w:szCs w:val="24"/>
          <w:highlight w:val="none"/>
        </w:rPr>
        <w:t xml:space="preserve"> </w:t>
      </w:r>
      <w:r>
        <w:rPr>
          <w:rFonts w:ascii="宋体" w:hAnsi="宋体" w:eastAsia="宋体" w:cs="宋体"/>
          <w:sz w:val="24"/>
          <w:szCs w:val="24"/>
          <w:highlight w:val="none"/>
        </w:rPr>
        <w:t xml:space="preserve">乙方应保证履行合同的人员数量和素质、软件和硬件设备的配置、场地、环境 </w:t>
      </w:r>
      <w:r>
        <w:rPr>
          <w:rFonts w:ascii="宋体" w:hAnsi="宋体" w:eastAsia="宋体" w:cs="宋体"/>
          <w:spacing w:val="-1"/>
          <w:sz w:val="24"/>
          <w:szCs w:val="24"/>
          <w:highlight w:val="none"/>
        </w:rPr>
        <w:t>和设施等满足全面履行合同的要求，并应接受甲方的监督检查。</w:t>
      </w:r>
    </w:p>
    <w:p w14:paraId="21533FF1">
      <w:pPr>
        <w:spacing w:before="273" w:line="219" w:lineRule="auto"/>
        <w:ind w:left="484"/>
        <w:outlineLvl w:val="0"/>
        <w:rPr>
          <w:rFonts w:ascii="宋体" w:hAnsi="宋体" w:eastAsia="宋体" w:cs="宋体"/>
          <w:sz w:val="24"/>
          <w:szCs w:val="24"/>
          <w:highlight w:val="none"/>
        </w:rPr>
      </w:pPr>
      <w:bookmarkStart w:id="831" w:name="_Toc17068"/>
      <w:r>
        <w:rPr>
          <w:rFonts w:ascii="宋体" w:hAnsi="宋体" w:eastAsia="宋体" w:cs="宋体"/>
          <w:b/>
          <w:bCs/>
          <w:spacing w:val="-5"/>
          <w:sz w:val="24"/>
          <w:szCs w:val="24"/>
          <w:highlight w:val="none"/>
        </w:rPr>
        <w:t>2.9</w:t>
      </w:r>
      <w:r>
        <w:rPr>
          <w:rFonts w:ascii="宋体" w:hAnsi="宋体" w:eastAsia="宋体" w:cs="宋体"/>
          <w:spacing w:val="-42"/>
          <w:sz w:val="24"/>
          <w:szCs w:val="24"/>
          <w:highlight w:val="none"/>
        </w:rPr>
        <w:t xml:space="preserve"> </w:t>
      </w:r>
      <w:r>
        <w:rPr>
          <w:rFonts w:ascii="宋体" w:hAnsi="宋体" w:eastAsia="宋体" w:cs="宋体"/>
          <w:b/>
          <w:bCs/>
          <w:spacing w:val="-5"/>
          <w:sz w:val="24"/>
          <w:szCs w:val="24"/>
          <w:highlight w:val="none"/>
        </w:rPr>
        <w:t>货物的风险负担</w:t>
      </w:r>
      <w:bookmarkEnd w:id="831"/>
    </w:p>
    <w:p w14:paraId="27419021">
      <w:pPr>
        <w:spacing w:before="277" w:line="413" w:lineRule="auto"/>
        <w:ind w:left="29" w:right="31" w:firstLine="458"/>
        <w:rPr>
          <w:rFonts w:ascii="宋体" w:hAnsi="宋体" w:eastAsia="宋体" w:cs="宋体"/>
          <w:sz w:val="24"/>
          <w:szCs w:val="24"/>
          <w:highlight w:val="none"/>
        </w:rPr>
      </w:pPr>
      <w:r>
        <w:rPr>
          <w:rFonts w:ascii="宋体" w:hAnsi="宋体" w:eastAsia="宋体" w:cs="宋体"/>
          <w:spacing w:val="-1"/>
          <w:sz w:val="24"/>
          <w:szCs w:val="24"/>
          <w:highlight w:val="none"/>
        </w:rPr>
        <w:t>货物或者在途货物或者交付给第一承运人后的货物毁损、灭失的风险负担详见</w:t>
      </w:r>
      <w:r>
        <w:rPr>
          <w:rFonts w:ascii="宋体" w:hAnsi="宋体" w:eastAsia="宋体" w:cs="宋体"/>
          <w:i/>
          <w:iCs/>
          <w:spacing w:val="-1"/>
          <w:sz w:val="25"/>
          <w:szCs w:val="25"/>
          <w:highlight w:val="none"/>
          <w:u w:val="single" w:color="auto"/>
        </w:rPr>
        <w:t>合同专</w:t>
      </w:r>
      <w:r>
        <w:rPr>
          <w:rFonts w:ascii="宋体" w:hAnsi="宋体" w:eastAsia="宋体" w:cs="宋体"/>
          <w:spacing w:val="18"/>
          <w:sz w:val="25"/>
          <w:szCs w:val="25"/>
          <w:highlight w:val="none"/>
        </w:rPr>
        <w:t xml:space="preserve"> </w:t>
      </w:r>
      <w:r>
        <w:rPr>
          <w:rFonts w:ascii="宋体" w:hAnsi="宋体" w:eastAsia="宋体" w:cs="宋体"/>
          <w:i/>
          <w:iCs/>
          <w:spacing w:val="-10"/>
          <w:sz w:val="25"/>
          <w:szCs w:val="25"/>
          <w:highlight w:val="none"/>
          <w:u w:val="single" w:color="auto"/>
        </w:rPr>
        <w:t>用条款</w:t>
      </w:r>
      <w:r>
        <w:rPr>
          <w:rFonts w:ascii="宋体" w:hAnsi="宋体" w:eastAsia="宋体" w:cs="宋体"/>
          <w:spacing w:val="-10"/>
          <w:sz w:val="24"/>
          <w:szCs w:val="24"/>
          <w:highlight w:val="none"/>
        </w:rPr>
        <w:t>。</w:t>
      </w:r>
    </w:p>
    <w:p w14:paraId="10B365D4">
      <w:pPr>
        <w:spacing w:before="1" w:line="218" w:lineRule="auto"/>
        <w:ind w:left="484"/>
        <w:outlineLvl w:val="0"/>
        <w:rPr>
          <w:rFonts w:ascii="宋体" w:hAnsi="宋体" w:eastAsia="宋体" w:cs="宋体"/>
          <w:sz w:val="24"/>
          <w:szCs w:val="24"/>
          <w:highlight w:val="none"/>
        </w:rPr>
      </w:pPr>
      <w:bookmarkStart w:id="832" w:name="_Toc10049"/>
      <w:r>
        <w:rPr>
          <w:rFonts w:ascii="宋体" w:hAnsi="宋体" w:eastAsia="宋体" w:cs="宋体"/>
          <w:b/>
          <w:bCs/>
          <w:spacing w:val="-5"/>
          <w:sz w:val="24"/>
          <w:szCs w:val="24"/>
          <w:highlight w:val="none"/>
        </w:rPr>
        <w:t>2.10</w:t>
      </w:r>
      <w:r>
        <w:rPr>
          <w:rFonts w:ascii="宋体" w:hAnsi="宋体" w:eastAsia="宋体" w:cs="宋体"/>
          <w:spacing w:val="-47"/>
          <w:sz w:val="24"/>
          <w:szCs w:val="24"/>
          <w:highlight w:val="none"/>
        </w:rPr>
        <w:t xml:space="preserve"> </w:t>
      </w:r>
      <w:r>
        <w:rPr>
          <w:rFonts w:ascii="宋体" w:hAnsi="宋体" w:eastAsia="宋体" w:cs="宋体"/>
          <w:b/>
          <w:bCs/>
          <w:spacing w:val="-5"/>
          <w:sz w:val="24"/>
          <w:szCs w:val="24"/>
          <w:highlight w:val="none"/>
        </w:rPr>
        <w:t>延迟交货</w:t>
      </w:r>
      <w:bookmarkEnd w:id="832"/>
    </w:p>
    <w:p w14:paraId="4A70A8EB">
      <w:pPr>
        <w:spacing w:before="277" w:line="431" w:lineRule="auto"/>
        <w:ind w:left="11" w:right="61" w:firstLine="469"/>
        <w:jc w:val="both"/>
        <w:rPr>
          <w:rFonts w:ascii="宋体" w:hAnsi="宋体" w:eastAsia="宋体" w:cs="宋体"/>
          <w:sz w:val="24"/>
          <w:szCs w:val="24"/>
          <w:highlight w:val="none"/>
        </w:rPr>
      </w:pPr>
      <w:r>
        <w:rPr>
          <w:rFonts w:ascii="宋体" w:hAnsi="宋体" w:eastAsia="宋体" w:cs="宋体"/>
          <w:sz w:val="24"/>
          <w:szCs w:val="24"/>
          <w:highlight w:val="none"/>
        </w:rPr>
        <w:t>在合同履行过程中，如果乙方遇到不能按时交付货物的情</w:t>
      </w:r>
      <w:r>
        <w:rPr>
          <w:rFonts w:ascii="宋体" w:hAnsi="宋体" w:eastAsia="宋体" w:cs="宋体"/>
          <w:spacing w:val="-1"/>
          <w:sz w:val="24"/>
          <w:szCs w:val="24"/>
          <w:highlight w:val="none"/>
        </w:rPr>
        <w:t>况，应及时以书面形式将不</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能按时交付货物的理由、预期延误时间通知甲方；甲方收到乙方通知后，认为其理由正当</w:t>
      </w:r>
      <w:r>
        <w:rPr>
          <w:rFonts w:ascii="宋体" w:hAnsi="宋体" w:eastAsia="宋体" w:cs="宋体"/>
          <w:spacing w:val="16"/>
          <w:sz w:val="24"/>
          <w:szCs w:val="24"/>
          <w:highlight w:val="none"/>
        </w:rPr>
        <w:t xml:space="preserve"> </w:t>
      </w:r>
      <w:r>
        <w:rPr>
          <w:rFonts w:ascii="宋体" w:hAnsi="宋体" w:eastAsia="宋体" w:cs="宋体"/>
          <w:spacing w:val="-1"/>
          <w:sz w:val="24"/>
          <w:szCs w:val="24"/>
          <w:highlight w:val="none"/>
        </w:rPr>
        <w:t>的，可以书面形式酌情同意乙方可以延长交货的具体时间。</w:t>
      </w:r>
    </w:p>
    <w:p w14:paraId="4504B16A">
      <w:pPr>
        <w:spacing w:before="1" w:line="220" w:lineRule="auto"/>
        <w:ind w:left="484"/>
        <w:outlineLvl w:val="0"/>
        <w:rPr>
          <w:rFonts w:ascii="宋体" w:hAnsi="宋体" w:eastAsia="宋体" w:cs="宋体"/>
          <w:sz w:val="24"/>
          <w:szCs w:val="24"/>
          <w:highlight w:val="none"/>
        </w:rPr>
      </w:pPr>
      <w:bookmarkStart w:id="833" w:name="_Toc28787"/>
      <w:r>
        <w:rPr>
          <w:rFonts w:ascii="宋体" w:hAnsi="宋体" w:eastAsia="宋体" w:cs="宋体"/>
          <w:b/>
          <w:bCs/>
          <w:spacing w:val="-5"/>
          <w:sz w:val="24"/>
          <w:szCs w:val="24"/>
          <w:highlight w:val="none"/>
        </w:rPr>
        <w:t>2.11</w:t>
      </w:r>
      <w:r>
        <w:rPr>
          <w:rFonts w:ascii="宋体" w:hAnsi="宋体" w:eastAsia="宋体" w:cs="宋体"/>
          <w:spacing w:val="-47"/>
          <w:sz w:val="24"/>
          <w:szCs w:val="24"/>
          <w:highlight w:val="none"/>
        </w:rPr>
        <w:t xml:space="preserve"> </w:t>
      </w:r>
      <w:r>
        <w:rPr>
          <w:rFonts w:ascii="宋体" w:hAnsi="宋体" w:eastAsia="宋体" w:cs="宋体"/>
          <w:b/>
          <w:bCs/>
          <w:spacing w:val="-5"/>
          <w:sz w:val="24"/>
          <w:szCs w:val="24"/>
          <w:highlight w:val="none"/>
        </w:rPr>
        <w:t>合同变更</w:t>
      </w:r>
      <w:bookmarkEnd w:id="833"/>
    </w:p>
    <w:p w14:paraId="2CCC6F11">
      <w:pPr>
        <w:spacing w:before="271" w:line="431" w:lineRule="auto"/>
        <w:ind w:right="61" w:firstLine="484"/>
        <w:jc w:val="both"/>
        <w:rPr>
          <w:rFonts w:ascii="宋体" w:hAnsi="宋体" w:eastAsia="宋体" w:cs="宋体"/>
          <w:sz w:val="24"/>
          <w:szCs w:val="24"/>
          <w:highlight w:val="none"/>
        </w:rPr>
      </w:pPr>
      <w:r>
        <w:rPr>
          <w:rFonts w:ascii="宋体" w:hAnsi="宋体" w:eastAsia="宋体" w:cs="宋体"/>
          <w:spacing w:val="-2"/>
          <w:sz w:val="24"/>
          <w:szCs w:val="24"/>
          <w:highlight w:val="none"/>
        </w:rPr>
        <w:t>2.11.1</w:t>
      </w:r>
      <w:r>
        <w:rPr>
          <w:rFonts w:ascii="宋体" w:hAnsi="宋体" w:eastAsia="宋体" w:cs="宋体"/>
          <w:spacing w:val="-50"/>
          <w:sz w:val="24"/>
          <w:szCs w:val="24"/>
          <w:highlight w:val="none"/>
        </w:rPr>
        <w:t xml:space="preserve"> </w:t>
      </w:r>
      <w:r>
        <w:rPr>
          <w:rFonts w:ascii="宋体" w:hAnsi="宋体" w:eastAsia="宋体" w:cs="宋体"/>
          <w:spacing w:val="-2"/>
          <w:sz w:val="24"/>
          <w:szCs w:val="24"/>
          <w:highlight w:val="none"/>
        </w:rPr>
        <w:t>双方当事人协商一致，可以签订书面补充合同的形式变更合同，</w:t>
      </w:r>
      <w:r>
        <w:rPr>
          <w:rFonts w:ascii="宋体" w:hAnsi="宋体" w:eastAsia="宋体" w:cs="宋体"/>
          <w:spacing w:val="-3"/>
          <w:sz w:val="24"/>
          <w:szCs w:val="24"/>
          <w:highlight w:val="none"/>
        </w:rPr>
        <w:t>但不得违背采</w:t>
      </w:r>
      <w:r>
        <w:rPr>
          <w:rFonts w:ascii="宋体" w:hAnsi="宋体" w:eastAsia="宋体" w:cs="宋体"/>
          <w:sz w:val="24"/>
          <w:szCs w:val="24"/>
          <w:highlight w:val="none"/>
        </w:rPr>
        <w:t xml:space="preserve"> 购文件确定的事项，且如果系追加与合同标的相同的货物的，那</w:t>
      </w:r>
      <w:r>
        <w:rPr>
          <w:rFonts w:ascii="宋体" w:hAnsi="宋体" w:eastAsia="宋体" w:cs="宋体"/>
          <w:spacing w:val="-1"/>
          <w:sz w:val="24"/>
          <w:szCs w:val="24"/>
          <w:highlight w:val="none"/>
        </w:rPr>
        <w:t>么所有补充合同的采购金</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额不得超过原合同价的</w:t>
      </w:r>
      <w:r>
        <w:rPr>
          <w:rFonts w:ascii="宋体" w:hAnsi="宋体" w:eastAsia="宋体" w:cs="宋体"/>
          <w:spacing w:val="-27"/>
          <w:sz w:val="24"/>
          <w:szCs w:val="24"/>
          <w:highlight w:val="none"/>
        </w:rPr>
        <w:t xml:space="preserve"> </w:t>
      </w:r>
      <w:r>
        <w:rPr>
          <w:rFonts w:ascii="宋体" w:hAnsi="宋体" w:eastAsia="宋体" w:cs="宋体"/>
          <w:spacing w:val="-3"/>
          <w:sz w:val="24"/>
          <w:szCs w:val="24"/>
          <w:highlight w:val="none"/>
        </w:rPr>
        <w:t>10%；</w:t>
      </w:r>
    </w:p>
    <w:p w14:paraId="159DB102">
      <w:pPr>
        <w:spacing w:before="3" w:line="430" w:lineRule="auto"/>
        <w:ind w:right="61" w:firstLine="483"/>
        <w:jc w:val="both"/>
        <w:rPr>
          <w:rFonts w:ascii="宋体" w:hAnsi="宋体" w:eastAsia="宋体" w:cs="宋体"/>
          <w:sz w:val="24"/>
          <w:szCs w:val="24"/>
          <w:highlight w:val="none"/>
        </w:rPr>
      </w:pPr>
      <w:r>
        <w:rPr>
          <w:rFonts w:ascii="宋体" w:hAnsi="宋体" w:eastAsia="宋体" w:cs="宋体"/>
          <w:spacing w:val="-2"/>
          <w:sz w:val="24"/>
          <w:szCs w:val="24"/>
          <w:highlight w:val="none"/>
        </w:rPr>
        <w:t>2.11.2</w:t>
      </w:r>
      <w:r>
        <w:rPr>
          <w:rFonts w:ascii="宋体" w:hAnsi="宋体" w:eastAsia="宋体" w:cs="宋体"/>
          <w:spacing w:val="-50"/>
          <w:sz w:val="24"/>
          <w:szCs w:val="24"/>
          <w:highlight w:val="none"/>
        </w:rPr>
        <w:t xml:space="preserve"> </w:t>
      </w:r>
      <w:r>
        <w:rPr>
          <w:rFonts w:ascii="宋体" w:hAnsi="宋体" w:eastAsia="宋体" w:cs="宋体"/>
          <w:spacing w:val="-2"/>
          <w:sz w:val="24"/>
          <w:szCs w:val="24"/>
          <w:highlight w:val="none"/>
        </w:rPr>
        <w:t>合同继续履行将损害国家利益和社会公共利益的，双方当事人应</w:t>
      </w:r>
      <w:r>
        <w:rPr>
          <w:rFonts w:ascii="宋体" w:hAnsi="宋体" w:eastAsia="宋体" w:cs="宋体"/>
          <w:spacing w:val="-3"/>
          <w:sz w:val="24"/>
          <w:szCs w:val="24"/>
          <w:highlight w:val="none"/>
        </w:rPr>
        <w:t>当以书面形式</w:t>
      </w:r>
      <w:r>
        <w:rPr>
          <w:rFonts w:ascii="宋体" w:hAnsi="宋体" w:eastAsia="宋体" w:cs="宋体"/>
          <w:sz w:val="24"/>
          <w:szCs w:val="24"/>
          <w:highlight w:val="none"/>
        </w:rPr>
        <w:t xml:space="preserve"> 变更合同。有过错的一方应当承担赔偿责任，双方当事人都有</w:t>
      </w:r>
      <w:r>
        <w:rPr>
          <w:rFonts w:ascii="宋体" w:hAnsi="宋体" w:eastAsia="宋体" w:cs="宋体"/>
          <w:spacing w:val="-1"/>
          <w:sz w:val="24"/>
          <w:szCs w:val="24"/>
          <w:highlight w:val="none"/>
        </w:rPr>
        <w:t>过错的，各自承担相应的责</w:t>
      </w:r>
      <w:r>
        <w:rPr>
          <w:rFonts w:ascii="宋体" w:hAnsi="宋体" w:eastAsia="宋体" w:cs="宋体"/>
          <w:sz w:val="24"/>
          <w:szCs w:val="24"/>
          <w:highlight w:val="none"/>
        </w:rPr>
        <w:t xml:space="preserve"> </w:t>
      </w:r>
      <w:r>
        <w:rPr>
          <w:rFonts w:ascii="宋体" w:hAnsi="宋体" w:eastAsia="宋体" w:cs="宋体"/>
          <w:spacing w:val="-5"/>
          <w:sz w:val="24"/>
          <w:szCs w:val="24"/>
          <w:highlight w:val="none"/>
        </w:rPr>
        <w:t>任。</w:t>
      </w:r>
    </w:p>
    <w:p w14:paraId="0A61A369">
      <w:pPr>
        <w:spacing w:line="220" w:lineRule="auto"/>
        <w:ind w:left="484"/>
        <w:outlineLvl w:val="0"/>
        <w:rPr>
          <w:rFonts w:ascii="宋体" w:hAnsi="宋体" w:eastAsia="宋体" w:cs="宋体"/>
          <w:sz w:val="24"/>
          <w:szCs w:val="24"/>
          <w:highlight w:val="none"/>
        </w:rPr>
      </w:pPr>
      <w:bookmarkStart w:id="834" w:name="_Toc17981"/>
      <w:r>
        <w:rPr>
          <w:rFonts w:ascii="宋体" w:hAnsi="宋体" w:eastAsia="宋体" w:cs="宋体"/>
          <w:b/>
          <w:bCs/>
          <w:spacing w:val="-4"/>
          <w:sz w:val="24"/>
          <w:szCs w:val="24"/>
          <w:highlight w:val="none"/>
        </w:rPr>
        <w:t>2.12</w:t>
      </w:r>
      <w:r>
        <w:rPr>
          <w:rFonts w:ascii="宋体" w:hAnsi="宋体" w:eastAsia="宋体" w:cs="宋体"/>
          <w:spacing w:val="-48"/>
          <w:sz w:val="24"/>
          <w:szCs w:val="24"/>
          <w:highlight w:val="none"/>
        </w:rPr>
        <w:t xml:space="preserve"> </w:t>
      </w:r>
      <w:r>
        <w:rPr>
          <w:rFonts w:ascii="宋体" w:hAnsi="宋体" w:eastAsia="宋体" w:cs="宋体"/>
          <w:b/>
          <w:bCs/>
          <w:spacing w:val="-4"/>
          <w:sz w:val="24"/>
          <w:szCs w:val="24"/>
          <w:highlight w:val="none"/>
        </w:rPr>
        <w:t>合同转让和分包</w:t>
      </w:r>
      <w:bookmarkEnd w:id="834"/>
    </w:p>
    <w:p w14:paraId="063207C0">
      <w:pPr>
        <w:spacing w:before="272" w:line="432" w:lineRule="auto"/>
        <w:ind w:left="1" w:firstLine="480"/>
        <w:jc w:val="both"/>
        <w:rPr>
          <w:rFonts w:ascii="宋体" w:hAnsi="宋体" w:eastAsia="宋体" w:cs="宋体"/>
          <w:sz w:val="24"/>
          <w:szCs w:val="24"/>
          <w:highlight w:val="none"/>
        </w:rPr>
      </w:pPr>
      <w:r>
        <w:rPr>
          <w:rFonts w:ascii="宋体" w:hAnsi="宋体" w:eastAsia="宋体" w:cs="宋体"/>
          <w:spacing w:val="-5"/>
          <w:sz w:val="24"/>
          <w:szCs w:val="24"/>
          <w:highlight w:val="none"/>
        </w:rPr>
        <w:t>合同的权利义务依法不得转让，但经甲方同意，乙方可以依法采取分包方式履行</w:t>
      </w:r>
      <w:r>
        <w:rPr>
          <w:rFonts w:ascii="宋体" w:hAnsi="宋体" w:eastAsia="宋体" w:cs="宋体"/>
          <w:spacing w:val="-6"/>
          <w:sz w:val="24"/>
          <w:szCs w:val="24"/>
          <w:highlight w:val="none"/>
        </w:rPr>
        <w:t>合同，</w:t>
      </w:r>
      <w:r>
        <w:rPr>
          <w:rFonts w:ascii="宋体" w:hAnsi="宋体" w:eastAsia="宋体" w:cs="宋体"/>
          <w:sz w:val="24"/>
          <w:szCs w:val="24"/>
          <w:highlight w:val="none"/>
        </w:rPr>
        <w:t xml:space="preserve"> 即：依法可以将合同项下的部分非主体、非关键性工作分包</w:t>
      </w:r>
      <w:r>
        <w:rPr>
          <w:rFonts w:ascii="宋体" w:hAnsi="宋体" w:eastAsia="宋体" w:cs="宋体"/>
          <w:spacing w:val="-1"/>
          <w:sz w:val="24"/>
          <w:szCs w:val="24"/>
          <w:highlight w:val="none"/>
        </w:rPr>
        <w:t>给他人完成，接受分包的人应</w:t>
      </w:r>
      <w:r>
        <w:rPr>
          <w:rFonts w:ascii="宋体" w:hAnsi="宋体" w:eastAsia="宋体" w:cs="宋体"/>
          <w:sz w:val="24"/>
          <w:szCs w:val="24"/>
          <w:highlight w:val="none"/>
        </w:rPr>
        <w:t xml:space="preserve"> 当具备相应的资格条件，并不得再次分包，且乙方应就分包</w:t>
      </w:r>
      <w:r>
        <w:rPr>
          <w:rFonts w:ascii="宋体" w:hAnsi="宋体" w:eastAsia="宋体" w:cs="宋体"/>
          <w:spacing w:val="-1"/>
          <w:sz w:val="24"/>
          <w:szCs w:val="24"/>
          <w:highlight w:val="none"/>
        </w:rPr>
        <w:t>项目向甲方负责，并与分包供</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应商就分包项目向甲方承担连带责任。</w:t>
      </w:r>
    </w:p>
    <w:p w14:paraId="59908C6F">
      <w:pPr>
        <w:spacing w:line="432" w:lineRule="auto"/>
        <w:rPr>
          <w:rFonts w:ascii="宋体" w:hAnsi="宋体" w:eastAsia="宋体" w:cs="宋体"/>
          <w:sz w:val="24"/>
          <w:szCs w:val="24"/>
          <w:highlight w:val="none"/>
        </w:rPr>
        <w:sectPr>
          <w:footerReference r:id="rId21" w:type="default"/>
          <w:pgSz w:w="11907" w:h="16840"/>
          <w:pgMar w:top="400" w:right="1071" w:bottom="1290" w:left="1423" w:header="0" w:footer="1056" w:gutter="0"/>
          <w:pgNumType w:fmt="decimal"/>
          <w:cols w:space="720" w:num="1"/>
        </w:sectPr>
      </w:pPr>
    </w:p>
    <w:p w14:paraId="36655DE6">
      <w:pPr>
        <w:pStyle w:val="7"/>
        <w:spacing w:line="246" w:lineRule="auto"/>
        <w:rPr>
          <w:highlight w:val="none"/>
        </w:rPr>
      </w:pPr>
    </w:p>
    <w:p w14:paraId="7D3E801A">
      <w:pPr>
        <w:pStyle w:val="7"/>
        <w:spacing w:line="246" w:lineRule="auto"/>
        <w:rPr>
          <w:highlight w:val="none"/>
        </w:rPr>
      </w:pPr>
    </w:p>
    <w:p w14:paraId="1B2778B0">
      <w:pPr>
        <w:pStyle w:val="7"/>
        <w:spacing w:line="246" w:lineRule="auto"/>
        <w:rPr>
          <w:highlight w:val="none"/>
        </w:rPr>
      </w:pPr>
    </w:p>
    <w:p w14:paraId="1B22D63E">
      <w:pPr>
        <w:pStyle w:val="7"/>
        <w:spacing w:line="247" w:lineRule="auto"/>
        <w:rPr>
          <w:highlight w:val="none"/>
        </w:rPr>
      </w:pPr>
    </w:p>
    <w:p w14:paraId="3C2F9171">
      <w:pPr>
        <w:pStyle w:val="7"/>
        <w:spacing w:line="247" w:lineRule="auto"/>
        <w:rPr>
          <w:highlight w:val="none"/>
        </w:rPr>
      </w:pPr>
    </w:p>
    <w:p w14:paraId="73E8036E">
      <w:pPr>
        <w:spacing w:before="78" w:line="219" w:lineRule="auto"/>
        <w:ind w:left="483"/>
        <w:outlineLvl w:val="0"/>
        <w:rPr>
          <w:rFonts w:ascii="宋体" w:hAnsi="宋体" w:eastAsia="宋体" w:cs="宋体"/>
          <w:sz w:val="24"/>
          <w:szCs w:val="24"/>
          <w:highlight w:val="none"/>
        </w:rPr>
      </w:pPr>
      <w:bookmarkStart w:id="835" w:name="_Toc11822"/>
      <w:r>
        <w:rPr>
          <w:rFonts w:ascii="宋体" w:hAnsi="宋体" w:eastAsia="宋体" w:cs="宋体"/>
          <w:b/>
          <w:bCs/>
          <w:spacing w:val="-5"/>
          <w:sz w:val="24"/>
          <w:szCs w:val="24"/>
          <w:highlight w:val="none"/>
        </w:rPr>
        <w:t>2.13</w:t>
      </w:r>
      <w:r>
        <w:rPr>
          <w:rFonts w:ascii="宋体" w:hAnsi="宋体" w:eastAsia="宋体" w:cs="宋体"/>
          <w:spacing w:val="-47"/>
          <w:sz w:val="24"/>
          <w:szCs w:val="24"/>
          <w:highlight w:val="none"/>
        </w:rPr>
        <w:t xml:space="preserve"> </w:t>
      </w:r>
      <w:r>
        <w:rPr>
          <w:rFonts w:ascii="宋体" w:hAnsi="宋体" w:eastAsia="宋体" w:cs="宋体"/>
          <w:b/>
          <w:bCs/>
          <w:spacing w:val="-5"/>
          <w:sz w:val="24"/>
          <w:szCs w:val="24"/>
          <w:highlight w:val="none"/>
        </w:rPr>
        <w:t>不可抗力</w:t>
      </w:r>
      <w:bookmarkEnd w:id="835"/>
    </w:p>
    <w:p w14:paraId="2028E431">
      <w:pPr>
        <w:spacing w:before="273" w:line="325" w:lineRule="auto"/>
        <w:ind w:left="17" w:right="80" w:firstLine="466"/>
        <w:rPr>
          <w:rFonts w:ascii="宋体" w:hAnsi="宋体" w:eastAsia="宋体" w:cs="宋体"/>
          <w:sz w:val="24"/>
          <w:szCs w:val="24"/>
          <w:highlight w:val="none"/>
        </w:rPr>
      </w:pPr>
      <w:r>
        <w:rPr>
          <w:rFonts w:ascii="宋体" w:hAnsi="宋体" w:eastAsia="宋体" w:cs="宋体"/>
          <w:spacing w:val="-2"/>
          <w:sz w:val="24"/>
          <w:szCs w:val="24"/>
          <w:highlight w:val="none"/>
        </w:rPr>
        <w:t>2.13.1</w:t>
      </w:r>
      <w:r>
        <w:rPr>
          <w:rFonts w:ascii="宋体" w:hAnsi="宋体" w:eastAsia="宋体" w:cs="宋体"/>
          <w:spacing w:val="-47"/>
          <w:sz w:val="24"/>
          <w:szCs w:val="24"/>
          <w:highlight w:val="none"/>
        </w:rPr>
        <w:t xml:space="preserve"> </w:t>
      </w:r>
      <w:r>
        <w:rPr>
          <w:rFonts w:ascii="宋体" w:hAnsi="宋体" w:eastAsia="宋体" w:cs="宋体"/>
          <w:spacing w:val="-2"/>
          <w:sz w:val="24"/>
          <w:szCs w:val="24"/>
          <w:highlight w:val="none"/>
        </w:rPr>
        <w:t>如果任何一方遭遇法律规定的不可抗力，致使合同履行受</w:t>
      </w:r>
      <w:r>
        <w:rPr>
          <w:rFonts w:ascii="宋体" w:hAnsi="宋体" w:eastAsia="宋体" w:cs="宋体"/>
          <w:spacing w:val="-3"/>
          <w:sz w:val="24"/>
          <w:szCs w:val="24"/>
          <w:highlight w:val="none"/>
        </w:rPr>
        <w:t>阻时，履行合同的期</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限应予延长，延长的期限应相当于不可抗力所影响的时</w:t>
      </w:r>
      <w:r>
        <w:rPr>
          <w:rFonts w:ascii="宋体" w:hAnsi="宋体" w:eastAsia="宋体" w:cs="宋体"/>
          <w:spacing w:val="-2"/>
          <w:sz w:val="24"/>
          <w:szCs w:val="24"/>
          <w:highlight w:val="none"/>
        </w:rPr>
        <w:t>间；</w:t>
      </w:r>
    </w:p>
    <w:p w14:paraId="6150D5B2">
      <w:pPr>
        <w:spacing w:before="276" w:line="219" w:lineRule="auto"/>
        <w:ind w:left="483"/>
        <w:rPr>
          <w:rFonts w:ascii="宋体" w:hAnsi="宋体" w:eastAsia="宋体" w:cs="宋体"/>
          <w:sz w:val="24"/>
          <w:szCs w:val="24"/>
          <w:highlight w:val="none"/>
        </w:rPr>
      </w:pPr>
      <w:r>
        <w:rPr>
          <w:rFonts w:ascii="宋体" w:hAnsi="宋体" w:eastAsia="宋体" w:cs="宋体"/>
          <w:spacing w:val="-1"/>
          <w:sz w:val="24"/>
          <w:szCs w:val="24"/>
          <w:highlight w:val="none"/>
        </w:rPr>
        <w:t>2.13.2</w:t>
      </w:r>
      <w:r>
        <w:rPr>
          <w:rFonts w:ascii="宋体" w:hAnsi="宋体" w:eastAsia="宋体" w:cs="宋体"/>
          <w:spacing w:val="-32"/>
          <w:sz w:val="24"/>
          <w:szCs w:val="24"/>
          <w:highlight w:val="none"/>
        </w:rPr>
        <w:t xml:space="preserve"> </w:t>
      </w:r>
      <w:r>
        <w:rPr>
          <w:rFonts w:ascii="宋体" w:hAnsi="宋体" w:eastAsia="宋体" w:cs="宋体"/>
          <w:spacing w:val="-1"/>
          <w:sz w:val="24"/>
          <w:szCs w:val="24"/>
          <w:highlight w:val="none"/>
        </w:rPr>
        <w:t>因不可抗力致使不能实现合同目的的，当</w:t>
      </w:r>
      <w:r>
        <w:rPr>
          <w:rFonts w:ascii="宋体" w:hAnsi="宋体" w:eastAsia="宋体" w:cs="宋体"/>
          <w:spacing w:val="-2"/>
          <w:sz w:val="24"/>
          <w:szCs w:val="24"/>
          <w:highlight w:val="none"/>
        </w:rPr>
        <w:t>事人可以解除合同；</w:t>
      </w:r>
    </w:p>
    <w:p w14:paraId="2C159848">
      <w:pPr>
        <w:spacing w:before="273" w:line="318" w:lineRule="auto"/>
        <w:ind w:left="28" w:right="80" w:firstLine="455"/>
        <w:rPr>
          <w:rFonts w:ascii="宋体" w:hAnsi="宋体" w:eastAsia="宋体" w:cs="宋体"/>
          <w:sz w:val="24"/>
          <w:szCs w:val="24"/>
          <w:highlight w:val="none"/>
        </w:rPr>
      </w:pPr>
      <w:r>
        <w:rPr>
          <w:rFonts w:ascii="宋体" w:hAnsi="宋体" w:eastAsia="宋体" w:cs="宋体"/>
          <w:spacing w:val="-4"/>
          <w:sz w:val="24"/>
          <w:szCs w:val="24"/>
          <w:highlight w:val="none"/>
        </w:rPr>
        <w:t>2.13.3</w:t>
      </w:r>
      <w:r>
        <w:rPr>
          <w:rFonts w:ascii="宋体" w:hAnsi="宋体" w:eastAsia="宋体" w:cs="宋体"/>
          <w:spacing w:val="-32"/>
          <w:sz w:val="24"/>
          <w:szCs w:val="24"/>
          <w:highlight w:val="none"/>
        </w:rPr>
        <w:t xml:space="preserve"> </w:t>
      </w:r>
      <w:r>
        <w:rPr>
          <w:rFonts w:ascii="宋体" w:hAnsi="宋体" w:eastAsia="宋体" w:cs="宋体"/>
          <w:spacing w:val="-4"/>
          <w:sz w:val="24"/>
          <w:szCs w:val="24"/>
          <w:highlight w:val="none"/>
        </w:rPr>
        <w:t>因不可抗力致使合同有变更必要的，双方当事人应在</w:t>
      </w:r>
      <w:r>
        <w:rPr>
          <w:rFonts w:ascii="宋体" w:hAnsi="宋体" w:eastAsia="宋体" w:cs="宋体"/>
          <w:i/>
          <w:iCs/>
          <w:spacing w:val="-4"/>
          <w:sz w:val="25"/>
          <w:szCs w:val="25"/>
          <w:highlight w:val="none"/>
          <w:u w:val="single" w:color="auto"/>
        </w:rPr>
        <w:t>合同专用条款</w:t>
      </w:r>
      <w:r>
        <w:rPr>
          <w:rFonts w:ascii="宋体" w:hAnsi="宋体" w:eastAsia="宋体" w:cs="宋体"/>
          <w:spacing w:val="-4"/>
          <w:sz w:val="24"/>
          <w:szCs w:val="24"/>
          <w:highlight w:val="none"/>
        </w:rPr>
        <w:t>约</w:t>
      </w:r>
      <w:r>
        <w:rPr>
          <w:rFonts w:ascii="宋体" w:hAnsi="宋体" w:eastAsia="宋体" w:cs="宋体"/>
          <w:spacing w:val="-5"/>
          <w:sz w:val="24"/>
          <w:szCs w:val="24"/>
          <w:highlight w:val="none"/>
        </w:rPr>
        <w:t>定时间内</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以书面形式变更合同；</w:t>
      </w:r>
    </w:p>
    <w:p w14:paraId="4F9933F4">
      <w:pPr>
        <w:spacing w:before="278" w:line="350" w:lineRule="auto"/>
        <w:ind w:right="80" w:firstLine="483"/>
        <w:rPr>
          <w:rFonts w:ascii="宋体" w:hAnsi="宋体" w:eastAsia="宋体" w:cs="宋体"/>
          <w:sz w:val="24"/>
          <w:szCs w:val="24"/>
          <w:highlight w:val="none"/>
        </w:rPr>
      </w:pPr>
      <w:r>
        <w:rPr>
          <w:rFonts w:ascii="宋体" w:hAnsi="宋体" w:eastAsia="宋体" w:cs="宋体"/>
          <w:spacing w:val="-4"/>
          <w:sz w:val="24"/>
          <w:szCs w:val="24"/>
          <w:highlight w:val="none"/>
        </w:rPr>
        <w:t>2.13.4</w:t>
      </w:r>
      <w:r>
        <w:rPr>
          <w:rFonts w:ascii="宋体" w:hAnsi="宋体" w:eastAsia="宋体" w:cs="宋体"/>
          <w:spacing w:val="-36"/>
          <w:sz w:val="24"/>
          <w:szCs w:val="24"/>
          <w:highlight w:val="none"/>
        </w:rPr>
        <w:t xml:space="preserve"> </w:t>
      </w:r>
      <w:r>
        <w:rPr>
          <w:rFonts w:ascii="宋体" w:hAnsi="宋体" w:eastAsia="宋体" w:cs="宋体"/>
          <w:spacing w:val="-4"/>
          <w:sz w:val="24"/>
          <w:szCs w:val="24"/>
          <w:highlight w:val="none"/>
        </w:rPr>
        <w:t>受不可抗力影响的一方在不可抗力发生后，应在</w:t>
      </w:r>
      <w:r>
        <w:rPr>
          <w:rFonts w:ascii="宋体" w:hAnsi="宋体" w:eastAsia="宋体" w:cs="宋体"/>
          <w:i/>
          <w:iCs/>
          <w:spacing w:val="-4"/>
          <w:sz w:val="25"/>
          <w:szCs w:val="25"/>
          <w:highlight w:val="none"/>
          <w:u w:val="single" w:color="auto"/>
        </w:rPr>
        <w:t>合同专用条款</w:t>
      </w:r>
      <w:r>
        <w:rPr>
          <w:rFonts w:ascii="宋体" w:hAnsi="宋体" w:eastAsia="宋体" w:cs="宋体"/>
          <w:spacing w:val="-4"/>
          <w:sz w:val="24"/>
          <w:szCs w:val="24"/>
          <w:highlight w:val="none"/>
        </w:rPr>
        <w:t>约定时间内以书</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面形式通知对方当事人，并在</w:t>
      </w:r>
      <w:r>
        <w:rPr>
          <w:rFonts w:ascii="宋体" w:hAnsi="宋体" w:eastAsia="宋体" w:cs="宋体"/>
          <w:i/>
          <w:iCs/>
          <w:spacing w:val="-2"/>
          <w:sz w:val="25"/>
          <w:szCs w:val="25"/>
          <w:highlight w:val="none"/>
          <w:u w:val="single" w:color="auto"/>
        </w:rPr>
        <w:t>合同专用条款</w:t>
      </w:r>
      <w:r>
        <w:rPr>
          <w:rFonts w:ascii="宋体" w:hAnsi="宋体" w:eastAsia="宋体" w:cs="宋体"/>
          <w:spacing w:val="-2"/>
          <w:sz w:val="24"/>
          <w:szCs w:val="24"/>
          <w:highlight w:val="none"/>
        </w:rPr>
        <w:t>约定时间内，将有关部门出具的证明文件送达</w:t>
      </w:r>
      <w:r>
        <w:rPr>
          <w:rFonts w:ascii="宋体" w:hAnsi="宋体" w:eastAsia="宋体" w:cs="宋体"/>
          <w:spacing w:val="6"/>
          <w:sz w:val="24"/>
          <w:szCs w:val="24"/>
          <w:highlight w:val="none"/>
        </w:rPr>
        <w:t xml:space="preserve"> </w:t>
      </w:r>
      <w:r>
        <w:rPr>
          <w:rFonts w:ascii="宋体" w:hAnsi="宋体" w:eastAsia="宋体" w:cs="宋体"/>
          <w:spacing w:val="-2"/>
          <w:sz w:val="24"/>
          <w:szCs w:val="24"/>
          <w:highlight w:val="none"/>
        </w:rPr>
        <w:t>对方当事人。</w:t>
      </w:r>
    </w:p>
    <w:p w14:paraId="23E123DD">
      <w:pPr>
        <w:spacing w:before="276" w:line="220" w:lineRule="auto"/>
        <w:ind w:left="483"/>
        <w:outlineLvl w:val="0"/>
        <w:rPr>
          <w:rFonts w:ascii="宋体" w:hAnsi="宋体" w:eastAsia="宋体" w:cs="宋体"/>
          <w:sz w:val="24"/>
          <w:szCs w:val="24"/>
          <w:highlight w:val="none"/>
        </w:rPr>
      </w:pPr>
      <w:bookmarkStart w:id="836" w:name="_Toc545"/>
      <w:r>
        <w:rPr>
          <w:rFonts w:ascii="宋体" w:hAnsi="宋体" w:eastAsia="宋体" w:cs="宋体"/>
          <w:b/>
          <w:bCs/>
          <w:spacing w:val="-6"/>
          <w:sz w:val="24"/>
          <w:szCs w:val="24"/>
          <w:highlight w:val="none"/>
        </w:rPr>
        <w:t>2.14</w:t>
      </w:r>
      <w:r>
        <w:rPr>
          <w:rFonts w:ascii="宋体" w:hAnsi="宋体" w:eastAsia="宋体" w:cs="宋体"/>
          <w:spacing w:val="-48"/>
          <w:sz w:val="24"/>
          <w:szCs w:val="24"/>
          <w:highlight w:val="none"/>
        </w:rPr>
        <w:t xml:space="preserve"> </w:t>
      </w:r>
      <w:r>
        <w:rPr>
          <w:rFonts w:ascii="宋体" w:hAnsi="宋体" w:eastAsia="宋体" w:cs="宋体"/>
          <w:b/>
          <w:bCs/>
          <w:spacing w:val="-6"/>
          <w:sz w:val="24"/>
          <w:szCs w:val="24"/>
          <w:highlight w:val="none"/>
        </w:rPr>
        <w:t>税费</w:t>
      </w:r>
      <w:bookmarkEnd w:id="836"/>
    </w:p>
    <w:p w14:paraId="295690BE">
      <w:pPr>
        <w:spacing w:before="273" w:line="219" w:lineRule="auto"/>
        <w:ind w:left="485"/>
        <w:rPr>
          <w:rFonts w:ascii="宋体" w:hAnsi="宋体" w:eastAsia="宋体" w:cs="宋体"/>
          <w:sz w:val="24"/>
          <w:szCs w:val="24"/>
          <w:highlight w:val="none"/>
        </w:rPr>
      </w:pPr>
      <w:r>
        <w:rPr>
          <w:rFonts w:ascii="宋体" w:hAnsi="宋体" w:eastAsia="宋体" w:cs="宋体"/>
          <w:spacing w:val="-1"/>
          <w:sz w:val="24"/>
          <w:szCs w:val="24"/>
          <w:highlight w:val="none"/>
        </w:rPr>
        <w:t>与合同有关的一切税费，均按照中华人民共和国法律的相关规定。</w:t>
      </w:r>
    </w:p>
    <w:p w14:paraId="3287C0B8">
      <w:pPr>
        <w:spacing w:before="275" w:line="219" w:lineRule="auto"/>
        <w:ind w:left="483"/>
        <w:outlineLvl w:val="0"/>
        <w:rPr>
          <w:rFonts w:ascii="宋体" w:hAnsi="宋体" w:eastAsia="宋体" w:cs="宋体"/>
          <w:sz w:val="24"/>
          <w:szCs w:val="24"/>
          <w:highlight w:val="none"/>
        </w:rPr>
      </w:pPr>
      <w:bookmarkStart w:id="837" w:name="_Toc19431"/>
      <w:r>
        <w:rPr>
          <w:rFonts w:ascii="宋体" w:hAnsi="宋体" w:eastAsia="宋体" w:cs="宋体"/>
          <w:b/>
          <w:bCs/>
          <w:spacing w:val="-8"/>
          <w:sz w:val="24"/>
          <w:szCs w:val="24"/>
          <w:highlight w:val="none"/>
        </w:rPr>
        <w:t>2.15</w:t>
      </w:r>
      <w:r>
        <w:rPr>
          <w:rFonts w:ascii="宋体" w:hAnsi="宋体" w:eastAsia="宋体" w:cs="宋体"/>
          <w:spacing w:val="-23"/>
          <w:sz w:val="24"/>
          <w:szCs w:val="24"/>
          <w:highlight w:val="none"/>
        </w:rPr>
        <w:t xml:space="preserve"> </w:t>
      </w:r>
      <w:r>
        <w:rPr>
          <w:rFonts w:ascii="宋体" w:hAnsi="宋体" w:eastAsia="宋体" w:cs="宋体"/>
          <w:b/>
          <w:bCs/>
          <w:spacing w:val="-8"/>
          <w:sz w:val="24"/>
          <w:szCs w:val="24"/>
          <w:highlight w:val="none"/>
        </w:rPr>
        <w:t>乙方破产</w:t>
      </w:r>
      <w:bookmarkEnd w:id="837"/>
    </w:p>
    <w:p w14:paraId="54411962">
      <w:pPr>
        <w:spacing w:before="275" w:line="431" w:lineRule="auto"/>
        <w:ind w:left="1" w:right="80" w:firstLine="482"/>
        <w:jc w:val="both"/>
        <w:rPr>
          <w:rFonts w:ascii="宋体" w:hAnsi="宋体" w:eastAsia="宋体" w:cs="宋体"/>
          <w:sz w:val="24"/>
          <w:szCs w:val="24"/>
          <w:highlight w:val="none"/>
        </w:rPr>
      </w:pPr>
      <w:r>
        <w:rPr>
          <w:rFonts w:ascii="宋体" w:hAnsi="宋体" w:eastAsia="宋体" w:cs="宋体"/>
          <w:sz w:val="24"/>
          <w:szCs w:val="24"/>
          <w:highlight w:val="none"/>
        </w:rPr>
        <w:t>如果乙方破产导致合同无法履行时，甲方可以</w:t>
      </w:r>
      <w:r>
        <w:rPr>
          <w:rFonts w:ascii="宋体" w:hAnsi="宋体" w:eastAsia="宋体" w:cs="宋体"/>
          <w:spacing w:val="-1"/>
          <w:sz w:val="24"/>
          <w:szCs w:val="24"/>
          <w:highlight w:val="none"/>
        </w:rPr>
        <w:t>书面形式通知乙方终止合同且不给予乙</w:t>
      </w:r>
      <w:r>
        <w:rPr>
          <w:rFonts w:ascii="宋体" w:hAnsi="宋体" w:eastAsia="宋体" w:cs="宋体"/>
          <w:sz w:val="24"/>
          <w:szCs w:val="24"/>
          <w:highlight w:val="none"/>
        </w:rPr>
        <w:t xml:space="preserve"> 方任何补偿和赔偿，但合同的终止不损害或不影响甲方已</w:t>
      </w:r>
      <w:r>
        <w:rPr>
          <w:rFonts w:ascii="宋体" w:hAnsi="宋体" w:eastAsia="宋体" w:cs="宋体"/>
          <w:spacing w:val="-1"/>
          <w:sz w:val="24"/>
          <w:szCs w:val="24"/>
          <w:highlight w:val="none"/>
        </w:rPr>
        <w:t>经采取或将要采取的任何要求乙</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方支付违约金、赔偿损失等的行动或补救措施的权利。</w:t>
      </w:r>
    </w:p>
    <w:p w14:paraId="5321B513">
      <w:pPr>
        <w:spacing w:before="1" w:line="220" w:lineRule="auto"/>
        <w:ind w:left="483"/>
        <w:outlineLvl w:val="0"/>
        <w:rPr>
          <w:rFonts w:ascii="宋体" w:hAnsi="宋体" w:eastAsia="宋体" w:cs="宋体"/>
          <w:sz w:val="24"/>
          <w:szCs w:val="24"/>
          <w:highlight w:val="none"/>
        </w:rPr>
      </w:pPr>
      <w:bookmarkStart w:id="838" w:name="_Toc8932"/>
      <w:r>
        <w:rPr>
          <w:rFonts w:ascii="宋体" w:hAnsi="宋体" w:eastAsia="宋体" w:cs="宋体"/>
          <w:b/>
          <w:bCs/>
          <w:spacing w:val="-4"/>
          <w:sz w:val="24"/>
          <w:szCs w:val="24"/>
          <w:highlight w:val="none"/>
        </w:rPr>
        <w:t>2.16</w:t>
      </w:r>
      <w:r>
        <w:rPr>
          <w:rFonts w:ascii="宋体" w:hAnsi="宋体" w:eastAsia="宋体" w:cs="宋体"/>
          <w:spacing w:val="-48"/>
          <w:sz w:val="24"/>
          <w:szCs w:val="24"/>
          <w:highlight w:val="none"/>
        </w:rPr>
        <w:t xml:space="preserve"> </w:t>
      </w:r>
      <w:r>
        <w:rPr>
          <w:rFonts w:ascii="宋体" w:hAnsi="宋体" w:eastAsia="宋体" w:cs="宋体"/>
          <w:b/>
          <w:bCs/>
          <w:spacing w:val="-4"/>
          <w:sz w:val="24"/>
          <w:szCs w:val="24"/>
          <w:highlight w:val="none"/>
        </w:rPr>
        <w:t>合同中止、终止</w:t>
      </w:r>
      <w:bookmarkEnd w:id="838"/>
    </w:p>
    <w:p w14:paraId="39508906">
      <w:pPr>
        <w:spacing w:before="273" w:line="219" w:lineRule="auto"/>
        <w:ind w:left="483"/>
        <w:rPr>
          <w:rFonts w:ascii="宋体" w:hAnsi="宋体" w:eastAsia="宋体" w:cs="宋体"/>
          <w:sz w:val="24"/>
          <w:szCs w:val="24"/>
          <w:highlight w:val="none"/>
        </w:rPr>
      </w:pPr>
      <w:r>
        <w:rPr>
          <w:rFonts w:ascii="宋体" w:hAnsi="宋体" w:eastAsia="宋体" w:cs="宋体"/>
          <w:spacing w:val="-1"/>
          <w:sz w:val="24"/>
          <w:szCs w:val="24"/>
          <w:highlight w:val="none"/>
        </w:rPr>
        <w:t>2.16.1</w:t>
      </w:r>
      <w:r>
        <w:rPr>
          <w:rFonts w:ascii="宋体" w:hAnsi="宋体" w:eastAsia="宋体" w:cs="宋体"/>
          <w:spacing w:val="-50"/>
          <w:sz w:val="24"/>
          <w:szCs w:val="24"/>
          <w:highlight w:val="none"/>
        </w:rPr>
        <w:t xml:space="preserve"> </w:t>
      </w:r>
      <w:r>
        <w:rPr>
          <w:rFonts w:ascii="宋体" w:hAnsi="宋体" w:eastAsia="宋体" w:cs="宋体"/>
          <w:spacing w:val="-1"/>
          <w:sz w:val="24"/>
          <w:szCs w:val="24"/>
          <w:highlight w:val="none"/>
        </w:rPr>
        <w:t>双方当事人不得擅自中止或者终止合同；</w:t>
      </w:r>
    </w:p>
    <w:p w14:paraId="298132ED">
      <w:pPr>
        <w:spacing w:before="274" w:line="431" w:lineRule="auto"/>
        <w:ind w:left="1" w:firstLine="481"/>
        <w:rPr>
          <w:rFonts w:ascii="宋体" w:hAnsi="宋体" w:eastAsia="宋体" w:cs="宋体"/>
          <w:sz w:val="24"/>
          <w:szCs w:val="24"/>
          <w:highlight w:val="none"/>
        </w:rPr>
      </w:pPr>
      <w:r>
        <w:rPr>
          <w:rFonts w:ascii="宋体" w:hAnsi="宋体" w:eastAsia="宋体" w:cs="宋体"/>
          <w:spacing w:val="-2"/>
          <w:sz w:val="24"/>
          <w:szCs w:val="24"/>
          <w:highlight w:val="none"/>
        </w:rPr>
        <w:t>2.16.2</w:t>
      </w:r>
      <w:r>
        <w:rPr>
          <w:rFonts w:ascii="宋体" w:hAnsi="宋体" w:eastAsia="宋体" w:cs="宋体"/>
          <w:spacing w:val="-50"/>
          <w:sz w:val="24"/>
          <w:szCs w:val="24"/>
          <w:highlight w:val="none"/>
        </w:rPr>
        <w:t xml:space="preserve"> </w:t>
      </w:r>
      <w:r>
        <w:rPr>
          <w:rFonts w:ascii="宋体" w:hAnsi="宋体" w:eastAsia="宋体" w:cs="宋体"/>
          <w:spacing w:val="-2"/>
          <w:sz w:val="24"/>
          <w:szCs w:val="24"/>
          <w:highlight w:val="none"/>
        </w:rPr>
        <w:t>合同继续履行将损害国家利益和社会公共利益的，双方当事人应</w:t>
      </w:r>
      <w:r>
        <w:rPr>
          <w:rFonts w:ascii="宋体" w:hAnsi="宋体" w:eastAsia="宋体" w:cs="宋体"/>
          <w:spacing w:val="-3"/>
          <w:sz w:val="24"/>
          <w:szCs w:val="24"/>
          <w:highlight w:val="none"/>
        </w:rPr>
        <w:t>当中止或者终</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止合同。有过错的一方应当承担赔偿责任，双方当事人都有</w:t>
      </w:r>
      <w:r>
        <w:rPr>
          <w:rFonts w:ascii="宋体" w:hAnsi="宋体" w:eastAsia="宋体" w:cs="宋体"/>
          <w:spacing w:val="-5"/>
          <w:sz w:val="24"/>
          <w:szCs w:val="24"/>
          <w:highlight w:val="none"/>
        </w:rPr>
        <w:t>过错的，各自承担相应的责任。</w:t>
      </w:r>
    </w:p>
    <w:p w14:paraId="74F0B5E5">
      <w:pPr>
        <w:spacing w:before="1" w:line="219" w:lineRule="auto"/>
        <w:ind w:left="483"/>
        <w:outlineLvl w:val="0"/>
        <w:rPr>
          <w:rFonts w:ascii="宋体" w:hAnsi="宋体" w:eastAsia="宋体" w:cs="宋体"/>
          <w:sz w:val="24"/>
          <w:szCs w:val="24"/>
          <w:highlight w:val="none"/>
        </w:rPr>
      </w:pPr>
      <w:bookmarkStart w:id="839" w:name="_Toc31255"/>
      <w:r>
        <w:rPr>
          <w:rFonts w:ascii="宋体" w:hAnsi="宋体" w:eastAsia="宋体" w:cs="宋体"/>
          <w:b/>
          <w:bCs/>
          <w:spacing w:val="-4"/>
          <w:sz w:val="24"/>
          <w:szCs w:val="24"/>
          <w:highlight w:val="none"/>
        </w:rPr>
        <w:t>2.17</w:t>
      </w:r>
      <w:r>
        <w:rPr>
          <w:rFonts w:ascii="宋体" w:hAnsi="宋体" w:eastAsia="宋体" w:cs="宋体"/>
          <w:spacing w:val="-51"/>
          <w:sz w:val="24"/>
          <w:szCs w:val="24"/>
          <w:highlight w:val="none"/>
        </w:rPr>
        <w:t xml:space="preserve"> </w:t>
      </w:r>
      <w:r>
        <w:rPr>
          <w:rFonts w:ascii="宋体" w:hAnsi="宋体" w:eastAsia="宋体" w:cs="宋体"/>
          <w:b/>
          <w:bCs/>
          <w:spacing w:val="-4"/>
          <w:sz w:val="24"/>
          <w:szCs w:val="24"/>
          <w:highlight w:val="none"/>
        </w:rPr>
        <w:t>检验和验收</w:t>
      </w:r>
      <w:bookmarkEnd w:id="839"/>
    </w:p>
    <w:p w14:paraId="67E740F0">
      <w:pPr>
        <w:spacing w:before="275" w:line="355" w:lineRule="auto"/>
        <w:ind w:left="4" w:right="80" w:firstLine="479"/>
        <w:rPr>
          <w:rFonts w:ascii="宋体" w:hAnsi="宋体" w:eastAsia="宋体" w:cs="宋体"/>
          <w:sz w:val="24"/>
          <w:szCs w:val="24"/>
          <w:highlight w:val="none"/>
        </w:rPr>
      </w:pPr>
      <w:r>
        <w:rPr>
          <w:rFonts w:ascii="宋体" w:hAnsi="宋体" w:eastAsia="宋体" w:cs="宋体"/>
          <w:spacing w:val="-2"/>
          <w:sz w:val="24"/>
          <w:szCs w:val="24"/>
          <w:highlight w:val="none"/>
        </w:rPr>
        <w:t>2.17.1</w:t>
      </w:r>
      <w:r>
        <w:rPr>
          <w:rFonts w:ascii="宋体" w:hAnsi="宋体" w:eastAsia="宋体" w:cs="宋体"/>
          <w:spacing w:val="-45"/>
          <w:sz w:val="24"/>
          <w:szCs w:val="24"/>
          <w:highlight w:val="none"/>
        </w:rPr>
        <w:t xml:space="preserve"> </w:t>
      </w:r>
      <w:r>
        <w:rPr>
          <w:rFonts w:ascii="宋体" w:hAnsi="宋体" w:eastAsia="宋体" w:cs="宋体"/>
          <w:spacing w:val="-2"/>
          <w:sz w:val="24"/>
          <w:szCs w:val="24"/>
          <w:highlight w:val="none"/>
        </w:rPr>
        <w:t>货物交付前，乙方应对货物的质量、数量等方面进行</w:t>
      </w:r>
      <w:r>
        <w:rPr>
          <w:rFonts w:ascii="宋体" w:hAnsi="宋体" w:eastAsia="宋体" w:cs="宋体"/>
          <w:spacing w:val="-3"/>
          <w:sz w:val="24"/>
          <w:szCs w:val="24"/>
          <w:highlight w:val="none"/>
        </w:rPr>
        <w:t>详细、全面的检验，并向</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甲方出具证明货物符合合同约定的文件；货物交付时，乙方在</w:t>
      </w:r>
      <w:r>
        <w:rPr>
          <w:rFonts w:ascii="宋体" w:hAnsi="宋体" w:eastAsia="宋体" w:cs="宋体"/>
          <w:i/>
          <w:iCs/>
          <w:spacing w:val="-2"/>
          <w:sz w:val="25"/>
          <w:szCs w:val="25"/>
          <w:highlight w:val="none"/>
          <w:u w:val="single" w:color="auto"/>
        </w:rPr>
        <w:t>合同专用条款</w:t>
      </w:r>
      <w:r>
        <w:rPr>
          <w:rFonts w:ascii="宋体" w:hAnsi="宋体" w:eastAsia="宋体" w:cs="宋体"/>
          <w:spacing w:val="-2"/>
          <w:sz w:val="24"/>
          <w:szCs w:val="24"/>
          <w:highlight w:val="none"/>
        </w:rPr>
        <w:t>约定时间内组</w:t>
      </w:r>
      <w:r>
        <w:rPr>
          <w:rFonts w:ascii="宋体" w:hAnsi="宋体" w:eastAsia="宋体" w:cs="宋体"/>
          <w:spacing w:val="1"/>
          <w:sz w:val="24"/>
          <w:szCs w:val="24"/>
          <w:highlight w:val="none"/>
        </w:rPr>
        <w:t xml:space="preserve"> </w:t>
      </w:r>
      <w:r>
        <w:rPr>
          <w:rFonts w:ascii="宋体" w:hAnsi="宋体" w:eastAsia="宋体" w:cs="宋体"/>
          <w:spacing w:val="-1"/>
          <w:sz w:val="24"/>
          <w:szCs w:val="24"/>
          <w:highlight w:val="none"/>
        </w:rPr>
        <w:t>织验收，并可依法邀请相关方参加，验收应出具验收书。</w:t>
      </w:r>
    </w:p>
    <w:p w14:paraId="38965376">
      <w:pPr>
        <w:spacing w:before="275" w:line="219" w:lineRule="auto"/>
        <w:ind w:left="483"/>
        <w:rPr>
          <w:highlight w:val="none"/>
        </w:rPr>
      </w:pPr>
      <w:r>
        <w:rPr>
          <w:rFonts w:ascii="宋体" w:hAnsi="宋体" w:eastAsia="宋体" w:cs="宋体"/>
          <w:spacing w:val="-2"/>
          <w:sz w:val="24"/>
          <w:szCs w:val="24"/>
          <w:highlight w:val="none"/>
        </w:rPr>
        <w:t>2.17.2</w:t>
      </w:r>
      <w:r>
        <w:rPr>
          <w:rFonts w:ascii="宋体" w:hAnsi="宋体" w:eastAsia="宋体" w:cs="宋体"/>
          <w:spacing w:val="-50"/>
          <w:sz w:val="24"/>
          <w:szCs w:val="24"/>
          <w:highlight w:val="none"/>
        </w:rPr>
        <w:t xml:space="preserve"> </w:t>
      </w:r>
      <w:r>
        <w:rPr>
          <w:rFonts w:ascii="宋体" w:hAnsi="宋体" w:eastAsia="宋体" w:cs="宋体"/>
          <w:spacing w:val="-2"/>
          <w:sz w:val="24"/>
          <w:szCs w:val="24"/>
          <w:highlight w:val="none"/>
        </w:rPr>
        <w:t>合同期满或者履行完毕后，甲方有权组织（包括依法邀请国家认</w:t>
      </w:r>
      <w:r>
        <w:rPr>
          <w:rFonts w:ascii="宋体" w:hAnsi="宋体" w:eastAsia="宋体" w:cs="宋体"/>
          <w:spacing w:val="-3"/>
          <w:sz w:val="24"/>
          <w:szCs w:val="24"/>
          <w:highlight w:val="none"/>
        </w:rPr>
        <w:t>可的质量检测</w:t>
      </w:r>
    </w:p>
    <w:p w14:paraId="3B498595">
      <w:pPr>
        <w:spacing w:before="78" w:line="430" w:lineRule="auto"/>
        <w:ind w:left="4" w:right="41" w:hanging="4"/>
        <w:rPr>
          <w:rFonts w:ascii="宋体" w:hAnsi="宋体" w:eastAsia="宋体" w:cs="宋体"/>
          <w:sz w:val="24"/>
          <w:szCs w:val="24"/>
          <w:highlight w:val="none"/>
        </w:rPr>
      </w:pPr>
      <w:r>
        <w:rPr>
          <w:rFonts w:ascii="宋体" w:hAnsi="宋体" w:eastAsia="宋体" w:cs="宋体"/>
          <w:sz w:val="24"/>
          <w:szCs w:val="24"/>
          <w:highlight w:val="none"/>
        </w:rPr>
        <w:t>机构参加）对乙方履约的验收，即：按照合同约定的技术、服</w:t>
      </w:r>
      <w:r>
        <w:rPr>
          <w:rFonts w:ascii="宋体" w:hAnsi="宋体" w:eastAsia="宋体" w:cs="宋体"/>
          <w:spacing w:val="-1"/>
          <w:sz w:val="24"/>
          <w:szCs w:val="24"/>
          <w:highlight w:val="none"/>
        </w:rPr>
        <w:t>务、安全标准，组织对每一</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项技术、服务、安全标准的履约情况的验收，并出具验收书。</w:t>
      </w:r>
    </w:p>
    <w:p w14:paraId="7B0B94B0">
      <w:pPr>
        <w:spacing w:before="1" w:line="211" w:lineRule="auto"/>
        <w:jc w:val="right"/>
        <w:rPr>
          <w:rFonts w:ascii="宋体" w:hAnsi="宋体" w:eastAsia="宋体" w:cs="宋体"/>
          <w:sz w:val="25"/>
          <w:szCs w:val="25"/>
          <w:highlight w:val="none"/>
        </w:rPr>
      </w:pPr>
      <w:r>
        <w:rPr>
          <w:rFonts w:ascii="宋体" w:hAnsi="宋体" w:eastAsia="宋体" w:cs="宋体"/>
          <w:spacing w:val="-3"/>
          <w:sz w:val="24"/>
          <w:szCs w:val="24"/>
          <w:highlight w:val="none"/>
        </w:rPr>
        <w:t>2.17.3</w:t>
      </w:r>
      <w:r>
        <w:rPr>
          <w:rFonts w:ascii="宋体" w:hAnsi="宋体" w:eastAsia="宋体" w:cs="宋体"/>
          <w:spacing w:val="-45"/>
          <w:sz w:val="24"/>
          <w:szCs w:val="24"/>
          <w:highlight w:val="none"/>
        </w:rPr>
        <w:t xml:space="preserve"> </w:t>
      </w:r>
      <w:r>
        <w:rPr>
          <w:rFonts w:ascii="宋体" w:hAnsi="宋体" w:eastAsia="宋体" w:cs="宋体"/>
          <w:spacing w:val="-3"/>
          <w:sz w:val="24"/>
          <w:szCs w:val="24"/>
          <w:highlight w:val="none"/>
        </w:rPr>
        <w:t>检验和验收标准、程序等具体内容以及前述验收书的效力详见</w:t>
      </w:r>
      <w:r>
        <w:rPr>
          <w:rFonts w:ascii="宋体" w:hAnsi="宋体" w:eastAsia="宋体" w:cs="宋体"/>
          <w:i/>
          <w:iCs/>
          <w:spacing w:val="-3"/>
          <w:sz w:val="25"/>
          <w:szCs w:val="25"/>
          <w:highlight w:val="none"/>
          <w:u w:val="single" w:color="auto"/>
        </w:rPr>
        <w:t>合同专用条款</w:t>
      </w:r>
      <w:r>
        <w:rPr>
          <w:rFonts w:ascii="宋体" w:hAnsi="宋体" w:eastAsia="宋体" w:cs="宋体"/>
          <w:i/>
          <w:iCs/>
          <w:spacing w:val="-3"/>
          <w:sz w:val="25"/>
          <w:szCs w:val="25"/>
          <w:highlight w:val="none"/>
        </w:rPr>
        <w:t>。</w:t>
      </w:r>
    </w:p>
    <w:p w14:paraId="0E0F59FE">
      <w:pPr>
        <w:spacing w:before="275" w:line="221" w:lineRule="auto"/>
        <w:ind w:left="483"/>
        <w:outlineLvl w:val="0"/>
        <w:rPr>
          <w:rFonts w:ascii="宋体" w:hAnsi="宋体" w:eastAsia="宋体" w:cs="宋体"/>
          <w:sz w:val="24"/>
          <w:szCs w:val="24"/>
          <w:highlight w:val="none"/>
        </w:rPr>
      </w:pPr>
      <w:bookmarkStart w:id="840" w:name="_Toc7725"/>
      <w:r>
        <w:rPr>
          <w:rFonts w:ascii="宋体" w:hAnsi="宋体" w:eastAsia="宋体" w:cs="宋体"/>
          <w:b/>
          <w:bCs/>
          <w:spacing w:val="-4"/>
          <w:sz w:val="24"/>
          <w:szCs w:val="24"/>
          <w:highlight w:val="none"/>
        </w:rPr>
        <w:t>2.18</w:t>
      </w:r>
      <w:r>
        <w:rPr>
          <w:rFonts w:ascii="宋体" w:hAnsi="宋体" w:eastAsia="宋体" w:cs="宋体"/>
          <w:spacing w:val="-51"/>
          <w:sz w:val="24"/>
          <w:szCs w:val="24"/>
          <w:highlight w:val="none"/>
        </w:rPr>
        <w:t xml:space="preserve"> </w:t>
      </w:r>
      <w:r>
        <w:rPr>
          <w:rFonts w:ascii="宋体" w:hAnsi="宋体" w:eastAsia="宋体" w:cs="宋体"/>
          <w:b/>
          <w:bCs/>
          <w:spacing w:val="-4"/>
          <w:sz w:val="24"/>
          <w:szCs w:val="24"/>
          <w:highlight w:val="none"/>
        </w:rPr>
        <w:t>通知和送达</w:t>
      </w:r>
      <w:bookmarkEnd w:id="840"/>
    </w:p>
    <w:p w14:paraId="214187F7">
      <w:pPr>
        <w:spacing w:before="270" w:line="378" w:lineRule="auto"/>
        <w:ind w:right="18" w:firstLine="482"/>
        <w:rPr>
          <w:rFonts w:ascii="宋体" w:hAnsi="宋体" w:eastAsia="宋体" w:cs="宋体"/>
          <w:sz w:val="24"/>
          <w:szCs w:val="24"/>
          <w:highlight w:val="none"/>
        </w:rPr>
      </w:pPr>
      <w:r>
        <w:rPr>
          <w:rFonts w:ascii="宋体" w:hAnsi="宋体" w:eastAsia="宋体" w:cs="宋体"/>
          <w:spacing w:val="-2"/>
          <w:sz w:val="24"/>
          <w:szCs w:val="24"/>
          <w:highlight w:val="none"/>
        </w:rPr>
        <w:t>2.18.1</w:t>
      </w:r>
      <w:r>
        <w:rPr>
          <w:rFonts w:ascii="宋体" w:hAnsi="宋体" w:eastAsia="宋体" w:cs="宋体"/>
          <w:spacing w:val="-34"/>
          <w:sz w:val="24"/>
          <w:szCs w:val="24"/>
          <w:highlight w:val="none"/>
        </w:rPr>
        <w:t xml:space="preserve"> </w:t>
      </w:r>
      <w:r>
        <w:rPr>
          <w:rFonts w:ascii="宋体" w:hAnsi="宋体" w:eastAsia="宋体" w:cs="宋体"/>
          <w:spacing w:val="-2"/>
          <w:sz w:val="24"/>
          <w:szCs w:val="24"/>
          <w:highlight w:val="none"/>
        </w:rPr>
        <w:t>任何一方因履行合同而以合同第一部分尾部所列明的发出的所有通知、文件、</w:t>
      </w:r>
      <w:r>
        <w:rPr>
          <w:rFonts w:ascii="宋体" w:hAnsi="宋体" w:eastAsia="宋体" w:cs="宋体"/>
          <w:sz w:val="24"/>
          <w:szCs w:val="24"/>
          <w:highlight w:val="none"/>
        </w:rPr>
        <w:t xml:space="preserve"> 材料，均视为已向对方当事人送达；任何一方变更上述送达</w:t>
      </w:r>
      <w:r>
        <w:rPr>
          <w:rFonts w:ascii="宋体" w:hAnsi="宋体" w:eastAsia="宋体" w:cs="宋体"/>
          <w:spacing w:val="-1"/>
          <w:sz w:val="24"/>
          <w:szCs w:val="24"/>
          <w:highlight w:val="none"/>
        </w:rPr>
        <w:t>方式或者地址的，应于个工作</w:t>
      </w:r>
      <w:r>
        <w:rPr>
          <w:rFonts w:ascii="宋体" w:hAnsi="宋体" w:eastAsia="宋体" w:cs="宋体"/>
          <w:sz w:val="24"/>
          <w:szCs w:val="24"/>
          <w:highlight w:val="none"/>
        </w:rPr>
        <w:t xml:space="preserve"> 日内书面通知对方当事人，在对方当事人收到有关变更通知</w:t>
      </w:r>
      <w:r>
        <w:rPr>
          <w:rFonts w:ascii="宋体" w:hAnsi="宋体" w:eastAsia="宋体" w:cs="宋体"/>
          <w:spacing w:val="-1"/>
          <w:sz w:val="24"/>
          <w:szCs w:val="24"/>
          <w:highlight w:val="none"/>
        </w:rPr>
        <w:t>之前，变更前的约定送达方式</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或者地址仍视为有效。</w:t>
      </w:r>
    </w:p>
    <w:p w14:paraId="3EFEFAA8">
      <w:pPr>
        <w:spacing w:before="276" w:line="360" w:lineRule="auto"/>
        <w:ind w:left="1" w:right="41" w:firstLine="481"/>
        <w:rPr>
          <w:rFonts w:ascii="宋体" w:hAnsi="宋体" w:eastAsia="宋体" w:cs="宋体"/>
          <w:sz w:val="24"/>
          <w:szCs w:val="24"/>
          <w:highlight w:val="none"/>
        </w:rPr>
      </w:pPr>
      <w:r>
        <w:rPr>
          <w:rFonts w:ascii="宋体" w:hAnsi="宋体" w:eastAsia="宋体" w:cs="宋体"/>
          <w:spacing w:val="-3"/>
          <w:sz w:val="24"/>
          <w:szCs w:val="24"/>
          <w:highlight w:val="none"/>
        </w:rPr>
        <w:t>2.18.2</w:t>
      </w:r>
      <w:r>
        <w:rPr>
          <w:rFonts w:ascii="宋体" w:hAnsi="宋体" w:eastAsia="宋体" w:cs="宋体"/>
          <w:spacing w:val="-16"/>
          <w:sz w:val="24"/>
          <w:szCs w:val="24"/>
          <w:highlight w:val="none"/>
        </w:rPr>
        <w:t xml:space="preserve"> </w:t>
      </w:r>
      <w:r>
        <w:rPr>
          <w:rFonts w:ascii="宋体" w:hAnsi="宋体" w:eastAsia="宋体" w:cs="宋体"/>
          <w:spacing w:val="-3"/>
          <w:sz w:val="24"/>
          <w:szCs w:val="24"/>
          <w:highlight w:val="none"/>
        </w:rPr>
        <w:t>以当面交付方式送达的，交付之时视为送达；以电子邮件方式送达的，发出电</w:t>
      </w:r>
      <w:r>
        <w:rPr>
          <w:rFonts w:ascii="宋体" w:hAnsi="宋体" w:eastAsia="宋体" w:cs="宋体"/>
          <w:sz w:val="24"/>
          <w:szCs w:val="24"/>
          <w:highlight w:val="none"/>
        </w:rPr>
        <w:t xml:space="preserve"> 子邮件之时视为送达；以传真方式送达的，发出传真之时</w:t>
      </w:r>
      <w:r>
        <w:rPr>
          <w:rFonts w:ascii="宋体" w:hAnsi="宋体" w:eastAsia="宋体" w:cs="宋体"/>
          <w:spacing w:val="-1"/>
          <w:sz w:val="24"/>
          <w:szCs w:val="24"/>
          <w:highlight w:val="none"/>
        </w:rPr>
        <w:t>视为送达；以邮寄方式送达的，</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邮件挂号寄出或者交邮之日之次日视为送达。</w:t>
      </w:r>
    </w:p>
    <w:p w14:paraId="10184B51">
      <w:pPr>
        <w:spacing w:before="274" w:line="220" w:lineRule="auto"/>
        <w:ind w:left="483"/>
        <w:outlineLvl w:val="0"/>
        <w:rPr>
          <w:rFonts w:ascii="宋体" w:hAnsi="宋体" w:eastAsia="宋体" w:cs="宋体"/>
          <w:sz w:val="24"/>
          <w:szCs w:val="24"/>
          <w:highlight w:val="none"/>
        </w:rPr>
      </w:pPr>
      <w:bookmarkStart w:id="841" w:name="_Toc8572"/>
      <w:r>
        <w:rPr>
          <w:rFonts w:ascii="宋体" w:hAnsi="宋体" w:eastAsia="宋体" w:cs="宋体"/>
          <w:b/>
          <w:bCs/>
          <w:spacing w:val="-5"/>
          <w:sz w:val="24"/>
          <w:szCs w:val="24"/>
          <w:highlight w:val="none"/>
        </w:rPr>
        <w:t>2.19</w:t>
      </w:r>
      <w:r>
        <w:rPr>
          <w:rFonts w:ascii="宋体" w:hAnsi="宋体" w:eastAsia="宋体" w:cs="宋体"/>
          <w:spacing w:val="-47"/>
          <w:sz w:val="24"/>
          <w:szCs w:val="24"/>
          <w:highlight w:val="none"/>
        </w:rPr>
        <w:t xml:space="preserve"> </w:t>
      </w:r>
      <w:r>
        <w:rPr>
          <w:rFonts w:ascii="宋体" w:hAnsi="宋体" w:eastAsia="宋体" w:cs="宋体"/>
          <w:b/>
          <w:bCs/>
          <w:spacing w:val="-5"/>
          <w:sz w:val="24"/>
          <w:szCs w:val="24"/>
          <w:highlight w:val="none"/>
        </w:rPr>
        <w:t>计量单位</w:t>
      </w:r>
      <w:bookmarkEnd w:id="841"/>
    </w:p>
    <w:p w14:paraId="09DEA266">
      <w:pPr>
        <w:spacing w:before="276" w:line="216" w:lineRule="auto"/>
        <w:ind w:left="495"/>
        <w:rPr>
          <w:rFonts w:ascii="宋体" w:hAnsi="宋体" w:eastAsia="宋体" w:cs="宋体"/>
          <w:sz w:val="24"/>
          <w:szCs w:val="24"/>
          <w:highlight w:val="none"/>
        </w:rPr>
      </w:pPr>
      <w:r>
        <w:rPr>
          <w:rFonts w:ascii="宋体" w:hAnsi="宋体" w:eastAsia="宋体" w:cs="宋体"/>
          <w:spacing w:val="-1"/>
          <w:sz w:val="24"/>
          <w:szCs w:val="24"/>
          <w:highlight w:val="none"/>
        </w:rPr>
        <w:t>除技术规范中另有规定外,合同的计量单位均使用国家法定计量单位。</w:t>
      </w:r>
    </w:p>
    <w:p w14:paraId="128406E5">
      <w:pPr>
        <w:spacing w:before="278" w:line="219" w:lineRule="auto"/>
        <w:ind w:left="483"/>
        <w:outlineLvl w:val="0"/>
        <w:rPr>
          <w:rFonts w:ascii="宋体" w:hAnsi="宋体" w:eastAsia="宋体" w:cs="宋体"/>
          <w:sz w:val="24"/>
          <w:szCs w:val="24"/>
          <w:highlight w:val="none"/>
        </w:rPr>
      </w:pPr>
      <w:bookmarkStart w:id="842" w:name="_Toc30046"/>
      <w:r>
        <w:rPr>
          <w:rFonts w:ascii="宋体" w:hAnsi="宋体" w:eastAsia="宋体" w:cs="宋体"/>
          <w:b/>
          <w:bCs/>
          <w:spacing w:val="-3"/>
          <w:sz w:val="24"/>
          <w:szCs w:val="24"/>
          <w:highlight w:val="none"/>
        </w:rPr>
        <w:t>2.20</w:t>
      </w:r>
      <w:r>
        <w:rPr>
          <w:rFonts w:ascii="宋体" w:hAnsi="宋体" w:eastAsia="宋体" w:cs="宋体"/>
          <w:spacing w:val="-49"/>
          <w:sz w:val="24"/>
          <w:szCs w:val="24"/>
          <w:highlight w:val="none"/>
        </w:rPr>
        <w:t xml:space="preserve"> </w:t>
      </w:r>
      <w:r>
        <w:rPr>
          <w:rFonts w:ascii="宋体" w:hAnsi="宋体" w:eastAsia="宋体" w:cs="宋体"/>
          <w:b/>
          <w:bCs/>
          <w:spacing w:val="-3"/>
          <w:sz w:val="24"/>
          <w:szCs w:val="24"/>
          <w:highlight w:val="none"/>
        </w:rPr>
        <w:t>合同使用的文字和适用的法律</w:t>
      </w:r>
      <w:bookmarkEnd w:id="842"/>
    </w:p>
    <w:p w14:paraId="61860E58">
      <w:pPr>
        <w:spacing w:before="273" w:line="219" w:lineRule="auto"/>
        <w:ind w:left="483"/>
        <w:rPr>
          <w:rFonts w:ascii="宋体" w:hAnsi="宋体" w:eastAsia="宋体" w:cs="宋体"/>
          <w:sz w:val="24"/>
          <w:szCs w:val="24"/>
          <w:highlight w:val="none"/>
        </w:rPr>
      </w:pPr>
      <w:r>
        <w:rPr>
          <w:rFonts w:ascii="宋体" w:hAnsi="宋体" w:eastAsia="宋体" w:cs="宋体"/>
          <w:spacing w:val="-2"/>
          <w:sz w:val="24"/>
          <w:szCs w:val="24"/>
          <w:highlight w:val="none"/>
        </w:rPr>
        <w:t>2.20.1</w:t>
      </w:r>
      <w:r>
        <w:rPr>
          <w:rFonts w:ascii="宋体" w:hAnsi="宋体" w:eastAsia="宋体" w:cs="宋体"/>
          <w:spacing w:val="-32"/>
          <w:sz w:val="24"/>
          <w:szCs w:val="24"/>
          <w:highlight w:val="none"/>
        </w:rPr>
        <w:t xml:space="preserve"> </w:t>
      </w:r>
      <w:r>
        <w:rPr>
          <w:rFonts w:ascii="宋体" w:hAnsi="宋体" w:eastAsia="宋体" w:cs="宋体"/>
          <w:spacing w:val="-2"/>
          <w:sz w:val="24"/>
          <w:szCs w:val="24"/>
          <w:highlight w:val="none"/>
        </w:rPr>
        <w:t>合同使用汉语书就、变更和解释；</w:t>
      </w:r>
    </w:p>
    <w:p w14:paraId="12560AC9">
      <w:pPr>
        <w:spacing w:before="278" w:line="219" w:lineRule="auto"/>
        <w:ind w:left="483"/>
        <w:rPr>
          <w:rFonts w:ascii="宋体" w:hAnsi="宋体" w:eastAsia="宋体" w:cs="宋体"/>
          <w:sz w:val="24"/>
          <w:szCs w:val="24"/>
          <w:highlight w:val="none"/>
        </w:rPr>
      </w:pPr>
      <w:r>
        <w:rPr>
          <w:rFonts w:ascii="宋体" w:hAnsi="宋体" w:eastAsia="宋体" w:cs="宋体"/>
          <w:spacing w:val="-2"/>
          <w:sz w:val="24"/>
          <w:szCs w:val="24"/>
          <w:highlight w:val="none"/>
        </w:rPr>
        <w:t>2.20.2</w:t>
      </w:r>
      <w:r>
        <w:rPr>
          <w:rFonts w:ascii="宋体" w:hAnsi="宋体" w:eastAsia="宋体" w:cs="宋体"/>
          <w:spacing w:val="-34"/>
          <w:sz w:val="24"/>
          <w:szCs w:val="24"/>
          <w:highlight w:val="none"/>
        </w:rPr>
        <w:t xml:space="preserve"> </w:t>
      </w:r>
      <w:r>
        <w:rPr>
          <w:rFonts w:ascii="宋体" w:hAnsi="宋体" w:eastAsia="宋体" w:cs="宋体"/>
          <w:spacing w:val="-2"/>
          <w:sz w:val="24"/>
          <w:szCs w:val="24"/>
          <w:highlight w:val="none"/>
        </w:rPr>
        <w:t>合同适用中华人民共和国法律。</w:t>
      </w:r>
    </w:p>
    <w:p w14:paraId="1D127EE2">
      <w:pPr>
        <w:spacing w:before="274" w:line="220" w:lineRule="auto"/>
        <w:ind w:left="483"/>
        <w:outlineLvl w:val="0"/>
        <w:rPr>
          <w:rFonts w:ascii="宋体" w:hAnsi="宋体" w:eastAsia="宋体" w:cs="宋体"/>
          <w:sz w:val="24"/>
          <w:szCs w:val="24"/>
          <w:highlight w:val="none"/>
        </w:rPr>
      </w:pPr>
      <w:bookmarkStart w:id="843" w:name="bookmark10"/>
      <w:bookmarkEnd w:id="843"/>
      <w:bookmarkStart w:id="844" w:name="_Toc20282"/>
      <w:r>
        <w:rPr>
          <w:rFonts w:ascii="宋体" w:hAnsi="宋体" w:eastAsia="宋体" w:cs="宋体"/>
          <w:b/>
          <w:bCs/>
          <w:spacing w:val="-5"/>
          <w:sz w:val="24"/>
          <w:szCs w:val="24"/>
          <w:highlight w:val="none"/>
        </w:rPr>
        <w:t>2.21</w:t>
      </w:r>
      <w:r>
        <w:rPr>
          <w:rFonts w:ascii="宋体" w:hAnsi="宋体" w:eastAsia="宋体" w:cs="宋体"/>
          <w:spacing w:val="-42"/>
          <w:sz w:val="24"/>
          <w:szCs w:val="24"/>
          <w:highlight w:val="none"/>
        </w:rPr>
        <w:t xml:space="preserve"> </w:t>
      </w:r>
      <w:r>
        <w:rPr>
          <w:rFonts w:ascii="宋体" w:hAnsi="宋体" w:eastAsia="宋体" w:cs="宋体"/>
          <w:b/>
          <w:bCs/>
          <w:spacing w:val="-5"/>
          <w:sz w:val="24"/>
          <w:szCs w:val="24"/>
          <w:highlight w:val="none"/>
        </w:rPr>
        <w:t>履约保证金</w:t>
      </w:r>
      <w:bookmarkEnd w:id="844"/>
    </w:p>
    <w:p w14:paraId="7E77C860">
      <w:pPr>
        <w:spacing w:before="272" w:line="356" w:lineRule="auto"/>
        <w:ind w:left="1" w:right="41" w:firstLine="481"/>
        <w:rPr>
          <w:rFonts w:ascii="宋体" w:hAnsi="宋体" w:eastAsia="宋体" w:cs="宋体"/>
          <w:sz w:val="24"/>
          <w:szCs w:val="24"/>
          <w:highlight w:val="none"/>
        </w:rPr>
      </w:pPr>
      <w:r>
        <w:rPr>
          <w:rFonts w:ascii="宋体" w:hAnsi="宋体" w:eastAsia="宋体" w:cs="宋体"/>
          <w:spacing w:val="-4"/>
          <w:sz w:val="24"/>
          <w:szCs w:val="24"/>
          <w:highlight w:val="none"/>
        </w:rPr>
        <w:t>2.21.1</w:t>
      </w:r>
      <w:r>
        <w:rPr>
          <w:rFonts w:ascii="宋体" w:hAnsi="宋体" w:eastAsia="宋体" w:cs="宋体"/>
          <w:spacing w:val="-36"/>
          <w:sz w:val="24"/>
          <w:szCs w:val="24"/>
          <w:highlight w:val="none"/>
        </w:rPr>
        <w:t xml:space="preserve"> </w:t>
      </w:r>
      <w:r>
        <w:rPr>
          <w:rFonts w:ascii="宋体" w:hAnsi="宋体" w:eastAsia="宋体" w:cs="宋体"/>
          <w:spacing w:val="-4"/>
          <w:sz w:val="24"/>
          <w:szCs w:val="24"/>
          <w:highlight w:val="none"/>
        </w:rPr>
        <w:t>采购文件要求乙方提交履约保证金的，乙方应按</w:t>
      </w:r>
      <w:r>
        <w:rPr>
          <w:rFonts w:ascii="宋体" w:hAnsi="宋体" w:eastAsia="宋体" w:cs="宋体"/>
          <w:i/>
          <w:iCs/>
          <w:spacing w:val="-4"/>
          <w:sz w:val="25"/>
          <w:szCs w:val="25"/>
          <w:highlight w:val="none"/>
          <w:u w:val="single" w:color="auto"/>
        </w:rPr>
        <w:t>合同专用条款</w:t>
      </w:r>
      <w:r>
        <w:rPr>
          <w:rFonts w:ascii="宋体" w:hAnsi="宋体" w:eastAsia="宋体" w:cs="宋体"/>
          <w:spacing w:val="-4"/>
          <w:sz w:val="24"/>
          <w:szCs w:val="24"/>
          <w:highlight w:val="none"/>
        </w:rPr>
        <w:t>约定的方式，以</w:t>
      </w:r>
      <w:r>
        <w:rPr>
          <w:rFonts w:ascii="宋体" w:hAnsi="宋体" w:eastAsia="宋体" w:cs="宋体"/>
          <w:sz w:val="24"/>
          <w:szCs w:val="24"/>
          <w:highlight w:val="none"/>
        </w:rPr>
        <w:t xml:space="preserve"> 支票、汇票、本票或者金融机构、担保机构出具的保函等</w:t>
      </w:r>
      <w:r>
        <w:rPr>
          <w:rFonts w:ascii="宋体" w:hAnsi="宋体" w:eastAsia="宋体" w:cs="宋体"/>
          <w:spacing w:val="-1"/>
          <w:sz w:val="24"/>
          <w:szCs w:val="24"/>
          <w:highlight w:val="none"/>
        </w:rPr>
        <w:t>非现金形式，提交不超过合同价</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10%的履约保证金；</w:t>
      </w:r>
    </w:p>
    <w:p w14:paraId="1F60C87D">
      <w:pPr>
        <w:spacing w:before="273" w:line="356" w:lineRule="auto"/>
        <w:ind w:right="41" w:firstLine="482"/>
        <w:rPr>
          <w:rFonts w:ascii="宋体" w:hAnsi="宋体" w:eastAsia="宋体" w:cs="宋体"/>
          <w:sz w:val="24"/>
          <w:szCs w:val="24"/>
          <w:highlight w:val="none"/>
        </w:rPr>
      </w:pPr>
      <w:r>
        <w:rPr>
          <w:rFonts w:ascii="宋体" w:hAnsi="宋体" w:eastAsia="宋体" w:cs="宋体"/>
          <w:spacing w:val="2"/>
          <w:sz w:val="24"/>
          <w:szCs w:val="24"/>
          <w:highlight w:val="none"/>
        </w:rPr>
        <w:t>2.21.2</w:t>
      </w:r>
      <w:r>
        <w:rPr>
          <w:rFonts w:ascii="宋体" w:hAnsi="宋体" w:eastAsia="宋体" w:cs="宋体"/>
          <w:spacing w:val="-37"/>
          <w:sz w:val="24"/>
          <w:szCs w:val="24"/>
          <w:highlight w:val="none"/>
        </w:rPr>
        <w:t xml:space="preserve"> </w:t>
      </w:r>
      <w:r>
        <w:rPr>
          <w:rFonts w:ascii="宋体" w:hAnsi="宋体" w:eastAsia="宋体" w:cs="宋体"/>
          <w:spacing w:val="2"/>
          <w:sz w:val="24"/>
          <w:szCs w:val="24"/>
          <w:highlight w:val="none"/>
        </w:rPr>
        <w:t>履约保证金在</w:t>
      </w:r>
      <w:r>
        <w:rPr>
          <w:rFonts w:ascii="宋体" w:hAnsi="宋体" w:eastAsia="宋体" w:cs="宋体"/>
          <w:i/>
          <w:iCs/>
          <w:spacing w:val="2"/>
          <w:sz w:val="25"/>
          <w:szCs w:val="25"/>
          <w:highlight w:val="none"/>
          <w:u w:val="single" w:color="auto"/>
        </w:rPr>
        <w:t>合同专用条款</w:t>
      </w:r>
      <w:r>
        <w:rPr>
          <w:rFonts w:ascii="宋体" w:hAnsi="宋体" w:eastAsia="宋体" w:cs="宋体"/>
          <w:spacing w:val="2"/>
          <w:sz w:val="24"/>
          <w:szCs w:val="24"/>
          <w:highlight w:val="none"/>
        </w:rPr>
        <w:t>约定期间内或者货物质量保证期内不予退还或者</w:t>
      </w:r>
      <w:r>
        <w:rPr>
          <w:rFonts w:ascii="宋体" w:hAnsi="宋体" w:eastAsia="宋体" w:cs="宋体"/>
          <w:sz w:val="24"/>
          <w:szCs w:val="24"/>
          <w:highlight w:val="none"/>
        </w:rPr>
        <w:t xml:space="preserve"> 应完全有效，前述约定期间届满或者货物质量保证期届满之</w:t>
      </w:r>
      <w:r>
        <w:rPr>
          <w:rFonts w:ascii="宋体" w:hAnsi="宋体" w:eastAsia="宋体" w:cs="宋体"/>
          <w:spacing w:val="-1"/>
          <w:sz w:val="24"/>
          <w:szCs w:val="24"/>
          <w:highlight w:val="none"/>
        </w:rPr>
        <w:t>日起个工作日内，甲方应将履</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约保证金退还乙方；</w:t>
      </w:r>
    </w:p>
    <w:p w14:paraId="0CCA37A7">
      <w:pPr>
        <w:spacing w:before="273" w:line="219" w:lineRule="auto"/>
        <w:ind w:right="41"/>
        <w:jc w:val="right"/>
        <w:rPr>
          <w:rFonts w:ascii="宋体" w:hAnsi="宋体" w:eastAsia="宋体" w:cs="宋体"/>
          <w:sz w:val="24"/>
          <w:szCs w:val="24"/>
          <w:highlight w:val="none"/>
        </w:rPr>
      </w:pPr>
      <w:r>
        <w:rPr>
          <w:rFonts w:ascii="宋体" w:hAnsi="宋体" w:eastAsia="宋体" w:cs="宋体"/>
          <w:spacing w:val="-2"/>
          <w:sz w:val="24"/>
          <w:szCs w:val="24"/>
          <w:highlight w:val="none"/>
        </w:rPr>
        <w:t>2.21.3</w:t>
      </w:r>
      <w:r>
        <w:rPr>
          <w:rFonts w:ascii="宋体" w:hAnsi="宋体" w:eastAsia="宋体" w:cs="宋体"/>
          <w:spacing w:val="-47"/>
          <w:sz w:val="24"/>
          <w:szCs w:val="24"/>
          <w:highlight w:val="none"/>
        </w:rPr>
        <w:t xml:space="preserve"> </w:t>
      </w:r>
      <w:r>
        <w:rPr>
          <w:rFonts w:ascii="宋体" w:hAnsi="宋体" w:eastAsia="宋体" w:cs="宋体"/>
          <w:spacing w:val="-2"/>
          <w:sz w:val="24"/>
          <w:szCs w:val="24"/>
          <w:highlight w:val="none"/>
        </w:rPr>
        <w:t>如果乙方不履行合同，履约保证金不予退还；如果乙方未</w:t>
      </w:r>
      <w:r>
        <w:rPr>
          <w:rFonts w:ascii="宋体" w:hAnsi="宋体" w:eastAsia="宋体" w:cs="宋体"/>
          <w:spacing w:val="-3"/>
          <w:sz w:val="24"/>
          <w:szCs w:val="24"/>
          <w:highlight w:val="none"/>
        </w:rPr>
        <w:t>能按合同约定全面履</w:t>
      </w:r>
    </w:p>
    <w:p w14:paraId="490FF99E">
      <w:pPr>
        <w:spacing w:line="219" w:lineRule="auto"/>
        <w:rPr>
          <w:rFonts w:ascii="宋体" w:hAnsi="宋体" w:eastAsia="宋体" w:cs="宋体"/>
          <w:sz w:val="24"/>
          <w:szCs w:val="24"/>
          <w:highlight w:val="none"/>
        </w:rPr>
        <w:sectPr>
          <w:footerReference r:id="rId22" w:type="default"/>
          <w:pgSz w:w="11907" w:h="16840"/>
          <w:pgMar w:top="400" w:right="1092" w:bottom="1290" w:left="1424" w:header="0" w:footer="1056" w:gutter="0"/>
          <w:pgNumType w:fmt="decimal"/>
          <w:cols w:space="720" w:num="1"/>
        </w:sectPr>
      </w:pPr>
    </w:p>
    <w:p w14:paraId="699B2296">
      <w:pPr>
        <w:spacing w:before="78" w:line="430" w:lineRule="auto"/>
        <w:ind w:left="18" w:hanging="19"/>
        <w:rPr>
          <w:rFonts w:ascii="宋体" w:hAnsi="宋体" w:eastAsia="宋体" w:cs="宋体"/>
          <w:sz w:val="24"/>
          <w:szCs w:val="24"/>
          <w:highlight w:val="none"/>
        </w:rPr>
      </w:pPr>
      <w:r>
        <w:rPr>
          <w:rFonts w:ascii="宋体" w:hAnsi="宋体" w:eastAsia="宋体" w:cs="宋体"/>
          <w:sz w:val="24"/>
          <w:szCs w:val="24"/>
          <w:highlight w:val="none"/>
        </w:rPr>
        <w:t>行义务，那么甲方有权从履约保证金中取得补偿或</w:t>
      </w:r>
      <w:r>
        <w:rPr>
          <w:rFonts w:ascii="宋体" w:hAnsi="宋体" w:eastAsia="宋体" w:cs="宋体"/>
          <w:spacing w:val="-1"/>
          <w:sz w:val="24"/>
          <w:szCs w:val="24"/>
          <w:highlight w:val="none"/>
        </w:rPr>
        <w:t>赔偿，同时不影响甲方要求乙方承担合</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同约定的超过履约保证金的违约责任的权利。</w:t>
      </w:r>
    </w:p>
    <w:p w14:paraId="231AB9F8">
      <w:pPr>
        <w:spacing w:line="219" w:lineRule="auto"/>
        <w:ind w:left="479"/>
        <w:outlineLvl w:val="0"/>
        <w:rPr>
          <w:rFonts w:ascii="宋体" w:hAnsi="宋体" w:eastAsia="宋体" w:cs="宋体"/>
          <w:sz w:val="24"/>
          <w:szCs w:val="24"/>
          <w:highlight w:val="none"/>
        </w:rPr>
      </w:pPr>
      <w:bookmarkStart w:id="845" w:name="bookmark27"/>
      <w:bookmarkEnd w:id="845"/>
      <w:bookmarkStart w:id="846" w:name="_Toc13390"/>
      <w:r>
        <w:rPr>
          <w:rFonts w:ascii="宋体" w:hAnsi="宋体" w:eastAsia="宋体" w:cs="宋体"/>
          <w:b/>
          <w:bCs/>
          <w:spacing w:val="-5"/>
          <w:sz w:val="24"/>
          <w:szCs w:val="24"/>
          <w:highlight w:val="none"/>
        </w:rPr>
        <w:t>2.22</w:t>
      </w:r>
      <w:r>
        <w:rPr>
          <w:rFonts w:ascii="宋体" w:hAnsi="宋体" w:eastAsia="宋体" w:cs="宋体"/>
          <w:spacing w:val="-47"/>
          <w:sz w:val="24"/>
          <w:szCs w:val="24"/>
          <w:highlight w:val="none"/>
        </w:rPr>
        <w:t xml:space="preserve"> </w:t>
      </w:r>
      <w:r>
        <w:rPr>
          <w:rFonts w:ascii="宋体" w:hAnsi="宋体" w:eastAsia="宋体" w:cs="宋体"/>
          <w:b/>
          <w:bCs/>
          <w:spacing w:val="-5"/>
          <w:sz w:val="24"/>
          <w:szCs w:val="24"/>
          <w:highlight w:val="none"/>
        </w:rPr>
        <w:t>合同份数</w:t>
      </w:r>
      <w:bookmarkEnd w:id="846"/>
    </w:p>
    <w:p w14:paraId="3504546E">
      <w:pPr>
        <w:spacing w:before="276" w:line="212" w:lineRule="auto"/>
        <w:ind w:left="477"/>
        <w:rPr>
          <w:rFonts w:ascii="宋体" w:hAnsi="宋体" w:eastAsia="宋体" w:cs="宋体"/>
          <w:sz w:val="24"/>
          <w:szCs w:val="24"/>
          <w:highlight w:val="none"/>
        </w:rPr>
      </w:pPr>
      <w:r>
        <w:rPr>
          <w:rFonts w:ascii="宋体" w:hAnsi="宋体" w:eastAsia="宋体" w:cs="宋体"/>
          <w:spacing w:val="-3"/>
          <w:sz w:val="24"/>
          <w:szCs w:val="24"/>
          <w:highlight w:val="none"/>
        </w:rPr>
        <w:t>合同份数按</w:t>
      </w:r>
      <w:r>
        <w:rPr>
          <w:rFonts w:ascii="宋体" w:hAnsi="宋体" w:eastAsia="宋体" w:cs="宋体"/>
          <w:i/>
          <w:iCs/>
          <w:spacing w:val="-3"/>
          <w:sz w:val="25"/>
          <w:szCs w:val="25"/>
          <w:highlight w:val="none"/>
          <w:u w:val="single" w:color="auto"/>
        </w:rPr>
        <w:t>合同专用条款</w:t>
      </w:r>
      <w:r>
        <w:rPr>
          <w:rFonts w:ascii="宋体" w:hAnsi="宋体" w:eastAsia="宋体" w:cs="宋体"/>
          <w:spacing w:val="-3"/>
          <w:sz w:val="24"/>
          <w:szCs w:val="24"/>
          <w:highlight w:val="none"/>
        </w:rPr>
        <w:t>规定，每份均具有同等法律效力。</w:t>
      </w:r>
    </w:p>
    <w:p w14:paraId="08C1F6E9">
      <w:pPr>
        <w:pStyle w:val="7"/>
        <w:spacing w:line="246" w:lineRule="auto"/>
        <w:rPr>
          <w:highlight w:val="none"/>
        </w:rPr>
      </w:pPr>
    </w:p>
    <w:p w14:paraId="076CB985">
      <w:pPr>
        <w:spacing w:before="78" w:line="219" w:lineRule="auto"/>
        <w:ind w:left="3513"/>
        <w:rPr>
          <w:rFonts w:ascii="宋体" w:hAnsi="宋体" w:eastAsia="宋体" w:cs="宋体"/>
          <w:sz w:val="24"/>
          <w:szCs w:val="24"/>
          <w:highlight w:val="none"/>
        </w:rPr>
      </w:pPr>
      <w:r>
        <w:rPr>
          <w:rFonts w:ascii="宋体" w:hAnsi="宋体" w:eastAsia="宋体" w:cs="宋体"/>
          <w:b/>
          <w:bCs/>
          <w:spacing w:val="-3"/>
          <w:sz w:val="24"/>
          <w:szCs w:val="24"/>
          <w:highlight w:val="none"/>
        </w:rPr>
        <w:t>第三部分合同专用条款</w:t>
      </w:r>
    </w:p>
    <w:p w14:paraId="24E981DB">
      <w:pPr>
        <w:spacing w:before="272" w:line="369" w:lineRule="auto"/>
        <w:ind w:left="44" w:firstLine="478"/>
        <w:jc w:val="both"/>
        <w:rPr>
          <w:rFonts w:ascii="宋体" w:hAnsi="宋体" w:eastAsia="宋体" w:cs="宋体"/>
          <w:sz w:val="24"/>
          <w:szCs w:val="24"/>
          <w:highlight w:val="none"/>
        </w:rPr>
      </w:pPr>
      <w:r>
        <w:rPr>
          <w:rFonts w:ascii="宋体" w:hAnsi="宋体" w:eastAsia="宋体" w:cs="宋体"/>
          <w:sz w:val="24"/>
          <w:szCs w:val="24"/>
          <w:highlight w:val="none"/>
        </w:rPr>
        <w:t>本部分是对前两部分的补充和修改，如果前两部分和</w:t>
      </w:r>
      <w:r>
        <w:rPr>
          <w:rFonts w:ascii="宋体" w:hAnsi="宋体" w:eastAsia="宋体" w:cs="宋体"/>
          <w:spacing w:val="-1"/>
          <w:sz w:val="24"/>
          <w:szCs w:val="24"/>
          <w:highlight w:val="none"/>
        </w:rPr>
        <w:t>本部分的约定不一致，应以本部</w:t>
      </w:r>
      <w:r>
        <w:rPr>
          <w:rFonts w:ascii="宋体" w:hAnsi="宋体" w:eastAsia="宋体" w:cs="宋体"/>
          <w:sz w:val="24"/>
          <w:szCs w:val="24"/>
          <w:highlight w:val="none"/>
        </w:rPr>
        <w:t xml:space="preserve"> 分的约定为准。本部分的条款号应与前两部分的条款</w:t>
      </w:r>
      <w:r>
        <w:rPr>
          <w:rFonts w:ascii="宋体" w:hAnsi="宋体" w:eastAsia="宋体" w:cs="宋体"/>
          <w:spacing w:val="-1"/>
          <w:sz w:val="24"/>
          <w:szCs w:val="24"/>
          <w:highlight w:val="none"/>
        </w:rPr>
        <w:t>号保持对应；与前两部分无对应关系</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的内容可另行编制条款号。</w:t>
      </w:r>
    </w:p>
    <w:tbl>
      <w:tblPr>
        <w:tblStyle w:val="37"/>
        <w:tblW w:w="9377"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5"/>
        <w:gridCol w:w="8572"/>
      </w:tblGrid>
      <w:tr w14:paraId="43976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805" w:type="dxa"/>
            <w:tcBorders>
              <w:left w:val="single" w:color="000000" w:sz="2" w:space="0"/>
            </w:tcBorders>
            <w:vAlign w:val="top"/>
          </w:tcPr>
          <w:p w14:paraId="766B78D8">
            <w:pPr>
              <w:spacing w:before="247" w:line="219" w:lineRule="auto"/>
              <w:ind w:left="50"/>
              <w:rPr>
                <w:rFonts w:ascii="宋体" w:hAnsi="宋体" w:eastAsia="宋体" w:cs="宋体"/>
                <w:sz w:val="24"/>
                <w:szCs w:val="24"/>
                <w:highlight w:val="none"/>
              </w:rPr>
            </w:pPr>
            <w:r>
              <w:rPr>
                <w:rFonts w:ascii="宋体" w:hAnsi="宋体" w:eastAsia="宋体" w:cs="宋体"/>
                <w:b/>
                <w:bCs/>
                <w:spacing w:val="-6"/>
                <w:sz w:val="24"/>
                <w:szCs w:val="24"/>
                <w:highlight w:val="none"/>
              </w:rPr>
              <w:t>条款号</w:t>
            </w:r>
          </w:p>
        </w:tc>
        <w:tc>
          <w:tcPr>
            <w:tcW w:w="8572" w:type="dxa"/>
            <w:vAlign w:val="top"/>
          </w:tcPr>
          <w:p w14:paraId="77448B66">
            <w:pPr>
              <w:spacing w:before="247" w:line="219" w:lineRule="auto"/>
              <w:ind w:left="3811"/>
              <w:rPr>
                <w:rFonts w:ascii="宋体" w:hAnsi="宋体" w:eastAsia="宋体" w:cs="宋体"/>
                <w:sz w:val="24"/>
                <w:szCs w:val="24"/>
                <w:highlight w:val="none"/>
              </w:rPr>
            </w:pPr>
            <w:r>
              <w:rPr>
                <w:rFonts w:ascii="宋体" w:hAnsi="宋体" w:eastAsia="宋体" w:cs="宋体"/>
                <w:b/>
                <w:bCs/>
                <w:spacing w:val="-6"/>
                <w:sz w:val="24"/>
                <w:szCs w:val="24"/>
                <w:highlight w:val="none"/>
              </w:rPr>
              <w:t>约定内容</w:t>
            </w:r>
          </w:p>
        </w:tc>
      </w:tr>
      <w:tr w14:paraId="39D6B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097ADD2F">
            <w:pPr>
              <w:pStyle w:val="36"/>
              <w:rPr>
                <w:highlight w:val="none"/>
              </w:rPr>
            </w:pPr>
          </w:p>
        </w:tc>
        <w:tc>
          <w:tcPr>
            <w:tcW w:w="8572" w:type="dxa"/>
            <w:vAlign w:val="top"/>
          </w:tcPr>
          <w:p w14:paraId="1D4DB0B1">
            <w:pPr>
              <w:pStyle w:val="36"/>
              <w:rPr>
                <w:highlight w:val="none"/>
              </w:rPr>
            </w:pPr>
          </w:p>
        </w:tc>
      </w:tr>
      <w:tr w14:paraId="13375E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62F33B2B">
            <w:pPr>
              <w:pStyle w:val="36"/>
              <w:rPr>
                <w:highlight w:val="none"/>
              </w:rPr>
            </w:pPr>
          </w:p>
        </w:tc>
        <w:tc>
          <w:tcPr>
            <w:tcW w:w="8572" w:type="dxa"/>
            <w:vAlign w:val="top"/>
          </w:tcPr>
          <w:p w14:paraId="4C5F890A">
            <w:pPr>
              <w:pStyle w:val="36"/>
              <w:rPr>
                <w:highlight w:val="none"/>
              </w:rPr>
            </w:pPr>
          </w:p>
        </w:tc>
      </w:tr>
      <w:tr w14:paraId="253E97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2E202BF4">
            <w:pPr>
              <w:pStyle w:val="36"/>
              <w:rPr>
                <w:highlight w:val="none"/>
              </w:rPr>
            </w:pPr>
          </w:p>
        </w:tc>
        <w:tc>
          <w:tcPr>
            <w:tcW w:w="8572" w:type="dxa"/>
            <w:vAlign w:val="top"/>
          </w:tcPr>
          <w:p w14:paraId="5A81D7D6">
            <w:pPr>
              <w:pStyle w:val="36"/>
              <w:rPr>
                <w:highlight w:val="none"/>
              </w:rPr>
            </w:pPr>
          </w:p>
        </w:tc>
      </w:tr>
      <w:tr w14:paraId="6ABBFB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337A1658">
            <w:pPr>
              <w:pStyle w:val="36"/>
              <w:rPr>
                <w:highlight w:val="none"/>
              </w:rPr>
            </w:pPr>
          </w:p>
        </w:tc>
        <w:tc>
          <w:tcPr>
            <w:tcW w:w="8572" w:type="dxa"/>
            <w:vAlign w:val="top"/>
          </w:tcPr>
          <w:p w14:paraId="5AE4ACFF">
            <w:pPr>
              <w:pStyle w:val="36"/>
              <w:rPr>
                <w:highlight w:val="none"/>
              </w:rPr>
            </w:pPr>
          </w:p>
        </w:tc>
      </w:tr>
      <w:tr w14:paraId="78764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66D98D8E">
            <w:pPr>
              <w:pStyle w:val="36"/>
              <w:rPr>
                <w:highlight w:val="none"/>
              </w:rPr>
            </w:pPr>
          </w:p>
        </w:tc>
        <w:tc>
          <w:tcPr>
            <w:tcW w:w="8572" w:type="dxa"/>
            <w:vAlign w:val="top"/>
          </w:tcPr>
          <w:p w14:paraId="511B3F6A">
            <w:pPr>
              <w:pStyle w:val="36"/>
              <w:rPr>
                <w:highlight w:val="none"/>
              </w:rPr>
            </w:pPr>
          </w:p>
        </w:tc>
      </w:tr>
      <w:tr w14:paraId="20D015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6E9D87DE">
            <w:pPr>
              <w:pStyle w:val="36"/>
              <w:rPr>
                <w:highlight w:val="none"/>
              </w:rPr>
            </w:pPr>
          </w:p>
        </w:tc>
        <w:tc>
          <w:tcPr>
            <w:tcW w:w="8572" w:type="dxa"/>
            <w:vAlign w:val="top"/>
          </w:tcPr>
          <w:p w14:paraId="3AB00163">
            <w:pPr>
              <w:pStyle w:val="36"/>
              <w:rPr>
                <w:highlight w:val="none"/>
              </w:rPr>
            </w:pPr>
          </w:p>
        </w:tc>
      </w:tr>
      <w:tr w14:paraId="37DC8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5D941F6B">
            <w:pPr>
              <w:pStyle w:val="36"/>
              <w:rPr>
                <w:highlight w:val="none"/>
              </w:rPr>
            </w:pPr>
          </w:p>
        </w:tc>
        <w:tc>
          <w:tcPr>
            <w:tcW w:w="8572" w:type="dxa"/>
            <w:vAlign w:val="top"/>
          </w:tcPr>
          <w:p w14:paraId="5B6B7FC6">
            <w:pPr>
              <w:pStyle w:val="36"/>
              <w:rPr>
                <w:highlight w:val="none"/>
              </w:rPr>
            </w:pPr>
          </w:p>
        </w:tc>
      </w:tr>
      <w:tr w14:paraId="3D9A9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52EA3075">
            <w:pPr>
              <w:pStyle w:val="36"/>
              <w:rPr>
                <w:highlight w:val="none"/>
              </w:rPr>
            </w:pPr>
          </w:p>
        </w:tc>
        <w:tc>
          <w:tcPr>
            <w:tcW w:w="8572" w:type="dxa"/>
            <w:vAlign w:val="top"/>
          </w:tcPr>
          <w:p w14:paraId="50965887">
            <w:pPr>
              <w:pStyle w:val="36"/>
              <w:rPr>
                <w:highlight w:val="none"/>
              </w:rPr>
            </w:pPr>
          </w:p>
        </w:tc>
      </w:tr>
      <w:tr w14:paraId="41735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53AE197E">
            <w:pPr>
              <w:pStyle w:val="36"/>
              <w:rPr>
                <w:highlight w:val="none"/>
              </w:rPr>
            </w:pPr>
          </w:p>
        </w:tc>
        <w:tc>
          <w:tcPr>
            <w:tcW w:w="8572" w:type="dxa"/>
            <w:vAlign w:val="top"/>
          </w:tcPr>
          <w:p w14:paraId="0DEA1CBC">
            <w:pPr>
              <w:pStyle w:val="36"/>
              <w:rPr>
                <w:highlight w:val="none"/>
              </w:rPr>
            </w:pPr>
          </w:p>
        </w:tc>
      </w:tr>
      <w:tr w14:paraId="65624A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258D7462">
            <w:pPr>
              <w:pStyle w:val="36"/>
              <w:rPr>
                <w:highlight w:val="none"/>
              </w:rPr>
            </w:pPr>
          </w:p>
        </w:tc>
        <w:tc>
          <w:tcPr>
            <w:tcW w:w="8572" w:type="dxa"/>
            <w:vAlign w:val="top"/>
          </w:tcPr>
          <w:p w14:paraId="7B8BA208">
            <w:pPr>
              <w:pStyle w:val="36"/>
              <w:rPr>
                <w:highlight w:val="none"/>
              </w:rPr>
            </w:pPr>
          </w:p>
        </w:tc>
      </w:tr>
      <w:tr w14:paraId="308C02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805" w:type="dxa"/>
            <w:tcBorders>
              <w:left w:val="single" w:color="000000" w:sz="2" w:space="0"/>
            </w:tcBorders>
            <w:vAlign w:val="top"/>
          </w:tcPr>
          <w:p w14:paraId="1E5ACEFD">
            <w:pPr>
              <w:pStyle w:val="36"/>
              <w:rPr>
                <w:highlight w:val="none"/>
              </w:rPr>
            </w:pPr>
          </w:p>
        </w:tc>
        <w:tc>
          <w:tcPr>
            <w:tcW w:w="8572" w:type="dxa"/>
            <w:vAlign w:val="top"/>
          </w:tcPr>
          <w:p w14:paraId="2A1C5370">
            <w:pPr>
              <w:pStyle w:val="36"/>
              <w:rPr>
                <w:highlight w:val="none"/>
              </w:rPr>
            </w:pPr>
          </w:p>
        </w:tc>
      </w:tr>
      <w:tr w14:paraId="5B05E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805" w:type="dxa"/>
            <w:tcBorders>
              <w:left w:val="single" w:color="000000" w:sz="2" w:space="0"/>
            </w:tcBorders>
            <w:vAlign w:val="top"/>
          </w:tcPr>
          <w:p w14:paraId="2CE20BD5">
            <w:pPr>
              <w:pStyle w:val="36"/>
              <w:rPr>
                <w:highlight w:val="none"/>
              </w:rPr>
            </w:pPr>
          </w:p>
        </w:tc>
        <w:tc>
          <w:tcPr>
            <w:tcW w:w="8572" w:type="dxa"/>
            <w:vAlign w:val="top"/>
          </w:tcPr>
          <w:p w14:paraId="06300EBB">
            <w:pPr>
              <w:pStyle w:val="36"/>
              <w:rPr>
                <w:highlight w:val="none"/>
              </w:rPr>
            </w:pPr>
          </w:p>
        </w:tc>
      </w:tr>
    </w:tbl>
    <w:p w14:paraId="16E6FFF3">
      <w:pPr>
        <w:pStyle w:val="7"/>
        <w:rPr>
          <w:highlight w:val="none"/>
        </w:rPr>
      </w:pPr>
    </w:p>
    <w:p w14:paraId="53809E7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highlight w:val="none"/>
        </w:rPr>
      </w:pPr>
    </w:p>
    <w:p w14:paraId="6A3EF8E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2"/>
          <w:szCs w:val="22"/>
          <w:highlight w:val="none"/>
        </w:rPr>
      </w:pPr>
    </w:p>
    <w:p w14:paraId="49E622EA">
      <w:pPr>
        <w:rPr>
          <w:highlight w:val="none"/>
        </w:rPr>
      </w:pPr>
    </w:p>
    <w:sectPr>
      <w:headerReference r:id="rId23" w:type="default"/>
      <w:footerReference r:id="rId24" w:type="default"/>
      <w:pgSz w:w="11907" w:h="16840"/>
      <w:pgMar w:top="1417" w:right="1417" w:bottom="1417" w:left="1417"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简体">
    <w:altName w:val="微软雅黑"/>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6E708">
    <w:pPr>
      <w:pStyle w:val="13"/>
      <w:tabs>
        <w:tab w:val="left" w:pos="3389"/>
      </w:tabs>
      <w:ind w:right="360" w:firstLine="360"/>
      <w:jc w:val="left"/>
      <w:rPr>
        <w:rFonts w:hint="eastAsia" w:eastAsia="宋体"/>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C224DD">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53C224DD">
                    <w:pPr>
                      <w:pStyle w:val="1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r>
      <w:rPr>
        <w:rFonts w:hint="eastAsia"/>
        <w:lang w:eastAsia="zh-CN"/>
      </w:rPr>
      <w:tab/>
    </w:r>
    <w:r>
      <w:rPr>
        <w:rFonts w:hint="eastAsia"/>
        <w:lang w:eastAsia="zh-CN"/>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7EF32">
    <w:pPr>
      <w:pStyle w:val="7"/>
      <w:spacing w:line="211" w:lineRule="auto"/>
      <w:ind w:left="4174"/>
      <w:rPr>
        <w:sz w:val="18"/>
        <w:szCs w:val="18"/>
      </w:rPr>
    </w:pPr>
    <w:r>
      <w:rPr>
        <w:spacing w:val="-5"/>
        <w:sz w:val="18"/>
        <w:szCs w:val="18"/>
      </w:rPr>
      <w:t>第</w:t>
    </w:r>
    <w:r>
      <w:rPr>
        <w:spacing w:val="17"/>
        <w:sz w:val="18"/>
        <w:szCs w:val="18"/>
      </w:rPr>
      <w:t xml:space="preserve"> </w:t>
    </w:r>
    <w:r>
      <w:rPr>
        <w:spacing w:val="-5"/>
        <w:sz w:val="18"/>
        <w:szCs w:val="18"/>
      </w:rPr>
      <w:t>79</w:t>
    </w:r>
    <w:r>
      <w:rPr>
        <w:spacing w:val="12"/>
        <w:sz w:val="18"/>
        <w:szCs w:val="18"/>
      </w:rPr>
      <w:t xml:space="preserve"> </w:t>
    </w:r>
    <w:r>
      <w:rPr>
        <w:spacing w:val="-5"/>
        <w:sz w:val="18"/>
        <w:szCs w:val="18"/>
      </w:rPr>
      <w:t>页 共</w:t>
    </w:r>
    <w:r>
      <w:rPr>
        <w:spacing w:val="9"/>
        <w:sz w:val="18"/>
        <w:szCs w:val="18"/>
      </w:rPr>
      <w:t xml:space="preserve"> </w:t>
    </w:r>
    <w:r>
      <w:rPr>
        <w:spacing w:val="-5"/>
        <w:sz w:val="18"/>
        <w:szCs w:val="18"/>
      </w:rPr>
      <w:t>99</w:t>
    </w:r>
    <w:r>
      <w:rPr>
        <w:spacing w:val="9"/>
        <w:sz w:val="18"/>
        <w:szCs w:val="18"/>
      </w:rPr>
      <w:t xml:space="preserve"> </w:t>
    </w:r>
    <w:r>
      <w:rPr>
        <w:spacing w:val="-5"/>
        <w:sz w:val="18"/>
        <w:szCs w:val="18"/>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AAF66">
    <w:pPr>
      <w:pStyle w:val="7"/>
      <w:spacing w:line="211" w:lineRule="auto"/>
      <w:ind w:left="4174"/>
      <w:rPr>
        <w:sz w:val="18"/>
        <w:szCs w:val="18"/>
      </w:rPr>
    </w:pPr>
    <w:r>
      <w:rPr>
        <w:spacing w:val="-4"/>
        <w:sz w:val="18"/>
        <w:szCs w:val="18"/>
      </w:rPr>
      <w:t>第 80</w:t>
    </w:r>
    <w:r>
      <w:rPr>
        <w:spacing w:val="15"/>
        <w:sz w:val="18"/>
        <w:szCs w:val="18"/>
      </w:rPr>
      <w:t xml:space="preserve"> </w:t>
    </w:r>
    <w:r>
      <w:rPr>
        <w:spacing w:val="-4"/>
        <w:sz w:val="18"/>
        <w:szCs w:val="18"/>
      </w:rPr>
      <w:t>页</w:t>
    </w:r>
    <w:r>
      <w:rPr>
        <w:spacing w:val="5"/>
        <w:sz w:val="18"/>
        <w:szCs w:val="18"/>
      </w:rPr>
      <w:t xml:space="preserve"> </w:t>
    </w:r>
    <w:r>
      <w:rPr>
        <w:spacing w:val="-4"/>
        <w:sz w:val="18"/>
        <w:szCs w:val="18"/>
      </w:rPr>
      <w:t>共</w:t>
    </w:r>
    <w:r>
      <w:rPr>
        <w:spacing w:val="9"/>
        <w:sz w:val="18"/>
        <w:szCs w:val="18"/>
      </w:rPr>
      <w:t xml:space="preserve"> </w:t>
    </w:r>
    <w:r>
      <w:rPr>
        <w:spacing w:val="-4"/>
        <w:sz w:val="18"/>
        <w:szCs w:val="18"/>
      </w:rPr>
      <w:t>99</w:t>
    </w:r>
    <w:r>
      <w:rPr>
        <w:spacing w:val="9"/>
        <w:sz w:val="18"/>
        <w:szCs w:val="18"/>
      </w:rPr>
      <w:t xml:space="preserve"> </w:t>
    </w:r>
    <w:r>
      <w:rPr>
        <w:spacing w:val="-4"/>
        <w:sz w:val="18"/>
        <w:szCs w:val="18"/>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B609D">
    <w:pPr>
      <w:spacing w:line="229" w:lineRule="auto"/>
      <w:ind w:left="4084"/>
      <w:rPr>
        <w:rFonts w:ascii="宋体" w:hAnsi="宋体" w:eastAsia="宋体" w:cs="宋体"/>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A81B2D">
                          <w:pPr>
                            <w:pStyle w:val="13"/>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0EA81B2D">
                    <w:pPr>
                      <w:pStyle w:val="13"/>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90620">
    <w:pPr>
      <w:spacing w:line="229" w:lineRule="auto"/>
      <w:ind w:left="4588"/>
      <w:rPr>
        <w:rFonts w:ascii="宋体" w:hAnsi="宋体" w:eastAsia="宋体" w:cs="宋体"/>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02E6F5">
                          <w:pPr>
                            <w:pStyle w:val="13"/>
                          </w:pPr>
                          <w:r>
                            <w:fldChar w:fldCharType="begin"/>
                          </w:r>
                          <w:r>
                            <w:instrText xml:space="preserve"> PAGE  \* MERGEFORMAT </w:instrText>
                          </w:r>
                          <w:r>
                            <w:fldChar w:fldCharType="separate"/>
                          </w:r>
                          <w:r>
                            <w:t>99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4A02E6F5">
                    <w:pPr>
                      <w:pStyle w:val="13"/>
                    </w:pPr>
                    <w:r>
                      <w:fldChar w:fldCharType="begin"/>
                    </w:r>
                    <w:r>
                      <w:instrText xml:space="preserve"> PAGE  \* MERGEFORMAT </w:instrText>
                    </w:r>
                    <w:r>
                      <w:fldChar w:fldCharType="separate"/>
                    </w:r>
                    <w:r>
                      <w:t>99</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04C51">
    <w:pPr>
      <w:spacing w:line="229" w:lineRule="auto"/>
      <w:ind w:left="4589"/>
      <w:rPr>
        <w:rFonts w:ascii="宋体" w:hAnsi="宋体" w:eastAsia="宋体" w:cs="宋体"/>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D2EAAF">
                          <w:pPr>
                            <w:pStyle w:val="13"/>
                          </w:pPr>
                          <w:r>
                            <w:fldChar w:fldCharType="begin"/>
                          </w:r>
                          <w:r>
                            <w:instrText xml:space="preserve"> PAGE  \* MERGEFORMAT </w:instrText>
                          </w:r>
                          <w:r>
                            <w:fldChar w:fldCharType="separate"/>
                          </w:r>
                          <w:r>
                            <w:t>100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5CD2EAAF">
                    <w:pPr>
                      <w:pStyle w:val="13"/>
                    </w:pPr>
                    <w:r>
                      <w:fldChar w:fldCharType="begin"/>
                    </w:r>
                    <w:r>
                      <w:instrText xml:space="preserve"> PAGE  \* MERGEFORMAT </w:instrText>
                    </w:r>
                    <w:r>
                      <w:fldChar w:fldCharType="separate"/>
                    </w:r>
                    <w:r>
                      <w:t>100</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CA16D">
    <w:pPr>
      <w:spacing w:line="229" w:lineRule="auto"/>
      <w:ind w:left="4588"/>
      <w:rPr>
        <w:rFonts w:ascii="宋体" w:hAnsi="宋体" w:eastAsia="宋体" w:cs="宋体"/>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22A3C5">
                          <w:pPr>
                            <w:pStyle w:val="13"/>
                          </w:pPr>
                          <w:r>
                            <w:fldChar w:fldCharType="begin"/>
                          </w:r>
                          <w:r>
                            <w:instrText xml:space="preserve"> PAGE  \* MERGEFORMAT </w:instrText>
                          </w:r>
                          <w:r>
                            <w:fldChar w:fldCharType="separate"/>
                          </w:r>
                          <w:r>
                            <w:t>101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5D22A3C5">
                    <w:pPr>
                      <w:pStyle w:val="13"/>
                    </w:pPr>
                    <w:r>
                      <w:fldChar w:fldCharType="begin"/>
                    </w:r>
                    <w:r>
                      <w:instrText xml:space="preserve"> PAGE  \* MERGEFORMAT </w:instrText>
                    </w:r>
                    <w:r>
                      <w:fldChar w:fldCharType="separate"/>
                    </w:r>
                    <w:r>
                      <w:t>101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3E8AB">
    <w:pPr>
      <w:spacing w:line="229" w:lineRule="auto"/>
      <w:ind w:left="4589"/>
      <w:rPr>
        <w:rFonts w:ascii="宋体" w:hAnsi="宋体" w:eastAsia="宋体" w:cs="宋体"/>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352FC4">
                          <w:pPr>
                            <w:pStyle w:val="13"/>
                          </w:pPr>
                          <w:r>
                            <w:fldChar w:fldCharType="begin"/>
                          </w:r>
                          <w:r>
                            <w:instrText xml:space="preserve"> PAGE  \* MERGEFORMAT </w:instrText>
                          </w:r>
                          <w:r>
                            <w:fldChar w:fldCharType="separate"/>
                          </w:r>
                          <w:r>
                            <w:t>102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0A352FC4">
                    <w:pPr>
                      <w:pStyle w:val="13"/>
                    </w:pPr>
                    <w:r>
                      <w:fldChar w:fldCharType="begin"/>
                    </w:r>
                    <w:r>
                      <w:instrText xml:space="preserve"> PAGE  \* MERGEFORMAT </w:instrText>
                    </w:r>
                    <w:r>
                      <w:fldChar w:fldCharType="separate"/>
                    </w:r>
                    <w:r>
                      <w:t>102</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67F68">
    <w:pPr>
      <w:spacing w:line="229" w:lineRule="auto"/>
      <w:ind w:left="4588"/>
      <w:rPr>
        <w:rFonts w:ascii="宋体" w:hAnsi="宋体" w:eastAsia="宋体" w:cs="宋体"/>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D96D1C">
                          <w:pPr>
                            <w:pStyle w:val="13"/>
                          </w:pPr>
                          <w:r>
                            <w:fldChar w:fldCharType="begin"/>
                          </w:r>
                          <w:r>
                            <w:instrText xml:space="preserve"> PAGE  \* MERGEFORMAT </w:instrText>
                          </w:r>
                          <w:r>
                            <w:fldChar w:fldCharType="separate"/>
                          </w:r>
                          <w:r>
                            <w:t>104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6CD96D1C">
                    <w:pPr>
                      <w:pStyle w:val="13"/>
                    </w:pPr>
                    <w:r>
                      <w:fldChar w:fldCharType="begin"/>
                    </w:r>
                    <w:r>
                      <w:instrText xml:space="preserve"> PAGE  \* MERGEFORMAT </w:instrText>
                    </w:r>
                    <w:r>
                      <w:fldChar w:fldCharType="separate"/>
                    </w:r>
                    <w:r>
                      <w:t>104</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0DE4B">
    <w:pPr>
      <w:pStyle w:val="13"/>
      <w:jc w:val="cente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0834D0">
                          <w:pPr>
                            <w:pStyle w:val="13"/>
                          </w:pPr>
                          <w:r>
                            <w:fldChar w:fldCharType="begin"/>
                          </w:r>
                          <w:r>
                            <w:instrText xml:space="preserve"> PAGE  \* MERGEFORMAT </w:instrText>
                          </w:r>
                          <w:r>
                            <w:fldChar w:fldCharType="separate"/>
                          </w:r>
                          <w:r>
                            <w:t>106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700834D0">
                    <w:pPr>
                      <w:pStyle w:val="13"/>
                    </w:pPr>
                    <w:r>
                      <w:fldChar w:fldCharType="begin"/>
                    </w:r>
                    <w:r>
                      <w:instrText xml:space="preserve"> PAGE  \* MERGEFORMAT </w:instrText>
                    </w:r>
                    <w:r>
                      <w:fldChar w:fldCharType="separate"/>
                    </w:r>
                    <w:r>
                      <w:t>106</w:t>
                    </w:r>
                    <w:r>
                      <w:fldChar w:fldCharType="end"/>
                    </w:r>
                  </w:p>
                </w:txbxContent>
              </v:textbox>
            </v:shape>
          </w:pict>
        </mc:Fallback>
      </mc:AlternateContent>
    </w:r>
  </w:p>
  <w:p w14:paraId="5111B2D0">
    <w:pPr>
      <w:pStyle w:val="1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4D704">
    <w:pPr>
      <w:pStyle w:val="13"/>
      <w:ind w:right="360" w:firstLine="360"/>
      <w:jc w:val="right"/>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6021A2">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066021A2">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EBE64">
    <w:pPr>
      <w:pStyle w:val="13"/>
      <w:ind w:right="360" w:firstLine="360"/>
      <w:jc w:val="right"/>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0A2D5D">
                          <w:pPr>
                            <w:pStyle w:val="13"/>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750A2D5D">
                    <w:pPr>
                      <w:pStyle w:val="13"/>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DDA2B">
    <w:pPr>
      <w:pStyle w:val="13"/>
      <w:framePr w:wrap="around" w:vAnchor="text" w:hAnchor="margin" w:xAlign="center" w:y="1"/>
      <w:rPr>
        <w:rStyle w:val="24"/>
      </w:rPr>
    </w:pPr>
    <w:r>
      <w:fldChar w:fldCharType="begin"/>
    </w:r>
    <w:r>
      <w:rPr>
        <w:rStyle w:val="24"/>
      </w:rPr>
      <w:instrText xml:space="preserve">PAGE  </w:instrText>
    </w:r>
    <w:r>
      <w:fldChar w:fldCharType="end"/>
    </w:r>
  </w:p>
  <w:p w14:paraId="78C0E1D1">
    <w:pPr>
      <w:pStyle w:val="13"/>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F32EC">
    <w:pPr>
      <w:pStyle w:val="13"/>
      <w:framePr w:wrap="around" w:vAnchor="text" w:hAnchor="margin" w:xAlign="right" w:y="1"/>
      <w:rPr>
        <w:rStyle w:val="24"/>
      </w:rPr>
    </w:pPr>
  </w:p>
  <w:p w14:paraId="42901E4B">
    <w:pPr>
      <w:pStyle w:val="13"/>
      <w:ind w:right="360"/>
      <w:jc w:val="right"/>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CDDB5">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A711F6">
                          <w:pPr>
                            <w:pStyle w:val="13"/>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3CA711F6">
                    <w:pPr>
                      <w:pStyle w:val="13"/>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86819">
    <w:pPr>
      <w:pStyle w:val="13"/>
      <w:framePr w:wrap="around" w:vAnchor="text" w:hAnchor="margin" w:xAlign="center" w:y="1"/>
      <w:rPr>
        <w:rStyle w:val="24"/>
      </w:rPr>
    </w:pPr>
    <w:r>
      <w:fldChar w:fldCharType="begin"/>
    </w:r>
    <w:r>
      <w:rPr>
        <w:rStyle w:val="24"/>
      </w:rPr>
      <w:instrText xml:space="preserve">PAGE  </w:instrText>
    </w:r>
    <w:r>
      <w:fldChar w:fldCharType="end"/>
    </w:r>
  </w:p>
  <w:p w14:paraId="5CF5BC4F">
    <w:pPr>
      <w:pStyle w:val="1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CC261">
    <w:pPr>
      <w:pStyle w:val="7"/>
      <w:spacing w:line="211" w:lineRule="auto"/>
      <w:ind w:left="4031"/>
      <w:rPr>
        <w:sz w:val="18"/>
        <w:szCs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7610E">
    <w:pPr>
      <w:spacing w:line="229" w:lineRule="auto"/>
      <w:ind w:left="4084"/>
      <w:rPr>
        <w:rFonts w:ascii="宋体" w:hAnsi="宋体" w:eastAsia="宋体" w:cs="宋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A4073B">
                          <w:pPr>
                            <w:pStyle w:val="13"/>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0AA4073B">
                    <w:pPr>
                      <w:pStyle w:val="13"/>
                    </w:pPr>
                    <w:r>
                      <w:fldChar w:fldCharType="begin"/>
                    </w:r>
                    <w:r>
                      <w:instrText xml:space="preserve"> PAGE  \* MERGEFORMAT </w:instrText>
                    </w:r>
                    <w:r>
                      <w:fldChar w:fldCharType="separate"/>
                    </w:r>
                    <w:r>
                      <w:t>76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6B3B6">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1F63F">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8DECB">
    <w:pPr>
      <w:pStyle w:val="1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93A4E">
    <w:pPr>
      <w:pStyle w:val="1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C82472"/>
    <w:multiLevelType w:val="singleLevel"/>
    <w:tmpl w:val="07C82472"/>
    <w:lvl w:ilvl="0" w:tentative="0">
      <w:start w:val="1"/>
      <w:numFmt w:val="decimal"/>
      <w:lvlText w:val="%1."/>
      <w:lvlJc w:val="left"/>
      <w:pPr>
        <w:tabs>
          <w:tab w:val="left" w:pos="312"/>
        </w:tabs>
      </w:pPr>
    </w:lvl>
  </w:abstractNum>
  <w:abstractNum w:abstractNumId="1">
    <w:nsid w:val="155E6A8F"/>
    <w:multiLevelType w:val="multilevel"/>
    <w:tmpl w:val="155E6A8F"/>
    <w:lvl w:ilvl="0" w:tentative="0">
      <w:start w:val="1"/>
      <w:numFmt w:val="decimal"/>
      <w:lvlText w:val="（%1）"/>
      <w:lvlJc w:val="left"/>
      <w:pPr>
        <w:tabs>
          <w:tab w:val="left" w:pos="1571"/>
        </w:tabs>
        <w:ind w:left="1571" w:hanging="720"/>
      </w:pPr>
      <w:rPr>
        <w:rFonts w:ascii="仿宋_GB2312" w:hAnsi="宋体" w:eastAsia="仿宋_GB2312" w:cs="Times New Roman"/>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2">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3">
    <w:nsid w:val="2EE6D39B"/>
    <w:multiLevelType w:val="singleLevel"/>
    <w:tmpl w:val="2EE6D39B"/>
    <w:lvl w:ilvl="0" w:tentative="0">
      <w:start w:val="1"/>
      <w:numFmt w:val="decimal"/>
      <w:lvlText w:val="%1."/>
      <w:lvlJc w:val="left"/>
      <w:pPr>
        <w:tabs>
          <w:tab w:val="left" w:pos="312"/>
        </w:tabs>
      </w:pPr>
    </w:lvl>
  </w:abstractNum>
  <w:abstractNum w:abstractNumId="4">
    <w:nsid w:val="36FA8BA7"/>
    <w:multiLevelType w:val="singleLevel"/>
    <w:tmpl w:val="36FA8BA7"/>
    <w:lvl w:ilvl="0" w:tentative="0">
      <w:start w:val="1"/>
      <w:numFmt w:val="decimal"/>
      <w:lvlText w:val="%1."/>
      <w:lvlJc w:val="left"/>
      <w:pPr>
        <w:tabs>
          <w:tab w:val="left" w:pos="312"/>
        </w:tabs>
      </w:pPr>
    </w:lvl>
  </w:abstractNum>
  <w:abstractNum w:abstractNumId="5">
    <w:nsid w:val="44459D73"/>
    <w:multiLevelType w:val="singleLevel"/>
    <w:tmpl w:val="44459D73"/>
    <w:lvl w:ilvl="0" w:tentative="0">
      <w:start w:val="1"/>
      <w:numFmt w:val="decimal"/>
      <w:lvlText w:val="%1."/>
      <w:lvlJc w:val="left"/>
      <w:pPr>
        <w:tabs>
          <w:tab w:val="left" w:pos="312"/>
        </w:tabs>
      </w:pPr>
    </w:lvl>
  </w:abstractNum>
  <w:abstractNum w:abstractNumId="6">
    <w:nsid w:val="5218506E"/>
    <w:multiLevelType w:val="singleLevel"/>
    <w:tmpl w:val="5218506E"/>
    <w:lvl w:ilvl="0" w:tentative="0">
      <w:start w:val="1"/>
      <w:numFmt w:val="decimal"/>
      <w:lvlText w:val="%1."/>
      <w:lvlJc w:val="left"/>
      <w:pPr>
        <w:tabs>
          <w:tab w:val="left" w:pos="312"/>
        </w:tabs>
      </w:pPr>
    </w:lvl>
  </w:abstractNum>
  <w:abstractNum w:abstractNumId="7">
    <w:nsid w:val="5DDF5777"/>
    <w:multiLevelType w:val="singleLevel"/>
    <w:tmpl w:val="5DDF5777"/>
    <w:lvl w:ilvl="0" w:tentative="0">
      <w:start w:val="1"/>
      <w:numFmt w:val="decimal"/>
      <w:lvlText w:val="%1."/>
      <w:lvlJc w:val="left"/>
      <w:pPr>
        <w:tabs>
          <w:tab w:val="left" w:pos="312"/>
        </w:tabs>
      </w:pPr>
    </w:lvl>
  </w:abstractNum>
  <w:abstractNum w:abstractNumId="8">
    <w:nsid w:val="66E4770E"/>
    <w:multiLevelType w:val="multilevel"/>
    <w:tmpl w:val="66E4770E"/>
    <w:lvl w:ilvl="0" w:tentative="0">
      <w:start w:val="1"/>
      <w:numFmt w:val="decimal"/>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9">
    <w:nsid w:val="7A887ABE"/>
    <w:multiLevelType w:val="singleLevel"/>
    <w:tmpl w:val="7A887ABE"/>
    <w:lvl w:ilvl="0" w:tentative="0">
      <w:start w:val="1"/>
      <w:numFmt w:val="decimal"/>
      <w:lvlText w:val="%1."/>
      <w:lvlJc w:val="left"/>
      <w:pPr>
        <w:tabs>
          <w:tab w:val="left" w:pos="312"/>
        </w:tabs>
      </w:pPr>
    </w:lvl>
  </w:abstractNum>
  <w:num w:numId="1">
    <w:abstractNumId w:val="2"/>
  </w:num>
  <w:num w:numId="2">
    <w:abstractNumId w:val="8"/>
  </w:num>
  <w:num w:numId="3">
    <w:abstractNumId w:val="1"/>
  </w:num>
  <w:num w:numId="4">
    <w:abstractNumId w:val="9"/>
  </w:num>
  <w:num w:numId="5">
    <w:abstractNumId w:val="4"/>
  </w:num>
  <w:num w:numId="6">
    <w:abstractNumId w:val="5"/>
  </w:num>
  <w:num w:numId="7">
    <w:abstractNumId w:val="7"/>
  </w:num>
  <w:num w:numId="8">
    <w:abstractNumId w:val="0"/>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6077CE"/>
    <w:rsid w:val="054E1126"/>
    <w:rsid w:val="088766C0"/>
    <w:rsid w:val="09327206"/>
    <w:rsid w:val="095136F5"/>
    <w:rsid w:val="09CE1022"/>
    <w:rsid w:val="0A1A6D06"/>
    <w:rsid w:val="0AC3213A"/>
    <w:rsid w:val="0AD07850"/>
    <w:rsid w:val="10D64A3D"/>
    <w:rsid w:val="11863FD7"/>
    <w:rsid w:val="1324415D"/>
    <w:rsid w:val="15E87F64"/>
    <w:rsid w:val="17FB56DC"/>
    <w:rsid w:val="181C2EDE"/>
    <w:rsid w:val="19EC0A79"/>
    <w:rsid w:val="1AC9677F"/>
    <w:rsid w:val="1D533628"/>
    <w:rsid w:val="202D7F78"/>
    <w:rsid w:val="28D23155"/>
    <w:rsid w:val="2FF975F4"/>
    <w:rsid w:val="30801AC4"/>
    <w:rsid w:val="30EC4CA1"/>
    <w:rsid w:val="31317A09"/>
    <w:rsid w:val="364E2AF6"/>
    <w:rsid w:val="381F7DBC"/>
    <w:rsid w:val="40012089"/>
    <w:rsid w:val="400E7381"/>
    <w:rsid w:val="420C1409"/>
    <w:rsid w:val="42EC160D"/>
    <w:rsid w:val="46B04A59"/>
    <w:rsid w:val="48147406"/>
    <w:rsid w:val="4A5C64C9"/>
    <w:rsid w:val="4BB6200F"/>
    <w:rsid w:val="4DE366E9"/>
    <w:rsid w:val="514E7348"/>
    <w:rsid w:val="573945F7"/>
    <w:rsid w:val="5A5534F6"/>
    <w:rsid w:val="63D7141F"/>
    <w:rsid w:val="652C7549"/>
    <w:rsid w:val="66AA0A5D"/>
    <w:rsid w:val="6A44187B"/>
    <w:rsid w:val="6DE62422"/>
    <w:rsid w:val="6E246654"/>
    <w:rsid w:val="6FBB1BF5"/>
    <w:rsid w:val="726141B3"/>
    <w:rsid w:val="73325CA9"/>
    <w:rsid w:val="74EE0377"/>
    <w:rsid w:val="77626DFA"/>
    <w:rsid w:val="78964FAD"/>
    <w:rsid w:val="7D2C148F"/>
    <w:rsid w:val="7D747887"/>
    <w:rsid w:val="7E223912"/>
    <w:rsid w:val="7E693DB1"/>
    <w:rsid w:val="7F461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4"/>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6">
    <w:name w:val="heading 3"/>
    <w:basedOn w:val="1"/>
    <w:next w:val="1"/>
    <w:link w:val="39"/>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4">
    <w:name w:val="Normal Indent"/>
    <w:basedOn w:val="1"/>
    <w:next w:val="5"/>
    <w:qFormat/>
    <w:uiPriority w:val="0"/>
    <w:pPr>
      <w:autoSpaceDE w:val="0"/>
      <w:autoSpaceDN w:val="0"/>
      <w:adjustRightInd w:val="0"/>
      <w:ind w:firstLine="420"/>
      <w:jc w:val="left"/>
    </w:pPr>
    <w:rPr>
      <w:rFonts w:ascii="宋体"/>
      <w:kern w:val="0"/>
      <w:sz w:val="24"/>
      <w:szCs w:val="20"/>
    </w:rPr>
  </w:style>
  <w:style w:type="paragraph" w:styleId="5">
    <w:name w:val="toa heading"/>
    <w:basedOn w:val="1"/>
    <w:next w:val="1"/>
    <w:qFormat/>
    <w:uiPriority w:val="0"/>
    <w:pPr>
      <w:spacing w:before="120"/>
    </w:pPr>
    <w:rPr>
      <w:rFonts w:ascii="Cambria" w:hAnsi="Cambria"/>
      <w:sz w:val="24"/>
    </w:rPr>
  </w:style>
  <w:style w:type="paragraph" w:styleId="7">
    <w:name w:val="Body Text"/>
    <w:basedOn w:val="1"/>
    <w:qFormat/>
    <w:uiPriority w:val="0"/>
    <w:pPr>
      <w:tabs>
        <w:tab w:val="left" w:pos="567"/>
      </w:tabs>
      <w:spacing w:before="120" w:line="22" w:lineRule="atLeast"/>
    </w:pPr>
    <w:rPr>
      <w:rFonts w:ascii="宋体" w:hAnsi="宋体"/>
      <w:sz w:val="24"/>
    </w:rPr>
  </w:style>
  <w:style w:type="paragraph" w:styleId="8">
    <w:name w:val="Body Text Indent"/>
    <w:basedOn w:val="1"/>
    <w:next w:val="9"/>
    <w:qFormat/>
    <w:uiPriority w:val="0"/>
    <w:pPr>
      <w:spacing w:line="360" w:lineRule="auto"/>
      <w:ind w:firstLine="570"/>
    </w:pPr>
    <w:rPr>
      <w:sz w:val="24"/>
    </w:rPr>
  </w:style>
  <w:style w:type="paragraph" w:styleId="9">
    <w:name w:val="Body Text First Indent 2"/>
    <w:basedOn w:val="8"/>
    <w:next w:val="4"/>
    <w:qFormat/>
    <w:uiPriority w:val="0"/>
    <w:pPr>
      <w:spacing w:line="360" w:lineRule="auto"/>
      <w:ind w:firstLine="420" w:firstLineChars="200"/>
    </w:pPr>
    <w:rPr>
      <w:rFonts w:ascii="宋体" w:hAnsi="宋体"/>
      <w:szCs w:val="20"/>
    </w:rPr>
  </w:style>
  <w:style w:type="paragraph" w:styleId="10">
    <w:name w:val="toc 3"/>
    <w:basedOn w:val="1"/>
    <w:next w:val="1"/>
    <w:qFormat/>
    <w:uiPriority w:val="39"/>
    <w:pPr>
      <w:tabs>
        <w:tab w:val="left" w:pos="1260"/>
        <w:tab w:val="right" w:leader="dot" w:pos="8630"/>
      </w:tabs>
      <w:ind w:left="840" w:leftChars="400"/>
    </w:pPr>
  </w:style>
  <w:style w:type="paragraph" w:styleId="11">
    <w:name w:val="Plain Text"/>
    <w:basedOn w:val="1"/>
    <w:next w:val="12"/>
    <w:qFormat/>
    <w:uiPriority w:val="0"/>
    <w:rPr>
      <w:rFonts w:ascii="宋体" w:hAnsi="Courier New"/>
      <w:szCs w:val="20"/>
    </w:rPr>
  </w:style>
  <w:style w:type="paragraph" w:styleId="12">
    <w:name w:val="index 7"/>
    <w:basedOn w:val="1"/>
    <w:next w:val="1"/>
    <w:qFormat/>
    <w:uiPriority w:val="0"/>
    <w:pPr>
      <w:autoSpaceDE/>
      <w:autoSpaceDN/>
      <w:adjustRightInd/>
      <w:ind w:left="1200" w:leftChars="1200"/>
    </w:pPr>
    <w:rPr>
      <w:color w:val="auto"/>
      <w:kern w:val="2"/>
      <w:szCs w:val="24"/>
    </w:rPr>
  </w:style>
  <w:style w:type="paragraph" w:styleId="13">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4">
    <w:name w:val="envelope return"/>
    <w:basedOn w:val="1"/>
    <w:qFormat/>
    <w:uiPriority w:val="0"/>
    <w:pPr>
      <w:snapToGrid w:val="0"/>
    </w:pPr>
    <w:rPr>
      <w:rFonts w:ascii="Arial" w:hAnsi="Arial"/>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style>
  <w:style w:type="paragraph" w:styleId="17">
    <w:name w:val="toc 2"/>
    <w:basedOn w:val="1"/>
    <w:next w:val="1"/>
    <w:qFormat/>
    <w:uiPriority w:val="39"/>
    <w:pPr>
      <w:ind w:left="420" w:leftChars="200"/>
    </w:pPr>
  </w:style>
  <w:style w:type="paragraph" w:styleId="18">
    <w:name w:val="Body Text 2"/>
    <w:basedOn w:val="1"/>
    <w:qFormat/>
    <w:uiPriority w:val="0"/>
    <w:pPr>
      <w:adjustRightInd w:val="0"/>
      <w:snapToGrid w:val="0"/>
      <w:spacing w:line="480" w:lineRule="atLeast"/>
    </w:pPr>
    <w:rPr>
      <w:rFonts w:ascii="宋体" w:hAnsi="宋体"/>
      <w:sz w:val="28"/>
    </w:rPr>
  </w:style>
  <w:style w:type="paragraph" w:styleId="19">
    <w:name w:val="Normal (Web)"/>
    <w:basedOn w:val="1"/>
    <w:qFormat/>
    <w:uiPriority w:val="0"/>
    <w:pPr>
      <w:spacing w:before="100" w:beforeAutospacing="1" w:after="100" w:afterAutospacing="1"/>
      <w:ind w:left="0" w:right="0"/>
      <w:jc w:val="left"/>
    </w:pPr>
    <w:rPr>
      <w:kern w:val="0"/>
      <w:sz w:val="24"/>
      <w:lang w:val="en-US" w:eastAsia="zh-CN" w:bidi="ar"/>
    </w:r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page number"/>
    <w:qFormat/>
    <w:uiPriority w:val="0"/>
  </w:style>
  <w:style w:type="character" w:styleId="25">
    <w:name w:val="Hyperlink"/>
    <w:basedOn w:val="22"/>
    <w:qFormat/>
    <w:uiPriority w:val="0"/>
    <w:rPr>
      <w:color w:val="0000FF"/>
      <w:u w:val="single"/>
    </w:rPr>
  </w:style>
  <w:style w:type="paragraph" w:customStyle="1" w:styleId="26">
    <w:name w:val="Default"/>
    <w:next w:val="27"/>
    <w:qFormat/>
    <w:uiPriority w:val="0"/>
    <w:pPr>
      <w:widowControl w:val="0"/>
      <w:autoSpaceDE w:val="0"/>
      <w:autoSpaceDN w:val="0"/>
    </w:pPr>
    <w:rPr>
      <w:rFonts w:ascii="宋体" w:hAnsi="Times New Roman" w:eastAsia="宋体" w:cs="宋体"/>
      <w:color w:val="000000"/>
      <w:sz w:val="24"/>
      <w:szCs w:val="24"/>
      <w:lang w:val="en-US" w:eastAsia="zh-CN" w:bidi="ar-SA"/>
    </w:rPr>
  </w:style>
  <w:style w:type="paragraph" w:customStyle="1" w:styleId="27">
    <w:name w:val="大标题"/>
    <w:basedOn w:val="1"/>
    <w:next w:val="9"/>
    <w:qFormat/>
    <w:uiPriority w:val="0"/>
    <w:pPr>
      <w:jc w:val="center"/>
    </w:pPr>
    <w:rPr>
      <w:rFonts w:ascii="Arial" w:hAnsi="Arial" w:eastAsia="宋体"/>
      <w:b/>
      <w:sz w:val="28"/>
      <w:szCs w:val="24"/>
    </w:rPr>
  </w:style>
  <w:style w:type="character" w:customStyle="1" w:styleId="28">
    <w:name w:val="font71"/>
    <w:basedOn w:val="22"/>
    <w:qFormat/>
    <w:uiPriority w:val="0"/>
    <w:rPr>
      <w:rFonts w:hint="eastAsia" w:ascii="方正仿宋简体" w:hAnsi="方正仿宋简体" w:eastAsia="方正仿宋简体" w:cs="方正仿宋简体"/>
      <w:color w:val="auto"/>
      <w:sz w:val="20"/>
      <w:szCs w:val="20"/>
      <w:u w:val="none"/>
    </w:rPr>
  </w:style>
  <w:style w:type="paragraph" w:customStyle="1" w:styleId="29">
    <w:name w:val="Table Paragraph"/>
    <w:basedOn w:val="1"/>
    <w:qFormat/>
    <w:uiPriority w:val="1"/>
    <w:rPr>
      <w:rFonts w:ascii="宋体" w:hAnsi="宋体" w:eastAsia="宋体" w:cs="宋体"/>
      <w:lang w:val="zh-CN" w:eastAsia="zh-CN" w:bidi="zh-CN"/>
    </w:rPr>
  </w:style>
  <w:style w:type="character" w:customStyle="1" w:styleId="30">
    <w:name w:val="font51"/>
    <w:basedOn w:val="22"/>
    <w:qFormat/>
    <w:uiPriority w:val="0"/>
    <w:rPr>
      <w:rFonts w:ascii="宋体" w:hAnsi="宋体" w:eastAsia="宋体" w:cs="宋体"/>
      <w:b/>
      <w:bCs/>
      <w:color w:val="000000"/>
      <w:sz w:val="24"/>
      <w:szCs w:val="24"/>
      <w:u w:val="none"/>
    </w:rPr>
  </w:style>
  <w:style w:type="character" w:customStyle="1" w:styleId="31">
    <w:name w:val="font31"/>
    <w:basedOn w:val="22"/>
    <w:qFormat/>
    <w:uiPriority w:val="0"/>
    <w:rPr>
      <w:rFonts w:ascii="宋体" w:hAnsi="宋体" w:eastAsia="宋体" w:cs="宋体"/>
      <w:color w:val="000000"/>
      <w:sz w:val="24"/>
      <w:szCs w:val="24"/>
      <w:u w:val="none"/>
    </w:rPr>
  </w:style>
  <w:style w:type="character" w:customStyle="1" w:styleId="32">
    <w:name w:val="font61"/>
    <w:basedOn w:val="22"/>
    <w:qFormat/>
    <w:uiPriority w:val="0"/>
    <w:rPr>
      <w:rFonts w:ascii="宋体" w:hAnsi="宋体" w:eastAsia="宋体" w:cs="宋体"/>
      <w:color w:val="000000"/>
      <w:sz w:val="16"/>
      <w:szCs w:val="16"/>
      <w:u w:val="none"/>
    </w:rPr>
  </w:style>
  <w:style w:type="character" w:customStyle="1" w:styleId="33">
    <w:name w:val="font41"/>
    <w:basedOn w:val="22"/>
    <w:qFormat/>
    <w:uiPriority w:val="0"/>
    <w:rPr>
      <w:rFonts w:ascii="宋体" w:hAnsi="宋体" w:eastAsia="宋体" w:cs="宋体"/>
      <w:color w:val="000000"/>
      <w:sz w:val="20"/>
      <w:szCs w:val="20"/>
      <w:u w:val="none"/>
    </w:rPr>
  </w:style>
  <w:style w:type="character" w:customStyle="1" w:styleId="34">
    <w:name w:val="font11"/>
    <w:basedOn w:val="22"/>
    <w:qFormat/>
    <w:uiPriority w:val="0"/>
    <w:rPr>
      <w:rFonts w:ascii="宋体" w:hAnsi="宋体" w:eastAsia="宋体" w:cs="宋体"/>
      <w:b/>
      <w:bCs/>
      <w:color w:val="000000"/>
      <w:sz w:val="24"/>
      <w:szCs w:val="24"/>
      <w:u w:val="none"/>
    </w:rPr>
  </w:style>
  <w:style w:type="character" w:customStyle="1" w:styleId="35">
    <w:name w:val="font81"/>
    <w:basedOn w:val="22"/>
    <w:qFormat/>
    <w:uiPriority w:val="0"/>
    <w:rPr>
      <w:rFonts w:hint="eastAsia" w:ascii="宋体" w:hAnsi="宋体" w:eastAsia="宋体" w:cs="宋体"/>
      <w:color w:val="000000"/>
      <w:sz w:val="18"/>
      <w:szCs w:val="18"/>
      <w:u w:val="none"/>
    </w:rPr>
  </w:style>
  <w:style w:type="paragraph" w:customStyle="1" w:styleId="36">
    <w:name w:val="Table Text"/>
    <w:basedOn w:val="1"/>
    <w:autoRedefine/>
    <w:semiHidden/>
    <w:qFormat/>
    <w:uiPriority w:val="0"/>
    <w:rPr>
      <w:rFonts w:ascii="仿宋" w:hAnsi="仿宋" w:eastAsia="仿宋" w:cs="仿宋"/>
      <w:sz w:val="24"/>
      <w:szCs w:val="24"/>
      <w:lang w:val="en-US" w:eastAsia="en-US" w:bidi="ar-SA"/>
    </w:rPr>
  </w:style>
  <w:style w:type="table" w:customStyle="1" w:styleId="37">
    <w:name w:val="Table Normal"/>
    <w:autoRedefine/>
    <w:semiHidden/>
    <w:unhideWhenUsed/>
    <w:qFormat/>
    <w:uiPriority w:val="0"/>
    <w:tblPr>
      <w:tblCellMar>
        <w:top w:w="0" w:type="dxa"/>
        <w:left w:w="0" w:type="dxa"/>
        <w:bottom w:w="0" w:type="dxa"/>
        <w:right w:w="0" w:type="dxa"/>
      </w:tblCellMar>
    </w:tblPr>
  </w:style>
  <w:style w:type="paragraph" w:styleId="38">
    <w:name w:val="List Paragraph"/>
    <w:basedOn w:val="1"/>
    <w:autoRedefine/>
    <w:qFormat/>
    <w:uiPriority w:val="1"/>
    <w:pPr>
      <w:ind w:left="582" w:hanging="282"/>
    </w:pPr>
    <w:rPr>
      <w:rFonts w:ascii="宋体" w:hAnsi="宋体" w:eastAsia="宋体" w:cs="宋体"/>
      <w:lang w:eastAsia="en-US" w:bidi="en-US"/>
    </w:rPr>
  </w:style>
  <w:style w:type="character" w:customStyle="1" w:styleId="39">
    <w:name w:val="标题 3 Char"/>
    <w:link w:val="6"/>
    <w:qFormat/>
    <w:uiPriority w:val="0"/>
    <w:rPr>
      <w:rFonts w:ascii="宋体"/>
      <w:b/>
      <w:kern w:val="0"/>
      <w:sz w:val="24"/>
      <w:szCs w:val="20"/>
      <w:u w:val="single"/>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8.xml"/><Relationship Id="rId23" Type="http://schemas.openxmlformats.org/officeDocument/2006/relationships/header" Target="header4.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122</Pages>
  <Words>16103</Words>
  <Characters>17027</Characters>
  <Lines>1</Lines>
  <Paragraphs>1</Paragraphs>
  <TotalTime>9</TotalTime>
  <ScaleCrop>false</ScaleCrop>
  <LinksUpToDate>false</LinksUpToDate>
  <CharactersWithSpaces>18933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2025-04-23T04:11:00Z</dcterms:created>
  <dc:creator>梦。</dc:creator>
  <cp:lastModifiedBy>谎伴</cp:lastModifiedBy>
  <cp:lastPrinted>2025-06-22T11:30:38Z</cp:lastPrinted>
  <dcterms:modified xsi:type="dcterms:W3CDTF">2025-06-22T12:17:57Z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AFAF8AEF82CF41239B1FC0FA00AA923D_13</vt:lpwstr>
  </property>
  <property fmtid="{D5CDD505-2E9C-101B-9397-08002B2CF9AE}" pid="4" name="KSOTemplateDocerSaveRecord">
    <vt:lpwstr>eyJoZGlkIjoiZDIzMmI5MjFiMjc2MjkwMzJiZjQ0ZTc1MmU2ZTY3NjIiLCJ1c2VySWQiOiIyNjU2MDE1NjcifQ==</vt:lpwstr>
  </property>
</Properties>
</file>