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4DDDC">
      <w:pPr>
        <w:pStyle w:val="28"/>
        <w:spacing w:line="360" w:lineRule="auto"/>
        <w:jc w:val="center"/>
        <w:rPr>
          <w:rFonts w:hint="eastAsia" w:ascii="微软雅黑" w:hAnsi="微软雅黑" w:eastAsia="微软雅黑" w:cs="微软雅黑"/>
          <w:b/>
          <w:kern w:val="2"/>
          <w:sz w:val="44"/>
          <w:szCs w:val="44"/>
          <w:lang w:val="en-US" w:eastAsia="zh-CN" w:bidi="ar-SA"/>
        </w:rPr>
      </w:pPr>
      <w:bookmarkStart w:id="0" w:name="_Toc3200"/>
    </w:p>
    <w:p w14:paraId="1C86AD1B">
      <w:pPr>
        <w:pStyle w:val="28"/>
        <w:spacing w:line="360" w:lineRule="auto"/>
        <w:jc w:val="center"/>
        <w:rPr>
          <w:rFonts w:hint="eastAsia" w:ascii="微软雅黑" w:hAnsi="微软雅黑" w:eastAsia="微软雅黑" w:cs="微软雅黑"/>
          <w:b/>
          <w:kern w:val="2"/>
          <w:sz w:val="44"/>
          <w:szCs w:val="44"/>
          <w:lang w:val="en-US" w:eastAsia="zh-CN" w:bidi="ar-SA"/>
        </w:rPr>
      </w:pPr>
      <w:r>
        <w:rPr>
          <w:rFonts w:hint="eastAsia" w:ascii="微软雅黑" w:hAnsi="微软雅黑" w:eastAsia="微软雅黑" w:cs="微软雅黑"/>
          <w:b/>
          <w:kern w:val="2"/>
          <w:sz w:val="44"/>
          <w:szCs w:val="44"/>
          <w:lang w:val="en-US" w:eastAsia="zh-CN" w:bidi="ar-SA"/>
        </w:rPr>
        <w:t>喀什市新能源公交车采购项目（二次）</w:t>
      </w:r>
    </w:p>
    <w:p w14:paraId="02E3EB9F">
      <w:pPr>
        <w:spacing w:line="240" w:lineRule="atLeast"/>
        <w:jc w:val="center"/>
        <w:rPr>
          <w:rFonts w:hint="eastAsia" w:ascii="微软雅黑" w:hAnsi="微软雅黑" w:eastAsia="微软雅黑" w:cs="微软雅黑"/>
          <w:b/>
          <w:kern w:val="2"/>
          <w:sz w:val="44"/>
          <w:szCs w:val="44"/>
          <w:lang w:val="en-US" w:eastAsia="zh-CN" w:bidi="ar-SA"/>
        </w:rPr>
      </w:pPr>
      <w:r>
        <w:rPr>
          <w:rFonts w:hint="eastAsia" w:ascii="微软雅黑" w:hAnsi="微软雅黑" w:eastAsia="微软雅黑" w:cs="微软雅黑"/>
          <w:b/>
          <w:kern w:val="2"/>
          <w:sz w:val="44"/>
          <w:szCs w:val="44"/>
          <w:lang w:val="en-US" w:eastAsia="zh-CN" w:bidi="ar-SA"/>
        </w:rPr>
        <w:t>招标文件</w:t>
      </w:r>
    </w:p>
    <w:p w14:paraId="4651733B">
      <w:pPr>
        <w:spacing w:line="240" w:lineRule="atLeast"/>
        <w:jc w:val="both"/>
        <w:rPr>
          <w:rFonts w:hint="eastAsia" w:ascii="微软雅黑" w:hAnsi="微软雅黑" w:eastAsia="微软雅黑" w:cs="微软雅黑"/>
          <w:b/>
          <w:bCs/>
          <w:kern w:val="0"/>
          <w:sz w:val="28"/>
          <w:szCs w:val="28"/>
          <w:highlight w:val="none"/>
          <w:shd w:val="clear" w:color="auto" w:fill="FFFFFF"/>
          <w:lang w:eastAsia="zh-CN"/>
        </w:rPr>
      </w:pPr>
    </w:p>
    <w:p w14:paraId="3DC28BF7">
      <w:pPr>
        <w:spacing w:line="240" w:lineRule="atLeast"/>
        <w:jc w:val="center"/>
        <w:rPr>
          <w:rFonts w:hint="eastAsia" w:ascii="微软雅黑" w:hAnsi="微软雅黑" w:eastAsia="微软雅黑" w:cs="微软雅黑"/>
          <w:b/>
          <w:bCs/>
          <w:kern w:val="0"/>
          <w:sz w:val="32"/>
          <w:szCs w:val="32"/>
          <w:highlight w:val="none"/>
          <w:shd w:val="clear" w:color="auto" w:fill="FFFFFF"/>
          <w:lang w:val="en-US" w:eastAsia="zh-CN"/>
        </w:rPr>
      </w:pPr>
      <w:r>
        <w:rPr>
          <w:rFonts w:hint="eastAsia" w:ascii="微软雅黑" w:hAnsi="微软雅黑" w:eastAsia="微软雅黑" w:cs="微软雅黑"/>
          <w:b/>
          <w:bCs/>
          <w:kern w:val="0"/>
          <w:sz w:val="28"/>
          <w:szCs w:val="28"/>
          <w:highlight w:val="none"/>
          <w:shd w:val="clear" w:color="auto" w:fill="FFFFFF"/>
          <w:lang w:eastAsia="zh-CN"/>
        </w:rPr>
        <w:t>项目编号：</w:t>
      </w:r>
      <w:r>
        <w:rPr>
          <w:rFonts w:hint="eastAsia" w:ascii="微软雅黑" w:hAnsi="微软雅黑" w:eastAsia="微软雅黑" w:cs="微软雅黑"/>
          <w:b/>
          <w:bCs/>
          <w:color w:val="auto"/>
          <w:kern w:val="0"/>
          <w:sz w:val="28"/>
          <w:szCs w:val="28"/>
          <w:highlight w:val="none"/>
          <w:shd w:val="clear" w:color="auto" w:fill="FFFFFF"/>
          <w:lang w:eastAsia="zh-CN"/>
        </w:rPr>
        <w:t>KSMYCG2025-094-01</w:t>
      </w:r>
    </w:p>
    <w:p w14:paraId="509DED3B">
      <w:pPr>
        <w:pStyle w:val="40"/>
        <w:ind w:left="0" w:leftChars="0" w:firstLine="0" w:firstLineChars="0"/>
        <w:rPr>
          <w:rFonts w:hint="eastAsia"/>
        </w:rPr>
      </w:pPr>
    </w:p>
    <w:p w14:paraId="13AD1615">
      <w:pPr>
        <w:adjustRightInd w:val="0"/>
        <w:snapToGrid w:val="0"/>
        <w:spacing w:line="480" w:lineRule="auto"/>
        <w:ind w:left="420" w:leftChars="200" w:firstLine="600" w:firstLineChars="200"/>
        <w:jc w:val="left"/>
        <w:rPr>
          <w:rFonts w:hint="eastAsia" w:ascii="微软雅黑" w:hAnsi="微软雅黑" w:eastAsia="微软雅黑" w:cs="微软雅黑"/>
          <w:color w:val="auto"/>
          <w:sz w:val="30"/>
          <w:szCs w:val="30"/>
        </w:rPr>
      </w:pPr>
    </w:p>
    <w:p w14:paraId="4DAB8CB8">
      <w:pPr>
        <w:adjustRightInd w:val="0"/>
        <w:snapToGrid w:val="0"/>
        <w:spacing w:line="480" w:lineRule="auto"/>
        <w:ind w:left="420" w:leftChars="200" w:firstLine="600" w:firstLineChars="200"/>
        <w:jc w:val="left"/>
        <w:rPr>
          <w:rFonts w:hint="default"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rPr>
        <w:t>采 购 人：</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lang w:eastAsia="zh-CN"/>
        </w:rPr>
        <w:t>喀什市交通运输局</w:t>
      </w:r>
      <w:r>
        <w:rPr>
          <w:rFonts w:hint="eastAsia" w:ascii="微软雅黑" w:hAnsi="微软雅黑" w:eastAsia="微软雅黑" w:cs="微软雅黑"/>
          <w:color w:val="auto"/>
          <w:sz w:val="30"/>
          <w:szCs w:val="30"/>
          <w:u w:val="single"/>
          <w:lang w:val="en-US" w:eastAsia="zh-CN"/>
        </w:rPr>
        <w:t xml:space="preserve">            </w:t>
      </w:r>
    </w:p>
    <w:p w14:paraId="0339459B">
      <w:pPr>
        <w:adjustRightInd w:val="0"/>
        <w:snapToGrid w:val="0"/>
        <w:spacing w:line="480" w:lineRule="auto"/>
        <w:ind w:left="420" w:leftChars="200" w:firstLine="600" w:firstLineChars="200"/>
        <w:jc w:val="left"/>
        <w:rPr>
          <w:rFonts w:hint="eastAsia" w:ascii="微软雅黑" w:hAnsi="微软雅黑" w:eastAsia="微软雅黑" w:cs="微软雅黑"/>
          <w:color w:val="auto"/>
          <w:sz w:val="30"/>
          <w:szCs w:val="30"/>
          <w:u w:val="single"/>
          <w:lang w:val="en-US" w:eastAsia="zh-CN"/>
        </w:rPr>
      </w:pPr>
      <w:r>
        <w:rPr>
          <w:rFonts w:hint="eastAsia" w:ascii="微软雅黑" w:hAnsi="微软雅黑" w:eastAsia="微软雅黑" w:cs="微软雅黑"/>
          <w:color w:val="auto"/>
          <w:sz w:val="30"/>
          <w:szCs w:val="30"/>
        </w:rPr>
        <w:t>联 系 人：</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lang w:eastAsia="zh-CN"/>
        </w:rPr>
        <w:t>董武凡</w:t>
      </w:r>
      <w:r>
        <w:rPr>
          <w:rFonts w:hint="eastAsia" w:ascii="微软雅黑" w:hAnsi="微软雅黑" w:eastAsia="微软雅黑" w:cs="微软雅黑"/>
          <w:color w:val="auto"/>
          <w:sz w:val="30"/>
          <w:szCs w:val="30"/>
          <w:u w:val="single"/>
        </w:rPr>
        <w:t xml:space="preserve">                  </w:t>
      </w:r>
    </w:p>
    <w:p w14:paraId="3E8AFD4D">
      <w:pPr>
        <w:adjustRightInd w:val="0"/>
        <w:snapToGrid w:val="0"/>
        <w:spacing w:line="480" w:lineRule="auto"/>
        <w:ind w:left="420" w:leftChars="200" w:firstLine="600" w:firstLineChars="200"/>
        <w:jc w:val="left"/>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rPr>
        <w:t>联系电话：</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17799661228</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rPr>
        <w:t xml:space="preserve">   </w:t>
      </w:r>
    </w:p>
    <w:p w14:paraId="642BC1D8">
      <w:pPr>
        <w:adjustRightInd w:val="0"/>
        <w:snapToGrid w:val="0"/>
        <w:spacing w:line="480" w:lineRule="auto"/>
        <w:ind w:left="420" w:leftChars="200" w:firstLine="600" w:firstLineChars="200"/>
        <w:jc w:val="left"/>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rPr>
        <w:t>代理机构：</w:t>
      </w:r>
      <w:r>
        <w:rPr>
          <w:rFonts w:hint="eastAsia" w:ascii="微软雅黑" w:hAnsi="微软雅黑" w:eastAsia="微软雅黑" w:cs="微软雅黑"/>
          <w:color w:val="auto"/>
          <w:sz w:val="30"/>
          <w:szCs w:val="30"/>
          <w:u w:val="single"/>
        </w:rPr>
        <w:t>喀什铭远建设工程项目管理咨询有限公司</w:t>
      </w:r>
      <w:r>
        <w:rPr>
          <w:rFonts w:hint="eastAsia" w:ascii="微软雅黑" w:hAnsi="微软雅黑" w:eastAsia="微软雅黑" w:cs="微软雅黑"/>
          <w:color w:val="auto"/>
          <w:sz w:val="30"/>
          <w:szCs w:val="30"/>
          <w:u w:val="single"/>
          <w:lang w:val="en-US" w:eastAsia="zh-CN"/>
        </w:rPr>
        <w:t xml:space="preserve">  </w:t>
      </w:r>
    </w:p>
    <w:p w14:paraId="7810E9F6">
      <w:pPr>
        <w:adjustRightInd w:val="0"/>
        <w:snapToGrid w:val="0"/>
        <w:spacing w:line="480" w:lineRule="auto"/>
        <w:ind w:left="420" w:leftChars="200" w:firstLine="600" w:firstLineChars="200"/>
        <w:jc w:val="left"/>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rPr>
        <w:t>联 系 人：</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lang w:eastAsia="zh-CN"/>
        </w:rPr>
        <w:t>杨艳</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p>
    <w:p w14:paraId="3C1E8B09">
      <w:pPr>
        <w:adjustRightInd w:val="0"/>
        <w:snapToGrid w:val="0"/>
        <w:spacing w:line="480" w:lineRule="auto"/>
        <w:ind w:left="420" w:leftChars="200" w:firstLine="600" w:firstLineChars="200"/>
        <w:jc w:val="left"/>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rPr>
        <w:t>联系电话：</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lang w:eastAsia="zh-CN"/>
        </w:rPr>
        <w:t>13565944723</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rPr>
        <w:t xml:space="preserve">          </w:t>
      </w:r>
    </w:p>
    <w:p w14:paraId="5DA21E22">
      <w:pPr>
        <w:pageBreakBefore w:val="0"/>
        <w:kinsoku/>
        <w:overflowPunct/>
        <w:bidi w:val="0"/>
        <w:snapToGrid w:val="0"/>
        <w:spacing w:line="312" w:lineRule="auto"/>
        <w:jc w:val="center"/>
        <w:outlineLvl w:val="9"/>
        <w:rPr>
          <w:rFonts w:hint="eastAsia" w:ascii="微软雅黑" w:hAnsi="微软雅黑" w:eastAsia="微软雅黑" w:cs="微软雅黑"/>
          <w:color w:val="auto"/>
          <w:sz w:val="30"/>
          <w:szCs w:val="30"/>
        </w:rPr>
      </w:pPr>
    </w:p>
    <w:p w14:paraId="57A5665A">
      <w:pPr>
        <w:pageBreakBefore w:val="0"/>
        <w:kinsoku/>
        <w:overflowPunct/>
        <w:bidi w:val="0"/>
        <w:snapToGrid w:val="0"/>
        <w:spacing w:line="312" w:lineRule="auto"/>
        <w:jc w:val="center"/>
        <w:outlineLvl w:val="9"/>
        <w:rPr>
          <w:rFonts w:hint="eastAsia" w:ascii="微软雅黑" w:hAnsi="微软雅黑" w:eastAsia="微软雅黑" w:cs="微软雅黑"/>
          <w:color w:val="auto"/>
          <w:sz w:val="30"/>
          <w:szCs w:val="30"/>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r>
        <w:rPr>
          <w:rFonts w:hint="eastAsia" w:ascii="微软雅黑" w:hAnsi="微软雅黑" w:eastAsia="微软雅黑" w:cs="微软雅黑"/>
          <w:color w:val="auto"/>
          <w:sz w:val="30"/>
          <w:szCs w:val="30"/>
        </w:rPr>
        <w:t>二〇二</w:t>
      </w:r>
      <w:r>
        <w:rPr>
          <w:rFonts w:hint="eastAsia" w:ascii="微软雅黑" w:hAnsi="微软雅黑" w:eastAsia="微软雅黑" w:cs="微软雅黑"/>
          <w:color w:val="auto"/>
          <w:sz w:val="30"/>
          <w:szCs w:val="30"/>
          <w:lang w:eastAsia="zh-CN"/>
        </w:rPr>
        <w:t>五</w:t>
      </w:r>
      <w:r>
        <w:rPr>
          <w:rFonts w:hint="eastAsia" w:ascii="微软雅黑" w:hAnsi="微软雅黑" w:eastAsia="微软雅黑" w:cs="微软雅黑"/>
          <w:color w:val="auto"/>
          <w:sz w:val="30"/>
          <w:szCs w:val="30"/>
        </w:rPr>
        <w:t>年</w:t>
      </w:r>
      <w:r>
        <w:rPr>
          <w:rFonts w:hint="eastAsia" w:ascii="微软雅黑" w:hAnsi="微软雅黑" w:eastAsia="微软雅黑" w:cs="微软雅黑"/>
          <w:color w:val="auto"/>
          <w:sz w:val="30"/>
          <w:szCs w:val="30"/>
          <w:lang w:val="en-US" w:eastAsia="zh-CN"/>
        </w:rPr>
        <w:t>七</w:t>
      </w:r>
      <w:r>
        <w:rPr>
          <w:rFonts w:hint="eastAsia" w:ascii="微软雅黑" w:hAnsi="微软雅黑" w:eastAsia="微软雅黑" w:cs="微软雅黑"/>
          <w:color w:val="auto"/>
          <w:sz w:val="30"/>
          <w:szCs w:val="30"/>
        </w:rPr>
        <w:t>月</w:t>
      </w:r>
    </w:p>
    <w:p w14:paraId="4D190533">
      <w:pPr>
        <w:keepNext w:val="0"/>
        <w:keepLines w:val="0"/>
        <w:pageBreakBefore w:val="0"/>
        <w:widowControl w:val="0"/>
        <w:tabs>
          <w:tab w:val="left" w:pos="8400"/>
        </w:tabs>
        <w:kinsoku/>
        <w:wordWrap/>
        <w:overflowPunct/>
        <w:topLinePunct w:val="0"/>
        <w:autoSpaceDE/>
        <w:autoSpaceDN/>
        <w:bidi w:val="0"/>
        <w:adjustRightInd/>
        <w:snapToGrid w:val="0"/>
        <w:spacing w:line="312" w:lineRule="auto"/>
        <w:jc w:val="center"/>
        <w:textAlignment w:val="auto"/>
        <w:outlineLvl w:val="0"/>
        <w:rPr>
          <w:rFonts w:hint="eastAsia" w:ascii="微软雅黑" w:hAnsi="微软雅黑" w:eastAsia="微软雅黑" w:cs="微软雅黑"/>
          <w:b/>
          <w:color w:val="auto"/>
          <w:sz w:val="28"/>
          <w:szCs w:val="28"/>
          <w:highlight w:val="none"/>
        </w:rPr>
        <w:sectPr>
          <w:headerReference r:id="rId5" w:type="default"/>
          <w:footerReference r:id="rId6" w:type="default"/>
          <w:pgSz w:w="11906" w:h="16838"/>
          <w:pgMar w:top="1440" w:right="1800" w:bottom="1440" w:left="1800" w:header="851" w:footer="992" w:gutter="0"/>
          <w:pgNumType w:fmt="decimal"/>
          <w:cols w:space="720" w:num="1"/>
          <w:docGrid w:type="linesAndChars" w:linePitch="312" w:charSpace="0"/>
        </w:sectPr>
      </w:pPr>
    </w:p>
    <w:p w14:paraId="2FDA361D">
      <w:pPr>
        <w:keepNext w:val="0"/>
        <w:keepLines w:val="0"/>
        <w:pageBreakBefore w:val="0"/>
        <w:widowControl w:val="0"/>
        <w:tabs>
          <w:tab w:val="left" w:pos="8400"/>
        </w:tabs>
        <w:kinsoku/>
        <w:wordWrap/>
        <w:overflowPunct/>
        <w:topLinePunct w:val="0"/>
        <w:autoSpaceDE/>
        <w:autoSpaceDN/>
        <w:bidi w:val="0"/>
        <w:adjustRightInd/>
        <w:snapToGrid w:val="0"/>
        <w:spacing w:line="312" w:lineRule="auto"/>
        <w:jc w:val="center"/>
        <w:textAlignment w:val="auto"/>
        <w:outlineLvl w:val="0"/>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目  录</w:t>
      </w:r>
      <w:bookmarkEnd w:id="0"/>
    </w:p>
    <w:p w14:paraId="1BF2208F">
      <w:pPr>
        <w:pStyle w:val="104"/>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TOC \o "1-3" \h \u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_Toc25942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32"/>
          <w:highlight w:val="none"/>
          <w:lang w:eastAsia="zh-CN"/>
        </w:rPr>
        <w:t>第</w:t>
      </w:r>
      <w:r>
        <w:rPr>
          <w:rFonts w:hint="eastAsia" w:ascii="微软雅黑" w:hAnsi="微软雅黑" w:eastAsia="微软雅黑" w:cs="微软雅黑"/>
          <w:color w:val="auto"/>
          <w:sz w:val="21"/>
          <w:szCs w:val="32"/>
          <w:highlight w:val="none"/>
          <w:lang w:val="en-US" w:eastAsia="zh-CN"/>
        </w:rPr>
        <w:t>1章</w:t>
      </w:r>
      <w:r>
        <w:rPr>
          <w:rFonts w:hint="eastAsia" w:ascii="微软雅黑" w:hAnsi="微软雅黑" w:eastAsia="微软雅黑" w:cs="微软雅黑"/>
          <w:color w:val="auto"/>
          <w:sz w:val="21"/>
          <w:szCs w:val="32"/>
          <w:highlight w:val="none"/>
        </w:rPr>
        <w:t xml:space="preserve"> </w:t>
      </w:r>
      <w:r>
        <w:rPr>
          <w:rFonts w:hint="eastAsia" w:ascii="微软雅黑" w:hAnsi="微软雅黑" w:eastAsia="微软雅黑" w:cs="微软雅黑"/>
          <w:color w:val="auto"/>
          <w:sz w:val="21"/>
          <w:szCs w:val="32"/>
          <w:highlight w:val="none"/>
          <w:lang w:val="en-US" w:eastAsia="zh-CN"/>
        </w:rPr>
        <w:t xml:space="preserve"> </w:t>
      </w:r>
      <w:r>
        <w:rPr>
          <w:rFonts w:hint="eastAsia" w:ascii="微软雅黑" w:hAnsi="微软雅黑" w:eastAsia="微软雅黑" w:cs="微软雅黑"/>
          <w:color w:val="auto"/>
          <w:sz w:val="21"/>
          <w:szCs w:val="32"/>
          <w:highlight w:val="none"/>
        </w:rPr>
        <w:t>投标人须知</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_Toc25942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27FD871">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_Toc25081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一</w:t>
      </w:r>
      <w:r>
        <w:rPr>
          <w:rFonts w:hint="eastAsia" w:ascii="微软雅黑" w:hAnsi="微软雅黑" w:eastAsia="微软雅黑" w:cs="微软雅黑"/>
          <w:color w:val="auto"/>
          <w:sz w:val="21"/>
          <w:szCs w:val="24"/>
          <w:highlight w:val="none"/>
          <w:lang w:eastAsia="zh-CN"/>
        </w:rPr>
        <w:t>、</w:t>
      </w:r>
      <w:r>
        <w:rPr>
          <w:rFonts w:hint="eastAsia" w:ascii="微软雅黑" w:hAnsi="微软雅黑" w:eastAsia="微软雅黑" w:cs="微软雅黑"/>
          <w:color w:val="auto"/>
          <w:sz w:val="21"/>
          <w:szCs w:val="24"/>
          <w:highlight w:val="none"/>
        </w:rPr>
        <w:t>总  则</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_Toc25081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88664FA">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_Toc283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1.采购人、采购代理机构及投标人</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_Toc283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930270E">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_Toc5895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2.资金来源</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_Toc5895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6ED5D21">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_Toc9211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3.投标费用</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_Toc9211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C0034BF">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_Toc22247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4.适用法律</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_Toc22247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11690B38">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_Toc7937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二</w:t>
      </w:r>
      <w:r>
        <w:rPr>
          <w:rFonts w:hint="eastAsia" w:ascii="微软雅黑" w:hAnsi="微软雅黑" w:eastAsia="微软雅黑" w:cs="微软雅黑"/>
          <w:color w:val="auto"/>
          <w:sz w:val="21"/>
          <w:szCs w:val="24"/>
          <w:highlight w:val="none"/>
          <w:lang w:eastAsia="zh-CN"/>
        </w:rPr>
        <w:t>、招标文件</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_Toc7937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549FC77A">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_Toc6534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5.</w:t>
      </w:r>
      <w:r>
        <w:rPr>
          <w:rFonts w:hint="eastAsia" w:ascii="微软雅黑" w:hAnsi="微软雅黑" w:eastAsia="微软雅黑" w:cs="微软雅黑"/>
          <w:color w:val="auto"/>
          <w:sz w:val="21"/>
          <w:szCs w:val="24"/>
          <w:highlight w:val="none"/>
          <w:lang w:eastAsia="zh-CN"/>
        </w:rPr>
        <w:t>招标文件</w:t>
      </w:r>
      <w:r>
        <w:rPr>
          <w:rFonts w:hint="eastAsia" w:ascii="微软雅黑" w:hAnsi="微软雅黑" w:eastAsia="微软雅黑" w:cs="微软雅黑"/>
          <w:color w:val="auto"/>
          <w:sz w:val="21"/>
          <w:szCs w:val="24"/>
          <w:highlight w:val="none"/>
        </w:rPr>
        <w:t>构成</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_Toc6534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964BCA5">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_Toc20606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6.</w:t>
      </w:r>
      <w:r>
        <w:rPr>
          <w:rFonts w:hint="eastAsia" w:ascii="微软雅黑" w:hAnsi="微软雅黑" w:eastAsia="微软雅黑" w:cs="微软雅黑"/>
          <w:color w:val="auto"/>
          <w:sz w:val="21"/>
          <w:szCs w:val="24"/>
          <w:highlight w:val="none"/>
          <w:lang w:eastAsia="zh-CN"/>
        </w:rPr>
        <w:t>招标文件</w:t>
      </w:r>
      <w:r>
        <w:rPr>
          <w:rFonts w:hint="eastAsia" w:ascii="微软雅黑" w:hAnsi="微软雅黑" w:eastAsia="微软雅黑" w:cs="微软雅黑"/>
          <w:color w:val="auto"/>
          <w:sz w:val="21"/>
          <w:szCs w:val="24"/>
          <w:highlight w:val="none"/>
        </w:rPr>
        <w:t>的澄清与修改</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_Toc20606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7312A26A">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_Toc2994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7.投标截止时间的顺延</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_Toc2994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0D143E59">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_Toc32744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三</w:t>
      </w:r>
      <w:r>
        <w:rPr>
          <w:rFonts w:hint="eastAsia" w:ascii="微软雅黑" w:hAnsi="微软雅黑" w:eastAsia="微软雅黑" w:cs="微软雅黑"/>
          <w:color w:val="auto"/>
          <w:sz w:val="21"/>
          <w:szCs w:val="24"/>
          <w:highlight w:val="none"/>
          <w:lang w:eastAsia="zh-CN"/>
        </w:rPr>
        <w:t>、</w:t>
      </w:r>
      <w:r>
        <w:rPr>
          <w:rFonts w:hint="eastAsia" w:ascii="微软雅黑" w:hAnsi="微软雅黑" w:eastAsia="微软雅黑" w:cs="微软雅黑"/>
          <w:color w:val="auto"/>
          <w:sz w:val="21"/>
          <w:szCs w:val="24"/>
          <w:highlight w:val="none"/>
        </w:rPr>
        <w:t>投标文件的编制</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_Toc32744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33DFED8D">
      <w:pPr>
        <w:pStyle w:val="106"/>
        <w:keepNext w:val="0"/>
        <w:keepLines w:val="0"/>
        <w:pageBreakBefore w:val="0"/>
        <w:tabs>
          <w:tab w:val="right" w:pos="3600"/>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_Toc11779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8.</w:t>
      </w:r>
      <w:r>
        <w:rPr>
          <w:rFonts w:hint="eastAsia" w:ascii="微软雅黑" w:hAnsi="微软雅黑" w:eastAsia="微软雅黑" w:cs="微软雅黑"/>
          <w:color w:val="auto"/>
          <w:sz w:val="21"/>
          <w:szCs w:val="24"/>
          <w:highlight w:val="none"/>
        </w:rPr>
        <w:tab/>
      </w:r>
      <w:r>
        <w:rPr>
          <w:rFonts w:hint="eastAsia" w:ascii="微软雅黑" w:hAnsi="微软雅黑" w:eastAsia="微软雅黑" w:cs="微软雅黑"/>
          <w:color w:val="auto"/>
          <w:sz w:val="21"/>
          <w:szCs w:val="24"/>
          <w:highlight w:val="none"/>
        </w:rPr>
        <w:t>投标范围及投标文件中标准和计量单位的使用</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_Toc11779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04FE5B7D">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_Toc20207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9.投标文件构成</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_Toc20207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00DD5CF6">
      <w:pPr>
        <w:pStyle w:val="106"/>
        <w:keepNext w:val="0"/>
        <w:keepLines w:val="0"/>
        <w:pageBreakBefore w:val="0"/>
        <w:tabs>
          <w:tab w:val="right" w:pos="3600"/>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_Toc18470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10.</w:t>
      </w:r>
      <w:r>
        <w:rPr>
          <w:rFonts w:hint="eastAsia" w:ascii="微软雅黑" w:hAnsi="微软雅黑" w:eastAsia="微软雅黑" w:cs="微软雅黑"/>
          <w:color w:val="auto"/>
          <w:sz w:val="21"/>
          <w:szCs w:val="24"/>
          <w:highlight w:val="none"/>
        </w:rPr>
        <w:tab/>
      </w:r>
      <w:r>
        <w:rPr>
          <w:rFonts w:hint="eastAsia" w:ascii="微软雅黑" w:hAnsi="微软雅黑" w:eastAsia="微软雅黑" w:cs="微软雅黑"/>
          <w:color w:val="auto"/>
          <w:sz w:val="21"/>
          <w:szCs w:val="24"/>
          <w:highlight w:val="none"/>
        </w:rPr>
        <w:t>证明投标标的的合格性和符合</w:t>
      </w:r>
      <w:r>
        <w:rPr>
          <w:rFonts w:hint="eastAsia" w:ascii="微软雅黑" w:hAnsi="微软雅黑" w:eastAsia="微软雅黑" w:cs="微软雅黑"/>
          <w:color w:val="auto"/>
          <w:sz w:val="21"/>
          <w:szCs w:val="24"/>
          <w:highlight w:val="none"/>
          <w:lang w:eastAsia="zh-CN"/>
        </w:rPr>
        <w:t>招标文件</w:t>
      </w:r>
      <w:r>
        <w:rPr>
          <w:rFonts w:hint="eastAsia" w:ascii="微软雅黑" w:hAnsi="微软雅黑" w:eastAsia="微软雅黑" w:cs="微软雅黑"/>
          <w:color w:val="auto"/>
          <w:sz w:val="21"/>
          <w:szCs w:val="24"/>
          <w:highlight w:val="none"/>
        </w:rPr>
        <w:t>规定的投标文件</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_Toc18470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6FE54750">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_Toc28537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11.投标报价</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_Toc28537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1F1A259E">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_Toc24193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kern w:val="0"/>
          <w:sz w:val="21"/>
          <w:szCs w:val="24"/>
          <w:highlight w:val="none"/>
          <w:lang w:val="en-US" w:eastAsia="zh-CN" w:bidi="ar-SA"/>
        </w:rPr>
        <w:t>12.投标保证金</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_Toc24193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61267FFE">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_Toc13609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13.投标有效期</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_Toc13609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7</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52BE61B1">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_Toc22797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14.</w:t>
      </w:r>
      <w:r>
        <w:rPr>
          <w:rFonts w:hint="eastAsia" w:ascii="微软雅黑" w:hAnsi="微软雅黑" w:eastAsia="微软雅黑" w:cs="微软雅黑"/>
          <w:color w:val="auto"/>
          <w:sz w:val="21"/>
          <w:szCs w:val="24"/>
          <w:highlight w:val="none"/>
          <w:lang w:eastAsia="zh-CN"/>
        </w:rPr>
        <w:t>投标</w:t>
      </w:r>
      <w:r>
        <w:rPr>
          <w:rFonts w:hint="eastAsia" w:ascii="微软雅黑" w:hAnsi="微软雅黑" w:eastAsia="微软雅黑" w:cs="微软雅黑"/>
          <w:bCs/>
          <w:color w:val="auto"/>
          <w:kern w:val="2"/>
          <w:sz w:val="21"/>
          <w:szCs w:val="24"/>
          <w:highlight w:val="none"/>
          <w:lang w:val="en-US" w:eastAsia="zh-CN" w:bidi="ar-SA"/>
        </w:rPr>
        <w:t>文件的签署及规定</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_Toc22797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8</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029BAE08">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_Toc22935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四</w:t>
      </w:r>
      <w:r>
        <w:rPr>
          <w:rFonts w:hint="eastAsia" w:ascii="微软雅黑" w:hAnsi="微软雅黑" w:eastAsia="微软雅黑" w:cs="微软雅黑"/>
          <w:color w:val="auto"/>
          <w:sz w:val="21"/>
          <w:szCs w:val="24"/>
          <w:highlight w:val="none"/>
          <w:lang w:eastAsia="zh-CN"/>
        </w:rPr>
        <w:t>、</w:t>
      </w:r>
      <w:r>
        <w:rPr>
          <w:rFonts w:hint="eastAsia" w:ascii="微软雅黑" w:hAnsi="微软雅黑" w:eastAsia="微软雅黑" w:cs="微软雅黑"/>
          <w:color w:val="auto"/>
          <w:sz w:val="21"/>
          <w:szCs w:val="24"/>
          <w:highlight w:val="none"/>
        </w:rPr>
        <w:t>投标文件的递交</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_Toc22935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8</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1767A91A">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_Toc70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15.投标文件的密封和标记</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_Toc70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8</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63D071E">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_Toc3202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bCs/>
          <w:color w:val="auto"/>
          <w:kern w:val="2"/>
          <w:sz w:val="21"/>
          <w:szCs w:val="24"/>
          <w:highlight w:val="none"/>
          <w:lang w:val="en-US" w:eastAsia="zh-CN" w:bidi="ar-SA"/>
        </w:rPr>
        <w:t>1</w:t>
      </w:r>
      <w:r>
        <w:rPr>
          <w:rFonts w:hint="eastAsia" w:ascii="微软雅黑" w:hAnsi="微软雅黑" w:eastAsia="微软雅黑" w:cs="微软雅黑"/>
          <w:bCs/>
          <w:color w:val="auto"/>
          <w:sz w:val="21"/>
          <w:szCs w:val="24"/>
          <w:highlight w:val="none"/>
        </w:rPr>
        <w:t>6.投标截止</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_Toc3202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8</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0C077A2E">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_Toc15199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17.投标文件的接收、修改与撤回</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_Toc15199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9</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44A5209">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_Toc25739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五</w:t>
      </w:r>
      <w:r>
        <w:rPr>
          <w:rFonts w:hint="eastAsia" w:ascii="微软雅黑" w:hAnsi="微软雅黑" w:eastAsia="微软雅黑" w:cs="微软雅黑"/>
          <w:color w:val="auto"/>
          <w:sz w:val="21"/>
          <w:szCs w:val="24"/>
          <w:highlight w:val="none"/>
          <w:lang w:eastAsia="zh-CN"/>
        </w:rPr>
        <w:t>、</w:t>
      </w:r>
      <w:r>
        <w:rPr>
          <w:rFonts w:hint="eastAsia" w:ascii="微软雅黑" w:hAnsi="微软雅黑" w:eastAsia="微软雅黑" w:cs="微软雅黑"/>
          <w:color w:val="auto"/>
          <w:sz w:val="21"/>
          <w:szCs w:val="24"/>
          <w:highlight w:val="none"/>
        </w:rPr>
        <w:t>开标及评标</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_Toc25739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9</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68ED1929">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_Toc4993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18.开标</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_Toc4993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9</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53DEC58E">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_Toc21819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19.资格审查及组建评标委员会</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_Toc21819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9</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95B4FB8">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_Toc15854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20.投标文件的符合性审查与澄清</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_Toc15854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11</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687AA140">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_Toc15005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21.投标偏离</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_Toc15005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12</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14E063D">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_Toc12708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22.投标无效</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_Toc12708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13</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1C4C8ED1">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_Toc20801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23.比较与评价</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_Toc20801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14</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1DCCDFEA">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_Toc16467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bCs/>
          <w:color w:val="auto"/>
          <w:sz w:val="21"/>
          <w:szCs w:val="24"/>
          <w:highlight w:val="none"/>
        </w:rPr>
        <w:t>24.出现下列情形之一，将导致项目废标：</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_Toc16467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14</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BD4D257">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_Toc3138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25.保密原则</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_Toc3138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7663B995">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_Toc2448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六</w:t>
      </w:r>
      <w:r>
        <w:rPr>
          <w:rFonts w:hint="eastAsia" w:ascii="微软雅黑" w:hAnsi="微软雅黑" w:eastAsia="微软雅黑" w:cs="微软雅黑"/>
          <w:color w:val="auto"/>
          <w:sz w:val="21"/>
          <w:szCs w:val="24"/>
          <w:highlight w:val="none"/>
          <w:lang w:eastAsia="zh-CN"/>
        </w:rPr>
        <w:t>、</w:t>
      </w:r>
      <w:r>
        <w:rPr>
          <w:rFonts w:hint="eastAsia" w:ascii="微软雅黑" w:hAnsi="微软雅黑" w:eastAsia="微软雅黑" w:cs="微软雅黑"/>
          <w:color w:val="auto"/>
          <w:sz w:val="21"/>
          <w:szCs w:val="24"/>
          <w:highlight w:val="none"/>
        </w:rPr>
        <w:t>确定中标</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_Toc2448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1B2A0DA">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_Toc10778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26.中标候选人的确定原则及标准</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_Toc10778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3C89C438">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_Toc3596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27.确定中标候选人和中标人</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_Toc3596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A1F8443">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_Toc13552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28.采购任务取消</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_Toc13552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7800C74C">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_Toc7625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29.中标通知书和</w:t>
      </w:r>
      <w:r>
        <w:rPr>
          <w:rFonts w:hint="eastAsia" w:ascii="微软雅黑" w:hAnsi="微软雅黑" w:eastAsia="微软雅黑" w:cs="微软雅黑"/>
          <w:color w:val="auto"/>
          <w:sz w:val="21"/>
          <w:szCs w:val="24"/>
          <w:highlight w:val="none"/>
          <w:lang w:eastAsia="zh-CN"/>
        </w:rPr>
        <w:t>中标公示</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_Toc7625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16C7548F">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_Toc22031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30.签订合同</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_Toc22031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16</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6BB3C234">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_Toc30541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31.履约保证金</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_Toc30541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16</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7D03A74E">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_Toc7363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32.中标服务费</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_Toc7363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16</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D47E3BF">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_Toc31421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33.政府采购信用担保</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_Toc31421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16</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3104601B">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_Toc30701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34.廉洁自律规定</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_Toc30701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16</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547F6C97">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_Toc29807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35.人员回避</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_Toc29807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17</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52BCF65">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_Toc13925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36.质疑与接收</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_Toc13925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17</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5DBBCF9">
      <w:pPr>
        <w:pStyle w:val="106"/>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_Toc12634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bCs/>
          <w:color w:val="auto"/>
          <w:sz w:val="21"/>
          <w:szCs w:val="24"/>
          <w:highlight w:val="none"/>
        </w:rPr>
        <w:t>质疑函范本</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_Toc12634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22</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5EBFFB7D">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_Toc962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附件1：履约保证金保函</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_Toc962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23</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160B9AAB">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_Toc14561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4"/>
          <w:highlight w:val="none"/>
        </w:rPr>
        <w:t>附件2：政府采购履约担保函</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_Toc14561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24</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74CC9914">
      <w:pPr>
        <w:pStyle w:val="104"/>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_Toc16734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lang w:eastAsia="zh-CN"/>
        </w:rPr>
        <w:t>第</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lang w:eastAsia="zh-CN"/>
        </w:rPr>
        <w:t>章</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投标文件格式</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_Toc16734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26</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7DE99FDE">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_Toc21338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32"/>
          <w:highlight w:val="none"/>
          <w:lang w:val="en-US" w:eastAsia="zh-CN"/>
        </w:rPr>
        <w:t xml:space="preserve">第一部分 </w:t>
      </w:r>
      <w:r>
        <w:rPr>
          <w:rFonts w:hint="eastAsia" w:ascii="微软雅黑" w:hAnsi="微软雅黑" w:eastAsia="微软雅黑" w:cs="微软雅黑"/>
          <w:color w:val="auto"/>
          <w:sz w:val="21"/>
          <w:szCs w:val="32"/>
          <w:highlight w:val="none"/>
        </w:rPr>
        <w:t>开标一览表及资格证明文件</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_Toc21338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27</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71F65352">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_Toc590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32"/>
          <w:highlight w:val="none"/>
          <w:lang w:eastAsia="zh-CN"/>
        </w:rPr>
        <w:t>第二部分</w:t>
      </w:r>
      <w:r>
        <w:rPr>
          <w:rFonts w:hint="eastAsia" w:ascii="微软雅黑" w:hAnsi="微软雅黑" w:eastAsia="微软雅黑" w:cs="微软雅黑"/>
          <w:color w:val="auto"/>
          <w:sz w:val="21"/>
          <w:szCs w:val="32"/>
          <w:highlight w:val="none"/>
        </w:rPr>
        <w:t xml:space="preserve"> 商务及技术文件</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lang w:val="en-US" w:eastAsia="zh-CN"/>
        </w:rPr>
        <w:t>38</w:t>
      </w:r>
    </w:p>
    <w:p w14:paraId="7B65F68E">
      <w:pPr>
        <w:pStyle w:val="104"/>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_Toc7638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lang w:eastAsia="zh-CN"/>
        </w:rPr>
        <w:t>第</w:t>
      </w:r>
      <w:r>
        <w:rPr>
          <w:rFonts w:hint="eastAsia" w:ascii="微软雅黑" w:hAnsi="微软雅黑" w:eastAsia="微软雅黑" w:cs="微软雅黑"/>
          <w:color w:val="auto"/>
          <w:sz w:val="21"/>
          <w:szCs w:val="21"/>
          <w:highlight w:val="none"/>
          <w:lang w:val="en-US" w:eastAsia="zh-CN"/>
        </w:rPr>
        <w:t xml:space="preserve">3章 </w:t>
      </w:r>
      <w:r>
        <w:rPr>
          <w:rFonts w:hint="eastAsia" w:ascii="微软雅黑" w:hAnsi="微软雅黑" w:eastAsia="微软雅黑" w:cs="微软雅黑"/>
          <w:color w:val="auto"/>
          <w:sz w:val="21"/>
          <w:szCs w:val="21"/>
          <w:highlight w:val="none"/>
        </w:rPr>
        <w:t xml:space="preserve"> 投标邀请</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lang w:val="en-US" w:eastAsia="zh-CN"/>
        </w:rPr>
        <w:t>5</w:t>
      </w:r>
    </w:p>
    <w:p w14:paraId="325B5E8C">
      <w:pPr>
        <w:pStyle w:val="104"/>
        <w:keepNext w:val="0"/>
        <w:keepLines w:val="0"/>
        <w:pageBreakBefore w:val="0"/>
        <w:tabs>
          <w:tab w:val="right" w:leader="dot" w:pos="8306"/>
        </w:tabs>
        <w:kinsoku/>
        <w:wordWrap/>
        <w:overflowPunct/>
        <w:topLinePunct w:val="0"/>
        <w:autoSpaceDE/>
        <w:autoSpaceDN/>
        <w:bidi w:val="0"/>
        <w:adjustRightInd/>
        <w:snapToGrid w:val="0"/>
        <w:spacing w:line="312" w:lineRule="auto"/>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_Toc416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lang w:eastAsia="zh-CN"/>
        </w:rPr>
        <w:t>喀什市新能源公交车采购项目（二次）</w:t>
      </w:r>
      <w:r>
        <w:rPr>
          <w:rFonts w:hint="eastAsia" w:ascii="微软雅黑" w:hAnsi="微软雅黑" w:eastAsia="微软雅黑" w:cs="微软雅黑"/>
          <w:color w:val="auto"/>
          <w:sz w:val="21"/>
          <w:szCs w:val="32"/>
          <w:highlight w:val="none"/>
          <w:lang w:eastAsia="zh-CN"/>
        </w:rPr>
        <w:t>公开招标</w:t>
      </w:r>
      <w:r>
        <w:rPr>
          <w:rFonts w:hint="eastAsia" w:ascii="微软雅黑" w:hAnsi="微软雅黑" w:eastAsia="微软雅黑" w:cs="微软雅黑"/>
          <w:color w:val="auto"/>
          <w:sz w:val="21"/>
          <w:szCs w:val="32"/>
          <w:highlight w:val="none"/>
        </w:rPr>
        <w:t>公告</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_Toc416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55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196A653">
      <w:pPr>
        <w:pStyle w:val="104"/>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_Toc29289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第4章  投标人须知资料表</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_Toc29289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58</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3B94DA95">
      <w:pPr>
        <w:pStyle w:val="104"/>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_Toc31413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kern w:val="0"/>
          <w:sz w:val="21"/>
          <w:szCs w:val="36"/>
          <w:highlight w:val="none"/>
        </w:rPr>
        <w:t>第</w:t>
      </w:r>
      <w:r>
        <w:rPr>
          <w:rFonts w:hint="eastAsia" w:ascii="微软雅黑" w:hAnsi="微软雅黑" w:eastAsia="微软雅黑" w:cs="微软雅黑"/>
          <w:color w:val="auto"/>
          <w:kern w:val="0"/>
          <w:sz w:val="21"/>
          <w:szCs w:val="36"/>
          <w:highlight w:val="none"/>
          <w:lang w:val="en-US" w:eastAsia="zh-CN"/>
        </w:rPr>
        <w:t>5</w:t>
      </w:r>
      <w:r>
        <w:rPr>
          <w:rFonts w:hint="eastAsia" w:ascii="微软雅黑" w:hAnsi="微软雅黑" w:eastAsia="微软雅黑" w:cs="微软雅黑"/>
          <w:color w:val="auto"/>
          <w:kern w:val="0"/>
          <w:sz w:val="21"/>
          <w:szCs w:val="36"/>
          <w:highlight w:val="none"/>
        </w:rPr>
        <w:t>章</w:t>
      </w:r>
      <w:r>
        <w:rPr>
          <w:rFonts w:hint="eastAsia" w:ascii="微软雅黑" w:hAnsi="微软雅黑" w:eastAsia="微软雅黑" w:cs="微软雅黑"/>
          <w:color w:val="auto"/>
          <w:kern w:val="0"/>
          <w:sz w:val="21"/>
          <w:szCs w:val="36"/>
          <w:highlight w:val="none"/>
          <w:lang w:val="en-US" w:eastAsia="zh-CN"/>
        </w:rPr>
        <w:t xml:space="preserve">  货物内容及项目要求</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_Toc31413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65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8B580FA">
      <w:pPr>
        <w:pStyle w:val="104"/>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_Toc13668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lang w:eastAsia="zh-CN"/>
        </w:rPr>
        <w:t>第</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lang w:eastAsia="zh-CN"/>
        </w:rPr>
        <w:t>章</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评标方法和标准</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lang w:val="en-US" w:eastAsia="zh-CN"/>
        </w:rPr>
        <w:t>0</w:t>
      </w:r>
    </w:p>
    <w:p w14:paraId="6972EDDC">
      <w:pPr>
        <w:pStyle w:val="104"/>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_Toc19114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40"/>
          <w:highlight w:val="none"/>
          <w:lang w:eastAsia="zh-CN"/>
        </w:rPr>
        <w:t>第7章  政府采购合同</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_Toc19114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90</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5C8E2E9E">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_Toc26751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8"/>
          <w:highlight w:val="none"/>
        </w:rPr>
        <w:t>第一部分 合同书</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_Toc26751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91</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7A8296B0">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_Toc8188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8"/>
          <w:highlight w:val="none"/>
        </w:rPr>
        <w:t>第二部分 合同一般条款</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_Toc8188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95</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4231BFF7">
      <w:pPr>
        <w:pStyle w:val="105"/>
        <w:keepNext w:val="0"/>
        <w:keepLines w:val="0"/>
        <w:pageBreakBefore w:val="0"/>
        <w:tabs>
          <w:tab w:val="right" w:leader="dot" w:pos="8306"/>
        </w:tabs>
        <w:kinsoku/>
        <w:wordWrap/>
        <w:overflowPunct/>
        <w:topLinePunct w:val="0"/>
        <w:autoSpaceDE/>
        <w:autoSpaceDN/>
        <w:bidi w:val="0"/>
        <w:adjustRightInd/>
        <w:snapToGrid w:val="0"/>
        <w:spacing w:line="312" w:lineRule="auto"/>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_Toc8188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8"/>
          <w:highlight w:val="none"/>
        </w:rPr>
        <w:t>第</w:t>
      </w:r>
      <w:r>
        <w:rPr>
          <w:rFonts w:hint="eastAsia" w:ascii="微软雅黑" w:hAnsi="微软雅黑" w:eastAsia="微软雅黑" w:cs="微软雅黑"/>
          <w:color w:val="auto"/>
          <w:sz w:val="21"/>
          <w:szCs w:val="28"/>
          <w:highlight w:val="none"/>
          <w:lang w:val="en-US" w:eastAsia="zh-CN"/>
        </w:rPr>
        <w:t>三</w:t>
      </w:r>
      <w:r>
        <w:rPr>
          <w:rFonts w:hint="eastAsia" w:ascii="微软雅黑" w:hAnsi="微软雅黑" w:eastAsia="微软雅黑" w:cs="微软雅黑"/>
          <w:color w:val="auto"/>
          <w:sz w:val="21"/>
          <w:szCs w:val="28"/>
          <w:highlight w:val="none"/>
        </w:rPr>
        <w:t>部分 合同</w:t>
      </w:r>
      <w:r>
        <w:rPr>
          <w:rFonts w:hint="eastAsia" w:ascii="微软雅黑" w:hAnsi="微软雅黑" w:eastAsia="微软雅黑" w:cs="微软雅黑"/>
          <w:color w:val="auto"/>
          <w:sz w:val="21"/>
          <w:szCs w:val="28"/>
          <w:highlight w:val="none"/>
          <w:lang w:val="en-US" w:eastAsia="zh-CN"/>
        </w:rPr>
        <w:t>专用</w:t>
      </w:r>
      <w:r>
        <w:rPr>
          <w:rFonts w:hint="eastAsia" w:ascii="微软雅黑" w:hAnsi="微软雅黑" w:eastAsia="微软雅黑" w:cs="微软雅黑"/>
          <w:color w:val="auto"/>
          <w:sz w:val="21"/>
          <w:szCs w:val="28"/>
          <w:highlight w:val="none"/>
        </w:rPr>
        <w:t>条款</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lang w:val="en-US" w:eastAsia="zh-CN"/>
        </w:rPr>
        <w:t>01</w:t>
      </w:r>
    </w:p>
    <w:p w14:paraId="071E7CC8">
      <w:pPr>
        <w:pStyle w:val="60"/>
        <w:rPr>
          <w:rFonts w:hint="eastAsia" w:ascii="宋体" w:hAnsi="宋体" w:eastAsia="宋体" w:cs="宋体"/>
          <w:color w:val="auto"/>
          <w:sz w:val="32"/>
          <w:szCs w:val="32"/>
          <w:highlight w:val="none"/>
          <w:lang w:eastAsia="zh-CN"/>
        </w:rPr>
        <w:sectPr>
          <w:pgSz w:w="11906" w:h="16838"/>
          <w:pgMar w:top="1440" w:right="1800" w:bottom="1440" w:left="1800" w:header="851" w:footer="992" w:gutter="0"/>
          <w:pgNumType w:fmt="decimal"/>
          <w:cols w:space="720" w:num="1"/>
          <w:docGrid w:type="linesAndChars" w:linePitch="312" w:charSpace="0"/>
        </w:sectPr>
      </w:pPr>
      <w:r>
        <w:rPr>
          <w:rFonts w:hint="eastAsia" w:ascii="微软雅黑" w:hAnsi="微软雅黑" w:eastAsia="微软雅黑" w:cs="微软雅黑"/>
          <w:color w:val="auto"/>
          <w:sz w:val="22"/>
          <w:szCs w:val="28"/>
          <w:highlight w:val="none"/>
        </w:rPr>
        <w:fldChar w:fldCharType="end"/>
      </w:r>
      <w:bookmarkStart w:id="1" w:name="_Toc22782"/>
      <w:bookmarkStart w:id="2" w:name="_Toc17230"/>
      <w:bookmarkStart w:id="3" w:name="_Toc216582804"/>
      <w:bookmarkStart w:id="4" w:name="_Toc6176"/>
    </w:p>
    <w:p w14:paraId="249C8C78">
      <w:pPr>
        <w:spacing w:line="240" w:lineRule="atLeast"/>
        <w:jc w:val="both"/>
        <w:rPr>
          <w:rFonts w:hint="eastAsia" w:ascii="宋体" w:hAnsi="宋体" w:eastAsia="宋体" w:cs="宋体"/>
          <w:b/>
          <w:bCs w:val="0"/>
          <w:color w:val="auto"/>
          <w:sz w:val="40"/>
          <w:szCs w:val="40"/>
          <w:highlight w:val="none"/>
          <w:lang w:eastAsia="zh-CN"/>
        </w:rPr>
      </w:pPr>
    </w:p>
    <w:p w14:paraId="39A7B017">
      <w:pPr>
        <w:spacing w:line="240" w:lineRule="atLeast"/>
        <w:jc w:val="center"/>
        <w:outlineLvl w:val="0"/>
        <w:rPr>
          <w:rFonts w:hint="default" w:ascii="微软雅黑" w:hAnsi="微软雅黑" w:eastAsia="微软雅黑" w:cs="微软雅黑"/>
          <w:b/>
          <w:color w:val="auto"/>
          <w:kern w:val="2"/>
          <w:sz w:val="40"/>
          <w:szCs w:val="40"/>
          <w:highlight w:val="none"/>
          <w:lang w:eastAsia="zh-CN" w:bidi="ar-SA"/>
        </w:rPr>
      </w:pPr>
      <w:bookmarkStart w:id="5" w:name="_Toc25518"/>
      <w:r>
        <w:rPr>
          <w:rFonts w:hint="eastAsia" w:ascii="微软雅黑" w:hAnsi="微软雅黑" w:eastAsia="微软雅黑" w:cs="微软雅黑"/>
          <w:b/>
          <w:color w:val="auto"/>
          <w:kern w:val="2"/>
          <w:sz w:val="44"/>
          <w:szCs w:val="44"/>
          <w:highlight w:val="none"/>
          <w:lang w:eastAsia="zh-CN" w:bidi="ar-SA"/>
        </w:rPr>
        <w:t>喀什市新能源公交车采购项目（二次）</w:t>
      </w:r>
    </w:p>
    <w:p w14:paraId="46EECE0E">
      <w:pPr>
        <w:spacing w:line="240" w:lineRule="atLeast"/>
        <w:ind w:left="1079" w:leftChars="257" w:hanging="540"/>
        <w:jc w:val="center"/>
        <w:rPr>
          <w:rFonts w:hint="eastAsia" w:ascii="微软雅黑" w:hAnsi="微软雅黑" w:eastAsia="微软雅黑" w:cs="微软雅黑"/>
          <w:b/>
          <w:color w:val="auto"/>
          <w:kern w:val="2"/>
          <w:sz w:val="36"/>
          <w:szCs w:val="36"/>
          <w:highlight w:val="none"/>
          <w:lang w:val="en-US" w:eastAsia="zh-CN" w:bidi="ar-SA"/>
        </w:rPr>
      </w:pPr>
    </w:p>
    <w:p w14:paraId="04232600">
      <w:pPr>
        <w:spacing w:line="240" w:lineRule="atLeast"/>
        <w:jc w:val="center"/>
        <w:rPr>
          <w:rFonts w:hint="eastAsia" w:ascii="微软雅黑" w:hAnsi="微软雅黑" w:eastAsia="微软雅黑" w:cs="微软雅黑"/>
          <w:b/>
          <w:color w:val="auto"/>
          <w:kern w:val="2"/>
          <w:sz w:val="36"/>
          <w:szCs w:val="36"/>
          <w:highlight w:val="none"/>
          <w:lang w:val="en-US" w:eastAsia="zh-CN" w:bidi="ar-SA"/>
        </w:rPr>
      </w:pPr>
    </w:p>
    <w:p w14:paraId="16DC7593">
      <w:pPr>
        <w:pStyle w:val="28"/>
        <w:rPr>
          <w:rFonts w:hint="eastAsia" w:ascii="微软雅黑" w:hAnsi="微软雅黑" w:eastAsia="微软雅黑" w:cs="微软雅黑"/>
          <w:b/>
          <w:color w:val="auto"/>
          <w:kern w:val="2"/>
          <w:sz w:val="36"/>
          <w:szCs w:val="36"/>
          <w:highlight w:val="none"/>
          <w:lang w:val="en-US" w:eastAsia="zh-CN" w:bidi="ar-SA"/>
        </w:rPr>
      </w:pPr>
    </w:p>
    <w:p w14:paraId="679B0A2A">
      <w:pPr>
        <w:spacing w:line="240" w:lineRule="atLeast"/>
        <w:jc w:val="center"/>
        <w:outlineLvl w:val="0"/>
        <w:rPr>
          <w:rFonts w:hint="default" w:ascii="微软雅黑" w:hAnsi="微软雅黑" w:eastAsia="微软雅黑" w:cs="微软雅黑"/>
          <w:b/>
          <w:color w:val="auto"/>
          <w:kern w:val="2"/>
          <w:sz w:val="36"/>
          <w:szCs w:val="36"/>
          <w:highlight w:val="none"/>
          <w:lang w:val="en-US" w:eastAsia="zh-CN" w:bidi="ar-SA"/>
        </w:rPr>
      </w:pPr>
      <w:bookmarkStart w:id="6" w:name="_Toc344"/>
      <w:r>
        <w:rPr>
          <w:rFonts w:hint="eastAsia" w:ascii="微软雅黑" w:hAnsi="微软雅黑" w:eastAsia="微软雅黑" w:cs="微软雅黑"/>
          <w:b/>
          <w:color w:val="auto"/>
          <w:kern w:val="2"/>
          <w:sz w:val="40"/>
          <w:szCs w:val="40"/>
          <w:highlight w:val="none"/>
          <w:lang w:val="en-US" w:eastAsia="zh-CN" w:bidi="ar-SA"/>
        </w:rPr>
        <w:t>公开招标文件</w:t>
      </w:r>
      <w:bookmarkEnd w:id="6"/>
      <w:r>
        <w:rPr>
          <w:rFonts w:hint="eastAsia" w:ascii="微软雅黑" w:hAnsi="微软雅黑" w:eastAsia="微软雅黑" w:cs="微软雅黑"/>
          <w:b/>
          <w:color w:val="auto"/>
          <w:kern w:val="2"/>
          <w:sz w:val="40"/>
          <w:szCs w:val="40"/>
          <w:highlight w:val="none"/>
          <w:lang w:val="en-US" w:eastAsia="zh-CN" w:bidi="ar-SA"/>
        </w:rPr>
        <w:t xml:space="preserve"> </w:t>
      </w:r>
    </w:p>
    <w:p w14:paraId="41B2A647">
      <w:pPr>
        <w:spacing w:line="240" w:lineRule="atLeast"/>
        <w:jc w:val="both"/>
        <w:rPr>
          <w:rFonts w:hint="eastAsia" w:ascii="微软雅黑" w:hAnsi="微软雅黑" w:eastAsia="微软雅黑" w:cs="微软雅黑"/>
          <w:b/>
          <w:bCs/>
          <w:color w:val="auto"/>
          <w:kern w:val="0"/>
          <w:sz w:val="32"/>
          <w:szCs w:val="32"/>
          <w:highlight w:val="none"/>
          <w:shd w:val="clear" w:color="auto" w:fill="FFFFFF"/>
          <w:lang w:eastAsia="zh-CN"/>
        </w:rPr>
      </w:pPr>
    </w:p>
    <w:p w14:paraId="0A851099">
      <w:pPr>
        <w:spacing w:line="240" w:lineRule="atLeast"/>
        <w:jc w:val="center"/>
        <w:rPr>
          <w:rFonts w:hint="eastAsia" w:ascii="微软雅黑" w:hAnsi="微软雅黑" w:eastAsia="微软雅黑" w:cs="微软雅黑"/>
          <w:b/>
          <w:bCs/>
          <w:color w:val="auto"/>
          <w:kern w:val="0"/>
          <w:sz w:val="32"/>
          <w:szCs w:val="32"/>
          <w:highlight w:val="none"/>
          <w:shd w:val="clear" w:color="auto" w:fill="FFFFFF"/>
          <w:lang w:eastAsia="zh-CN"/>
        </w:rPr>
      </w:pPr>
    </w:p>
    <w:p w14:paraId="797EA38F">
      <w:pPr>
        <w:spacing w:line="240" w:lineRule="atLeast"/>
        <w:jc w:val="center"/>
        <w:outlineLvl w:val="0"/>
        <w:rPr>
          <w:rFonts w:hint="eastAsia" w:ascii="微软雅黑" w:hAnsi="微软雅黑" w:eastAsia="微软雅黑" w:cs="微软雅黑"/>
          <w:b/>
          <w:bCs/>
          <w:color w:val="auto"/>
          <w:kern w:val="0"/>
          <w:sz w:val="32"/>
          <w:szCs w:val="32"/>
          <w:highlight w:val="none"/>
          <w:shd w:val="clear" w:color="auto" w:fill="FFFFFF"/>
          <w:lang w:eastAsia="zh-CN"/>
        </w:rPr>
      </w:pPr>
      <w:bookmarkStart w:id="7" w:name="_Toc10780"/>
      <w:r>
        <w:rPr>
          <w:rFonts w:hint="eastAsia" w:ascii="微软雅黑" w:hAnsi="微软雅黑" w:eastAsia="微软雅黑" w:cs="微软雅黑"/>
          <w:b/>
          <w:bCs/>
          <w:color w:val="auto"/>
          <w:kern w:val="0"/>
          <w:sz w:val="32"/>
          <w:szCs w:val="32"/>
          <w:highlight w:val="none"/>
          <w:shd w:val="clear" w:color="auto" w:fill="FFFFFF"/>
          <w:lang w:eastAsia="zh-CN"/>
        </w:rPr>
        <w:t>项目编号：</w:t>
      </w:r>
      <w:bookmarkEnd w:id="7"/>
      <w:r>
        <w:rPr>
          <w:rFonts w:hint="eastAsia" w:ascii="微软雅黑" w:hAnsi="微软雅黑" w:eastAsia="微软雅黑" w:cs="微软雅黑"/>
          <w:b/>
          <w:bCs/>
          <w:color w:val="auto"/>
          <w:kern w:val="0"/>
          <w:sz w:val="32"/>
          <w:szCs w:val="32"/>
          <w:highlight w:val="none"/>
          <w:shd w:val="clear" w:color="auto" w:fill="FFFFFF"/>
          <w:lang w:eastAsia="zh-CN"/>
        </w:rPr>
        <w:t>KSMYCG2025-094-01</w:t>
      </w:r>
    </w:p>
    <w:p w14:paraId="25302537">
      <w:pPr>
        <w:spacing w:line="240" w:lineRule="atLeast"/>
        <w:ind w:left="1079" w:leftChars="257" w:hanging="540"/>
        <w:jc w:val="center"/>
        <w:rPr>
          <w:rFonts w:hint="eastAsia" w:ascii="微软雅黑" w:hAnsi="微软雅黑" w:eastAsia="微软雅黑" w:cs="微软雅黑"/>
          <w:b/>
          <w:bCs/>
          <w:color w:val="auto"/>
          <w:kern w:val="0"/>
          <w:sz w:val="32"/>
          <w:szCs w:val="32"/>
          <w:highlight w:val="none"/>
          <w:shd w:val="clear" w:color="auto" w:fill="FFFFFF"/>
          <w:lang w:val="en-US" w:eastAsia="zh-CN"/>
        </w:rPr>
      </w:pPr>
    </w:p>
    <w:p w14:paraId="2A50D7B6">
      <w:pPr>
        <w:pStyle w:val="4"/>
        <w:outlineLvl w:val="9"/>
        <w:rPr>
          <w:rFonts w:hint="eastAsia"/>
          <w:color w:val="auto"/>
          <w:highlight w:val="none"/>
          <w:lang w:val="en-US" w:eastAsia="zh-CN"/>
        </w:rPr>
      </w:pPr>
    </w:p>
    <w:p w14:paraId="18752383">
      <w:pPr>
        <w:spacing w:line="240" w:lineRule="atLeast"/>
        <w:jc w:val="center"/>
        <w:rPr>
          <w:rFonts w:hint="eastAsia" w:ascii="微软雅黑" w:hAnsi="微软雅黑" w:eastAsia="微软雅黑" w:cs="微软雅黑"/>
          <w:b/>
          <w:bCs/>
          <w:color w:val="auto"/>
          <w:kern w:val="0"/>
          <w:sz w:val="32"/>
          <w:szCs w:val="32"/>
          <w:highlight w:val="none"/>
          <w:shd w:val="clear" w:color="auto" w:fill="FFFFFF"/>
          <w:lang w:eastAsia="zh-CN"/>
        </w:rPr>
      </w:pPr>
    </w:p>
    <w:p w14:paraId="5544EDB1">
      <w:pPr>
        <w:pStyle w:val="2"/>
        <w:pageBreakBefore w:val="0"/>
        <w:numPr>
          <w:ilvl w:val="0"/>
          <w:numId w:val="0"/>
        </w:numPr>
        <w:tabs>
          <w:tab w:val="left" w:pos="0"/>
        </w:tabs>
        <w:kinsoku/>
        <w:overflowPunct/>
        <w:topLinePunct w:val="0"/>
        <w:bidi w:val="0"/>
        <w:snapToGrid w:val="0"/>
        <w:spacing w:before="0" w:after="0" w:line="312" w:lineRule="auto"/>
        <w:ind w:leftChars="0"/>
        <w:jc w:val="center"/>
        <w:textAlignment w:val="auto"/>
        <w:rPr>
          <w:rFonts w:hint="eastAsia" w:ascii="微软雅黑" w:hAnsi="微软雅黑" w:eastAsia="微软雅黑" w:cs="微软雅黑"/>
          <w:b/>
          <w:bCs/>
          <w:color w:val="auto"/>
          <w:kern w:val="0"/>
          <w:sz w:val="32"/>
          <w:szCs w:val="32"/>
          <w:highlight w:val="none"/>
          <w:shd w:val="clear" w:color="auto" w:fill="FFFFFF"/>
          <w:lang w:eastAsia="zh-CN"/>
        </w:rPr>
        <w:sectPr>
          <w:headerReference r:id="rId7" w:type="default"/>
          <w:footerReference r:id="rId8" w:type="default"/>
          <w:pgSz w:w="11906" w:h="16838"/>
          <w:pgMar w:top="1440" w:right="1080" w:bottom="1440" w:left="1080" w:header="851" w:footer="992" w:gutter="0"/>
          <w:pgNumType w:fmt="decimal" w:start="1"/>
          <w:cols w:space="720" w:num="1"/>
          <w:docGrid w:type="linesAndChars" w:linePitch="312" w:charSpace="0"/>
        </w:sectPr>
      </w:pPr>
      <w:bookmarkStart w:id="8" w:name="_Toc10348"/>
      <w:r>
        <w:rPr>
          <w:rFonts w:hint="eastAsia" w:ascii="微软雅黑" w:hAnsi="微软雅黑" w:eastAsia="微软雅黑" w:cs="微软雅黑"/>
          <w:b/>
          <w:bCs/>
          <w:color w:val="auto"/>
          <w:kern w:val="0"/>
          <w:sz w:val="32"/>
          <w:szCs w:val="32"/>
          <w:highlight w:val="none"/>
          <w:shd w:val="clear" w:color="auto" w:fill="FFFFFF"/>
          <w:lang w:eastAsia="zh-CN"/>
        </w:rPr>
        <w:t>第一册</w:t>
      </w:r>
      <w:bookmarkEnd w:id="8"/>
    </w:p>
    <w:p w14:paraId="6EF2C2C0">
      <w:pPr>
        <w:pStyle w:val="2"/>
        <w:pageBreakBefore w:val="0"/>
        <w:numPr>
          <w:ilvl w:val="0"/>
          <w:numId w:val="0"/>
        </w:numPr>
        <w:tabs>
          <w:tab w:val="left" w:pos="0"/>
        </w:tabs>
        <w:kinsoku/>
        <w:overflowPunct/>
        <w:topLinePunct w:val="0"/>
        <w:bidi w:val="0"/>
        <w:snapToGrid w:val="0"/>
        <w:spacing w:before="0" w:after="0" w:line="312" w:lineRule="auto"/>
        <w:ind w:leftChars="0"/>
        <w:jc w:val="center"/>
        <w:textAlignment w:val="auto"/>
        <w:rPr>
          <w:rFonts w:hint="eastAsia" w:ascii="微软雅黑" w:hAnsi="微软雅黑" w:eastAsia="微软雅黑" w:cs="微软雅黑"/>
          <w:color w:val="auto"/>
          <w:sz w:val="32"/>
          <w:szCs w:val="32"/>
          <w:highlight w:val="none"/>
        </w:rPr>
      </w:pPr>
      <w:bookmarkStart w:id="9" w:name="_Toc25942"/>
      <w:r>
        <w:rPr>
          <w:rFonts w:hint="eastAsia" w:ascii="微软雅黑" w:hAnsi="微软雅黑" w:eastAsia="微软雅黑" w:cs="微软雅黑"/>
          <w:b/>
          <w:color w:val="auto"/>
          <w:sz w:val="28"/>
          <w:szCs w:val="28"/>
          <w:highlight w:val="none"/>
          <w:lang w:eastAsia="zh-CN"/>
        </w:rPr>
        <w:t>第</w:t>
      </w:r>
      <w:r>
        <w:rPr>
          <w:rFonts w:hint="eastAsia" w:ascii="微软雅黑" w:hAnsi="微软雅黑" w:eastAsia="微软雅黑" w:cs="微软雅黑"/>
          <w:b/>
          <w:color w:val="auto"/>
          <w:sz w:val="28"/>
          <w:szCs w:val="28"/>
          <w:highlight w:val="none"/>
          <w:lang w:val="en-US" w:eastAsia="zh-CN"/>
        </w:rPr>
        <w:t>1章</w:t>
      </w:r>
      <w:r>
        <w:rPr>
          <w:rFonts w:hint="eastAsia" w:ascii="微软雅黑" w:hAnsi="微软雅黑" w:eastAsia="微软雅黑" w:cs="微软雅黑"/>
          <w:color w:val="auto"/>
          <w:sz w:val="28"/>
          <w:szCs w:val="28"/>
          <w:highlight w:val="none"/>
        </w:rPr>
        <w:t xml:space="preserve"> </w:t>
      </w:r>
      <w:bookmarkStart w:id="10" w:name="_Toc515647756"/>
      <w:bookmarkStart w:id="11" w:name="_Toc19728"/>
      <w:bookmarkStart w:id="12" w:name="_Toc31625"/>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rPr>
        <w:t>投标人须知</w:t>
      </w:r>
      <w:bookmarkEnd w:id="1"/>
      <w:bookmarkEnd w:id="2"/>
      <w:bookmarkEnd w:id="3"/>
      <w:bookmarkEnd w:id="4"/>
      <w:bookmarkEnd w:id="5"/>
      <w:bookmarkEnd w:id="9"/>
      <w:bookmarkEnd w:id="10"/>
      <w:bookmarkEnd w:id="11"/>
      <w:bookmarkEnd w:id="12"/>
    </w:p>
    <w:p w14:paraId="57FC7DC9">
      <w:pPr>
        <w:pStyle w:val="3"/>
        <w:pageBreakBefore w:val="0"/>
        <w:widowControl w:val="0"/>
        <w:kinsoku/>
        <w:wordWrap/>
        <w:overflowPunct/>
        <w:topLinePunct w:val="0"/>
        <w:bidi w:val="0"/>
        <w:snapToGrid w:val="0"/>
        <w:spacing w:before="0" w:line="312" w:lineRule="auto"/>
        <w:jc w:val="center"/>
        <w:textAlignment w:val="auto"/>
        <w:rPr>
          <w:rFonts w:hint="eastAsia" w:ascii="微软雅黑" w:hAnsi="微软雅黑" w:eastAsia="微软雅黑" w:cs="微软雅黑"/>
          <w:color w:val="auto"/>
          <w:sz w:val="24"/>
          <w:szCs w:val="24"/>
          <w:highlight w:val="none"/>
        </w:rPr>
      </w:pPr>
      <w:bookmarkStart w:id="13" w:name="_Toc216582805"/>
      <w:bookmarkStart w:id="14" w:name="_Toc520356143"/>
      <w:bookmarkStart w:id="15" w:name="_Toc27586"/>
      <w:bookmarkStart w:id="16" w:name="_Toc518923060"/>
      <w:bookmarkStart w:id="17" w:name="_Toc25081"/>
      <w:bookmarkStart w:id="18" w:name="_Toc28713"/>
      <w:r>
        <w:rPr>
          <w:rFonts w:hint="eastAsia" w:ascii="微软雅黑" w:hAnsi="微软雅黑" w:eastAsia="微软雅黑" w:cs="微软雅黑"/>
          <w:color w:val="auto"/>
          <w:sz w:val="24"/>
          <w:szCs w:val="24"/>
          <w:highlight w:val="none"/>
        </w:rPr>
        <w:t>一</w:t>
      </w:r>
      <w:bookmarkEnd w:id="13"/>
      <w:bookmarkEnd w:id="14"/>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总  则</w:t>
      </w:r>
      <w:bookmarkEnd w:id="15"/>
      <w:bookmarkEnd w:id="16"/>
      <w:bookmarkEnd w:id="17"/>
    </w:p>
    <w:p w14:paraId="37CB3A1B">
      <w:pPr>
        <w:pStyle w:val="4"/>
        <w:pageBreakBefore w:val="0"/>
        <w:widowControl w:val="0"/>
        <w:kinsoku/>
        <w:wordWrap/>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9" w:name="_Toc520356144"/>
      <w:bookmarkStart w:id="20" w:name="_Toc283"/>
      <w:bookmarkStart w:id="21" w:name="_Toc26178"/>
      <w:bookmarkStart w:id="22" w:name="_Toc518923061"/>
      <w:bookmarkStart w:id="23" w:name="_Toc4911"/>
      <w:r>
        <w:rPr>
          <w:rFonts w:hint="eastAsia" w:ascii="微软雅黑" w:hAnsi="微软雅黑" w:eastAsia="微软雅黑" w:cs="微软雅黑"/>
          <w:color w:val="auto"/>
          <w:sz w:val="24"/>
          <w:szCs w:val="24"/>
          <w:highlight w:val="none"/>
          <w:u w:val="none"/>
        </w:rPr>
        <w:t>1.采购人、采购代理机构及</w:t>
      </w:r>
      <w:bookmarkEnd w:id="19"/>
      <w:r>
        <w:rPr>
          <w:rFonts w:hint="eastAsia" w:ascii="微软雅黑" w:hAnsi="微软雅黑" w:eastAsia="微软雅黑" w:cs="微软雅黑"/>
          <w:color w:val="auto"/>
          <w:sz w:val="24"/>
          <w:szCs w:val="24"/>
          <w:highlight w:val="none"/>
          <w:u w:val="none"/>
        </w:rPr>
        <w:t>投标人</w:t>
      </w:r>
      <w:bookmarkEnd w:id="20"/>
      <w:bookmarkEnd w:id="21"/>
      <w:bookmarkEnd w:id="22"/>
      <w:bookmarkEnd w:id="23"/>
    </w:p>
    <w:p w14:paraId="13DE6A68">
      <w:pPr>
        <w:pageBreakBefore w:val="0"/>
        <w:widowControl w:val="0"/>
        <w:numPr>
          <w:ilvl w:val="0"/>
          <w:numId w:val="0"/>
        </w:numPr>
        <w:tabs>
          <w:tab w:val="left" w:pos="0"/>
        </w:tabs>
        <w:kinsoku/>
        <w:wordWrap/>
        <w:overflowPunct/>
        <w:topLinePunct w:val="0"/>
        <w:bidi w:val="0"/>
        <w:snapToGrid w:val="0"/>
        <w:spacing w:line="312" w:lineRule="auto"/>
        <w:ind w:left="2"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1.1    </w:t>
      </w:r>
      <w:r>
        <w:rPr>
          <w:rFonts w:hint="eastAsia" w:ascii="微软雅黑" w:hAnsi="微软雅黑" w:eastAsia="微软雅黑" w:cs="微软雅黑"/>
          <w:color w:val="auto"/>
          <w:sz w:val="24"/>
          <w:szCs w:val="24"/>
          <w:highlight w:val="none"/>
        </w:rPr>
        <w:t>采购人：是指依法开展政府采购活动的国家机关、事业单位、团体组织。</w:t>
      </w:r>
    </w:p>
    <w:p w14:paraId="1F828D3B">
      <w:pPr>
        <w:pageBreakBefore w:val="0"/>
        <w:widowControl w:val="0"/>
        <w:tabs>
          <w:tab w:val="left" w:pos="0"/>
        </w:tabs>
        <w:kinsoku/>
        <w:wordWrap/>
        <w:overflowPunct/>
        <w:topLinePunct w:val="0"/>
        <w:bidi w:val="0"/>
        <w:snapToGrid w:val="0"/>
        <w:spacing w:line="312" w:lineRule="auto"/>
        <w:ind w:left="9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本项目的采购人见</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w:t>
      </w:r>
    </w:p>
    <w:p w14:paraId="2CEE074D">
      <w:pPr>
        <w:pageBreakBefore w:val="0"/>
        <w:widowControl w:val="0"/>
        <w:numPr>
          <w:ilvl w:val="0"/>
          <w:numId w:val="0"/>
        </w:numPr>
        <w:tabs>
          <w:tab w:val="left" w:pos="0"/>
        </w:tabs>
        <w:kinsoku/>
        <w:wordWrap/>
        <w:overflowPunct/>
        <w:topLinePunct w:val="0"/>
        <w:bidi w:val="0"/>
        <w:snapToGrid w:val="0"/>
        <w:spacing w:line="312" w:lineRule="auto"/>
        <w:ind w:left="960" w:leftChars="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1.2     </w:t>
      </w:r>
      <w:r>
        <w:rPr>
          <w:rFonts w:hint="eastAsia" w:ascii="微软雅黑" w:hAnsi="微软雅黑" w:eastAsia="微软雅黑" w:cs="微软雅黑"/>
          <w:color w:val="auto"/>
          <w:sz w:val="24"/>
          <w:szCs w:val="24"/>
          <w:highlight w:val="none"/>
        </w:rPr>
        <w:t>采购代理机构：是指集中采购机构或从事采购代理业务的社会中介机构。本项目的采购代理机构见</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w:t>
      </w:r>
    </w:p>
    <w:p w14:paraId="5585EBBC">
      <w:pPr>
        <w:pageBreakBefore w:val="0"/>
        <w:widowControl w:val="0"/>
        <w:numPr>
          <w:ilvl w:val="0"/>
          <w:numId w:val="0"/>
        </w:numPr>
        <w:kinsoku/>
        <w:wordWrap/>
        <w:overflowPunct/>
        <w:topLinePunct w:val="0"/>
        <w:bidi w:val="0"/>
        <w:snapToGrid w:val="0"/>
        <w:spacing w:line="312" w:lineRule="auto"/>
        <w:ind w:left="96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1.3     </w:t>
      </w:r>
      <w:r>
        <w:rPr>
          <w:rFonts w:hint="eastAsia" w:ascii="微软雅黑" w:hAnsi="微软雅黑" w:eastAsia="微软雅黑" w:cs="微软雅黑"/>
          <w:color w:val="auto"/>
          <w:sz w:val="24"/>
          <w:szCs w:val="24"/>
          <w:highlight w:val="none"/>
        </w:rPr>
        <w:t>投标人：是指向采购人提供货物、工程或者服务的法人、非法人组织或者自然人。本项目的投标人须满足以下条件：</w:t>
      </w:r>
    </w:p>
    <w:p w14:paraId="1F4280B3">
      <w:pPr>
        <w:pageBreakBefore w:val="0"/>
        <w:widowControl w:val="0"/>
        <w:kinsoku/>
        <w:wordWrap/>
        <w:overflowPunct/>
        <w:topLinePunct w:val="0"/>
        <w:bidi w:val="0"/>
        <w:snapToGrid w:val="0"/>
        <w:spacing w:line="312" w:lineRule="auto"/>
        <w:ind w:left="991" w:hanging="849" w:hangingChars="354"/>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在中华人民共和国境内注册，能够独立承担民事责任，有生产或供应能力的本国投标人。</w:t>
      </w:r>
    </w:p>
    <w:p w14:paraId="6EC8AE11">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1.3.2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具备《中华人民共和国政府采购法》第二十二条关于投标人条件的规定，遵守本项目采购人本级和上级财政部门政府采购的有关规定。</w:t>
      </w:r>
    </w:p>
    <w:p w14:paraId="315B1858">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1.3.3   以采购代理机构认可的方式获得了本项目的</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w:t>
      </w:r>
    </w:p>
    <w:p w14:paraId="72D63A6F">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1.3.4   符合</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中规定的其他要求。</w:t>
      </w:r>
    </w:p>
    <w:p w14:paraId="6FC8BCC9">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1.3.5   若</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中写明专门面向中小微企业采购的，如投标人为非中小微企业，其投标将被认定为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1B94C554">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     如</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中允许联合体投标，对联合体规定如下：</w:t>
      </w:r>
    </w:p>
    <w:p w14:paraId="53D3A8D5">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   两个以上投标人可以组成一个投标联合体，以一个投标人的身份投标。</w:t>
      </w:r>
    </w:p>
    <w:p w14:paraId="668A4BFE">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1.4.2   联合体各方均应符合《中华人民共和国政府采购法》第二十二条规定的条件。</w:t>
      </w:r>
    </w:p>
    <w:p w14:paraId="1D6512BE">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1.4.3   采购人根据采购项目对投标人的特殊要求，联合体中至少应当有一方符合相关规定。</w:t>
      </w:r>
    </w:p>
    <w:p w14:paraId="2CABF495">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1.4.4   联合体各方应签订共同投标协议，明确约定联合体各方承担的工作和相应的责任，并将共同投标协议连同投标文件一并提交招标采购单位。</w:t>
      </w:r>
    </w:p>
    <w:p w14:paraId="14580208">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07CD1F79">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1.4.6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联合体中有同类资质的投标人按照联合体分工承担相同工作的，按照资质等级较低的投标人确定资质等级。</w:t>
      </w:r>
    </w:p>
    <w:p w14:paraId="71879ADB">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1.4.7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以联合体形式参加政府采购活动的，联合体各方不得再单独参加或者与其他投标人另外组成联合体参加本项目投标，否则相关投标将被认定为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056B77EE">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1.4.8   对联合体投标的其他资格要求见</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w:t>
      </w:r>
    </w:p>
    <w:p w14:paraId="12F43A2F">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    单位负责人为同一人或者存在直接控股、管理关系的不同投标人，其相关投标将被认定为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53389800">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    为本项目提供过整体设计、规范编制或者项目管理、监理、检测等服务的投标人，不得再参加本项目上述服务以外的其他采购活动。否则其投标将被认定为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382D68D1">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投标人在投标过程中不得向采购人提供或给予影响其正常决策行为的任何有价值物品或服务。一经发现，其投标将被认定为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1ED9E72E">
      <w:pPr>
        <w:pStyle w:val="4"/>
        <w:pageBreakBefore w:val="0"/>
        <w:widowControl w:val="0"/>
        <w:kinsoku/>
        <w:wordWrap/>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4" w:name="_Toc21441"/>
      <w:bookmarkStart w:id="25" w:name="_Toc518923062"/>
      <w:bookmarkStart w:id="26" w:name="_Toc5895"/>
      <w:bookmarkStart w:id="27" w:name="_Toc27965"/>
      <w:r>
        <w:rPr>
          <w:rFonts w:hint="eastAsia" w:ascii="微软雅黑" w:hAnsi="微软雅黑" w:eastAsia="微软雅黑" w:cs="微软雅黑"/>
          <w:color w:val="auto"/>
          <w:sz w:val="24"/>
          <w:szCs w:val="24"/>
          <w:highlight w:val="none"/>
          <w:u w:val="none"/>
        </w:rPr>
        <w:t>2.资金来源</w:t>
      </w:r>
      <w:bookmarkEnd w:id="24"/>
      <w:bookmarkEnd w:id="25"/>
      <w:bookmarkEnd w:id="26"/>
      <w:bookmarkEnd w:id="27"/>
    </w:p>
    <w:p w14:paraId="6D11ED7F">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本项目的采购人已获得足以支付本次招标后所签订的合同项下的资金（包括财政性资金和本项目采购中无法与财政性资金分割的非财政性资金）。</w:t>
      </w:r>
    </w:p>
    <w:p w14:paraId="7270DD35">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    项目预算金额和分项或分包最高限价</w:t>
      </w:r>
      <w:r>
        <w:rPr>
          <w:rFonts w:hint="eastAsia" w:ascii="微软雅黑" w:hAnsi="微软雅黑" w:eastAsia="微软雅黑" w:cs="微软雅黑"/>
          <w:color w:val="auto"/>
          <w:sz w:val="24"/>
          <w:szCs w:val="24"/>
          <w:highlight w:val="none"/>
          <w:u w:val="single"/>
        </w:rPr>
        <w:t>见投标人须知资料表</w:t>
      </w:r>
      <w:r>
        <w:rPr>
          <w:rFonts w:hint="eastAsia" w:ascii="微软雅黑" w:hAnsi="微软雅黑" w:eastAsia="微软雅黑" w:cs="微软雅黑"/>
          <w:color w:val="auto"/>
          <w:sz w:val="24"/>
          <w:szCs w:val="24"/>
          <w:highlight w:val="none"/>
        </w:rPr>
        <w:t>。</w:t>
      </w:r>
    </w:p>
    <w:p w14:paraId="0711667F">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    投标人报价超过</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规定的预算金额或者分项、分包最高限价的，其投标将被认定为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1382DA39">
      <w:pPr>
        <w:pStyle w:val="4"/>
        <w:pageBreakBefore w:val="0"/>
        <w:widowControl w:val="0"/>
        <w:kinsoku/>
        <w:wordWrap/>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8" w:name="_Toc10441"/>
      <w:bookmarkStart w:id="29" w:name="_Toc14536"/>
      <w:bookmarkStart w:id="30" w:name="_Toc9211"/>
      <w:bookmarkStart w:id="31" w:name="_Toc520356145"/>
      <w:bookmarkStart w:id="32" w:name="_Toc518923063"/>
      <w:r>
        <w:rPr>
          <w:rFonts w:hint="eastAsia" w:ascii="微软雅黑" w:hAnsi="微软雅黑" w:eastAsia="微软雅黑" w:cs="微软雅黑"/>
          <w:color w:val="auto"/>
          <w:sz w:val="24"/>
          <w:szCs w:val="24"/>
          <w:highlight w:val="none"/>
          <w:u w:val="none"/>
        </w:rPr>
        <w:t>3.投标费用</w:t>
      </w:r>
      <w:bookmarkEnd w:id="28"/>
      <w:bookmarkEnd w:id="29"/>
      <w:bookmarkEnd w:id="30"/>
      <w:bookmarkEnd w:id="31"/>
      <w:bookmarkEnd w:id="32"/>
    </w:p>
    <w:p w14:paraId="3A1AB078">
      <w:pPr>
        <w:pageBreakBefore w:val="0"/>
        <w:widowControl w:val="0"/>
        <w:kinsoku/>
        <w:wordWrap/>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不论投标的结果如何，投标人应承担所有与准备和参加投标有关的费用。</w:t>
      </w:r>
    </w:p>
    <w:p w14:paraId="34B66AD6">
      <w:pPr>
        <w:pStyle w:val="4"/>
        <w:pageBreakBefore w:val="0"/>
        <w:widowControl w:val="0"/>
        <w:kinsoku/>
        <w:wordWrap/>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33" w:name="_Toc19443"/>
      <w:bookmarkStart w:id="34" w:name="_Toc22247"/>
      <w:bookmarkStart w:id="35" w:name="_Toc518923064"/>
      <w:bookmarkStart w:id="36" w:name="_Toc10467"/>
      <w:r>
        <w:rPr>
          <w:rFonts w:hint="eastAsia" w:ascii="微软雅黑" w:hAnsi="微软雅黑" w:eastAsia="微软雅黑" w:cs="微软雅黑"/>
          <w:color w:val="auto"/>
          <w:sz w:val="24"/>
          <w:szCs w:val="24"/>
          <w:highlight w:val="none"/>
          <w:u w:val="none"/>
        </w:rPr>
        <w:t>4.适用法律</w:t>
      </w:r>
      <w:bookmarkEnd w:id="33"/>
      <w:bookmarkEnd w:id="34"/>
      <w:bookmarkEnd w:id="35"/>
      <w:bookmarkEnd w:id="36"/>
    </w:p>
    <w:p w14:paraId="77C8AC0F">
      <w:pPr>
        <w:pageBreakBefore w:val="0"/>
        <w:widowControl w:val="0"/>
        <w:kinsoku/>
        <w:wordWrap/>
        <w:overflowPunct/>
        <w:topLinePunct w:val="0"/>
        <w:bidi w:val="0"/>
        <w:snapToGrid w:val="0"/>
        <w:spacing w:line="312" w:lineRule="auto"/>
        <w:ind w:left="840" w:hanging="720" w:hangingChars="3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本项目采购人、采购代理机构、投标人、评标委员会的相关行为均受《中华人民共和国政府采购法》、《中华人民共和国政府采购法实施条例》</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中华人民共和国财政部令第87号《政府采购货物和服务招标投标管理办法》及本项目本级和上级财政部门政府采购有关规定的约束，其权利受到上述法律法规的保护。</w:t>
      </w:r>
    </w:p>
    <w:p w14:paraId="059F0278">
      <w:pPr>
        <w:pStyle w:val="3"/>
        <w:pageBreakBefore w:val="0"/>
        <w:kinsoku/>
        <w:overflowPunct/>
        <w:topLinePunct w:val="0"/>
        <w:bidi w:val="0"/>
        <w:snapToGrid w:val="0"/>
        <w:spacing w:before="0" w:line="312" w:lineRule="auto"/>
        <w:ind w:left="1079" w:leftChars="257" w:hanging="540"/>
        <w:textAlignment w:val="auto"/>
        <w:rPr>
          <w:rFonts w:hint="eastAsia" w:ascii="微软雅黑" w:hAnsi="微软雅黑" w:eastAsia="微软雅黑" w:cs="微软雅黑"/>
          <w:color w:val="auto"/>
          <w:sz w:val="24"/>
          <w:szCs w:val="24"/>
          <w:highlight w:val="none"/>
        </w:rPr>
      </w:pPr>
      <w:bookmarkStart w:id="37" w:name="_Toc7937"/>
      <w:bookmarkStart w:id="38" w:name="_Toc518923065"/>
      <w:bookmarkStart w:id="39" w:name="_Toc216582806"/>
      <w:bookmarkStart w:id="40" w:name="_Toc520356146"/>
      <w:bookmarkStart w:id="41" w:name="_Toc25546"/>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eastAsia="zh-CN"/>
        </w:rPr>
        <w:t>、</w:t>
      </w:r>
      <w:bookmarkEnd w:id="37"/>
      <w:bookmarkEnd w:id="38"/>
      <w:bookmarkEnd w:id="39"/>
      <w:bookmarkEnd w:id="40"/>
      <w:bookmarkEnd w:id="41"/>
      <w:r>
        <w:rPr>
          <w:rFonts w:hint="eastAsia" w:ascii="微软雅黑" w:hAnsi="微软雅黑" w:eastAsia="微软雅黑" w:cs="微软雅黑"/>
          <w:color w:val="auto"/>
          <w:sz w:val="24"/>
          <w:szCs w:val="24"/>
          <w:highlight w:val="none"/>
          <w:lang w:eastAsia="zh-CN"/>
        </w:rPr>
        <w:t>招标文件</w:t>
      </w:r>
    </w:p>
    <w:p w14:paraId="573DD576">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42" w:name="_Toc31532"/>
      <w:bookmarkStart w:id="43" w:name="_Toc520356147"/>
      <w:bookmarkStart w:id="44" w:name="_Toc518923066"/>
      <w:bookmarkStart w:id="45" w:name="_Toc6534"/>
      <w:bookmarkStart w:id="46" w:name="_Toc18211"/>
      <w:r>
        <w:rPr>
          <w:rFonts w:hint="eastAsia" w:ascii="微软雅黑" w:hAnsi="微软雅黑" w:eastAsia="微软雅黑" w:cs="微软雅黑"/>
          <w:color w:val="auto"/>
          <w:sz w:val="24"/>
          <w:szCs w:val="24"/>
          <w:highlight w:val="none"/>
          <w:u w:val="none"/>
        </w:rPr>
        <w:t>5.</w:t>
      </w:r>
      <w:r>
        <w:rPr>
          <w:rFonts w:hint="eastAsia" w:ascii="微软雅黑" w:hAnsi="微软雅黑" w:eastAsia="微软雅黑" w:cs="微软雅黑"/>
          <w:color w:val="auto"/>
          <w:sz w:val="24"/>
          <w:szCs w:val="24"/>
          <w:highlight w:val="none"/>
          <w:u w:val="none"/>
          <w:lang w:eastAsia="zh-CN"/>
        </w:rPr>
        <w:t>招标文件</w:t>
      </w:r>
      <w:r>
        <w:rPr>
          <w:rFonts w:hint="eastAsia" w:ascii="微软雅黑" w:hAnsi="微软雅黑" w:eastAsia="微软雅黑" w:cs="微软雅黑"/>
          <w:color w:val="auto"/>
          <w:sz w:val="24"/>
          <w:szCs w:val="24"/>
          <w:highlight w:val="none"/>
          <w:u w:val="none"/>
        </w:rPr>
        <w:t>构成</w:t>
      </w:r>
      <w:bookmarkEnd w:id="42"/>
      <w:bookmarkEnd w:id="43"/>
      <w:bookmarkEnd w:id="44"/>
      <w:bookmarkEnd w:id="45"/>
      <w:bookmarkEnd w:id="46"/>
    </w:p>
    <w:p w14:paraId="33AB2B59">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5.1</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分为三册共7章，内容如下：</w:t>
      </w:r>
    </w:p>
    <w:p w14:paraId="1E7CD1C0">
      <w:pPr>
        <w:pageBreakBefore w:val="0"/>
        <w:kinsoku/>
        <w:overflowPunct/>
        <w:topLinePunct w:val="0"/>
        <w:bidi w:val="0"/>
        <w:snapToGrid w:val="0"/>
        <w:spacing w:line="312" w:lineRule="auto"/>
        <w:ind w:left="1078" w:leftChars="428" w:hanging="180" w:hangingChars="75"/>
        <w:textAlignment w:val="auto"/>
        <w:outlineLvl w:val="0"/>
        <w:rPr>
          <w:rFonts w:hint="eastAsia" w:ascii="微软雅黑" w:hAnsi="微软雅黑" w:eastAsia="微软雅黑" w:cs="微软雅黑"/>
          <w:color w:val="auto"/>
          <w:sz w:val="24"/>
          <w:szCs w:val="24"/>
          <w:highlight w:val="none"/>
        </w:rPr>
      </w:pPr>
      <w:bookmarkStart w:id="47" w:name="_Toc4395"/>
      <w:r>
        <w:rPr>
          <w:rFonts w:hint="eastAsia" w:ascii="微软雅黑" w:hAnsi="微软雅黑" w:eastAsia="微软雅黑" w:cs="微软雅黑"/>
          <w:color w:val="auto"/>
          <w:sz w:val="24"/>
          <w:szCs w:val="24"/>
          <w:highlight w:val="none"/>
        </w:rPr>
        <w:t>第一册</w:t>
      </w:r>
      <w:bookmarkEnd w:id="47"/>
    </w:p>
    <w:p w14:paraId="347F082C">
      <w:pPr>
        <w:pageBreakBefore w:val="0"/>
        <w:tabs>
          <w:tab w:val="left" w:pos="0"/>
        </w:tabs>
        <w:kinsoku/>
        <w:overflowPunct/>
        <w:topLinePunct w:val="0"/>
        <w:bidi w:val="0"/>
        <w:snapToGrid w:val="0"/>
        <w:spacing w:line="312" w:lineRule="auto"/>
        <w:ind w:firstLine="960" w:firstLine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第</w:t>
      </w:r>
      <w:r>
        <w:rPr>
          <w:rFonts w:hint="eastAsia" w:ascii="微软雅黑" w:hAnsi="微软雅黑" w:eastAsia="微软雅黑" w:cs="微软雅黑"/>
          <w:color w:val="auto"/>
          <w:sz w:val="24"/>
          <w:szCs w:val="24"/>
          <w:highlight w:val="none"/>
          <w:lang w:val="en-US" w:eastAsia="zh-CN"/>
        </w:rPr>
        <w:t xml:space="preserve">1章   </w:t>
      </w:r>
      <w:r>
        <w:rPr>
          <w:rFonts w:hint="eastAsia" w:ascii="微软雅黑" w:hAnsi="微软雅黑" w:eastAsia="微软雅黑" w:cs="微软雅黑"/>
          <w:color w:val="auto"/>
          <w:sz w:val="24"/>
          <w:szCs w:val="24"/>
          <w:highlight w:val="none"/>
        </w:rPr>
        <w:t>投标人须知</w:t>
      </w:r>
    </w:p>
    <w:p w14:paraId="676254B8">
      <w:pPr>
        <w:pageBreakBefore w:val="0"/>
        <w:numPr>
          <w:ilvl w:val="0"/>
          <w:numId w:val="0"/>
        </w:numPr>
        <w:kinsoku/>
        <w:overflowPunct/>
        <w:topLinePunct w:val="0"/>
        <w:bidi w:val="0"/>
        <w:snapToGrid w:val="0"/>
        <w:spacing w:line="312" w:lineRule="auto"/>
        <w:ind w:firstLine="960" w:firstLine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第</w:t>
      </w:r>
      <w:r>
        <w:rPr>
          <w:rFonts w:hint="eastAsia" w:ascii="微软雅黑" w:hAnsi="微软雅黑" w:eastAsia="微软雅黑" w:cs="微软雅黑"/>
          <w:color w:val="auto"/>
          <w:sz w:val="24"/>
          <w:szCs w:val="24"/>
          <w:highlight w:val="none"/>
          <w:lang w:val="en-US" w:eastAsia="zh-CN"/>
        </w:rPr>
        <w:t xml:space="preserve">2章   </w:t>
      </w:r>
      <w:r>
        <w:rPr>
          <w:rFonts w:hint="eastAsia" w:ascii="微软雅黑" w:hAnsi="微软雅黑" w:eastAsia="微软雅黑" w:cs="微软雅黑"/>
          <w:color w:val="auto"/>
          <w:sz w:val="24"/>
          <w:szCs w:val="24"/>
          <w:highlight w:val="none"/>
        </w:rPr>
        <w:t>投标文件格式</w:t>
      </w:r>
    </w:p>
    <w:p w14:paraId="70754833">
      <w:pPr>
        <w:pageBreakBefore w:val="0"/>
        <w:kinsoku/>
        <w:overflowPunct/>
        <w:topLinePunct w:val="0"/>
        <w:bidi w:val="0"/>
        <w:snapToGrid w:val="0"/>
        <w:spacing w:line="312" w:lineRule="auto"/>
        <w:ind w:left="1080" w:leftChars="429" w:hanging="18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第二册</w:t>
      </w:r>
    </w:p>
    <w:p w14:paraId="562351BE">
      <w:pPr>
        <w:pageBreakBefore w:val="0"/>
        <w:numPr>
          <w:ilvl w:val="0"/>
          <w:numId w:val="0"/>
        </w:numPr>
        <w:kinsoku/>
        <w:overflowPunct/>
        <w:topLinePunct w:val="0"/>
        <w:bidi w:val="0"/>
        <w:snapToGrid w:val="0"/>
        <w:spacing w:line="312" w:lineRule="auto"/>
        <w:ind w:leftChars="429"/>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第</w:t>
      </w:r>
      <w:r>
        <w:rPr>
          <w:rFonts w:hint="eastAsia" w:ascii="微软雅黑" w:hAnsi="微软雅黑" w:eastAsia="微软雅黑" w:cs="微软雅黑"/>
          <w:color w:val="auto"/>
          <w:sz w:val="24"/>
          <w:szCs w:val="24"/>
          <w:highlight w:val="none"/>
          <w:lang w:val="en-US" w:eastAsia="zh-CN"/>
        </w:rPr>
        <w:t xml:space="preserve">3章  </w:t>
      </w:r>
      <w:r>
        <w:rPr>
          <w:rFonts w:hint="eastAsia" w:ascii="微软雅黑" w:hAnsi="微软雅黑" w:eastAsia="微软雅黑" w:cs="微软雅黑"/>
          <w:color w:val="auto"/>
          <w:sz w:val="24"/>
          <w:szCs w:val="24"/>
          <w:highlight w:val="none"/>
        </w:rPr>
        <w:t xml:space="preserve"> 投标邀请</w:t>
      </w:r>
    </w:p>
    <w:p w14:paraId="6BA3716C">
      <w:pPr>
        <w:pageBreakBefore w:val="0"/>
        <w:numPr>
          <w:ilvl w:val="0"/>
          <w:numId w:val="0"/>
        </w:numPr>
        <w:kinsoku/>
        <w:overflowPunct/>
        <w:topLinePunct w:val="0"/>
        <w:bidi w:val="0"/>
        <w:snapToGrid w:val="0"/>
        <w:spacing w:line="312" w:lineRule="auto"/>
        <w:ind w:leftChars="429"/>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第</w:t>
      </w:r>
      <w:r>
        <w:rPr>
          <w:rFonts w:hint="eastAsia" w:ascii="微软雅黑" w:hAnsi="微软雅黑" w:eastAsia="微软雅黑" w:cs="微软雅黑"/>
          <w:color w:val="auto"/>
          <w:sz w:val="24"/>
          <w:szCs w:val="24"/>
          <w:highlight w:val="none"/>
          <w:lang w:val="en-US" w:eastAsia="zh-CN"/>
        </w:rPr>
        <w:t xml:space="preserve">4章  </w:t>
      </w:r>
      <w:r>
        <w:rPr>
          <w:rFonts w:hint="eastAsia" w:ascii="微软雅黑" w:hAnsi="微软雅黑" w:eastAsia="微软雅黑" w:cs="微软雅黑"/>
          <w:color w:val="auto"/>
          <w:sz w:val="24"/>
          <w:szCs w:val="24"/>
          <w:highlight w:val="none"/>
        </w:rPr>
        <w:t xml:space="preserve"> 投标人须知资料表</w:t>
      </w:r>
    </w:p>
    <w:p w14:paraId="7576AD7A">
      <w:pPr>
        <w:pageBreakBefore w:val="0"/>
        <w:numPr>
          <w:ilvl w:val="0"/>
          <w:numId w:val="0"/>
        </w:numPr>
        <w:kinsoku/>
        <w:overflowPunct/>
        <w:topLinePunct w:val="0"/>
        <w:bidi w:val="0"/>
        <w:snapToGrid w:val="0"/>
        <w:spacing w:line="312" w:lineRule="auto"/>
        <w:ind w:leftChars="429"/>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第</w:t>
      </w:r>
      <w:r>
        <w:rPr>
          <w:rFonts w:hint="eastAsia" w:ascii="微软雅黑" w:hAnsi="微软雅黑" w:eastAsia="微软雅黑" w:cs="微软雅黑"/>
          <w:color w:val="auto"/>
          <w:sz w:val="24"/>
          <w:szCs w:val="24"/>
          <w:highlight w:val="none"/>
          <w:lang w:val="en-US" w:eastAsia="zh-CN"/>
        </w:rPr>
        <w:t xml:space="preserve">5章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eastAsia="zh-CN"/>
        </w:rPr>
        <w:t>货物内容及项目要求</w:t>
      </w:r>
    </w:p>
    <w:p w14:paraId="1603197A">
      <w:pPr>
        <w:pageBreakBefore w:val="0"/>
        <w:numPr>
          <w:ilvl w:val="0"/>
          <w:numId w:val="0"/>
        </w:numPr>
        <w:kinsoku/>
        <w:overflowPunct/>
        <w:topLinePunct w:val="0"/>
        <w:bidi w:val="0"/>
        <w:snapToGrid w:val="0"/>
        <w:spacing w:line="312" w:lineRule="auto"/>
        <w:ind w:leftChars="429"/>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第</w:t>
      </w:r>
      <w:r>
        <w:rPr>
          <w:rFonts w:hint="eastAsia" w:ascii="微软雅黑" w:hAnsi="微软雅黑" w:eastAsia="微软雅黑" w:cs="微软雅黑"/>
          <w:color w:val="auto"/>
          <w:sz w:val="24"/>
          <w:szCs w:val="24"/>
          <w:highlight w:val="none"/>
          <w:lang w:val="en-US" w:eastAsia="zh-CN"/>
        </w:rPr>
        <w:t xml:space="preserve">6章  </w:t>
      </w:r>
      <w:r>
        <w:rPr>
          <w:rFonts w:hint="eastAsia" w:ascii="微软雅黑" w:hAnsi="微软雅黑" w:eastAsia="微软雅黑" w:cs="微软雅黑"/>
          <w:color w:val="auto"/>
          <w:sz w:val="24"/>
          <w:szCs w:val="24"/>
          <w:highlight w:val="none"/>
        </w:rPr>
        <w:t xml:space="preserve"> 评标方法和标准</w:t>
      </w:r>
    </w:p>
    <w:p w14:paraId="7B23B9BE">
      <w:pPr>
        <w:pageBreakBefore w:val="0"/>
        <w:kinsoku/>
        <w:overflowPunct/>
        <w:topLinePunct w:val="0"/>
        <w:bidi w:val="0"/>
        <w:snapToGrid w:val="0"/>
        <w:spacing w:line="312" w:lineRule="auto"/>
        <w:ind w:left="901"/>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第三册</w:t>
      </w:r>
    </w:p>
    <w:p w14:paraId="42846453">
      <w:pPr>
        <w:pageBreakBefore w:val="0"/>
        <w:numPr>
          <w:ilvl w:val="0"/>
          <w:numId w:val="0"/>
        </w:numPr>
        <w:kinsoku/>
        <w:overflowPunct/>
        <w:topLinePunct w:val="0"/>
        <w:bidi w:val="0"/>
        <w:snapToGrid w:val="0"/>
        <w:spacing w:line="312" w:lineRule="auto"/>
        <w:ind w:leftChars="429"/>
        <w:textAlignment w:val="auto"/>
        <w:outlineLvl w:val="0"/>
        <w:rPr>
          <w:rFonts w:hint="eastAsia" w:ascii="微软雅黑" w:hAnsi="微软雅黑" w:eastAsia="微软雅黑" w:cs="微软雅黑"/>
          <w:color w:val="auto"/>
          <w:sz w:val="24"/>
          <w:szCs w:val="24"/>
          <w:highlight w:val="none"/>
        </w:rPr>
      </w:pPr>
      <w:bookmarkStart w:id="48" w:name="_Toc5522"/>
      <w:r>
        <w:rPr>
          <w:rFonts w:hint="eastAsia" w:ascii="微软雅黑" w:hAnsi="微软雅黑" w:eastAsia="微软雅黑" w:cs="微软雅黑"/>
          <w:color w:val="auto"/>
          <w:sz w:val="24"/>
          <w:szCs w:val="24"/>
          <w:highlight w:val="none"/>
          <w:lang w:eastAsia="zh-CN"/>
        </w:rPr>
        <w:t>第</w:t>
      </w:r>
      <w:r>
        <w:rPr>
          <w:rFonts w:hint="eastAsia" w:ascii="微软雅黑" w:hAnsi="微软雅黑" w:eastAsia="微软雅黑" w:cs="微软雅黑"/>
          <w:color w:val="auto"/>
          <w:sz w:val="24"/>
          <w:szCs w:val="24"/>
          <w:highlight w:val="none"/>
          <w:lang w:val="en-US" w:eastAsia="zh-CN"/>
        </w:rPr>
        <w:t xml:space="preserve">7章   </w:t>
      </w:r>
      <w:r>
        <w:rPr>
          <w:rFonts w:hint="eastAsia" w:ascii="微软雅黑" w:hAnsi="微软雅黑" w:eastAsia="微软雅黑" w:cs="微软雅黑"/>
          <w:color w:val="auto"/>
          <w:sz w:val="24"/>
          <w:szCs w:val="24"/>
          <w:highlight w:val="none"/>
        </w:rPr>
        <w:t>政府采购合同格式</w:t>
      </w:r>
      <w:bookmarkEnd w:id="48"/>
    </w:p>
    <w:p w14:paraId="6AF3C541">
      <w:pPr>
        <w:pageBreakBefore w:val="0"/>
        <w:kinsoku/>
        <w:overflowPunct/>
        <w:topLinePunct w:val="0"/>
        <w:bidi w:val="0"/>
        <w:snapToGrid w:val="0"/>
        <w:spacing w:line="312" w:lineRule="auto"/>
        <w:ind w:left="1050" w:hanging="900" w:hangingChars="375"/>
        <w:textAlignment w:val="auto"/>
        <w:outlineLvl w:val="1"/>
        <w:rPr>
          <w:rFonts w:hint="eastAsia" w:ascii="微软雅黑" w:hAnsi="微软雅黑" w:eastAsia="微软雅黑" w:cs="微软雅黑"/>
          <w:color w:val="auto"/>
          <w:sz w:val="24"/>
          <w:szCs w:val="24"/>
          <w:highlight w:val="none"/>
        </w:rPr>
      </w:pPr>
      <w:bookmarkStart w:id="49" w:name="_Toc9100"/>
      <w:r>
        <w:rPr>
          <w:rFonts w:hint="eastAsia" w:ascii="微软雅黑" w:hAnsi="微软雅黑" w:eastAsia="微软雅黑" w:cs="微软雅黑"/>
          <w:color w:val="auto"/>
          <w:sz w:val="24"/>
          <w:szCs w:val="24"/>
          <w:highlight w:val="none"/>
        </w:rPr>
        <w:t>5.2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如本文件的前后内容不一致，以最后描述为准。</w:t>
      </w:r>
      <w:bookmarkEnd w:id="49"/>
    </w:p>
    <w:p w14:paraId="5F76434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5.3    投标人应认真阅读</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所有的事项、格式、条款和技术规范等。</w:t>
      </w:r>
    </w:p>
    <w:p w14:paraId="7444C842">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b w:val="0"/>
          <w:color w:val="auto"/>
          <w:sz w:val="24"/>
          <w:szCs w:val="24"/>
          <w:highlight w:val="none"/>
          <w:u w:val="none"/>
        </w:rPr>
      </w:pPr>
      <w:bookmarkStart w:id="50" w:name="_Toc520356148"/>
      <w:bookmarkStart w:id="51" w:name="_Toc3250"/>
      <w:bookmarkStart w:id="52" w:name="_Toc20443"/>
      <w:bookmarkStart w:id="53" w:name="_Toc20606"/>
      <w:bookmarkStart w:id="54" w:name="_Toc518923067"/>
      <w:r>
        <w:rPr>
          <w:rFonts w:hint="eastAsia" w:ascii="微软雅黑" w:hAnsi="微软雅黑" w:eastAsia="微软雅黑" w:cs="微软雅黑"/>
          <w:color w:val="auto"/>
          <w:sz w:val="24"/>
          <w:szCs w:val="24"/>
          <w:highlight w:val="none"/>
          <w:u w:val="none"/>
        </w:rPr>
        <w:t>6.</w:t>
      </w:r>
      <w:r>
        <w:rPr>
          <w:rFonts w:hint="eastAsia" w:ascii="微软雅黑" w:hAnsi="微软雅黑" w:eastAsia="微软雅黑" w:cs="微软雅黑"/>
          <w:color w:val="auto"/>
          <w:sz w:val="24"/>
          <w:szCs w:val="24"/>
          <w:highlight w:val="none"/>
          <w:u w:val="none"/>
          <w:lang w:eastAsia="zh-CN"/>
        </w:rPr>
        <w:t>招标文件</w:t>
      </w:r>
      <w:r>
        <w:rPr>
          <w:rFonts w:hint="eastAsia" w:ascii="微软雅黑" w:hAnsi="微软雅黑" w:eastAsia="微软雅黑" w:cs="微软雅黑"/>
          <w:color w:val="auto"/>
          <w:sz w:val="24"/>
          <w:szCs w:val="24"/>
          <w:highlight w:val="none"/>
          <w:u w:val="none"/>
        </w:rPr>
        <w:t>的澄清</w:t>
      </w:r>
      <w:bookmarkEnd w:id="50"/>
      <w:r>
        <w:rPr>
          <w:rFonts w:hint="eastAsia" w:ascii="微软雅黑" w:hAnsi="微软雅黑" w:eastAsia="微软雅黑" w:cs="微软雅黑"/>
          <w:color w:val="auto"/>
          <w:sz w:val="24"/>
          <w:szCs w:val="24"/>
          <w:highlight w:val="none"/>
          <w:u w:val="none"/>
        </w:rPr>
        <w:t>与修改</w:t>
      </w:r>
      <w:bookmarkEnd w:id="51"/>
      <w:bookmarkEnd w:id="52"/>
      <w:bookmarkEnd w:id="53"/>
      <w:bookmarkEnd w:id="54"/>
    </w:p>
    <w:p w14:paraId="24A6E3D1">
      <w:pPr>
        <w:pStyle w:val="7"/>
        <w:pageBreakBefore w:val="0"/>
        <w:kinsoku/>
        <w:overflowPunct/>
        <w:topLinePunct w:val="0"/>
        <w:bidi w:val="0"/>
        <w:snapToGrid w:val="0"/>
        <w:spacing w:line="312" w:lineRule="auto"/>
        <w:ind w:left="980" w:hanging="840" w:hangingChars="3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    为了保证对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的澄清和修改满足法律的时限要求，任何要求对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进行澄清的投标人，均应在投标截止期十五日前，以书面形式将澄清要求通知采购人或采购代理机构。</w:t>
      </w:r>
    </w:p>
    <w:p w14:paraId="7B3DE543">
      <w:pPr>
        <w:pStyle w:val="7"/>
        <w:pageBreakBefore w:val="0"/>
        <w:kinsoku/>
        <w:overflowPunct/>
        <w:topLinePunct w:val="0"/>
        <w:bidi w:val="0"/>
        <w:snapToGrid w:val="0"/>
        <w:spacing w:line="312" w:lineRule="auto"/>
        <w:ind w:left="980" w:hanging="840" w:hangingChars="350"/>
        <w:textAlignment w:val="auto"/>
        <w:rPr>
          <w:rFonts w:hint="eastAsia" w:ascii="微软雅黑" w:hAnsi="微软雅黑" w:eastAsia="微软雅黑" w:cs="微软雅黑"/>
          <w:color w:val="auto"/>
          <w:sz w:val="24"/>
          <w:szCs w:val="24"/>
          <w:highlight w:val="none"/>
        </w:rPr>
      </w:pPr>
      <w:bookmarkStart w:id="55" w:name="_Toc520356149"/>
      <w:bookmarkStart w:id="56" w:name="_Ref467378678"/>
      <w:r>
        <w:rPr>
          <w:rFonts w:hint="eastAsia" w:ascii="微软雅黑" w:hAnsi="微软雅黑" w:eastAsia="微软雅黑" w:cs="微软雅黑"/>
          <w:color w:val="auto"/>
          <w:sz w:val="24"/>
          <w:szCs w:val="24"/>
          <w:highlight w:val="none"/>
        </w:rPr>
        <w:t>6.2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采购人可主动地或在解答投标人提出的澄清问题时对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澄清或修改。采购代理机构将以发布澄清（更正）公告的方式，澄清或修改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，澄清或修改内容作为</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的组成部分。</w:t>
      </w:r>
    </w:p>
    <w:p w14:paraId="3AA4A656">
      <w:pPr>
        <w:pStyle w:val="7"/>
        <w:pageBreakBefore w:val="0"/>
        <w:kinsoku/>
        <w:overflowPunct/>
        <w:topLinePunct w:val="0"/>
        <w:bidi w:val="0"/>
        <w:snapToGrid w:val="0"/>
        <w:spacing w:line="312" w:lineRule="auto"/>
        <w:ind w:left="980" w:hanging="840" w:hangingChars="3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澄清或者修改的内容可能影响投标文件编制的，采购代理机构将以书面形式通知所有</w:t>
      </w:r>
      <w:r>
        <w:rPr>
          <w:rFonts w:hint="eastAsia" w:ascii="微软雅黑" w:hAnsi="微软雅黑" w:eastAsia="微软雅黑" w:cs="微软雅黑"/>
          <w:color w:val="auto"/>
          <w:sz w:val="24"/>
          <w:szCs w:val="24"/>
          <w:highlight w:val="none"/>
          <w:lang w:eastAsia="zh-CN"/>
        </w:rPr>
        <w:t>领取招标文件</w:t>
      </w:r>
      <w:r>
        <w:rPr>
          <w:rFonts w:hint="eastAsia" w:ascii="微软雅黑" w:hAnsi="微软雅黑" w:eastAsia="微软雅黑" w:cs="微软雅黑"/>
          <w:color w:val="auto"/>
          <w:sz w:val="24"/>
          <w:szCs w:val="24"/>
          <w:highlight w:val="none"/>
        </w:rPr>
        <w:t>的潜在投标人，并对其具有约束力。投标人在收到上述通知后，应及时向采购代理机构回函确认。</w:t>
      </w:r>
    </w:p>
    <w:p w14:paraId="4FEF827B">
      <w:pPr>
        <w:pStyle w:val="4"/>
        <w:pageBreakBefore w:val="0"/>
        <w:tabs>
          <w:tab w:val="left" w:pos="900"/>
        </w:tabs>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57" w:name="_Toc2994"/>
      <w:bookmarkStart w:id="58" w:name="_Toc13296"/>
      <w:bookmarkStart w:id="59" w:name="_Toc518923068"/>
      <w:bookmarkStart w:id="60" w:name="_Toc4249"/>
      <w:r>
        <w:rPr>
          <w:rFonts w:hint="eastAsia" w:ascii="微软雅黑" w:hAnsi="微软雅黑" w:eastAsia="微软雅黑" w:cs="微软雅黑"/>
          <w:color w:val="auto"/>
          <w:sz w:val="24"/>
          <w:szCs w:val="24"/>
          <w:highlight w:val="none"/>
          <w:u w:val="none"/>
        </w:rPr>
        <w:t>7</w:t>
      </w:r>
      <w:bookmarkEnd w:id="55"/>
      <w:bookmarkEnd w:id="56"/>
      <w:r>
        <w:rPr>
          <w:rFonts w:hint="eastAsia" w:ascii="微软雅黑" w:hAnsi="微软雅黑" w:eastAsia="微软雅黑" w:cs="微软雅黑"/>
          <w:color w:val="auto"/>
          <w:sz w:val="24"/>
          <w:szCs w:val="24"/>
          <w:highlight w:val="none"/>
          <w:u w:val="none"/>
        </w:rPr>
        <w:t>.投标截止时间的顺延</w:t>
      </w:r>
      <w:bookmarkEnd w:id="57"/>
      <w:bookmarkEnd w:id="58"/>
      <w:bookmarkEnd w:id="59"/>
      <w:bookmarkEnd w:id="60"/>
    </w:p>
    <w:p w14:paraId="1AEBE615">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为使投标人准备投标时有足够的时间对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的澄清或者修改部分进行研究，采购人将依法决定是否顺延投标截止时间。</w:t>
      </w:r>
    </w:p>
    <w:p w14:paraId="4F40C589">
      <w:pPr>
        <w:pStyle w:val="3"/>
        <w:pageBreakBefore w:val="0"/>
        <w:tabs>
          <w:tab w:val="left" w:pos="900"/>
        </w:tabs>
        <w:kinsoku/>
        <w:overflowPunct/>
        <w:topLinePunct w:val="0"/>
        <w:bidi w:val="0"/>
        <w:snapToGrid w:val="0"/>
        <w:spacing w:before="0" w:line="312" w:lineRule="auto"/>
        <w:ind w:left="1079" w:leftChars="257" w:hanging="540"/>
        <w:textAlignment w:val="auto"/>
        <w:rPr>
          <w:rFonts w:hint="eastAsia" w:ascii="微软雅黑" w:hAnsi="微软雅黑" w:eastAsia="微软雅黑" w:cs="微软雅黑"/>
          <w:color w:val="auto"/>
          <w:sz w:val="24"/>
          <w:szCs w:val="24"/>
          <w:highlight w:val="none"/>
        </w:rPr>
      </w:pPr>
      <w:bookmarkStart w:id="61" w:name="_Toc516367020"/>
      <w:bookmarkStart w:id="62" w:name="_Toc216582807"/>
      <w:bookmarkStart w:id="63" w:name="_Toc9244"/>
      <w:bookmarkStart w:id="64" w:name="_Toc518923069"/>
      <w:bookmarkStart w:id="65" w:name="_Toc520356150"/>
      <w:bookmarkStart w:id="66" w:name="_Toc32744"/>
      <w:r>
        <w:rPr>
          <w:rFonts w:hint="eastAsia" w:ascii="微软雅黑" w:hAnsi="微软雅黑" w:eastAsia="微软雅黑" w:cs="微软雅黑"/>
          <w:color w:val="auto"/>
          <w:sz w:val="24"/>
          <w:szCs w:val="24"/>
          <w:highlight w:val="none"/>
        </w:rPr>
        <w:t>三</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投标文件</w:t>
      </w:r>
      <w:bookmarkEnd w:id="61"/>
      <w:r>
        <w:rPr>
          <w:rFonts w:hint="eastAsia" w:ascii="微软雅黑" w:hAnsi="微软雅黑" w:eastAsia="微软雅黑" w:cs="微软雅黑"/>
          <w:color w:val="auto"/>
          <w:sz w:val="24"/>
          <w:szCs w:val="24"/>
          <w:highlight w:val="none"/>
        </w:rPr>
        <w:t>的编制</w:t>
      </w:r>
      <w:bookmarkEnd w:id="62"/>
      <w:bookmarkEnd w:id="63"/>
      <w:bookmarkEnd w:id="64"/>
      <w:bookmarkEnd w:id="65"/>
      <w:bookmarkEnd w:id="66"/>
    </w:p>
    <w:p w14:paraId="3FBA053D">
      <w:pPr>
        <w:pStyle w:val="4"/>
        <w:pageBreakBefore w:val="0"/>
        <w:tabs>
          <w:tab w:val="left" w:pos="900"/>
        </w:tabs>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67" w:name="_Toc29969"/>
      <w:bookmarkStart w:id="68" w:name="_Toc11779"/>
      <w:bookmarkStart w:id="69" w:name="_Toc518923070"/>
      <w:bookmarkStart w:id="70" w:name="_Toc8995"/>
      <w:bookmarkStart w:id="71" w:name="_Toc520356151"/>
      <w:bookmarkStart w:id="72" w:name="_Toc516367021"/>
      <w:r>
        <w:rPr>
          <w:rFonts w:hint="eastAsia" w:ascii="微软雅黑" w:hAnsi="微软雅黑" w:eastAsia="微软雅黑" w:cs="微软雅黑"/>
          <w:color w:val="auto"/>
          <w:sz w:val="24"/>
          <w:szCs w:val="24"/>
          <w:highlight w:val="none"/>
          <w:u w:val="none"/>
        </w:rPr>
        <w:t>8.</w:t>
      </w:r>
      <w:r>
        <w:rPr>
          <w:rFonts w:hint="eastAsia" w:ascii="微软雅黑" w:hAnsi="微软雅黑" w:eastAsia="微软雅黑" w:cs="微软雅黑"/>
          <w:color w:val="auto"/>
          <w:sz w:val="24"/>
          <w:szCs w:val="24"/>
          <w:highlight w:val="none"/>
          <w:u w:val="none"/>
        </w:rPr>
        <w:tab/>
      </w:r>
      <w:r>
        <w:rPr>
          <w:rFonts w:hint="eastAsia" w:ascii="微软雅黑" w:hAnsi="微软雅黑" w:eastAsia="微软雅黑" w:cs="微软雅黑"/>
          <w:color w:val="auto"/>
          <w:sz w:val="24"/>
          <w:szCs w:val="24"/>
          <w:highlight w:val="none"/>
          <w:u w:val="none"/>
        </w:rPr>
        <w:t>投标范围及投标文件中标准和计量单位的使用</w:t>
      </w:r>
      <w:bookmarkEnd w:id="67"/>
      <w:bookmarkEnd w:id="68"/>
      <w:bookmarkEnd w:id="69"/>
      <w:bookmarkEnd w:id="70"/>
      <w:bookmarkEnd w:id="71"/>
      <w:bookmarkEnd w:id="72"/>
    </w:p>
    <w:p w14:paraId="141B8D8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项目有分包的，投标人可对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其中一个或几个分包进行投标，除非在</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中另有规定。</w:t>
      </w:r>
    </w:p>
    <w:p w14:paraId="7806CA72">
      <w:pPr>
        <w:pageBreakBefore w:val="0"/>
        <w:widowControl w:val="0"/>
        <w:kinsoku/>
        <w:wordWrap/>
        <w:overflowPunct/>
        <w:topLinePunct w:val="0"/>
        <w:bidi w:val="0"/>
        <w:adjustRightInd w:val="0"/>
        <w:snapToGrid w:val="0"/>
        <w:spacing w:line="336" w:lineRule="auto"/>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 xml:space="preserve">    无论招标文件第5章</w:t>
      </w:r>
      <w:r>
        <w:rPr>
          <w:rFonts w:hint="eastAsia" w:ascii="微软雅黑" w:hAnsi="微软雅黑" w:eastAsia="微软雅黑" w:cs="微软雅黑"/>
          <w:color w:val="auto"/>
          <w:sz w:val="24"/>
          <w:szCs w:val="24"/>
          <w:highlight w:val="none"/>
          <w:lang w:eastAsia="zh-CN"/>
        </w:rPr>
        <w:t>“货物内容及项目要求”</w:t>
      </w:r>
      <w:r>
        <w:rPr>
          <w:rFonts w:hint="eastAsia" w:ascii="微软雅黑" w:hAnsi="微软雅黑" w:eastAsia="微软雅黑" w:cs="微软雅黑"/>
          <w:color w:val="auto"/>
          <w:sz w:val="24"/>
          <w:szCs w:val="24"/>
          <w:highlight w:val="none"/>
        </w:rPr>
        <w:t>中是否要求，投标人所投服务</w:t>
      </w:r>
      <w:r>
        <w:rPr>
          <w:rFonts w:hint="eastAsia" w:ascii="微软雅黑" w:hAnsi="微软雅黑" w:eastAsia="微软雅黑" w:cs="微软雅黑"/>
          <w:color w:val="auto"/>
          <w:sz w:val="24"/>
          <w:szCs w:val="24"/>
          <w:highlight w:val="none"/>
          <w:lang w:eastAsia="zh-CN"/>
        </w:rPr>
        <w:t>、货物</w:t>
      </w:r>
      <w:r>
        <w:rPr>
          <w:rFonts w:hint="eastAsia" w:ascii="微软雅黑" w:hAnsi="微软雅黑" w:eastAsia="微软雅黑" w:cs="微软雅黑"/>
          <w:color w:val="auto"/>
          <w:sz w:val="24"/>
          <w:szCs w:val="24"/>
          <w:highlight w:val="none"/>
        </w:rPr>
        <w:t>均应符合</w:t>
      </w:r>
      <w:r>
        <w:rPr>
          <w:rFonts w:hint="eastAsia" w:ascii="微软雅黑" w:hAnsi="微软雅黑" w:eastAsia="微软雅黑" w:cs="微软雅黑"/>
          <w:color w:val="auto"/>
          <w:sz w:val="24"/>
          <w:szCs w:val="24"/>
          <w:highlight w:val="none"/>
          <w:lang w:eastAsia="zh-CN"/>
        </w:rPr>
        <w:t>相关</w:t>
      </w:r>
      <w:r>
        <w:rPr>
          <w:rFonts w:hint="eastAsia" w:ascii="微软雅黑" w:hAnsi="微软雅黑" w:eastAsia="微软雅黑" w:cs="微软雅黑"/>
          <w:color w:val="auto"/>
          <w:sz w:val="24"/>
          <w:szCs w:val="24"/>
          <w:highlight w:val="none"/>
        </w:rPr>
        <w:t>标准。</w:t>
      </w:r>
    </w:p>
    <w:p w14:paraId="5A228840">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 xml:space="preserve">    除</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中有特殊要求外，投标文件中所使用的计量单位，应采用中华人民共和国法定计量单位。</w:t>
      </w:r>
    </w:p>
    <w:p w14:paraId="327FDB6D">
      <w:pPr>
        <w:pStyle w:val="4"/>
        <w:pageBreakBefore w:val="0"/>
        <w:tabs>
          <w:tab w:val="left" w:pos="900"/>
        </w:tabs>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73" w:name="_Ref467306676"/>
      <w:bookmarkStart w:id="74" w:name="_Toc516367022"/>
      <w:bookmarkStart w:id="75" w:name="_Ref467306195"/>
      <w:bookmarkStart w:id="76" w:name="_Toc20207"/>
      <w:bookmarkStart w:id="77" w:name="_Toc518923071"/>
      <w:bookmarkStart w:id="78" w:name="_Toc520356152"/>
      <w:bookmarkStart w:id="79" w:name="_Toc31145"/>
      <w:r>
        <w:rPr>
          <w:rFonts w:hint="eastAsia" w:ascii="微软雅黑" w:hAnsi="微软雅黑" w:eastAsia="微软雅黑" w:cs="微软雅黑"/>
          <w:color w:val="auto"/>
          <w:sz w:val="24"/>
          <w:szCs w:val="24"/>
          <w:highlight w:val="none"/>
          <w:u w:val="none"/>
        </w:rPr>
        <w:t>9.投标文件</w:t>
      </w:r>
      <w:bookmarkEnd w:id="73"/>
      <w:bookmarkEnd w:id="74"/>
      <w:bookmarkEnd w:id="75"/>
      <w:r>
        <w:rPr>
          <w:rFonts w:hint="eastAsia" w:ascii="微软雅黑" w:hAnsi="微软雅黑" w:eastAsia="微软雅黑" w:cs="微软雅黑"/>
          <w:color w:val="auto"/>
          <w:sz w:val="24"/>
          <w:szCs w:val="24"/>
          <w:highlight w:val="none"/>
          <w:u w:val="none"/>
        </w:rPr>
        <w:t>构成</w:t>
      </w:r>
      <w:bookmarkEnd w:id="76"/>
      <w:bookmarkEnd w:id="77"/>
      <w:bookmarkEnd w:id="78"/>
      <w:bookmarkEnd w:id="79"/>
    </w:p>
    <w:p w14:paraId="12F89867">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bookmarkStart w:id="80" w:name="_Ref467052588"/>
      <w:r>
        <w:rPr>
          <w:rFonts w:hint="eastAsia" w:ascii="微软雅黑" w:hAnsi="微软雅黑" w:eastAsia="微软雅黑" w:cs="微软雅黑"/>
          <w:color w:val="auto"/>
          <w:sz w:val="24"/>
          <w:szCs w:val="24"/>
          <w:highlight w:val="none"/>
        </w:rPr>
        <w:t xml:space="preserve">9.1 </w:t>
      </w:r>
      <w:r>
        <w:rPr>
          <w:rFonts w:hint="eastAsia" w:ascii="微软雅黑" w:hAnsi="微软雅黑" w:eastAsia="微软雅黑" w:cs="微软雅黑"/>
          <w:color w:val="auto"/>
          <w:sz w:val="24"/>
          <w:szCs w:val="24"/>
          <w:highlight w:val="none"/>
          <w:lang w:val="en-US" w:eastAsia="zh-CN"/>
        </w:rPr>
        <w:t xml:space="preserve">   </w:t>
      </w:r>
      <w:bookmarkEnd w:id="80"/>
      <w:r>
        <w:rPr>
          <w:rFonts w:hint="eastAsia" w:ascii="微软雅黑" w:hAnsi="微软雅黑" w:eastAsia="微软雅黑" w:cs="微软雅黑"/>
          <w:b/>
          <w:bCs/>
          <w:color w:val="auto"/>
          <w:sz w:val="24"/>
          <w:szCs w:val="24"/>
          <w:highlight w:val="none"/>
          <w:u w:val="single"/>
          <w:lang w:val="en-US" w:eastAsia="zh-CN"/>
        </w:rPr>
        <w:t>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投标人应承担上传失误产生的任何后果。）</w:t>
      </w:r>
    </w:p>
    <w:p w14:paraId="7A9959E2">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9.2    上述文件应按照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规定的格式填写、签署和盖章。</w:t>
      </w:r>
    </w:p>
    <w:p w14:paraId="3906BAD5">
      <w:pPr>
        <w:pStyle w:val="4"/>
        <w:pageBreakBefore w:val="0"/>
        <w:tabs>
          <w:tab w:val="left" w:pos="900"/>
        </w:tabs>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81" w:name="_Toc30637"/>
      <w:bookmarkStart w:id="82" w:name="_Toc18470"/>
      <w:bookmarkStart w:id="83" w:name="_Toc29995"/>
      <w:bookmarkStart w:id="84" w:name="_Toc508185920"/>
      <w:bookmarkStart w:id="85" w:name="_Toc516367023"/>
      <w:bookmarkStart w:id="86" w:name="_Toc520356153"/>
      <w:bookmarkStart w:id="87" w:name="_Toc518923072"/>
      <w:bookmarkStart w:id="88" w:name="_Toc520356155"/>
      <w:r>
        <w:rPr>
          <w:rFonts w:hint="eastAsia" w:ascii="微软雅黑" w:hAnsi="微软雅黑" w:eastAsia="微软雅黑" w:cs="微软雅黑"/>
          <w:color w:val="auto"/>
          <w:sz w:val="24"/>
          <w:szCs w:val="24"/>
          <w:highlight w:val="none"/>
          <w:u w:val="none"/>
        </w:rPr>
        <w:t>10.</w:t>
      </w:r>
      <w:r>
        <w:rPr>
          <w:rFonts w:hint="eastAsia" w:ascii="微软雅黑" w:hAnsi="微软雅黑" w:eastAsia="微软雅黑" w:cs="微软雅黑"/>
          <w:color w:val="auto"/>
          <w:sz w:val="24"/>
          <w:szCs w:val="24"/>
          <w:highlight w:val="none"/>
          <w:u w:val="none"/>
        </w:rPr>
        <w:tab/>
      </w:r>
      <w:r>
        <w:rPr>
          <w:rFonts w:hint="eastAsia" w:ascii="微软雅黑" w:hAnsi="微软雅黑" w:eastAsia="微软雅黑" w:cs="微软雅黑"/>
          <w:color w:val="auto"/>
          <w:sz w:val="24"/>
          <w:szCs w:val="24"/>
          <w:highlight w:val="none"/>
          <w:u w:val="none"/>
        </w:rPr>
        <w:t>证明投标标的的合格性和符合</w:t>
      </w:r>
      <w:r>
        <w:rPr>
          <w:rFonts w:hint="eastAsia" w:ascii="微软雅黑" w:hAnsi="微软雅黑" w:eastAsia="微软雅黑" w:cs="微软雅黑"/>
          <w:color w:val="auto"/>
          <w:sz w:val="24"/>
          <w:szCs w:val="24"/>
          <w:highlight w:val="none"/>
          <w:u w:val="none"/>
          <w:lang w:eastAsia="zh-CN"/>
        </w:rPr>
        <w:t>招标文件</w:t>
      </w:r>
      <w:r>
        <w:rPr>
          <w:rFonts w:hint="eastAsia" w:ascii="微软雅黑" w:hAnsi="微软雅黑" w:eastAsia="微软雅黑" w:cs="微软雅黑"/>
          <w:color w:val="auto"/>
          <w:sz w:val="24"/>
          <w:szCs w:val="24"/>
          <w:highlight w:val="none"/>
          <w:u w:val="none"/>
        </w:rPr>
        <w:t>规定的投标文件</w:t>
      </w:r>
      <w:bookmarkEnd w:id="81"/>
      <w:bookmarkEnd w:id="82"/>
      <w:bookmarkEnd w:id="83"/>
      <w:bookmarkEnd w:id="84"/>
      <w:bookmarkEnd w:id="85"/>
      <w:bookmarkEnd w:id="86"/>
      <w:bookmarkEnd w:id="87"/>
    </w:p>
    <w:p w14:paraId="02C41E70">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供应商应提交证明文件，证明其投标内容符合</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规定。该证明文件是投标文件的一部分。</w:t>
      </w:r>
    </w:p>
    <w:p w14:paraId="69149BFE">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上款所述的证明文件，可以是文字资料、图纸和数据，它包括：</w:t>
      </w:r>
    </w:p>
    <w:p w14:paraId="1EDA5F63">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货物</w:t>
      </w:r>
      <w:r>
        <w:rPr>
          <w:rFonts w:hint="eastAsia" w:ascii="微软雅黑" w:hAnsi="微软雅黑" w:eastAsia="微软雅黑" w:cs="微软雅黑"/>
          <w:color w:val="auto"/>
          <w:sz w:val="24"/>
          <w:szCs w:val="24"/>
          <w:highlight w:val="none"/>
        </w:rPr>
        <w:t>主要技术指标的详细说明；</w:t>
      </w:r>
    </w:p>
    <w:p w14:paraId="5A67FA8D">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货物从买方开始使用至</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规定的保质期内正常、连续地使用所必须的备件和专用工具清单，包括备件和专用工具的货源及现行价格；</w:t>
      </w:r>
    </w:p>
    <w:p w14:paraId="1365D9F1">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对照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技术规格，逐条说明所提供货物及伴随的工程和货物已对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的技术规格做出了实质性的响应，或申明与技术规格条文的偏差和例外。</w:t>
      </w:r>
    </w:p>
    <w:p w14:paraId="0FD6AA21">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投标人在投标中可以选用替代牌号或分类号，但这些替代要实质上相当于技术规格的要求。采购人、采购代理机构承诺不以上述参照品牌型号或分类号作为评标时判定其投标是否有效的标准。</w:t>
      </w:r>
    </w:p>
    <w:p w14:paraId="2F8CEF7E">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89" w:name="_Toc24655"/>
      <w:bookmarkStart w:id="90" w:name="_Toc518923073"/>
      <w:bookmarkStart w:id="91" w:name="_Toc17326"/>
      <w:bookmarkStart w:id="92" w:name="_Toc28537"/>
      <w:r>
        <w:rPr>
          <w:rFonts w:hint="eastAsia" w:ascii="微软雅黑" w:hAnsi="微软雅黑" w:eastAsia="微软雅黑" w:cs="微软雅黑"/>
          <w:color w:val="auto"/>
          <w:sz w:val="24"/>
          <w:szCs w:val="24"/>
          <w:highlight w:val="none"/>
          <w:u w:val="none"/>
        </w:rPr>
        <w:t>11.投标报价</w:t>
      </w:r>
      <w:bookmarkEnd w:id="88"/>
      <w:bookmarkEnd w:id="89"/>
      <w:bookmarkEnd w:id="90"/>
      <w:bookmarkEnd w:id="91"/>
      <w:bookmarkEnd w:id="92"/>
    </w:p>
    <w:p w14:paraId="05BD5555">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所有投标均以人民币报价。投标人的投标报价应遵守《中华人民共和国价格法》。同时，根据《中华人民共和国政府采购法》第二条的规定，为保证公平竞争，如有主体投标标的的赠与行为，其投标将被认定为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1199B62B">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投标人应在投标分项报价表上标明分项</w:t>
      </w:r>
      <w:r>
        <w:rPr>
          <w:rFonts w:hint="eastAsia" w:ascii="微软雅黑" w:hAnsi="微软雅黑" w:eastAsia="微软雅黑" w:cs="微软雅黑"/>
          <w:color w:val="auto"/>
          <w:sz w:val="24"/>
          <w:szCs w:val="24"/>
          <w:highlight w:val="none"/>
          <w:lang w:val="en-US" w:eastAsia="zh-CN"/>
        </w:rPr>
        <w:t>货物</w:t>
      </w:r>
      <w:r>
        <w:rPr>
          <w:rFonts w:hint="eastAsia" w:ascii="微软雅黑" w:hAnsi="微软雅黑" w:eastAsia="微软雅黑" w:cs="微软雅黑"/>
          <w:color w:val="auto"/>
          <w:sz w:val="24"/>
          <w:szCs w:val="24"/>
          <w:highlight w:val="none"/>
        </w:rPr>
        <w:t>的价格（如适用），并由法定代表人或其委托代理人签署。</w:t>
      </w:r>
    </w:p>
    <w:p w14:paraId="6CC881D1">
      <w:pPr>
        <w:pStyle w:val="16"/>
        <w:pageBreakBefore w:val="0"/>
        <w:kinsoku/>
        <w:overflowPunct/>
        <w:topLinePunct w:val="0"/>
        <w:bidi w:val="0"/>
        <w:snapToGrid w:val="0"/>
        <w:spacing w:line="312" w:lineRule="auto"/>
        <w:textAlignment w:val="auto"/>
        <w:outlineLvl w:val="1"/>
        <w:rPr>
          <w:rFonts w:hint="eastAsia" w:ascii="微软雅黑" w:hAnsi="微软雅黑" w:eastAsia="微软雅黑" w:cs="微软雅黑"/>
          <w:color w:val="auto"/>
          <w:kern w:val="2"/>
          <w:sz w:val="24"/>
          <w:szCs w:val="24"/>
          <w:highlight w:val="none"/>
          <w:lang w:val="en-US" w:eastAsia="zh-CN" w:bidi="ar-SA"/>
        </w:rPr>
      </w:pPr>
      <w:bookmarkStart w:id="93" w:name="_Toc3014"/>
      <w:bookmarkStart w:id="94" w:name="_Toc518923074"/>
      <w:bookmarkStart w:id="95" w:name="_Ref467306513"/>
      <w:bookmarkStart w:id="96" w:name="_Toc520356156"/>
      <w:bookmarkStart w:id="97" w:name="_Toc13611"/>
      <w:r>
        <w:rPr>
          <w:rFonts w:hint="eastAsia" w:ascii="微软雅黑" w:hAnsi="微软雅黑" w:eastAsia="微软雅黑" w:cs="微软雅黑"/>
          <w:color w:val="auto"/>
          <w:kern w:val="2"/>
          <w:sz w:val="24"/>
          <w:szCs w:val="24"/>
          <w:highlight w:val="none"/>
          <w:lang w:val="en-US" w:eastAsia="zh-CN" w:bidi="ar-SA"/>
        </w:rPr>
        <w:t>11.3</w:t>
      </w:r>
      <w:r>
        <w:rPr>
          <w:rFonts w:hint="eastAsia" w:ascii="微软雅黑" w:hAnsi="微软雅黑" w:eastAsia="微软雅黑" w:cs="微软雅黑"/>
          <w:color w:val="auto"/>
          <w:kern w:val="2"/>
          <w:sz w:val="24"/>
          <w:szCs w:val="24"/>
          <w:highlight w:val="none"/>
          <w:lang w:val="en-US" w:eastAsia="zh-CN" w:bidi="ar-SA"/>
        </w:rPr>
        <w:tab/>
      </w:r>
      <w:r>
        <w:rPr>
          <w:rFonts w:hint="eastAsia" w:ascii="微软雅黑" w:hAnsi="微软雅黑" w:eastAsia="微软雅黑" w:cs="微软雅黑"/>
          <w:color w:val="auto"/>
          <w:kern w:val="2"/>
          <w:sz w:val="24"/>
          <w:szCs w:val="24"/>
          <w:highlight w:val="none"/>
          <w:lang w:val="en-US" w:eastAsia="zh-CN" w:bidi="ar-SA"/>
        </w:rPr>
        <w:t>投标分项报价表上的价格应按下列方式填写：</w:t>
      </w:r>
      <w:bookmarkEnd w:id="93"/>
    </w:p>
    <w:p w14:paraId="7B9FF1A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11.3.1 投标货物（包括备品备件、专用工具等）的出厂价，投标货物安装、调试、检验、技术服务和培训等费用；</w:t>
      </w:r>
    </w:p>
    <w:p w14:paraId="799EA16D">
      <w:pPr>
        <w:pStyle w:val="16"/>
        <w:pageBreakBefore w:val="0"/>
        <w:kinsoku/>
        <w:overflowPunct/>
        <w:topLinePunct w:val="0"/>
        <w:bidi w:val="0"/>
        <w:snapToGrid w:val="0"/>
        <w:spacing w:line="312" w:lineRule="auto"/>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11.3.2 货物运至最终目的地的运输费和保险费用。</w:t>
      </w:r>
    </w:p>
    <w:p w14:paraId="52DDC303">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11.4</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供应商所报的各分项投标单价在合同履行过程中是固定不变的，不得以任何理由予以变更。任何包含价格调整要求的投标，其投标将被认定为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color w:val="auto"/>
          <w:sz w:val="24"/>
          <w:szCs w:val="24"/>
          <w:highlight w:val="none"/>
          <w:lang w:val="en-US" w:eastAsia="zh-CN"/>
        </w:rPr>
        <w:t>投标无效</w:t>
      </w:r>
      <w:r>
        <w:rPr>
          <w:rFonts w:hint="eastAsia" w:ascii="微软雅黑" w:hAnsi="微软雅黑" w:eastAsia="微软雅黑" w:cs="微软雅黑"/>
          <w:color w:val="auto"/>
          <w:sz w:val="24"/>
          <w:szCs w:val="24"/>
          <w:highlight w:val="none"/>
          <w:lang w:val="en-US" w:eastAsia="zh-CN"/>
        </w:rPr>
        <w:t>。</w:t>
      </w:r>
    </w:p>
    <w:p w14:paraId="65C01474">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11.5</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每种货物只能有一个投标报价。采购人不接受具有附加条件的报价。</w:t>
      </w:r>
    </w:p>
    <w:p w14:paraId="1B4AF96C">
      <w:pPr>
        <w:pageBreakBefore w:val="0"/>
        <w:kinsoku/>
        <w:overflowPunct/>
        <w:topLinePunct w:val="0"/>
        <w:bidi w:val="0"/>
        <w:snapToGrid w:val="0"/>
        <w:spacing w:line="312" w:lineRule="auto"/>
        <w:ind w:left="1050" w:hanging="900" w:hangingChars="375"/>
        <w:textAlignment w:val="auto"/>
        <w:outlineLvl w:val="2"/>
        <w:rPr>
          <w:rFonts w:hint="eastAsia" w:ascii="微软雅黑" w:hAnsi="微软雅黑" w:eastAsia="微软雅黑" w:cs="微软雅黑"/>
          <w:b/>
          <w:color w:val="auto"/>
          <w:kern w:val="0"/>
          <w:sz w:val="24"/>
          <w:szCs w:val="24"/>
          <w:highlight w:val="none"/>
          <w:u w:val="none"/>
          <w:lang w:val="en-US" w:eastAsia="zh-CN" w:bidi="ar-SA"/>
        </w:rPr>
      </w:pPr>
      <w:bookmarkStart w:id="98" w:name="_Toc24193"/>
      <w:r>
        <w:rPr>
          <w:rFonts w:hint="eastAsia" w:ascii="微软雅黑" w:hAnsi="微软雅黑" w:eastAsia="微软雅黑" w:cs="微软雅黑"/>
          <w:b/>
          <w:color w:val="auto"/>
          <w:kern w:val="0"/>
          <w:sz w:val="24"/>
          <w:szCs w:val="24"/>
          <w:highlight w:val="none"/>
          <w:u w:val="none"/>
          <w:lang w:val="en-US" w:eastAsia="zh-CN" w:bidi="ar-SA"/>
        </w:rPr>
        <w:t>12.投标保证金</w:t>
      </w:r>
      <w:bookmarkEnd w:id="94"/>
      <w:bookmarkEnd w:id="95"/>
      <w:bookmarkEnd w:id="96"/>
      <w:bookmarkEnd w:id="97"/>
      <w:bookmarkEnd w:id="98"/>
    </w:p>
    <w:p w14:paraId="264996D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bookmarkStart w:id="99" w:name="_Ref467306302"/>
      <w:r>
        <w:rPr>
          <w:rFonts w:hint="eastAsia" w:ascii="微软雅黑" w:hAnsi="微软雅黑" w:eastAsia="微软雅黑" w:cs="微软雅黑"/>
          <w:color w:val="auto"/>
          <w:sz w:val="24"/>
          <w:szCs w:val="24"/>
          <w:highlight w:val="none"/>
        </w:rPr>
        <w:t>12.1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投标人应提交</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中规定的投标保证金</w:t>
      </w:r>
      <w:bookmarkEnd w:id="99"/>
      <w:r>
        <w:rPr>
          <w:rFonts w:hint="eastAsia" w:ascii="微软雅黑" w:hAnsi="微软雅黑" w:eastAsia="微软雅黑" w:cs="微软雅黑"/>
          <w:color w:val="auto"/>
          <w:sz w:val="24"/>
          <w:szCs w:val="24"/>
          <w:highlight w:val="none"/>
        </w:rPr>
        <w:t>，并作为其投标的一部分。</w:t>
      </w:r>
    </w:p>
    <w:p w14:paraId="27B12DC4">
      <w:pPr>
        <w:pageBreakBefore w:val="0"/>
        <w:kinsoku/>
        <w:overflowPunct/>
        <w:topLinePunct w:val="0"/>
        <w:bidi w:val="0"/>
        <w:snapToGrid w:val="0"/>
        <w:spacing w:line="312" w:lineRule="auto"/>
        <w:ind w:left="1054" w:hanging="900" w:hangingChars="375"/>
        <w:textAlignment w:val="auto"/>
        <w:outlineLvl w:val="1"/>
        <w:rPr>
          <w:rFonts w:hint="eastAsia" w:ascii="微软雅黑" w:hAnsi="微软雅黑" w:eastAsia="微软雅黑" w:cs="微软雅黑"/>
          <w:b/>
          <w:bCs/>
          <w:color w:val="auto"/>
          <w:sz w:val="24"/>
          <w:szCs w:val="24"/>
          <w:highlight w:val="none"/>
        </w:rPr>
      </w:pPr>
      <w:bookmarkStart w:id="100" w:name="_Toc5147"/>
      <w:r>
        <w:rPr>
          <w:rFonts w:hint="eastAsia" w:ascii="微软雅黑" w:hAnsi="微软雅黑" w:eastAsia="微软雅黑" w:cs="微软雅黑"/>
          <w:b/>
          <w:bCs/>
          <w:color w:val="auto"/>
          <w:sz w:val="24"/>
          <w:szCs w:val="24"/>
          <w:highlight w:val="none"/>
        </w:rPr>
        <w:t>12.2</w:t>
      </w:r>
      <w:r>
        <w:rPr>
          <w:rFonts w:hint="eastAsia" w:ascii="微软雅黑" w:hAnsi="微软雅黑" w:eastAsia="微软雅黑" w:cs="微软雅黑"/>
          <w:b/>
          <w:bCs/>
          <w:color w:val="auto"/>
          <w:sz w:val="24"/>
          <w:szCs w:val="24"/>
          <w:highlight w:val="none"/>
        </w:rPr>
        <w:tab/>
      </w:r>
      <w:r>
        <w:rPr>
          <w:rFonts w:hint="eastAsia" w:ascii="微软雅黑" w:hAnsi="微软雅黑" w:eastAsia="微软雅黑" w:cs="微软雅黑"/>
          <w:b/>
          <w:bCs/>
          <w:color w:val="auto"/>
          <w:sz w:val="24"/>
          <w:szCs w:val="24"/>
          <w:highlight w:val="none"/>
        </w:rPr>
        <w:t>投标人存在下列情形的，投标保证金不予退还：</w:t>
      </w:r>
      <w:bookmarkEnd w:id="100"/>
    </w:p>
    <w:p w14:paraId="5747D2C0">
      <w:pPr>
        <w:pageBreakBefore w:val="0"/>
        <w:kinsoku/>
        <w:overflowPunct/>
        <w:topLinePunct w:val="0"/>
        <w:bidi w:val="0"/>
        <w:snapToGrid w:val="0"/>
        <w:spacing w:line="312" w:lineRule="auto"/>
        <w:ind w:left="1054" w:hanging="900" w:hangingChars="375"/>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 xml:space="preserve">      （1）在投标有效期内，撤销投标的；</w:t>
      </w:r>
    </w:p>
    <w:p w14:paraId="7A6B9EA5">
      <w:pPr>
        <w:pStyle w:val="16"/>
        <w:pageBreakBefore w:val="0"/>
        <w:tabs>
          <w:tab w:val="left" w:pos="2240"/>
        </w:tabs>
        <w:kinsoku/>
        <w:overflowPunct/>
        <w:topLinePunct w:val="0"/>
        <w:bidi w:val="0"/>
        <w:snapToGrid w:val="0"/>
        <w:spacing w:line="312" w:lineRule="auto"/>
        <w:ind w:left="1079" w:leftChars="371" w:hanging="300" w:hangingChars="125"/>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（2）中标后不按本须知第30条的规定与采购人签订合同的；</w:t>
      </w:r>
    </w:p>
    <w:p w14:paraId="6454F377">
      <w:pPr>
        <w:pStyle w:val="16"/>
        <w:pageBreakBefore w:val="0"/>
        <w:tabs>
          <w:tab w:val="left" w:pos="2240"/>
        </w:tabs>
        <w:kinsoku/>
        <w:overflowPunct/>
        <w:topLinePunct w:val="0"/>
        <w:bidi w:val="0"/>
        <w:snapToGrid w:val="0"/>
        <w:spacing w:line="312" w:lineRule="auto"/>
        <w:ind w:left="1079" w:leftChars="371" w:hanging="300" w:hangingChars="125"/>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（3）中标后不按本须知第31条的规定提交履约保证金的；</w:t>
      </w:r>
    </w:p>
    <w:p w14:paraId="197263A1">
      <w:pPr>
        <w:pStyle w:val="16"/>
        <w:pageBreakBefore w:val="0"/>
        <w:tabs>
          <w:tab w:val="left" w:pos="2240"/>
        </w:tabs>
        <w:kinsoku/>
        <w:overflowPunct/>
        <w:topLinePunct w:val="0"/>
        <w:bidi w:val="0"/>
        <w:snapToGrid w:val="0"/>
        <w:spacing w:line="312" w:lineRule="auto"/>
        <w:ind w:left="1079" w:leftChars="371" w:hanging="300" w:hangingChars="125"/>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（4）中标后不按本须知第32条的规定缴纳中标服务费的；</w:t>
      </w:r>
    </w:p>
    <w:p w14:paraId="6BCB33EA">
      <w:pPr>
        <w:pStyle w:val="16"/>
        <w:pageBreakBefore w:val="0"/>
        <w:tabs>
          <w:tab w:val="left" w:pos="2240"/>
        </w:tabs>
        <w:kinsoku/>
        <w:overflowPunct/>
        <w:topLinePunct w:val="0"/>
        <w:bidi w:val="0"/>
        <w:snapToGrid w:val="0"/>
        <w:spacing w:line="312" w:lineRule="auto"/>
        <w:ind w:left="1079" w:leftChars="371" w:hanging="300" w:hangingChars="125"/>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（5）存在其他违法违规行为的。</w:t>
      </w:r>
    </w:p>
    <w:p w14:paraId="05F16C2D">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bookmarkStart w:id="101" w:name="_Ref467306336"/>
      <w:r>
        <w:rPr>
          <w:rFonts w:hint="eastAsia" w:ascii="微软雅黑" w:hAnsi="微软雅黑" w:eastAsia="微软雅黑" w:cs="微软雅黑"/>
          <w:color w:val="auto"/>
          <w:sz w:val="24"/>
          <w:szCs w:val="24"/>
          <w:highlight w:val="none"/>
        </w:rPr>
        <w:t>12.3</w:t>
      </w:r>
      <w:r>
        <w:rPr>
          <w:rFonts w:hint="eastAsia" w:ascii="微软雅黑" w:hAnsi="微软雅黑" w:eastAsia="微软雅黑" w:cs="微软雅黑"/>
          <w:color w:val="auto"/>
          <w:sz w:val="24"/>
          <w:szCs w:val="24"/>
          <w:highlight w:val="none"/>
        </w:rPr>
        <w:tab/>
      </w:r>
      <w:bookmarkEnd w:id="101"/>
      <w:r>
        <w:rPr>
          <w:rFonts w:hint="eastAsia" w:ascii="微软雅黑" w:hAnsi="微软雅黑" w:eastAsia="微软雅黑" w:cs="微软雅黑"/>
          <w:color w:val="auto"/>
          <w:sz w:val="24"/>
          <w:szCs w:val="24"/>
          <w:highlight w:val="none"/>
        </w:rPr>
        <w:t>政府采购信用担保试点范围内的项目，接受符合财政部门规定的政府采购投标担保函原件。</w:t>
      </w:r>
    </w:p>
    <w:p w14:paraId="1B2D6B2C">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投标人未按本须知第12.1和12.3条规定提交投标保证金的，其投标将被认定为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0E809EB5">
      <w:pPr>
        <w:pageBreakBefore w:val="0"/>
        <w:kinsoku/>
        <w:overflowPunct/>
        <w:topLinePunct w:val="0"/>
        <w:bidi w:val="0"/>
        <w:snapToGrid w:val="0"/>
        <w:spacing w:line="312"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12.4.1  采用电汇形式的，一般可以实时入账；</w:t>
      </w:r>
    </w:p>
    <w:p w14:paraId="3DC76737">
      <w:pPr>
        <w:pageBreakBefore w:val="0"/>
        <w:kinsoku/>
        <w:overflowPunct/>
        <w:topLinePunct w:val="0"/>
        <w:bidi w:val="0"/>
        <w:snapToGrid w:val="0"/>
        <w:spacing w:line="312" w:lineRule="auto"/>
        <w:ind w:left="112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的第22.2条相关规定处理。</w:t>
      </w:r>
    </w:p>
    <w:p w14:paraId="088FA444">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12.5    联合体投标的，可以由联合体中的一方或者共同提交投标保证金。以一方名义提交投标保证金的，对联合体各方均具有约束力。</w:t>
      </w:r>
    </w:p>
    <w:p w14:paraId="33E4BE88">
      <w:pPr>
        <w:pageBreakBefore w:val="0"/>
        <w:kinsoku/>
        <w:overflowPunct/>
        <w:topLinePunct w:val="0"/>
        <w:bidi w:val="0"/>
        <w:snapToGrid w:val="0"/>
        <w:spacing w:line="312" w:lineRule="auto"/>
        <w:ind w:left="1050" w:hanging="900" w:hangingChars="375"/>
        <w:textAlignment w:val="auto"/>
        <w:outlineLvl w:val="1"/>
        <w:rPr>
          <w:rFonts w:hint="eastAsia" w:ascii="微软雅黑" w:hAnsi="微软雅黑" w:eastAsia="微软雅黑" w:cs="微软雅黑"/>
          <w:color w:val="auto"/>
          <w:sz w:val="24"/>
          <w:szCs w:val="24"/>
          <w:highlight w:val="none"/>
        </w:rPr>
      </w:pPr>
      <w:bookmarkStart w:id="102" w:name="_Toc15321"/>
      <w:r>
        <w:rPr>
          <w:rFonts w:hint="eastAsia" w:ascii="微软雅黑" w:hAnsi="微软雅黑" w:eastAsia="微软雅黑" w:cs="微软雅黑"/>
          <w:color w:val="auto"/>
          <w:sz w:val="24"/>
          <w:szCs w:val="24"/>
          <w:highlight w:val="none"/>
        </w:rPr>
        <w:t>12.6</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b/>
          <w:color w:val="auto"/>
          <w:sz w:val="24"/>
          <w:szCs w:val="24"/>
          <w:highlight w:val="none"/>
        </w:rPr>
        <w:t>投标保证金的退还</w:t>
      </w:r>
      <w:bookmarkEnd w:id="102"/>
    </w:p>
    <w:p w14:paraId="35A0CA66">
      <w:pPr>
        <w:pageBreakBefore w:val="0"/>
        <w:kinsoku/>
        <w:overflowPunct/>
        <w:topLinePunct w:val="0"/>
        <w:bidi w:val="0"/>
        <w:snapToGrid w:val="0"/>
        <w:spacing w:line="312" w:lineRule="auto"/>
        <w:ind w:left="1190" w:hanging="1020" w:hangingChars="4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12.6.1  中标人应在与采购人签订合同之日起5个工作日内，及时联系保证金收受机构办理投标保证金无息退还手续。</w:t>
      </w:r>
    </w:p>
    <w:p w14:paraId="0323FDED">
      <w:pPr>
        <w:pageBreakBefore w:val="0"/>
        <w:kinsoku/>
        <w:overflowPunct/>
        <w:topLinePunct w:val="0"/>
        <w:bidi w:val="0"/>
        <w:snapToGrid w:val="0"/>
        <w:spacing w:line="312" w:lineRule="auto"/>
        <w:ind w:left="1190" w:hanging="1020" w:hangingChars="4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12.6.2  未中标投标人的投标保证金将在中标通知书发出之日暨中标结果公告公布之日起5个工作日内无息退还。投标人及时联系保证金收受机构办理退还投标保证金手续。</w:t>
      </w:r>
      <w:bookmarkStart w:id="103" w:name="_Toc518923075"/>
    </w:p>
    <w:p w14:paraId="5663AA9F">
      <w:pPr>
        <w:pageBreakBefore w:val="0"/>
        <w:kinsoku/>
        <w:overflowPunct/>
        <w:topLinePunct w:val="0"/>
        <w:bidi w:val="0"/>
        <w:snapToGrid w:val="0"/>
        <w:spacing w:line="312" w:lineRule="auto"/>
        <w:ind w:left="1190" w:hanging="1020" w:hangingChars="4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12.6.3  </w:t>
      </w:r>
      <w:bookmarkEnd w:id="103"/>
      <w:r>
        <w:rPr>
          <w:rFonts w:hint="eastAsia" w:ascii="微软雅黑" w:hAnsi="微软雅黑" w:eastAsia="微软雅黑" w:cs="微软雅黑"/>
          <w:color w:val="auto"/>
          <w:sz w:val="24"/>
          <w:szCs w:val="24"/>
          <w:highlight w:val="none"/>
        </w:rPr>
        <w:t>政府采购投标担保函不予退回。</w:t>
      </w:r>
    </w:p>
    <w:p w14:paraId="5D73736D">
      <w:pPr>
        <w:pageBreakBefore w:val="0"/>
        <w:kinsoku/>
        <w:overflowPunct/>
        <w:topLinePunct w:val="0"/>
        <w:bidi w:val="0"/>
        <w:snapToGrid w:val="0"/>
        <w:spacing w:line="312" w:lineRule="auto"/>
        <w:ind w:left="112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12.7    因投标人自身原因导致无法及时退还的，采购人或采购代理机构将不承担相应责任。</w:t>
      </w:r>
    </w:p>
    <w:p w14:paraId="7180538B">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04" w:name="_Toc13609"/>
      <w:bookmarkStart w:id="105" w:name="_Toc4402"/>
      <w:bookmarkStart w:id="106" w:name="_Toc1011"/>
      <w:bookmarkStart w:id="107" w:name="_Toc518923076"/>
      <w:bookmarkStart w:id="108" w:name="_Toc520356157"/>
      <w:r>
        <w:rPr>
          <w:rFonts w:hint="eastAsia" w:ascii="微软雅黑" w:hAnsi="微软雅黑" w:eastAsia="微软雅黑" w:cs="微软雅黑"/>
          <w:color w:val="auto"/>
          <w:sz w:val="24"/>
          <w:szCs w:val="24"/>
          <w:highlight w:val="none"/>
          <w:u w:val="none"/>
        </w:rPr>
        <w:t>13.投标有效期</w:t>
      </w:r>
      <w:bookmarkEnd w:id="104"/>
      <w:bookmarkEnd w:id="105"/>
      <w:bookmarkEnd w:id="106"/>
      <w:bookmarkEnd w:id="107"/>
      <w:bookmarkEnd w:id="108"/>
    </w:p>
    <w:p w14:paraId="42F45419">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投标应在</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中规定时间内保持有效。投标有效期不满足要求的投标，其投标将被认定为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6C41FEDC">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46B2AF97">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09" w:name="_Toc16114"/>
      <w:bookmarkStart w:id="110" w:name="_Toc518923077"/>
      <w:bookmarkStart w:id="111" w:name="_Toc520356158"/>
      <w:bookmarkStart w:id="112" w:name="_Toc18684"/>
      <w:bookmarkStart w:id="113" w:name="_Toc22797"/>
      <w:r>
        <w:rPr>
          <w:rFonts w:hint="eastAsia" w:ascii="微软雅黑" w:hAnsi="微软雅黑" w:eastAsia="微软雅黑" w:cs="微软雅黑"/>
          <w:color w:val="auto"/>
          <w:sz w:val="24"/>
          <w:szCs w:val="24"/>
          <w:highlight w:val="none"/>
          <w:u w:val="none"/>
        </w:rPr>
        <w:t>14.</w:t>
      </w:r>
      <w:bookmarkEnd w:id="109"/>
      <w:bookmarkEnd w:id="110"/>
      <w:bookmarkEnd w:id="111"/>
      <w:r>
        <w:rPr>
          <w:rFonts w:hint="eastAsia" w:ascii="微软雅黑" w:hAnsi="微软雅黑" w:eastAsia="微软雅黑" w:cs="微软雅黑"/>
          <w:color w:val="auto"/>
          <w:sz w:val="24"/>
          <w:szCs w:val="24"/>
          <w:highlight w:val="none"/>
          <w:u w:val="none"/>
          <w:lang w:eastAsia="zh-CN"/>
        </w:rPr>
        <w:t>投标</w:t>
      </w:r>
      <w:r>
        <w:rPr>
          <w:rFonts w:hint="eastAsia" w:ascii="微软雅黑" w:hAnsi="微软雅黑" w:eastAsia="微软雅黑" w:cs="微软雅黑"/>
          <w:b/>
          <w:bCs/>
          <w:color w:val="auto"/>
          <w:kern w:val="2"/>
          <w:sz w:val="24"/>
          <w:szCs w:val="24"/>
          <w:highlight w:val="none"/>
          <w:u w:val="none"/>
          <w:lang w:val="en-US" w:eastAsia="zh-CN" w:bidi="ar-SA"/>
        </w:rPr>
        <w:t>文件的签署及规定</w:t>
      </w:r>
      <w:bookmarkEnd w:id="112"/>
      <w:bookmarkEnd w:id="113"/>
    </w:p>
    <w:p w14:paraId="0DE05297">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14.1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lang w:val="en-US" w:eastAsia="zh-CN"/>
        </w:rPr>
        <w:t>应按</w:t>
      </w:r>
      <w:r>
        <w:rPr>
          <w:rFonts w:hint="eastAsia" w:ascii="微软雅黑" w:hAnsi="微软雅黑" w:eastAsia="微软雅黑" w:cs="微软雅黑"/>
          <w:color w:val="auto"/>
          <w:sz w:val="24"/>
          <w:szCs w:val="24"/>
          <w:highlight w:val="none"/>
          <w:u w:val="single"/>
          <w:lang w:val="en-US" w:eastAsia="zh-CN"/>
        </w:rPr>
        <w:t>投标人须知资料表</w:t>
      </w:r>
      <w:r>
        <w:rPr>
          <w:rFonts w:hint="eastAsia" w:ascii="微软雅黑" w:hAnsi="微软雅黑" w:eastAsia="微软雅黑" w:cs="微软雅黑"/>
          <w:color w:val="auto"/>
          <w:sz w:val="24"/>
          <w:szCs w:val="24"/>
          <w:highlight w:val="none"/>
          <w:lang w:val="en-US" w:eastAsia="zh-CN"/>
        </w:rPr>
        <w:t>中的规定，准备和递交（加密上传）电子投标文件。</w:t>
      </w:r>
    </w:p>
    <w:p w14:paraId="3729B11C">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所有</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应按照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规定的格式填写、签署和盖章。</w:t>
      </w:r>
    </w:p>
    <w:p w14:paraId="2D4054D3">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14.3   </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因字迹潦草、表达不清或</w:t>
      </w:r>
      <w:r>
        <w:rPr>
          <w:rFonts w:hint="eastAsia" w:ascii="微软雅黑" w:hAnsi="微软雅黑" w:eastAsia="微软雅黑" w:cs="微软雅黑"/>
          <w:color w:val="auto"/>
          <w:sz w:val="24"/>
          <w:szCs w:val="24"/>
          <w:highlight w:val="none"/>
          <w:lang w:val="en-US" w:eastAsia="zh-CN"/>
        </w:rPr>
        <w:t>未按照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规定的格式填写、签署和盖章所引起的后果由</w:t>
      </w: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负责。</w:t>
      </w:r>
    </w:p>
    <w:p w14:paraId="2D88F696">
      <w:pPr>
        <w:pStyle w:val="3"/>
        <w:pageBreakBefore w:val="0"/>
        <w:kinsoku/>
        <w:overflowPunct/>
        <w:topLinePunct w:val="0"/>
        <w:bidi w:val="0"/>
        <w:snapToGrid w:val="0"/>
        <w:spacing w:before="0" w:line="312" w:lineRule="auto"/>
        <w:ind w:left="1079" w:leftChars="257" w:hanging="540"/>
        <w:textAlignment w:val="auto"/>
        <w:rPr>
          <w:rFonts w:hint="eastAsia" w:ascii="微软雅黑" w:hAnsi="微软雅黑" w:eastAsia="微软雅黑" w:cs="微软雅黑"/>
          <w:color w:val="auto"/>
          <w:sz w:val="24"/>
          <w:szCs w:val="24"/>
          <w:highlight w:val="none"/>
        </w:rPr>
      </w:pPr>
      <w:bookmarkStart w:id="114" w:name="_Toc518923078"/>
      <w:bookmarkStart w:id="115" w:name="_Toc22935"/>
      <w:bookmarkStart w:id="116" w:name="_Toc520356159"/>
      <w:bookmarkStart w:id="117" w:name="_Toc25034"/>
      <w:bookmarkStart w:id="118" w:name="_Toc216582808"/>
      <w:r>
        <w:rPr>
          <w:rFonts w:hint="eastAsia" w:ascii="微软雅黑" w:hAnsi="微软雅黑" w:eastAsia="微软雅黑" w:cs="微软雅黑"/>
          <w:color w:val="auto"/>
          <w:sz w:val="24"/>
          <w:szCs w:val="24"/>
          <w:highlight w:val="none"/>
        </w:rPr>
        <w:t>四</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投标文件的递交</w:t>
      </w:r>
      <w:bookmarkEnd w:id="114"/>
      <w:bookmarkEnd w:id="115"/>
      <w:bookmarkEnd w:id="116"/>
      <w:bookmarkEnd w:id="117"/>
      <w:bookmarkEnd w:id="118"/>
    </w:p>
    <w:p w14:paraId="0A2DFB81">
      <w:pPr>
        <w:pStyle w:val="4"/>
        <w:pageBreakBefore w:val="0"/>
        <w:numPr>
          <w:ilvl w:val="0"/>
          <w:numId w:val="1"/>
        </w:numPr>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19" w:name="_Toc70"/>
      <w:bookmarkStart w:id="120" w:name="_Toc520356160"/>
      <w:bookmarkStart w:id="121" w:name="_Toc13131"/>
      <w:bookmarkStart w:id="122" w:name="_Toc518923079"/>
      <w:bookmarkStart w:id="123" w:name="_Toc8602"/>
      <w:r>
        <w:rPr>
          <w:rFonts w:hint="eastAsia" w:ascii="微软雅黑" w:hAnsi="微软雅黑" w:eastAsia="微软雅黑" w:cs="微软雅黑"/>
          <w:color w:val="auto"/>
          <w:sz w:val="24"/>
          <w:szCs w:val="24"/>
          <w:highlight w:val="none"/>
          <w:u w:val="none"/>
        </w:rPr>
        <w:t>投标文件的密封和标记</w:t>
      </w:r>
      <w:bookmarkEnd w:id="119"/>
      <w:bookmarkEnd w:id="120"/>
      <w:bookmarkEnd w:id="121"/>
      <w:bookmarkEnd w:id="122"/>
      <w:bookmarkEnd w:id="123"/>
    </w:p>
    <w:p w14:paraId="449FB37D">
      <w:pPr>
        <w:pageBreakBefore w:val="0"/>
        <w:numPr>
          <w:ilvl w:val="0"/>
          <w:numId w:val="0"/>
        </w:numPr>
        <w:tabs>
          <w:tab w:val="left" w:pos="4830"/>
        </w:tabs>
        <w:kinsoku/>
        <w:overflowPunct/>
        <w:topLinePunct w:val="0"/>
        <w:bidi w:val="0"/>
        <w:snapToGrid w:val="0"/>
        <w:spacing w:line="312" w:lineRule="auto"/>
        <w:ind w:left="960" w:hanging="960" w:hangingChars="400"/>
        <w:textAlignment w:val="auto"/>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 xml:space="preserve">15.1    </w:t>
      </w:r>
      <w:bookmarkStart w:id="124" w:name="_Toc12504"/>
      <w:bookmarkStart w:id="125" w:name="_Toc518923080"/>
      <w:bookmarkStart w:id="126" w:name="_Toc520356161"/>
      <w:r>
        <w:rPr>
          <w:rFonts w:hint="eastAsia" w:ascii="微软雅黑" w:hAnsi="微软雅黑" w:eastAsia="微软雅黑" w:cs="微软雅黑"/>
          <w:b/>
          <w:bCs/>
          <w:color w:val="auto"/>
          <w:kern w:val="2"/>
          <w:sz w:val="24"/>
          <w:szCs w:val="24"/>
          <w:highlight w:val="none"/>
          <w:u w:val="single"/>
          <w:lang w:val="en-US" w:eastAsia="zh-CN" w:bidi="ar-SA"/>
        </w:rPr>
        <w:t>投标人应完整地按招标文件提供的投标文件格式及要求编写投标文件，投标人须在投标截止时间前完成在系统上传递交电子投标文件。投标人的电子投标文件是经过CA证书加密后上传提交的，任何单位或个人均无法在投标截止时间(即投标截止时间)之前查看或篡改，不存在泄密风险。（投标人须严格按照政采云电子投标流程制作并上传电子投标文件，投标人应承担上传失误产生的任何后果。）</w:t>
      </w:r>
    </w:p>
    <w:p w14:paraId="4CA97610">
      <w:pPr>
        <w:pageBreakBefore w:val="0"/>
        <w:numPr>
          <w:ilvl w:val="0"/>
          <w:numId w:val="0"/>
        </w:numPr>
        <w:tabs>
          <w:tab w:val="left" w:pos="4830"/>
        </w:tabs>
        <w:kinsoku/>
        <w:overflowPunct/>
        <w:topLinePunct w:val="0"/>
        <w:bidi w:val="0"/>
        <w:snapToGrid w:val="0"/>
        <w:spacing w:line="312" w:lineRule="auto"/>
        <w:ind w:left="960" w:hanging="960" w:hangingChars="400"/>
        <w:textAlignment w:val="auto"/>
        <w:rPr>
          <w:rFonts w:hint="eastAsia" w:ascii="微软雅黑" w:hAnsi="微软雅黑" w:eastAsia="微软雅黑" w:cs="微软雅黑"/>
          <w:b w:val="0"/>
          <w:color w:val="auto"/>
          <w:kern w:val="2"/>
          <w:sz w:val="24"/>
          <w:szCs w:val="24"/>
          <w:highlight w:val="none"/>
          <w:u w:val="none"/>
          <w:lang w:val="en-US" w:eastAsia="zh-CN" w:bidi="ar-SA"/>
        </w:rPr>
      </w:pPr>
      <w:r>
        <w:rPr>
          <w:rFonts w:hint="eastAsia" w:ascii="微软雅黑" w:hAnsi="微软雅黑" w:eastAsia="微软雅黑" w:cs="微软雅黑"/>
          <w:b w:val="0"/>
          <w:color w:val="auto"/>
          <w:kern w:val="2"/>
          <w:sz w:val="24"/>
          <w:szCs w:val="24"/>
          <w:highlight w:val="none"/>
          <w:u w:val="none"/>
          <w:lang w:val="en-US" w:eastAsia="zh-CN" w:bidi="ar-SA"/>
        </w:rPr>
        <w:t>15.2    投标人因自身原因导致电子投标文件无法导入电子评标系统的，该投标文件视为</w:t>
      </w:r>
      <w:r>
        <w:rPr>
          <w:rFonts w:hint="eastAsia" w:ascii="微软雅黑" w:hAnsi="微软雅黑" w:eastAsia="微软雅黑" w:cs="微软雅黑"/>
          <w:b/>
          <w:bCs/>
          <w:color w:val="auto"/>
          <w:kern w:val="2"/>
          <w:sz w:val="24"/>
          <w:szCs w:val="24"/>
          <w:highlight w:val="none"/>
          <w:u w:val="none"/>
          <w:lang w:val="en-US" w:eastAsia="zh-CN" w:bidi="ar-SA"/>
        </w:rPr>
        <w:t>无效文件</w:t>
      </w:r>
      <w:r>
        <w:rPr>
          <w:rFonts w:hint="eastAsia" w:ascii="微软雅黑" w:hAnsi="微软雅黑" w:eastAsia="微软雅黑" w:cs="微软雅黑"/>
          <w:b w:val="0"/>
          <w:color w:val="auto"/>
          <w:kern w:val="2"/>
          <w:sz w:val="24"/>
          <w:szCs w:val="24"/>
          <w:highlight w:val="none"/>
          <w:u w:val="none"/>
          <w:lang w:val="en-US" w:eastAsia="zh-CN" w:bidi="ar-SA"/>
        </w:rPr>
        <w:t>。</w:t>
      </w:r>
    </w:p>
    <w:p w14:paraId="3A63D563">
      <w:pPr>
        <w:pageBreakBefore w:val="0"/>
        <w:numPr>
          <w:ilvl w:val="0"/>
          <w:numId w:val="0"/>
        </w:numPr>
        <w:tabs>
          <w:tab w:val="left" w:pos="4830"/>
        </w:tabs>
        <w:kinsoku/>
        <w:overflowPunct/>
        <w:topLinePunct w:val="0"/>
        <w:bidi w:val="0"/>
        <w:snapToGrid w:val="0"/>
        <w:spacing w:line="312" w:lineRule="auto"/>
        <w:ind w:left="960" w:hanging="960" w:hangingChars="400"/>
        <w:textAlignment w:val="auto"/>
        <w:rPr>
          <w:rFonts w:hint="eastAsia" w:ascii="微软雅黑" w:hAnsi="微软雅黑" w:eastAsia="微软雅黑" w:cs="微软雅黑"/>
          <w:b w:val="0"/>
          <w:color w:val="auto"/>
          <w:kern w:val="2"/>
          <w:sz w:val="24"/>
          <w:szCs w:val="24"/>
          <w:highlight w:val="none"/>
          <w:u w:val="none"/>
          <w:lang w:val="en-US" w:eastAsia="zh-CN" w:bidi="ar-SA"/>
        </w:rPr>
      </w:pPr>
      <w:r>
        <w:rPr>
          <w:rFonts w:hint="eastAsia" w:ascii="微软雅黑" w:hAnsi="微软雅黑" w:eastAsia="微软雅黑" w:cs="微软雅黑"/>
          <w:b w:val="0"/>
          <w:color w:val="auto"/>
          <w:kern w:val="2"/>
          <w:sz w:val="24"/>
          <w:szCs w:val="24"/>
          <w:highlight w:val="none"/>
          <w:u w:val="none"/>
          <w:lang w:val="en-US" w:eastAsia="zh-CN" w:bidi="ar-SA"/>
        </w:rPr>
        <w:t>15.3    电子投标文件具有法律效力,与其他形式的投标文件在内容和格式上等同，若投标文件与招标文件要求不一致，其内容影响成交结果时，责任由投标单位自行承担。</w:t>
      </w:r>
    </w:p>
    <w:p w14:paraId="34325C61">
      <w:pPr>
        <w:pStyle w:val="4"/>
        <w:pageBreakBefore w:val="0"/>
        <w:tabs>
          <w:tab w:val="left" w:pos="4830"/>
        </w:tabs>
        <w:kinsoku/>
        <w:overflowPunct/>
        <w:topLinePunct w:val="0"/>
        <w:bidi w:val="0"/>
        <w:snapToGrid w:val="0"/>
        <w:spacing w:before="0" w:after="0" w:line="312" w:lineRule="auto"/>
        <w:textAlignment w:val="auto"/>
        <w:rPr>
          <w:rFonts w:hint="eastAsia" w:ascii="微软雅黑" w:hAnsi="微软雅黑" w:eastAsia="微软雅黑" w:cs="微软雅黑"/>
          <w:b/>
          <w:bCs/>
          <w:color w:val="auto"/>
          <w:sz w:val="24"/>
          <w:szCs w:val="24"/>
          <w:highlight w:val="none"/>
          <w:u w:val="none"/>
        </w:rPr>
      </w:pPr>
      <w:bookmarkStart w:id="127" w:name="_Toc5562"/>
      <w:bookmarkStart w:id="128" w:name="_Toc3202"/>
      <w:r>
        <w:rPr>
          <w:rFonts w:hint="eastAsia" w:ascii="微软雅黑" w:hAnsi="微软雅黑" w:eastAsia="微软雅黑" w:cs="微软雅黑"/>
          <w:b/>
          <w:bCs/>
          <w:color w:val="auto"/>
          <w:kern w:val="2"/>
          <w:sz w:val="24"/>
          <w:szCs w:val="24"/>
          <w:highlight w:val="none"/>
          <w:u w:val="none"/>
          <w:lang w:val="en-US" w:eastAsia="zh-CN" w:bidi="ar-SA"/>
        </w:rPr>
        <w:t>1</w:t>
      </w:r>
      <w:r>
        <w:rPr>
          <w:rFonts w:hint="eastAsia" w:ascii="微软雅黑" w:hAnsi="微软雅黑" w:eastAsia="微软雅黑" w:cs="微软雅黑"/>
          <w:b/>
          <w:bCs/>
          <w:color w:val="auto"/>
          <w:sz w:val="24"/>
          <w:szCs w:val="24"/>
          <w:highlight w:val="none"/>
          <w:u w:val="none"/>
        </w:rPr>
        <w:t>6.投标截止</w:t>
      </w:r>
      <w:bookmarkEnd w:id="124"/>
      <w:bookmarkEnd w:id="125"/>
      <w:bookmarkEnd w:id="126"/>
      <w:bookmarkEnd w:id="127"/>
      <w:bookmarkEnd w:id="128"/>
    </w:p>
    <w:p w14:paraId="4D0E601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16.1</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b/>
          <w:bCs/>
          <w:color w:val="auto"/>
          <w:sz w:val="24"/>
          <w:szCs w:val="24"/>
          <w:highlight w:val="none"/>
          <w:u w:val="single"/>
          <w:lang w:val="en-US" w:eastAsia="zh-CN"/>
        </w:rPr>
        <w:t>投标人应在投标人须知资料表中规定的截止时间前，将投标文件递交到招标文件中规定的地点。解密时间30分钟，逾期未解密的视为投标无效。</w:t>
      </w:r>
      <w:bookmarkStart w:id="129" w:name="_Toc32748"/>
      <w:bookmarkStart w:id="130" w:name="_Toc520356162"/>
      <w:bookmarkStart w:id="131" w:name="_Toc518923081"/>
    </w:p>
    <w:p w14:paraId="170A626B">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16.2</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采购人和采购代理机构有权按本须知的规定，延迟投标截止时间。在此情况下，采购人、采购代理机构和投标人受投标截止时间制约的所有权利和义务均应延长至新的截止时间。</w:t>
      </w:r>
    </w:p>
    <w:p w14:paraId="69D63C4A">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16.3   采购人和采购代理机构将拒绝接收在投标截止时间后上传的投标文件。</w:t>
      </w:r>
    </w:p>
    <w:p w14:paraId="5027DD10">
      <w:pPr>
        <w:pStyle w:val="4"/>
        <w:pageBreakBefore w:val="0"/>
        <w:tabs>
          <w:tab w:val="left" w:pos="4830"/>
        </w:tabs>
        <w:kinsoku/>
        <w:overflowPunct/>
        <w:topLinePunct w:val="0"/>
        <w:bidi w:val="0"/>
        <w:snapToGrid w:val="0"/>
        <w:spacing w:before="0" w:after="0" w:line="312" w:lineRule="auto"/>
        <w:ind w:left="1120" w:hanging="960" w:hangingChars="400"/>
        <w:textAlignment w:val="auto"/>
        <w:rPr>
          <w:rFonts w:hint="eastAsia" w:ascii="微软雅黑" w:hAnsi="微软雅黑" w:eastAsia="微软雅黑" w:cs="微软雅黑"/>
          <w:color w:val="auto"/>
          <w:sz w:val="24"/>
          <w:szCs w:val="24"/>
          <w:highlight w:val="none"/>
          <w:u w:val="none"/>
        </w:rPr>
      </w:pPr>
      <w:bookmarkStart w:id="132" w:name="_Toc10639"/>
      <w:bookmarkStart w:id="133" w:name="_Toc15199"/>
      <w:r>
        <w:rPr>
          <w:rFonts w:hint="eastAsia" w:ascii="微软雅黑" w:hAnsi="微软雅黑" w:eastAsia="微软雅黑" w:cs="微软雅黑"/>
          <w:color w:val="auto"/>
          <w:sz w:val="24"/>
          <w:szCs w:val="24"/>
          <w:highlight w:val="none"/>
          <w:u w:val="none"/>
        </w:rPr>
        <w:t>17.投标文件的接收、修改与撤回</w:t>
      </w:r>
      <w:bookmarkEnd w:id="129"/>
      <w:bookmarkEnd w:id="130"/>
      <w:bookmarkEnd w:id="131"/>
      <w:bookmarkEnd w:id="132"/>
      <w:bookmarkEnd w:id="133"/>
    </w:p>
    <w:p w14:paraId="7C2C70B7">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bookmarkStart w:id="134" w:name="_Toc216582809"/>
      <w:bookmarkStart w:id="135" w:name="_Toc518923082"/>
      <w:bookmarkStart w:id="136" w:name="_Toc520356163"/>
      <w:r>
        <w:rPr>
          <w:rFonts w:hint="eastAsia" w:ascii="微软雅黑" w:hAnsi="微软雅黑" w:eastAsia="微软雅黑" w:cs="微软雅黑"/>
          <w:color w:val="auto"/>
          <w:sz w:val="24"/>
          <w:szCs w:val="24"/>
          <w:highlight w:val="none"/>
          <w:lang w:val="en-US" w:eastAsia="zh-CN"/>
        </w:rPr>
        <w:t>17.1</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在投标截止时间后上传投标文件的，采购人和采购代理机构将拒绝接收。</w:t>
      </w:r>
    </w:p>
    <w:p w14:paraId="58F0AF7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17.2   递交投标文件以后，如果投标人要进行修改或撤回投标，投标人对投标文件的修改或撤回通知应按本须知规定编制。采购人和采购代理机构将予以接收，并视为投标文件的组成部分。</w:t>
      </w:r>
    </w:p>
    <w:p w14:paraId="285735BF">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17.3</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在投标截止期之后，采购人和采购代理机构不接受投标人主动对其投标文件做任何修改。</w:t>
      </w:r>
    </w:p>
    <w:p w14:paraId="53165090">
      <w:pPr>
        <w:pageBreakBefore w:val="0"/>
        <w:kinsoku/>
        <w:overflowPunct/>
        <w:topLinePunct w:val="0"/>
        <w:bidi w:val="0"/>
        <w:snapToGrid w:val="0"/>
        <w:spacing w:line="312" w:lineRule="auto"/>
        <w:ind w:left="1050" w:hanging="900" w:hangingChars="375"/>
        <w:textAlignment w:val="auto"/>
        <w:outlineLvl w:val="1"/>
        <w:rPr>
          <w:rFonts w:hint="eastAsia" w:ascii="微软雅黑" w:hAnsi="微软雅黑" w:eastAsia="微软雅黑" w:cs="微软雅黑"/>
          <w:color w:val="auto"/>
          <w:sz w:val="24"/>
          <w:szCs w:val="24"/>
          <w:highlight w:val="none"/>
          <w:lang w:val="en-US" w:eastAsia="zh-CN"/>
        </w:rPr>
      </w:pPr>
      <w:bookmarkStart w:id="137" w:name="_Toc30406"/>
      <w:r>
        <w:rPr>
          <w:rFonts w:hint="eastAsia" w:ascii="微软雅黑" w:hAnsi="微软雅黑" w:eastAsia="微软雅黑" w:cs="微软雅黑"/>
          <w:color w:val="auto"/>
          <w:sz w:val="24"/>
          <w:szCs w:val="24"/>
          <w:highlight w:val="none"/>
          <w:lang w:val="en-US" w:eastAsia="zh-CN"/>
        </w:rPr>
        <w:t>17.4</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采购人和采购代理机构对所接收投标文件概不退回。</w:t>
      </w:r>
      <w:bookmarkEnd w:id="137"/>
    </w:p>
    <w:p w14:paraId="3210B4D5">
      <w:pPr>
        <w:pStyle w:val="3"/>
        <w:pageBreakBefore w:val="0"/>
        <w:kinsoku/>
        <w:overflowPunct/>
        <w:topLinePunct w:val="0"/>
        <w:bidi w:val="0"/>
        <w:snapToGrid w:val="0"/>
        <w:spacing w:before="0" w:line="312" w:lineRule="auto"/>
        <w:ind w:left="1079" w:leftChars="257" w:hanging="540"/>
        <w:textAlignment w:val="auto"/>
        <w:outlineLvl w:val="2"/>
        <w:rPr>
          <w:rFonts w:hint="eastAsia" w:ascii="微软雅黑" w:hAnsi="微软雅黑" w:eastAsia="微软雅黑" w:cs="微软雅黑"/>
          <w:color w:val="auto"/>
          <w:sz w:val="24"/>
          <w:szCs w:val="24"/>
          <w:highlight w:val="none"/>
        </w:rPr>
      </w:pPr>
      <w:bookmarkStart w:id="138" w:name="_Toc25739"/>
      <w:bookmarkStart w:id="139" w:name="_Toc15576"/>
      <w:r>
        <w:rPr>
          <w:rFonts w:hint="eastAsia" w:ascii="微软雅黑" w:hAnsi="微软雅黑" w:eastAsia="微软雅黑" w:cs="微软雅黑"/>
          <w:color w:val="auto"/>
          <w:sz w:val="24"/>
          <w:szCs w:val="24"/>
          <w:highlight w:val="none"/>
        </w:rPr>
        <w:t>五</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开标及评标</w:t>
      </w:r>
      <w:bookmarkEnd w:id="134"/>
      <w:bookmarkEnd w:id="135"/>
      <w:bookmarkEnd w:id="136"/>
      <w:bookmarkEnd w:id="138"/>
      <w:bookmarkEnd w:id="139"/>
    </w:p>
    <w:p w14:paraId="4AE25D93">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40" w:name="_Toc520356164"/>
      <w:bookmarkStart w:id="141" w:name="_Toc4993"/>
      <w:bookmarkStart w:id="142" w:name="_Toc518923083"/>
      <w:bookmarkStart w:id="143" w:name="_Toc9468"/>
      <w:bookmarkStart w:id="144" w:name="_Toc22035"/>
      <w:r>
        <w:rPr>
          <w:rFonts w:hint="eastAsia" w:ascii="微软雅黑" w:hAnsi="微软雅黑" w:eastAsia="微软雅黑" w:cs="微软雅黑"/>
          <w:color w:val="auto"/>
          <w:sz w:val="24"/>
          <w:szCs w:val="24"/>
          <w:highlight w:val="none"/>
          <w:u w:val="none"/>
        </w:rPr>
        <w:t>18.开标</w:t>
      </w:r>
      <w:bookmarkEnd w:id="140"/>
      <w:bookmarkEnd w:id="141"/>
      <w:bookmarkEnd w:id="142"/>
      <w:bookmarkEnd w:id="143"/>
      <w:bookmarkEnd w:id="144"/>
    </w:p>
    <w:p w14:paraId="06D38561">
      <w:pPr>
        <w:pageBreakBefore w:val="0"/>
        <w:kinsoku/>
        <w:overflowPunct/>
        <w:topLinePunct w:val="0"/>
        <w:bidi w:val="0"/>
        <w:snapToGrid w:val="0"/>
        <w:spacing w:line="312"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采购人和采购代理机构将按</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中规定的开标时间和地点组织开标。</w:t>
      </w:r>
    </w:p>
    <w:p w14:paraId="319CD5E5">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b/>
          <w:bCs/>
          <w:color w:val="auto"/>
          <w:sz w:val="24"/>
          <w:szCs w:val="24"/>
          <w:highlight w:val="none"/>
          <w:u w:val="single"/>
          <w:lang w:val="en-US" w:eastAsia="zh-CN"/>
        </w:rPr>
      </w:pPr>
      <w:bookmarkStart w:id="145" w:name="_Toc520356165"/>
      <w:r>
        <w:rPr>
          <w:rFonts w:hint="eastAsia" w:ascii="微软雅黑" w:hAnsi="微软雅黑" w:eastAsia="微软雅黑" w:cs="微软雅黑"/>
          <w:color w:val="auto"/>
          <w:sz w:val="24"/>
          <w:szCs w:val="24"/>
          <w:highlight w:val="none"/>
          <w:lang w:val="en-US" w:eastAsia="zh-CN"/>
        </w:rPr>
        <w:t xml:space="preserve">18.2   </w:t>
      </w:r>
      <w:r>
        <w:rPr>
          <w:rFonts w:hint="eastAsia" w:ascii="微软雅黑" w:hAnsi="微软雅黑" w:eastAsia="微软雅黑" w:cs="微软雅黑"/>
          <w:b/>
          <w:bCs/>
          <w:color w:val="auto"/>
          <w:sz w:val="24"/>
          <w:szCs w:val="24"/>
          <w:highlight w:val="none"/>
          <w:u w:val="single"/>
          <w:lang w:val="en-US" w:eastAsia="zh-CN"/>
        </w:rPr>
        <w:t>本项目实行电子投标文件，电子投标文件的有关要求按投标人须知资料表要求，投标人应该使用投标人CA锁对电子投标文件加密，否则，其投标文件将被拒绝评审。开标时，投标人必须使用加密该文件的CA锁，以便开标时对其电子投标文件进行解密，由于投标人自身原因未能成功导入评标系统的，均视为不响应招标文件，其投标文件将被拒绝评审。未按规定时间在招标文件要求的开评标系统解密成功的电子投标文件无效。</w:t>
      </w:r>
    </w:p>
    <w:p w14:paraId="30D79632">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b/>
          <w:bCs/>
          <w:color w:val="auto"/>
          <w:sz w:val="24"/>
          <w:szCs w:val="24"/>
          <w:highlight w:val="none"/>
          <w:u w:val="single"/>
          <w:lang w:val="en-US" w:eastAsia="zh-CN"/>
        </w:rPr>
      </w:pPr>
      <w:r>
        <w:rPr>
          <w:rFonts w:hint="eastAsia" w:ascii="微软雅黑" w:hAnsi="微软雅黑" w:eastAsia="微软雅黑" w:cs="微软雅黑"/>
          <w:b/>
          <w:bCs/>
          <w:color w:val="auto"/>
          <w:sz w:val="24"/>
          <w:szCs w:val="24"/>
          <w:highlight w:val="none"/>
          <w:u w:val="none"/>
          <w:lang w:val="en-US" w:eastAsia="zh-CN"/>
        </w:rPr>
        <w:t xml:space="preserve">18.3   </w:t>
      </w:r>
      <w:r>
        <w:rPr>
          <w:rFonts w:hint="eastAsia" w:ascii="微软雅黑" w:hAnsi="微软雅黑" w:eastAsia="微软雅黑" w:cs="微软雅黑"/>
          <w:b/>
          <w:bCs/>
          <w:color w:val="auto"/>
          <w:sz w:val="24"/>
          <w:szCs w:val="24"/>
          <w:highlight w:val="none"/>
          <w:u w:val="single"/>
          <w:lang w:val="en-US" w:eastAsia="zh-CN"/>
        </w:rPr>
        <w:t>投标人在规定时间内对投标文件进行解密，时长为30分钟。投标人解密失败或未在规定时间内解密，将无法参加下一阶段的投标，请投标人提前调试CA锁，确保开标过程中正常使用。</w:t>
      </w:r>
    </w:p>
    <w:p w14:paraId="0CAF5ED8">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b/>
          <w:bCs/>
          <w:color w:val="auto"/>
          <w:sz w:val="24"/>
          <w:szCs w:val="24"/>
          <w:highlight w:val="none"/>
          <w:u w:val="single"/>
          <w:lang w:val="en-US" w:eastAsia="zh-CN"/>
        </w:rPr>
      </w:pPr>
      <w:r>
        <w:rPr>
          <w:rFonts w:hint="eastAsia" w:ascii="微软雅黑" w:hAnsi="微软雅黑" w:eastAsia="微软雅黑" w:cs="微软雅黑"/>
          <w:b/>
          <w:bCs/>
          <w:color w:val="auto"/>
          <w:sz w:val="24"/>
          <w:szCs w:val="24"/>
          <w:highlight w:val="none"/>
          <w:u w:val="none"/>
          <w:lang w:val="en-US" w:eastAsia="zh-CN"/>
        </w:rPr>
        <w:t xml:space="preserve">18.4   </w:t>
      </w:r>
      <w:r>
        <w:rPr>
          <w:rFonts w:hint="eastAsia" w:ascii="微软雅黑" w:hAnsi="微软雅黑" w:eastAsia="微软雅黑" w:cs="微软雅黑"/>
          <w:b/>
          <w:bCs/>
          <w:color w:val="auto"/>
          <w:sz w:val="24"/>
          <w:szCs w:val="24"/>
          <w:highlight w:val="none"/>
          <w:u w:val="single"/>
          <w:lang w:val="en-US" w:eastAsia="zh-CN"/>
        </w:rPr>
        <w:t>由采购代理机构开启开标记录，须投标人在政采云平台对报价进行签章确认。</w:t>
      </w:r>
    </w:p>
    <w:p w14:paraId="28D08884">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b/>
          <w:bCs/>
          <w:color w:val="auto"/>
          <w:sz w:val="24"/>
          <w:szCs w:val="24"/>
          <w:highlight w:val="none"/>
          <w:u w:val="single"/>
          <w:lang w:val="en-US" w:eastAsia="zh-CN"/>
        </w:rPr>
      </w:pPr>
      <w:r>
        <w:rPr>
          <w:rFonts w:hint="eastAsia" w:ascii="微软雅黑" w:hAnsi="微软雅黑" w:eastAsia="微软雅黑" w:cs="微软雅黑"/>
          <w:b/>
          <w:bCs/>
          <w:color w:val="auto"/>
          <w:sz w:val="24"/>
          <w:szCs w:val="24"/>
          <w:highlight w:val="none"/>
          <w:u w:val="none"/>
          <w:lang w:val="en-US" w:eastAsia="zh-CN"/>
        </w:rPr>
        <w:t xml:space="preserve">18.5   </w:t>
      </w:r>
      <w:r>
        <w:rPr>
          <w:rFonts w:hint="eastAsia" w:ascii="微软雅黑" w:hAnsi="微软雅黑" w:eastAsia="微软雅黑" w:cs="微软雅黑"/>
          <w:b/>
          <w:bCs/>
          <w:color w:val="auto"/>
          <w:sz w:val="24"/>
          <w:szCs w:val="24"/>
          <w:highlight w:val="none"/>
          <w:u w:val="single"/>
          <w:lang w:val="en-US" w:eastAsia="zh-CN"/>
        </w:rPr>
        <w:t>采购人登录政采云平台对供应商的资格证明材料进行审查。</w:t>
      </w:r>
    </w:p>
    <w:p w14:paraId="4CFDD07C">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46" w:name="_Toc1457"/>
      <w:bookmarkStart w:id="147" w:name="_Toc21819"/>
      <w:bookmarkStart w:id="148" w:name="_Toc4819"/>
      <w:bookmarkStart w:id="149" w:name="_Toc518923084"/>
      <w:r>
        <w:rPr>
          <w:rFonts w:hint="eastAsia" w:ascii="微软雅黑" w:hAnsi="微软雅黑" w:eastAsia="微软雅黑" w:cs="微软雅黑"/>
          <w:color w:val="auto"/>
          <w:sz w:val="24"/>
          <w:szCs w:val="24"/>
          <w:highlight w:val="none"/>
          <w:u w:val="none"/>
        </w:rPr>
        <w:t>19</w:t>
      </w:r>
      <w:bookmarkEnd w:id="145"/>
      <w:r>
        <w:rPr>
          <w:rFonts w:hint="eastAsia" w:ascii="微软雅黑" w:hAnsi="微软雅黑" w:eastAsia="微软雅黑" w:cs="微软雅黑"/>
          <w:color w:val="auto"/>
          <w:sz w:val="24"/>
          <w:szCs w:val="24"/>
          <w:highlight w:val="none"/>
          <w:u w:val="none"/>
        </w:rPr>
        <w:t>.资格审查及组建评标委员会</w:t>
      </w:r>
      <w:bookmarkEnd w:id="146"/>
      <w:bookmarkEnd w:id="147"/>
      <w:bookmarkEnd w:id="148"/>
      <w:bookmarkEnd w:id="149"/>
    </w:p>
    <w:p w14:paraId="55BBDC6F">
      <w:pPr>
        <w:pageBreakBefore w:val="0"/>
        <w:kinsoku/>
        <w:overflowPunct/>
        <w:topLinePunct w:val="0"/>
        <w:bidi w:val="0"/>
        <w:snapToGrid w:val="0"/>
        <w:spacing w:line="312" w:lineRule="auto"/>
        <w:ind w:left="112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19.1    </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依据法律法规和</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中规定的内容，对投标人的资格进行审查。未按要求提供资格审查资料的投标人或其中一项未通过的投标人，将视为资格审查不合格，未能通过资格审查的投标人不进入下一阶段的评审，将被认定为</w:t>
      </w:r>
      <w:r>
        <w:rPr>
          <w:rFonts w:hint="eastAsia" w:ascii="微软雅黑" w:hAnsi="微软雅黑" w:eastAsia="微软雅黑" w:cs="微软雅黑"/>
          <w:b/>
          <w:bCs/>
          <w:color w:val="auto"/>
          <w:sz w:val="24"/>
          <w:szCs w:val="24"/>
          <w:highlight w:val="none"/>
        </w:rPr>
        <w:t>无效投标</w:t>
      </w:r>
      <w:r>
        <w:rPr>
          <w:rFonts w:hint="eastAsia" w:ascii="微软雅黑" w:hAnsi="微软雅黑" w:eastAsia="微软雅黑" w:cs="微软雅黑"/>
          <w:color w:val="auto"/>
          <w:sz w:val="24"/>
          <w:szCs w:val="24"/>
          <w:highlight w:val="none"/>
        </w:rPr>
        <w:t>。</w:t>
      </w:r>
    </w:p>
    <w:p w14:paraId="0CBA9EB0">
      <w:pPr>
        <w:pageBreakBefore w:val="0"/>
        <w:kinsoku/>
        <w:overflowPunct/>
        <w:topLinePunct w:val="0"/>
        <w:bidi w:val="0"/>
        <w:snapToGrid w:val="0"/>
        <w:spacing w:line="312" w:lineRule="auto"/>
        <w:ind w:firstLine="960" w:firstLineChars="4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本项目资格审查资料须附在投标文件中：</w:t>
      </w:r>
    </w:p>
    <w:p w14:paraId="1FDB77A5">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1、法人或者其他组织的营业执照等证明文件；</w:t>
      </w:r>
    </w:p>
    <w:p w14:paraId="3C7A3A23">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2、法定代表人（单位负责人）投标需提供法定代表人（单位负责人）身份证明；授权人投标需提供法定代表人(单位负责人)身份证明及授权书；</w:t>
      </w:r>
    </w:p>
    <w:p w14:paraId="53122439">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3、提供2023年度或2024年度的财务审计报告（成立未满十二个月的新公司可提供近三个月内任意一个月的银行资信证明）；</w:t>
      </w:r>
    </w:p>
    <w:p w14:paraId="14105509">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4、提供投标单位在社保部门或税务局出具依法缴纳近六个月任意一个月缴纳的社保证明；</w:t>
      </w:r>
    </w:p>
    <w:p w14:paraId="6D39836E">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5、提供税务部门出具的近六个月任意一个月的税收证明；</w:t>
      </w:r>
    </w:p>
    <w:p w14:paraId="60E82745">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6、根据《财政部关于在政府采购活动中查询及使用信用记录有关问题的通知》（财库﹝2016﹞125号）的要求，凡拟参加本次招标项目的投标人，如在“信用中国”网站被列入失信被执行人、重大税收违法失信主体(信用中国首页-点击信用服务-查询)、“中国政府采购网“严重违法失信行为记录名单的（尚在处罚期内的）、“ 国家企业信用信息公示系统”列入严重违法失信企业名单（黑名单）信息，将拒绝其参加本次招标活动；（开标现场查询核实）；</w:t>
      </w:r>
    </w:p>
    <w:p w14:paraId="498FA1F7">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7、具有履行合同所必需的设备和专业技术能力的承诺书；</w:t>
      </w:r>
    </w:p>
    <w:p w14:paraId="361C0C86">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8、提供针对本次项目《反商业贿赂承诺书》；</w:t>
      </w:r>
    </w:p>
    <w:p w14:paraId="1452CACD">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9、参加政府采购活动前3年内在经营活动中没有重大违法违规记录的书面声明；</w:t>
      </w:r>
    </w:p>
    <w:p w14:paraId="306B6A70">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10、投标保证金缴纳凭证；</w:t>
      </w:r>
    </w:p>
    <w:p w14:paraId="30A16456">
      <w:pPr>
        <w:pageBreakBefore w:val="0"/>
        <w:kinsoku/>
        <w:overflowPunct/>
        <w:topLinePunct w:val="0"/>
        <w:bidi w:val="0"/>
        <w:snapToGrid w:val="0"/>
        <w:spacing w:line="312" w:lineRule="auto"/>
        <w:ind w:firstLine="960" w:firstLine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通过资格审查的</w:t>
      </w:r>
      <w:r>
        <w:rPr>
          <w:rFonts w:hint="eastAsia" w:ascii="微软雅黑" w:hAnsi="微软雅黑" w:eastAsia="微软雅黑" w:cs="微软雅黑"/>
          <w:color w:val="auto"/>
          <w:sz w:val="24"/>
          <w:szCs w:val="24"/>
          <w:highlight w:val="none"/>
          <w:lang w:eastAsia="zh-CN"/>
        </w:rPr>
        <w:t>投标单位</w:t>
      </w:r>
      <w:r>
        <w:rPr>
          <w:rFonts w:hint="eastAsia" w:ascii="微软雅黑" w:hAnsi="微软雅黑" w:eastAsia="微软雅黑" w:cs="微软雅黑"/>
          <w:color w:val="auto"/>
          <w:sz w:val="24"/>
          <w:szCs w:val="24"/>
          <w:highlight w:val="none"/>
        </w:rPr>
        <w:t>少于不足三家的，不得评标。</w:t>
      </w:r>
    </w:p>
    <w:p w14:paraId="7FC91378">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19.2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采购人在</w:t>
      </w:r>
      <w:r>
        <w:rPr>
          <w:rFonts w:hint="eastAsia" w:ascii="微软雅黑" w:hAnsi="微软雅黑" w:eastAsia="微软雅黑" w:cs="微软雅黑"/>
          <w:color w:val="auto"/>
          <w:sz w:val="24"/>
          <w:szCs w:val="24"/>
          <w:highlight w:val="none"/>
          <w:lang w:eastAsia="zh-CN"/>
        </w:rPr>
        <w:t>资格审查</w:t>
      </w:r>
      <w:r>
        <w:rPr>
          <w:rFonts w:hint="eastAsia" w:ascii="微软雅黑" w:hAnsi="微软雅黑" w:eastAsia="微软雅黑" w:cs="微软雅黑"/>
          <w:color w:val="auto"/>
          <w:sz w:val="24"/>
          <w:szCs w:val="24"/>
          <w:highlight w:val="none"/>
        </w:rPr>
        <w:t>期间查询供应商的信用记录。供应商存在不良信用记录的，其</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将被认定为</w:t>
      </w:r>
      <w:r>
        <w:rPr>
          <w:rFonts w:hint="eastAsia" w:ascii="微软雅黑" w:hAnsi="微软雅黑" w:eastAsia="微软雅黑" w:cs="微软雅黑"/>
          <w:b/>
          <w:bCs/>
          <w:color w:val="auto"/>
          <w:sz w:val="24"/>
          <w:szCs w:val="24"/>
          <w:highlight w:val="none"/>
          <w:lang w:eastAsia="zh-CN"/>
        </w:rPr>
        <w:t>无效投标</w:t>
      </w:r>
      <w:r>
        <w:rPr>
          <w:rFonts w:hint="eastAsia" w:ascii="微软雅黑" w:hAnsi="微软雅黑" w:eastAsia="微软雅黑" w:cs="微软雅黑"/>
          <w:color w:val="auto"/>
          <w:sz w:val="24"/>
          <w:szCs w:val="24"/>
          <w:highlight w:val="none"/>
        </w:rPr>
        <w:t>。</w:t>
      </w:r>
    </w:p>
    <w:p w14:paraId="428C96D7">
      <w:pPr>
        <w:pageBreakBefore w:val="0"/>
        <w:kinsoku/>
        <w:overflowPunct/>
        <w:topLinePunct w:val="0"/>
        <w:bidi w:val="0"/>
        <w:snapToGrid w:val="0"/>
        <w:spacing w:line="312" w:lineRule="auto"/>
        <w:ind w:left="112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19.2.1</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不良信用记录指：投标人参加采购活动前三年内，被“信用中国”网站列入失信被执行人和重大税收违法失信主体的、被“中国政府采购网”网站列入政府采购严重违法失信行为记录名单（处罚期限尚未届满的）的投标人；存在《中华人民共和国政府采购法实施条例》第十九条规定的行政处罚记录、以及“ 国家企业信用信息公示系统”列入严重违法失信企业名单（黑名单）信息； 将拒绝其参加本次招标活动；</w:t>
      </w:r>
    </w:p>
    <w:p w14:paraId="6AFF4708">
      <w:pPr>
        <w:pStyle w:val="7"/>
        <w:pageBreakBefore w:val="0"/>
        <w:kinsoku/>
        <w:overflowPunct/>
        <w:topLinePunct w:val="0"/>
        <w:bidi w:val="0"/>
        <w:snapToGrid w:val="0"/>
        <w:spacing w:line="312" w:lineRule="auto"/>
        <w:ind w:left="960" w:leftChars="0" w:hanging="960" w:hangingChars="40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19.2.2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查询及记录方式：采购人或采购代理机构</w:t>
      </w:r>
      <w:r>
        <w:rPr>
          <w:rFonts w:hint="eastAsia" w:ascii="微软雅黑" w:hAnsi="微软雅黑" w:eastAsia="微软雅黑" w:cs="微软雅黑"/>
          <w:color w:val="auto"/>
          <w:sz w:val="24"/>
          <w:szCs w:val="24"/>
          <w:highlight w:val="none"/>
          <w:lang w:val="en-US" w:eastAsia="zh-CN"/>
        </w:rPr>
        <w:t>资格审查过程中</w:t>
      </w:r>
      <w:r>
        <w:rPr>
          <w:rFonts w:hint="eastAsia" w:ascii="微软雅黑" w:hAnsi="微软雅黑" w:eastAsia="微软雅黑" w:cs="微软雅黑"/>
          <w:color w:val="auto"/>
          <w:sz w:val="24"/>
          <w:szCs w:val="24"/>
          <w:highlight w:val="none"/>
        </w:rPr>
        <w:t>查询网页</w:t>
      </w:r>
      <w:r>
        <w:rPr>
          <w:rFonts w:hint="eastAsia" w:ascii="微软雅黑" w:hAnsi="微软雅黑" w:eastAsia="微软雅黑" w:cs="微软雅黑"/>
          <w:color w:val="auto"/>
          <w:sz w:val="24"/>
          <w:szCs w:val="24"/>
          <w:highlight w:val="none"/>
          <w:lang w:val="en-US" w:eastAsia="zh-CN"/>
        </w:rPr>
        <w:t>现场核查</w:t>
      </w:r>
      <w:r>
        <w:rPr>
          <w:rFonts w:hint="eastAsia" w:ascii="微软雅黑" w:hAnsi="微软雅黑" w:eastAsia="微软雅黑" w:cs="微软雅黑"/>
          <w:color w:val="auto"/>
          <w:sz w:val="24"/>
          <w:szCs w:val="24"/>
          <w:highlight w:val="none"/>
        </w:rPr>
        <w:t>。投标人不良信用记录以采购人或采购代理机构查询结果为准。</w:t>
      </w:r>
      <w:r>
        <w:rPr>
          <w:rFonts w:hint="eastAsia" w:ascii="微软雅黑" w:hAnsi="微软雅黑" w:eastAsia="微软雅黑" w:cs="微软雅黑"/>
          <w:color w:val="auto"/>
          <w:kern w:val="0"/>
          <w:sz w:val="24"/>
          <w:szCs w:val="24"/>
          <w:highlight w:val="none"/>
          <w:lang w:val="en-US" w:eastAsia="zh-CN" w:bidi="ar-SA"/>
        </w:rPr>
        <w:t>在本招标文件规定的查询时间之后，网站信息发生的任何变更均不再作为评标依据。</w:t>
      </w:r>
      <w:r>
        <w:rPr>
          <w:rFonts w:hint="eastAsia" w:ascii="微软雅黑" w:hAnsi="微软雅黑" w:eastAsia="微软雅黑" w:cs="微软雅黑"/>
          <w:color w:val="auto"/>
          <w:sz w:val="24"/>
          <w:szCs w:val="24"/>
          <w:highlight w:val="none"/>
          <w:lang w:val="en-US" w:eastAsia="zh-CN"/>
        </w:rPr>
        <w:t>投标人</w:t>
      </w:r>
      <w:r>
        <w:rPr>
          <w:rFonts w:hint="eastAsia" w:ascii="微软雅黑" w:hAnsi="微软雅黑" w:eastAsia="微软雅黑" w:cs="微软雅黑"/>
          <w:color w:val="auto"/>
          <w:sz w:val="24"/>
          <w:szCs w:val="24"/>
          <w:highlight w:val="none"/>
        </w:rPr>
        <w:t>自行提供的与网站信息不一致的其他证明材料亦不作为资格审查依据。</w:t>
      </w:r>
    </w:p>
    <w:p w14:paraId="7B503CA8">
      <w:pPr>
        <w:pStyle w:val="7"/>
        <w:pageBreakBefore w:val="0"/>
        <w:kinsoku/>
        <w:overflowPunct/>
        <w:topLinePunct w:val="0"/>
        <w:bidi w:val="0"/>
        <w:snapToGrid w:val="0"/>
        <w:spacing w:line="312" w:lineRule="auto"/>
        <w:ind w:left="960" w:leftChars="0" w:hanging="960" w:hangingChars="400"/>
        <w:jc w:val="both"/>
        <w:textAlignment w:val="auto"/>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color w:val="auto"/>
          <w:sz w:val="24"/>
          <w:szCs w:val="24"/>
          <w:highlight w:val="none"/>
        </w:rPr>
        <w:t xml:space="preserve">19.3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按照《中华人民共和国政府采购法》、《中华人民共和国政府采购法实施条例》</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中华人民共和国财政部令第87号《政府采购货物和服务招标投标管理办法》及本项目本级和上级财政部门的有关规定依法组建的评标委员会，负责本项目评标工作。</w:t>
      </w:r>
      <w:bookmarkStart w:id="150" w:name="_Toc520356166"/>
      <w:r>
        <w:rPr>
          <w:rFonts w:hint="eastAsia" w:ascii="微软雅黑" w:hAnsi="微软雅黑" w:eastAsia="微软雅黑" w:cs="微软雅黑"/>
          <w:color w:val="auto"/>
          <w:sz w:val="24"/>
          <w:szCs w:val="24"/>
          <w:highlight w:val="none"/>
        </w:rPr>
        <w:t>本项目评标委员会由</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人组成（依法从政采云平台专家库随机抽取</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名专家）。</w:t>
      </w:r>
    </w:p>
    <w:p w14:paraId="6F653AE9">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b w:val="0"/>
          <w:bCs/>
          <w:color w:val="auto"/>
          <w:sz w:val="24"/>
          <w:szCs w:val="24"/>
          <w:highlight w:val="none"/>
          <w:bdr w:val="single" w:color="auto" w:sz="4" w:space="0"/>
        </w:rPr>
      </w:pPr>
      <w:bookmarkStart w:id="151" w:name="_Toc518923085"/>
      <w:bookmarkStart w:id="152" w:name="_Toc15854"/>
      <w:bookmarkStart w:id="153" w:name="_Toc30370"/>
      <w:bookmarkStart w:id="154" w:name="_Toc32299"/>
      <w:r>
        <w:rPr>
          <w:rFonts w:hint="eastAsia" w:ascii="微软雅黑" w:hAnsi="微软雅黑" w:eastAsia="微软雅黑" w:cs="微软雅黑"/>
          <w:color w:val="auto"/>
          <w:sz w:val="24"/>
          <w:szCs w:val="24"/>
          <w:highlight w:val="none"/>
          <w:u w:val="none"/>
        </w:rPr>
        <w:t>20.投标文件的</w:t>
      </w:r>
      <w:bookmarkEnd w:id="150"/>
      <w:r>
        <w:rPr>
          <w:rFonts w:hint="eastAsia" w:ascii="微软雅黑" w:hAnsi="微软雅黑" w:eastAsia="微软雅黑" w:cs="微软雅黑"/>
          <w:color w:val="auto"/>
          <w:sz w:val="24"/>
          <w:szCs w:val="24"/>
          <w:highlight w:val="none"/>
          <w:u w:val="none"/>
        </w:rPr>
        <w:t>符合性审查与澄清</w:t>
      </w:r>
      <w:bookmarkEnd w:id="151"/>
      <w:bookmarkEnd w:id="152"/>
      <w:bookmarkEnd w:id="153"/>
      <w:bookmarkEnd w:id="154"/>
    </w:p>
    <w:p w14:paraId="4DD17E41">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20.1   符合性审查是指依据</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的规定，从投标文件的有效性和完整性对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的响应程度进行审查，以确定是否对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的实质性要求做出响应。</w:t>
      </w:r>
      <w:bookmarkStart w:id="155" w:name="_Hlt522424701"/>
      <w:bookmarkEnd w:id="155"/>
      <w:bookmarkStart w:id="156" w:name="_Toc520356167"/>
    </w:p>
    <w:p w14:paraId="63C61AE0">
      <w:pPr>
        <w:pageBreakBefore w:val="0"/>
        <w:kinsoku/>
        <w:overflowPunct/>
        <w:topLinePunct w:val="0"/>
        <w:bidi w:val="0"/>
        <w:snapToGrid w:val="0"/>
        <w:spacing w:line="312" w:lineRule="auto"/>
        <w:ind w:left="1050" w:hanging="900" w:hangingChars="375"/>
        <w:textAlignment w:val="auto"/>
        <w:outlineLvl w:val="1"/>
        <w:rPr>
          <w:rFonts w:hint="eastAsia" w:ascii="微软雅黑" w:hAnsi="微软雅黑" w:eastAsia="微软雅黑" w:cs="微软雅黑"/>
          <w:color w:val="auto"/>
          <w:sz w:val="24"/>
          <w:szCs w:val="24"/>
          <w:highlight w:val="none"/>
        </w:rPr>
      </w:pPr>
      <w:bookmarkStart w:id="157" w:name="_Toc27940"/>
      <w:r>
        <w:rPr>
          <w:rFonts w:hint="eastAsia" w:ascii="微软雅黑" w:hAnsi="微软雅黑" w:eastAsia="微软雅黑" w:cs="微软雅黑"/>
          <w:color w:val="auto"/>
          <w:sz w:val="24"/>
          <w:szCs w:val="24"/>
          <w:highlight w:val="none"/>
        </w:rPr>
        <w:t>20.2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投标文件的澄清</w:t>
      </w:r>
      <w:bookmarkEnd w:id="157"/>
    </w:p>
    <w:p w14:paraId="009F2320">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20.2.1  在评审期间，</w:t>
      </w:r>
      <w:r>
        <w:rPr>
          <w:rFonts w:hint="eastAsia" w:ascii="微软雅黑" w:hAnsi="微软雅黑" w:eastAsia="微软雅黑" w:cs="微软雅黑"/>
          <w:color w:val="auto"/>
          <w:sz w:val="24"/>
          <w:szCs w:val="24"/>
          <w:highlight w:val="none"/>
          <w:lang w:eastAsia="zh-CN"/>
        </w:rPr>
        <w:t>评审</w:t>
      </w:r>
      <w:r>
        <w:rPr>
          <w:rFonts w:hint="eastAsia" w:ascii="微软雅黑" w:hAnsi="微软雅黑" w:eastAsia="微软雅黑" w:cs="微软雅黑"/>
          <w:color w:val="auto"/>
          <w:sz w:val="24"/>
          <w:szCs w:val="24"/>
          <w:highlight w:val="none"/>
          <w:lang w:val="en-US" w:eastAsia="zh-CN"/>
        </w:rPr>
        <w:t>小组</w:t>
      </w:r>
      <w:r>
        <w:rPr>
          <w:rFonts w:hint="eastAsia" w:ascii="微软雅黑" w:hAnsi="微软雅黑" w:eastAsia="微软雅黑" w:cs="微软雅黑"/>
          <w:color w:val="auto"/>
          <w:sz w:val="24"/>
          <w:szCs w:val="24"/>
          <w:highlight w:val="none"/>
        </w:rPr>
        <w:t>将以书面方式要求</w:t>
      </w: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对其</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文件中含义不明确、对同类问题表述不一致或者有明显文字和计算错误的内容，以及</w:t>
      </w:r>
      <w:r>
        <w:rPr>
          <w:rFonts w:hint="eastAsia" w:ascii="微软雅黑" w:hAnsi="微软雅黑" w:eastAsia="微软雅黑" w:cs="微软雅黑"/>
          <w:color w:val="auto"/>
          <w:sz w:val="24"/>
          <w:szCs w:val="24"/>
          <w:highlight w:val="none"/>
          <w:lang w:eastAsia="zh-CN"/>
        </w:rPr>
        <w:t>评审</w:t>
      </w:r>
      <w:r>
        <w:rPr>
          <w:rFonts w:hint="eastAsia" w:ascii="微软雅黑" w:hAnsi="微软雅黑" w:eastAsia="微软雅黑" w:cs="微软雅黑"/>
          <w:color w:val="auto"/>
          <w:sz w:val="24"/>
          <w:szCs w:val="24"/>
          <w:highlight w:val="none"/>
          <w:lang w:val="en-US" w:eastAsia="zh-CN"/>
        </w:rPr>
        <w:t>小组</w:t>
      </w:r>
      <w:r>
        <w:rPr>
          <w:rFonts w:hint="eastAsia" w:ascii="微软雅黑" w:hAnsi="微软雅黑" w:eastAsia="微软雅黑" w:cs="微软雅黑"/>
          <w:color w:val="auto"/>
          <w:sz w:val="24"/>
          <w:szCs w:val="24"/>
          <w:highlight w:val="none"/>
        </w:rPr>
        <w:t>认为</w:t>
      </w: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的报价明显低于其他通过符合性检查</w:t>
      </w: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的报价，有可能影响履约的情况作必要的澄清、说明或补正。</w:t>
      </w: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澄清、说明或补正。应在</w:t>
      </w:r>
      <w:r>
        <w:rPr>
          <w:rFonts w:hint="eastAsia" w:ascii="微软雅黑" w:hAnsi="微软雅黑" w:eastAsia="微软雅黑" w:cs="微软雅黑"/>
          <w:color w:val="auto"/>
          <w:sz w:val="24"/>
          <w:szCs w:val="24"/>
          <w:highlight w:val="none"/>
          <w:lang w:eastAsia="zh-CN"/>
        </w:rPr>
        <w:t>评审</w:t>
      </w:r>
      <w:r>
        <w:rPr>
          <w:rFonts w:hint="eastAsia" w:ascii="微软雅黑" w:hAnsi="微软雅黑" w:eastAsia="微软雅黑" w:cs="微软雅黑"/>
          <w:color w:val="auto"/>
          <w:sz w:val="24"/>
          <w:szCs w:val="24"/>
          <w:highlight w:val="none"/>
          <w:lang w:val="en-US" w:eastAsia="zh-CN"/>
        </w:rPr>
        <w:t>小组</w:t>
      </w:r>
      <w:r>
        <w:rPr>
          <w:rFonts w:hint="eastAsia" w:ascii="微软雅黑" w:hAnsi="微软雅黑" w:eastAsia="微软雅黑" w:cs="微软雅黑"/>
          <w:color w:val="auto"/>
          <w:sz w:val="24"/>
          <w:szCs w:val="24"/>
          <w:highlight w:val="none"/>
        </w:rPr>
        <w:t>规定的时间内以书面方式进行，并不得超出</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文件范围或者改变</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的实质性内容。</w:t>
      </w:r>
    </w:p>
    <w:p w14:paraId="46AE9C4B">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20.2.2  投标人的澄清、说明或补正将作为投标文件的一部分。评标委员会要求投标人澄清、说明或者更正投标文件应当以书面形式作出。投标人的澄清、说明或者更正应当由法定代表人或其授权代表签字或加盖公章。由授权代表签字的，应当附法定代表人授权书。供应商为自然人的，应当由本人签字并附身份证明。</w:t>
      </w:r>
    </w:p>
    <w:p w14:paraId="1D8C8C1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20.3   投标文件报价出现前后不一致的，按照下列规定修正：</w:t>
      </w:r>
    </w:p>
    <w:p w14:paraId="3697CCB2">
      <w:pPr>
        <w:pageBreakBefore w:val="0"/>
        <w:kinsoku/>
        <w:overflowPunct/>
        <w:topLinePunct w:val="0"/>
        <w:bidi w:val="0"/>
        <w:snapToGrid w:val="0"/>
        <w:spacing w:line="312" w:lineRule="auto"/>
        <w:ind w:left="1190" w:hanging="1020" w:hangingChars="4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（一）投标文件中开标一览表（报价表）内容与投标文件中相应内容不一致的，以开标一览表（报价表）为准；</w:t>
      </w:r>
    </w:p>
    <w:p w14:paraId="7DD9ECE6">
      <w:pPr>
        <w:pageBreakBefore w:val="0"/>
        <w:kinsoku/>
        <w:overflowPunct/>
        <w:topLinePunct w:val="0"/>
        <w:bidi w:val="0"/>
        <w:snapToGrid w:val="0"/>
        <w:spacing w:line="312" w:lineRule="auto"/>
        <w:ind w:left="1050" w:hanging="900" w:hangingChars="375"/>
        <w:textAlignment w:val="auto"/>
        <w:outlineLvl w:val="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bookmarkStart w:id="158" w:name="_Toc2752"/>
      <w:r>
        <w:rPr>
          <w:rFonts w:hint="eastAsia" w:ascii="微软雅黑" w:hAnsi="微软雅黑" w:eastAsia="微软雅黑" w:cs="微软雅黑"/>
          <w:color w:val="auto"/>
          <w:sz w:val="24"/>
          <w:szCs w:val="24"/>
          <w:highlight w:val="none"/>
        </w:rPr>
        <w:t>（二）大写金额和小写金额不一致的，以大写金额为准；</w:t>
      </w:r>
      <w:bookmarkEnd w:id="158"/>
    </w:p>
    <w:p w14:paraId="650D149A">
      <w:pPr>
        <w:pageBreakBefore w:val="0"/>
        <w:kinsoku/>
        <w:overflowPunct/>
        <w:topLinePunct w:val="0"/>
        <w:bidi w:val="0"/>
        <w:snapToGrid w:val="0"/>
        <w:spacing w:line="312" w:lineRule="auto"/>
        <w:ind w:left="1190" w:hanging="1020" w:hangingChars="4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（三）单价金额小数点或者百分比有明显错位的，以开标一览表的</w:t>
      </w:r>
      <w:r>
        <w:rPr>
          <w:rFonts w:hint="eastAsia" w:ascii="微软雅黑" w:hAnsi="微软雅黑" w:eastAsia="微软雅黑" w:cs="微软雅黑"/>
          <w:color w:val="auto"/>
          <w:sz w:val="24"/>
          <w:szCs w:val="24"/>
          <w:highlight w:val="none"/>
          <w:lang w:eastAsia="zh-CN"/>
        </w:rPr>
        <w:t>单价</w:t>
      </w:r>
      <w:r>
        <w:rPr>
          <w:rFonts w:hint="eastAsia" w:ascii="微软雅黑" w:hAnsi="微软雅黑" w:eastAsia="微软雅黑" w:cs="微软雅黑"/>
          <w:color w:val="auto"/>
          <w:sz w:val="24"/>
          <w:szCs w:val="24"/>
          <w:highlight w:val="none"/>
        </w:rPr>
        <w:t>为准，并修改</w:t>
      </w:r>
      <w:r>
        <w:rPr>
          <w:rFonts w:hint="eastAsia" w:ascii="微软雅黑" w:hAnsi="微软雅黑" w:eastAsia="微软雅黑" w:cs="微软雅黑"/>
          <w:color w:val="auto"/>
          <w:sz w:val="24"/>
          <w:szCs w:val="24"/>
          <w:highlight w:val="none"/>
          <w:lang w:eastAsia="zh-CN"/>
        </w:rPr>
        <w:t>总价</w:t>
      </w:r>
      <w:r>
        <w:rPr>
          <w:rFonts w:hint="eastAsia" w:ascii="微软雅黑" w:hAnsi="微软雅黑" w:eastAsia="微软雅黑" w:cs="微软雅黑"/>
          <w:color w:val="auto"/>
          <w:sz w:val="24"/>
          <w:szCs w:val="24"/>
          <w:highlight w:val="none"/>
        </w:rPr>
        <w:t>；</w:t>
      </w:r>
    </w:p>
    <w:p w14:paraId="5B0F2415">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（四）总价金额与按单价汇总金额不一致的，以单价金额计算结果为准。</w:t>
      </w:r>
    </w:p>
    <w:p w14:paraId="2049813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同时出现两种以上不一致的，按照前款规定的顺序修正。修正后的报价按照第20.2条的规定经投标人确认后产生约束力，投标人不确认的，将被认定为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011FA713">
      <w:pPr>
        <w:pageBreakBefore w:val="0"/>
        <w:kinsoku/>
        <w:overflowPunct/>
        <w:topLinePunct w:val="0"/>
        <w:bidi w:val="0"/>
        <w:snapToGrid w:val="0"/>
        <w:spacing w:line="312" w:lineRule="auto"/>
        <w:ind w:left="735" w:leftChars="350" w:firstLine="120" w:firstLineChars="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对不同文字文本投标文件的解释发生异议的，以中文文本为准。</w:t>
      </w:r>
    </w:p>
    <w:p w14:paraId="7A15E4D6">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20.4   如一个分包内只有一种产品，不同投标人所投产品为同一品牌的，按如下方式处理：</w:t>
      </w:r>
    </w:p>
    <w:p w14:paraId="26CBCC2C">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20.4.1 如本项目使用最低评标价法，提供相同品牌产品的不同</w:t>
      </w:r>
      <w:r>
        <w:rPr>
          <w:rFonts w:hint="eastAsia" w:ascii="微软雅黑" w:hAnsi="微软雅黑" w:eastAsia="微软雅黑" w:cs="微软雅黑"/>
          <w:color w:val="auto"/>
          <w:sz w:val="24"/>
          <w:szCs w:val="24"/>
          <w:highlight w:val="none"/>
          <w:lang w:val="en-US" w:eastAsia="zh-CN"/>
        </w:rPr>
        <w:t>投标人</w:t>
      </w:r>
      <w:r>
        <w:rPr>
          <w:rFonts w:hint="eastAsia" w:ascii="微软雅黑" w:hAnsi="微软雅黑" w:eastAsia="微软雅黑" w:cs="微软雅黑"/>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微软雅黑" w:hAnsi="微软雅黑" w:eastAsia="微软雅黑" w:cs="微软雅黑"/>
          <w:color w:val="auto"/>
          <w:sz w:val="24"/>
          <w:szCs w:val="24"/>
          <w:highlight w:val="none"/>
          <w:lang w:val="en-US" w:eastAsia="zh-CN"/>
        </w:rPr>
        <w:t>投标人</w:t>
      </w:r>
      <w:r>
        <w:rPr>
          <w:rFonts w:hint="eastAsia" w:ascii="微软雅黑" w:hAnsi="微软雅黑" w:eastAsia="微软雅黑" w:cs="微软雅黑"/>
          <w:color w:val="auto"/>
          <w:sz w:val="24"/>
          <w:szCs w:val="24"/>
          <w:highlight w:val="none"/>
        </w:rPr>
        <w:t>；未规定的采取随机抽取方式确定，其他投标将被认定为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390634A4">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20.4.2</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如本项目使用综合评分法，提供相同品牌产品且通过资格审查、符合性审查的不同投标人，按一家投标人计算，评审后得分最高的同品牌投标人获得中标人推荐资格；评审得分相同的，由采购人或者采购人委托评标委员会按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中评标办法规定的方式确定一个投标人获得中标人推荐资格；未规定的采取随机抽取方式确定，其他同品牌投标人不作为中标候选人。</w:t>
      </w:r>
    </w:p>
    <w:p w14:paraId="721017D1">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20.5</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如一个分包内包含多种产品的，采购人或采购代理机构将在投标人须知资料表中载明核心产品，多家投标人提供的核心产品品牌相同的，按第20.4条规定处理。</w:t>
      </w:r>
    </w:p>
    <w:p w14:paraId="764CA332">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20.6</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投标人所投产品如被列入财政部与国家主管部门颁发的节能产品目录或环境标志产品目录或无线局域网产品目录，应提供相关证明，在评标时予以优先采购，具体优先采购办法见第六章评标方法和标准。</w:t>
      </w:r>
      <w:r>
        <w:rPr>
          <w:rFonts w:hint="eastAsia" w:ascii="微软雅黑" w:hAnsi="微软雅黑" w:eastAsia="微软雅黑" w:cs="微软雅黑"/>
          <w:color w:val="auto"/>
          <w:sz w:val="24"/>
          <w:szCs w:val="24"/>
          <w:highlight w:val="none"/>
          <w:lang w:val="en-US" w:eastAsia="zh-CN"/>
        </w:rPr>
        <w:t>如采购人所采购产品为政府强制采购的节能产品，供应商所投产品的品牌及型号必须为清单中有效期内产品并提供证明文件，否则其投标将被认定为</w:t>
      </w:r>
      <w:r>
        <w:rPr>
          <w:rFonts w:hint="eastAsia" w:ascii="微软雅黑" w:hAnsi="微软雅黑" w:eastAsia="微软雅黑" w:cs="微软雅黑"/>
          <w:b/>
          <w:bCs/>
          <w:color w:val="auto"/>
          <w:sz w:val="24"/>
          <w:szCs w:val="24"/>
          <w:highlight w:val="none"/>
          <w:lang w:val="en-US" w:eastAsia="zh-CN"/>
        </w:rPr>
        <w:t>投标无效</w:t>
      </w:r>
      <w:r>
        <w:rPr>
          <w:rFonts w:hint="eastAsia" w:ascii="微软雅黑" w:hAnsi="微软雅黑" w:eastAsia="微软雅黑" w:cs="微软雅黑"/>
          <w:color w:val="auto"/>
          <w:sz w:val="24"/>
          <w:szCs w:val="24"/>
          <w:highlight w:val="none"/>
          <w:lang w:val="en-US" w:eastAsia="zh-CN"/>
        </w:rPr>
        <w:t>。</w:t>
      </w:r>
    </w:p>
    <w:p w14:paraId="1287459B">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59" w:name="_Toc518923086"/>
      <w:bookmarkStart w:id="160" w:name="_Toc15005"/>
      <w:bookmarkStart w:id="161" w:name="_Toc14928"/>
      <w:bookmarkStart w:id="162" w:name="_Toc26245"/>
      <w:r>
        <w:rPr>
          <w:rFonts w:hint="eastAsia" w:ascii="微软雅黑" w:hAnsi="微软雅黑" w:eastAsia="微软雅黑" w:cs="微软雅黑"/>
          <w:color w:val="auto"/>
          <w:sz w:val="24"/>
          <w:szCs w:val="24"/>
          <w:highlight w:val="none"/>
          <w:u w:val="none"/>
        </w:rPr>
        <w:t>21.投标偏离</w:t>
      </w:r>
      <w:bookmarkEnd w:id="159"/>
      <w:bookmarkEnd w:id="160"/>
      <w:bookmarkEnd w:id="161"/>
      <w:bookmarkEnd w:id="162"/>
    </w:p>
    <w:p w14:paraId="69984FA7">
      <w:pPr>
        <w:pageBreakBefore w:val="0"/>
        <w:kinsoku/>
        <w:overflowPunct/>
        <w:topLinePunct w:val="0"/>
        <w:bidi w:val="0"/>
        <w:snapToGrid w:val="0"/>
        <w:spacing w:line="312" w:lineRule="auto"/>
        <w:ind w:left="847" w:leftChars="99" w:hanging="640" w:hangingChars="267"/>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评标委员会可以接受投标文件中不构成实质性偏离的不正规或不一致。</w:t>
      </w:r>
    </w:p>
    <w:p w14:paraId="1CD39B3A">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63" w:name="_Toc518923087"/>
      <w:bookmarkStart w:id="164" w:name="_Toc12708"/>
      <w:bookmarkStart w:id="165" w:name="_Toc16579"/>
      <w:bookmarkStart w:id="166" w:name="_Toc31926"/>
      <w:r>
        <w:rPr>
          <w:rFonts w:hint="eastAsia" w:ascii="微软雅黑" w:hAnsi="微软雅黑" w:eastAsia="微软雅黑" w:cs="微软雅黑"/>
          <w:color w:val="auto"/>
          <w:sz w:val="24"/>
          <w:szCs w:val="24"/>
          <w:highlight w:val="none"/>
          <w:u w:val="none"/>
        </w:rPr>
        <w:t>22.</w:t>
      </w:r>
      <w:bookmarkEnd w:id="163"/>
      <w:r>
        <w:rPr>
          <w:rFonts w:hint="eastAsia" w:ascii="微软雅黑" w:hAnsi="微软雅黑" w:eastAsia="微软雅黑" w:cs="微软雅黑"/>
          <w:color w:val="auto"/>
          <w:sz w:val="24"/>
          <w:szCs w:val="24"/>
          <w:highlight w:val="none"/>
          <w:u w:val="none"/>
        </w:rPr>
        <w:t>投标无效</w:t>
      </w:r>
      <w:bookmarkEnd w:id="164"/>
      <w:bookmarkEnd w:id="165"/>
      <w:bookmarkEnd w:id="166"/>
    </w:p>
    <w:p w14:paraId="196CDA0E">
      <w:pPr>
        <w:pageBreakBefore w:val="0"/>
        <w:kinsoku/>
        <w:overflowPunct/>
        <w:topLinePunct w:val="0"/>
        <w:bidi w:val="0"/>
        <w:snapToGrid w:val="0"/>
        <w:spacing w:line="312" w:lineRule="auto"/>
        <w:ind w:left="96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22.1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在比较与评价之前，根据本须知的规定，评标委员会要审查每份投标文件是否实质上响应了</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的要求。实质上响应的投标应该是与</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要求的全部条款、条件和规格相符，没有重大偏离的投标。对关键条款的偏离，将被认定为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。投标人不得通过修正或撤销不符合要求的偏离从而使其投标成为实质上响应的投标。</w:t>
      </w:r>
    </w:p>
    <w:p w14:paraId="5BA31785">
      <w:pPr>
        <w:pageBreakBefore w:val="0"/>
        <w:kinsoku/>
        <w:overflowPunct/>
        <w:topLinePunct w:val="0"/>
        <w:bidi w:val="0"/>
        <w:snapToGrid w:val="0"/>
        <w:spacing w:line="312" w:lineRule="auto"/>
        <w:ind w:left="957" w:leftChars="456"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评标委员会决定投标的响应性只根据</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要求、投标文件内容及财政主管部门指定相关信息发布媒体。</w:t>
      </w:r>
    </w:p>
    <w:p w14:paraId="3F288EC3">
      <w:pPr>
        <w:pageBreakBefore w:val="0"/>
        <w:kinsoku/>
        <w:overflowPunct/>
        <w:topLinePunct w:val="0"/>
        <w:bidi w:val="0"/>
        <w:snapToGrid w:val="0"/>
        <w:spacing w:line="312" w:lineRule="auto"/>
        <w:ind w:left="720" w:hanging="720" w:hangingChars="300"/>
        <w:textAlignment w:val="auto"/>
        <w:outlineLvl w:val="1"/>
        <w:rPr>
          <w:rFonts w:hint="eastAsia" w:ascii="微软雅黑" w:hAnsi="微软雅黑" w:eastAsia="微软雅黑" w:cs="微软雅黑"/>
          <w:color w:val="auto"/>
          <w:sz w:val="24"/>
          <w:szCs w:val="24"/>
          <w:highlight w:val="none"/>
        </w:rPr>
      </w:pPr>
      <w:bookmarkStart w:id="167" w:name="_Toc5795"/>
      <w:r>
        <w:rPr>
          <w:rFonts w:hint="eastAsia" w:ascii="微软雅黑" w:hAnsi="微软雅黑" w:eastAsia="微软雅黑" w:cs="微软雅黑"/>
          <w:color w:val="auto"/>
          <w:sz w:val="24"/>
          <w:szCs w:val="24"/>
          <w:highlight w:val="none"/>
        </w:rPr>
        <w:t>22.2</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如发现下列情况之一的，其投标将被认定为</w:t>
      </w:r>
      <w:r>
        <w:rPr>
          <w:rFonts w:hint="eastAsia" w:ascii="微软雅黑" w:hAnsi="微软雅黑" w:eastAsia="微软雅黑" w:cs="微软雅黑"/>
          <w:b/>
          <w:color w:val="auto"/>
          <w:sz w:val="24"/>
          <w:szCs w:val="24"/>
          <w:highlight w:val="none"/>
        </w:rPr>
        <w:t>投标无效</w:t>
      </w:r>
      <w:r>
        <w:rPr>
          <w:rFonts w:hint="eastAsia" w:ascii="微软雅黑" w:hAnsi="微软雅黑" w:eastAsia="微软雅黑" w:cs="微软雅黑"/>
          <w:color w:val="auto"/>
          <w:sz w:val="24"/>
          <w:szCs w:val="24"/>
          <w:highlight w:val="none"/>
        </w:rPr>
        <w:t>：</w:t>
      </w:r>
      <w:bookmarkEnd w:id="167"/>
    </w:p>
    <w:p w14:paraId="49F4C917">
      <w:pPr>
        <w:pageBreakBefore w:val="0"/>
        <w:numPr>
          <w:ilvl w:val="0"/>
          <w:numId w:val="2"/>
        </w:numPr>
        <w:kinsoku/>
        <w:overflowPunct/>
        <w:topLinePunct w:val="0"/>
        <w:bidi w:val="0"/>
        <w:snapToGrid w:val="0"/>
        <w:spacing w:line="312" w:lineRule="auto"/>
        <w:ind w:left="1080" w:leftChars="429" w:hanging="18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未按</w:t>
      </w:r>
      <w:r>
        <w:rPr>
          <w:rFonts w:hint="eastAsia" w:ascii="微软雅黑" w:hAnsi="微软雅黑" w:eastAsia="微软雅黑" w:cs="微软雅黑"/>
          <w:b/>
          <w:bCs/>
          <w:color w:val="auto"/>
          <w:sz w:val="24"/>
          <w:szCs w:val="24"/>
          <w:highlight w:val="none"/>
          <w:lang w:eastAsia="zh-CN"/>
        </w:rPr>
        <w:t>招标文件</w:t>
      </w:r>
      <w:r>
        <w:rPr>
          <w:rFonts w:hint="eastAsia" w:ascii="微软雅黑" w:hAnsi="微软雅黑" w:eastAsia="微软雅黑" w:cs="微软雅黑"/>
          <w:b/>
          <w:bCs/>
          <w:color w:val="auto"/>
          <w:sz w:val="24"/>
          <w:szCs w:val="24"/>
          <w:highlight w:val="none"/>
        </w:rPr>
        <w:t>规定的形式和金额提交投标保证金的；</w:t>
      </w:r>
    </w:p>
    <w:p w14:paraId="2893332A">
      <w:pPr>
        <w:pageBreakBefore w:val="0"/>
        <w:numPr>
          <w:ilvl w:val="0"/>
          <w:numId w:val="2"/>
        </w:numPr>
        <w:kinsoku/>
        <w:overflowPunct/>
        <w:topLinePunct w:val="0"/>
        <w:bidi w:val="0"/>
        <w:snapToGrid w:val="0"/>
        <w:spacing w:line="312" w:lineRule="auto"/>
        <w:ind w:left="1080" w:leftChars="429" w:hanging="18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未按照</w:t>
      </w:r>
      <w:r>
        <w:rPr>
          <w:rFonts w:hint="eastAsia" w:ascii="微软雅黑" w:hAnsi="微软雅黑" w:eastAsia="微软雅黑" w:cs="微软雅黑"/>
          <w:b/>
          <w:bCs/>
          <w:color w:val="auto"/>
          <w:sz w:val="24"/>
          <w:szCs w:val="24"/>
          <w:highlight w:val="none"/>
          <w:lang w:eastAsia="zh-CN"/>
        </w:rPr>
        <w:t>招标文件</w:t>
      </w:r>
      <w:r>
        <w:rPr>
          <w:rFonts w:hint="eastAsia" w:ascii="微软雅黑" w:hAnsi="微软雅黑" w:eastAsia="微软雅黑" w:cs="微软雅黑"/>
          <w:b/>
          <w:bCs/>
          <w:color w:val="auto"/>
          <w:sz w:val="24"/>
          <w:szCs w:val="24"/>
          <w:highlight w:val="none"/>
        </w:rPr>
        <w:t>规定要求签署、盖章的；</w:t>
      </w:r>
    </w:p>
    <w:p w14:paraId="4B1E221D">
      <w:pPr>
        <w:pageBreakBefore w:val="0"/>
        <w:numPr>
          <w:ilvl w:val="0"/>
          <w:numId w:val="2"/>
        </w:numPr>
        <w:kinsoku/>
        <w:overflowPunct/>
        <w:topLinePunct w:val="0"/>
        <w:bidi w:val="0"/>
        <w:snapToGrid w:val="0"/>
        <w:spacing w:line="312" w:lineRule="auto"/>
        <w:ind w:left="1080" w:leftChars="429" w:hanging="18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未满足</w:t>
      </w:r>
      <w:r>
        <w:rPr>
          <w:rFonts w:hint="eastAsia" w:ascii="微软雅黑" w:hAnsi="微软雅黑" w:eastAsia="微软雅黑" w:cs="微软雅黑"/>
          <w:b/>
          <w:bCs/>
          <w:color w:val="auto"/>
          <w:sz w:val="24"/>
          <w:szCs w:val="24"/>
          <w:highlight w:val="none"/>
          <w:lang w:eastAsia="zh-CN"/>
        </w:rPr>
        <w:t>招标文件</w:t>
      </w:r>
      <w:r>
        <w:rPr>
          <w:rFonts w:hint="eastAsia" w:ascii="微软雅黑" w:hAnsi="微软雅黑" w:eastAsia="微软雅黑" w:cs="微软雅黑"/>
          <w:b/>
          <w:bCs/>
          <w:color w:val="auto"/>
          <w:sz w:val="24"/>
          <w:szCs w:val="24"/>
          <w:highlight w:val="none"/>
        </w:rPr>
        <w:t>中技术条款的实质性要求；</w:t>
      </w:r>
    </w:p>
    <w:p w14:paraId="2598882E">
      <w:pPr>
        <w:pageBreakBefore w:val="0"/>
        <w:numPr>
          <w:ilvl w:val="0"/>
          <w:numId w:val="2"/>
        </w:numPr>
        <w:kinsoku/>
        <w:overflowPunct/>
        <w:topLinePunct w:val="0"/>
        <w:bidi w:val="0"/>
        <w:snapToGrid w:val="0"/>
        <w:spacing w:line="312" w:lineRule="auto"/>
        <w:ind w:left="1080" w:leftChars="429" w:hanging="18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与其他投标人串通投标，或者与采购人串通投标；</w:t>
      </w:r>
    </w:p>
    <w:p w14:paraId="7E68F929">
      <w:pPr>
        <w:pageBreakBefore w:val="0"/>
        <w:numPr>
          <w:ilvl w:val="0"/>
          <w:numId w:val="2"/>
        </w:numPr>
        <w:kinsoku/>
        <w:overflowPunct/>
        <w:topLinePunct w:val="0"/>
        <w:bidi w:val="0"/>
        <w:snapToGrid w:val="0"/>
        <w:spacing w:line="312" w:lineRule="auto"/>
        <w:ind w:left="1080" w:leftChars="429" w:hanging="18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属于</w:t>
      </w:r>
      <w:r>
        <w:rPr>
          <w:rFonts w:hint="eastAsia" w:ascii="微软雅黑" w:hAnsi="微软雅黑" w:eastAsia="微软雅黑" w:cs="微软雅黑"/>
          <w:b/>
          <w:bCs/>
          <w:color w:val="auto"/>
          <w:sz w:val="24"/>
          <w:szCs w:val="24"/>
          <w:highlight w:val="none"/>
          <w:lang w:eastAsia="zh-CN"/>
        </w:rPr>
        <w:t>招标文件</w:t>
      </w:r>
      <w:r>
        <w:rPr>
          <w:rFonts w:hint="eastAsia" w:ascii="微软雅黑" w:hAnsi="微软雅黑" w:eastAsia="微软雅黑" w:cs="微软雅黑"/>
          <w:b/>
          <w:bCs/>
          <w:color w:val="auto"/>
          <w:sz w:val="24"/>
          <w:szCs w:val="24"/>
          <w:highlight w:val="none"/>
        </w:rPr>
        <w:t>规定的其他投标无效情形；</w:t>
      </w:r>
    </w:p>
    <w:p w14:paraId="53931711">
      <w:pPr>
        <w:pageBreakBefore w:val="0"/>
        <w:numPr>
          <w:ilvl w:val="0"/>
          <w:numId w:val="2"/>
        </w:numPr>
        <w:kinsoku/>
        <w:overflowPunct/>
        <w:topLinePunct w:val="0"/>
        <w:bidi w:val="0"/>
        <w:snapToGrid w:val="0"/>
        <w:spacing w:line="312" w:lineRule="auto"/>
        <w:ind w:left="1080" w:leftChars="429" w:hanging="18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评标委员会认为投标人的报价明显低于其他通过符合性检查投标人的报价，有可能影响履约的，且投标人未按照规定证明其报价合理性的；</w:t>
      </w:r>
    </w:p>
    <w:p w14:paraId="40EB3D7C">
      <w:pPr>
        <w:pageBreakBefore w:val="0"/>
        <w:numPr>
          <w:ilvl w:val="0"/>
          <w:numId w:val="2"/>
        </w:numPr>
        <w:kinsoku/>
        <w:overflowPunct/>
        <w:topLinePunct w:val="0"/>
        <w:bidi w:val="0"/>
        <w:snapToGrid w:val="0"/>
        <w:spacing w:line="312" w:lineRule="auto"/>
        <w:ind w:left="1080" w:leftChars="429" w:hanging="18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投标文件含有采购人不能接受的附加条件的；</w:t>
      </w:r>
    </w:p>
    <w:p w14:paraId="4CE4C4A8">
      <w:pPr>
        <w:pageBreakBefore w:val="0"/>
        <w:numPr>
          <w:ilvl w:val="0"/>
          <w:numId w:val="2"/>
        </w:numPr>
        <w:tabs>
          <w:tab w:val="left" w:pos="0"/>
        </w:tabs>
        <w:kinsoku/>
        <w:overflowPunct/>
        <w:topLinePunct w:val="0"/>
        <w:bidi w:val="0"/>
        <w:snapToGrid w:val="0"/>
        <w:spacing w:line="312" w:lineRule="auto"/>
        <w:ind w:left="1080" w:leftChars="429" w:hanging="180"/>
        <w:textAlignment w:val="auto"/>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b/>
          <w:bCs/>
          <w:color w:val="auto"/>
          <w:sz w:val="24"/>
          <w:szCs w:val="24"/>
          <w:highlight w:val="none"/>
        </w:rPr>
        <w:t>不符合法规和</w:t>
      </w:r>
      <w:r>
        <w:rPr>
          <w:rFonts w:hint="eastAsia" w:ascii="微软雅黑" w:hAnsi="微软雅黑" w:eastAsia="微软雅黑" w:cs="微软雅黑"/>
          <w:b/>
          <w:bCs/>
          <w:color w:val="auto"/>
          <w:sz w:val="24"/>
          <w:szCs w:val="24"/>
          <w:highlight w:val="none"/>
          <w:lang w:eastAsia="zh-CN"/>
        </w:rPr>
        <w:t>招标文件</w:t>
      </w:r>
      <w:r>
        <w:rPr>
          <w:rFonts w:hint="eastAsia" w:ascii="微软雅黑" w:hAnsi="微软雅黑" w:eastAsia="微软雅黑" w:cs="微软雅黑"/>
          <w:b/>
          <w:bCs/>
          <w:color w:val="auto"/>
          <w:sz w:val="24"/>
          <w:szCs w:val="24"/>
          <w:highlight w:val="none"/>
        </w:rPr>
        <w:t>中规定的其他实质性要求的。</w:t>
      </w:r>
      <w:bookmarkStart w:id="168" w:name="_Toc23137"/>
      <w:bookmarkStart w:id="169" w:name="_Toc518923088"/>
    </w:p>
    <w:p w14:paraId="783DA9D0">
      <w:pPr>
        <w:pStyle w:val="4"/>
        <w:pageBreakBefore w:val="0"/>
        <w:kinsoku/>
        <w:overflowPunct/>
        <w:topLinePunct w:val="0"/>
        <w:bidi w:val="0"/>
        <w:snapToGrid w:val="0"/>
        <w:spacing w:before="0" w:after="0" w:line="312" w:lineRule="auto"/>
        <w:ind w:left="720" w:hanging="720" w:hangingChars="300"/>
        <w:textAlignment w:val="auto"/>
        <w:rPr>
          <w:rFonts w:hint="eastAsia" w:ascii="微软雅黑" w:hAnsi="微软雅黑" w:eastAsia="微软雅黑" w:cs="微软雅黑"/>
          <w:b/>
          <w:bCs w:val="0"/>
          <w:color w:val="auto"/>
          <w:sz w:val="24"/>
          <w:szCs w:val="24"/>
          <w:highlight w:val="none"/>
          <w:u w:val="none"/>
          <w:lang w:val="en-US" w:eastAsia="zh-CN"/>
        </w:rPr>
      </w:pPr>
      <w:bookmarkStart w:id="170" w:name="_Toc218"/>
      <w:bookmarkStart w:id="171" w:name="_Toc23109"/>
      <w:r>
        <w:rPr>
          <w:rFonts w:hint="eastAsia" w:ascii="微软雅黑" w:hAnsi="微软雅黑" w:eastAsia="微软雅黑" w:cs="微软雅黑"/>
          <w:b/>
          <w:bCs w:val="0"/>
          <w:color w:val="auto"/>
          <w:sz w:val="24"/>
          <w:szCs w:val="24"/>
          <w:highlight w:val="none"/>
          <w:u w:val="none"/>
          <w:lang w:val="en-US" w:eastAsia="zh-CN"/>
        </w:rPr>
        <w:t>22.3  有下列情形之一的，属于恶意串通，对供应商依照政府采购法第七十七条第一款的规定追究法律责任，对采购人、采购代理机构及其工作人员依照政府采购法第七十二条的规定追究法律责任：</w:t>
      </w:r>
      <w:bookmarkEnd w:id="170"/>
      <w:bookmarkEnd w:id="171"/>
    </w:p>
    <w:p w14:paraId="7C0EA9B1">
      <w:pPr>
        <w:pageBreakBefore w:val="0"/>
        <w:kinsoku/>
        <w:overflowPunct/>
        <w:topLinePunct w:val="0"/>
        <w:bidi w:val="0"/>
        <w:snapToGrid w:val="0"/>
        <w:spacing w:line="312" w:lineRule="auto"/>
        <w:ind w:left="898" w:leftChars="342" w:hanging="180" w:hangingChars="75"/>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lang w:eastAsia="zh-CN"/>
        </w:rPr>
        <w:t>（1）</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直接或者间接从采购人或者采购代理机构处获得其他供应商的相关情况并修改其投标文件或者投标文件；</w:t>
      </w:r>
    </w:p>
    <w:p w14:paraId="39EBB9A6">
      <w:pPr>
        <w:pageBreakBefore w:val="0"/>
        <w:kinsoku/>
        <w:overflowPunct/>
        <w:topLinePunct w:val="0"/>
        <w:bidi w:val="0"/>
        <w:snapToGrid w:val="0"/>
        <w:spacing w:line="312" w:lineRule="auto"/>
        <w:ind w:left="898" w:leftChars="342" w:hanging="180" w:hangingChars="75"/>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lang w:eastAsia="zh-CN"/>
        </w:rPr>
        <w:t>（2）</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按照采购人或者采购代理机构的授意撤换、修改投标文件或者投标文件；</w:t>
      </w:r>
    </w:p>
    <w:p w14:paraId="7660C978">
      <w:pPr>
        <w:pageBreakBefore w:val="0"/>
        <w:kinsoku/>
        <w:overflowPunct/>
        <w:topLinePunct w:val="0"/>
        <w:bidi w:val="0"/>
        <w:snapToGrid w:val="0"/>
        <w:spacing w:line="312" w:lineRule="auto"/>
        <w:ind w:left="898" w:leftChars="342" w:hanging="180" w:hangingChars="75"/>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lang w:eastAsia="zh-CN"/>
        </w:rPr>
        <w:t>（3）</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之间协商报价、技术方案等投标文件或者投标文件的实质性内容；</w:t>
      </w:r>
    </w:p>
    <w:p w14:paraId="40C7130D">
      <w:pPr>
        <w:pageBreakBefore w:val="0"/>
        <w:kinsoku/>
        <w:overflowPunct/>
        <w:topLinePunct w:val="0"/>
        <w:bidi w:val="0"/>
        <w:snapToGrid w:val="0"/>
        <w:spacing w:line="312" w:lineRule="auto"/>
        <w:ind w:left="898" w:leftChars="342" w:hanging="180" w:hangingChars="75"/>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lang w:eastAsia="zh-CN"/>
        </w:rPr>
        <w:t>（4）属于同一集团、协会、商会等组织成员的</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按照该组织要求协同参加政府采购活动；</w:t>
      </w:r>
    </w:p>
    <w:p w14:paraId="0A8CE994">
      <w:pPr>
        <w:pageBreakBefore w:val="0"/>
        <w:kinsoku/>
        <w:overflowPunct/>
        <w:topLinePunct w:val="0"/>
        <w:bidi w:val="0"/>
        <w:snapToGrid w:val="0"/>
        <w:spacing w:line="312" w:lineRule="auto"/>
        <w:ind w:left="898" w:leftChars="342" w:hanging="180" w:hangingChars="75"/>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lang w:eastAsia="zh-CN"/>
        </w:rPr>
        <w:t>（5）</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之间事先约定由某一特定</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中标、成交；</w:t>
      </w:r>
    </w:p>
    <w:p w14:paraId="167EF0D2">
      <w:pPr>
        <w:pageBreakBefore w:val="0"/>
        <w:kinsoku/>
        <w:overflowPunct/>
        <w:topLinePunct w:val="0"/>
        <w:bidi w:val="0"/>
        <w:snapToGrid w:val="0"/>
        <w:spacing w:line="312" w:lineRule="auto"/>
        <w:ind w:left="898" w:leftChars="342" w:hanging="180" w:hangingChars="75"/>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lang w:eastAsia="zh-CN"/>
        </w:rPr>
        <w:t>（6）</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之间商定部分</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放弃参加政府采购活动或者放弃中标、成交；</w:t>
      </w:r>
    </w:p>
    <w:p w14:paraId="7F237CD9">
      <w:pPr>
        <w:pageBreakBefore w:val="0"/>
        <w:kinsoku/>
        <w:overflowPunct/>
        <w:topLinePunct w:val="0"/>
        <w:bidi w:val="0"/>
        <w:snapToGrid w:val="0"/>
        <w:spacing w:line="312" w:lineRule="auto"/>
        <w:ind w:left="898" w:leftChars="342" w:hanging="180" w:hangingChars="75"/>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eastAsia="zh-CN"/>
        </w:rPr>
        <w:t>（7）</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与采购人或者采购代理机构之间、</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相互之间，为谋求特定</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中标、成交或者排斥其他</w:t>
      </w:r>
      <w:r>
        <w:rPr>
          <w:rFonts w:hint="eastAsia" w:ascii="微软雅黑" w:hAnsi="微软雅黑" w:eastAsia="微软雅黑" w:cs="微软雅黑"/>
          <w:b w:val="0"/>
          <w:bCs/>
          <w:color w:val="auto"/>
          <w:sz w:val="24"/>
          <w:szCs w:val="24"/>
          <w:highlight w:val="none"/>
          <w:lang w:val="en-US" w:eastAsia="zh-CN"/>
        </w:rPr>
        <w:t>投标人</w:t>
      </w:r>
      <w:r>
        <w:rPr>
          <w:rFonts w:hint="eastAsia" w:ascii="微软雅黑" w:hAnsi="微软雅黑" w:eastAsia="微软雅黑" w:cs="微软雅黑"/>
          <w:b w:val="0"/>
          <w:bCs/>
          <w:color w:val="auto"/>
          <w:sz w:val="24"/>
          <w:szCs w:val="24"/>
          <w:highlight w:val="none"/>
          <w:lang w:eastAsia="zh-CN"/>
        </w:rPr>
        <w:t>的其他串通行为。</w:t>
      </w:r>
    </w:p>
    <w:p w14:paraId="5ACDF8D8">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72" w:name="_Toc20801"/>
      <w:bookmarkStart w:id="173" w:name="_Toc31249"/>
      <w:r>
        <w:rPr>
          <w:rFonts w:hint="eastAsia" w:ascii="微软雅黑" w:hAnsi="微软雅黑" w:eastAsia="微软雅黑" w:cs="微软雅黑"/>
          <w:color w:val="auto"/>
          <w:sz w:val="24"/>
          <w:szCs w:val="24"/>
          <w:highlight w:val="none"/>
          <w:u w:val="none"/>
        </w:rPr>
        <w:t>23</w:t>
      </w:r>
      <w:bookmarkEnd w:id="156"/>
      <w:r>
        <w:rPr>
          <w:rFonts w:hint="eastAsia" w:ascii="微软雅黑" w:hAnsi="微软雅黑" w:eastAsia="微软雅黑" w:cs="微软雅黑"/>
          <w:color w:val="auto"/>
          <w:sz w:val="24"/>
          <w:szCs w:val="24"/>
          <w:highlight w:val="none"/>
          <w:u w:val="none"/>
        </w:rPr>
        <w:t>.比较与评价</w:t>
      </w:r>
      <w:bookmarkEnd w:id="168"/>
      <w:bookmarkEnd w:id="169"/>
      <w:bookmarkEnd w:id="172"/>
      <w:bookmarkEnd w:id="173"/>
    </w:p>
    <w:p w14:paraId="7314BE2A">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经符合性审查合格的投标文件，评标委员会将根据</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确定的评标方法和标准，对其技术部分和商务部分作进一步的比较和评价。</w:t>
      </w:r>
    </w:p>
    <w:p w14:paraId="6DDD71C9">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23.2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评标严格按照</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的要求和条件进行。根据实际情况，在</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中规定采用下列一种评标方法，详细评标标准见</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第六章：</w:t>
      </w:r>
    </w:p>
    <w:p w14:paraId="278152DA">
      <w:pPr>
        <w:pStyle w:val="16"/>
        <w:pageBreakBefore w:val="0"/>
        <w:kinsoku/>
        <w:overflowPunct/>
        <w:topLinePunct w:val="0"/>
        <w:bidi w:val="0"/>
        <w:snapToGrid w:val="0"/>
        <w:spacing w:line="312" w:lineRule="auto"/>
        <w:ind w:left="899" w:leftChars="342" w:hanging="181"/>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（1）最低评标价法，是指投标文件满足</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全部实质性要求，且投标报价最低的投标人为中标候选人的评标方法。</w:t>
      </w:r>
    </w:p>
    <w:p w14:paraId="285686F9">
      <w:pPr>
        <w:pStyle w:val="16"/>
        <w:pageBreakBefore w:val="0"/>
        <w:kinsoku/>
        <w:overflowPunct/>
        <w:topLinePunct w:val="0"/>
        <w:bidi w:val="0"/>
        <w:snapToGrid w:val="0"/>
        <w:spacing w:line="312" w:lineRule="auto"/>
        <w:ind w:left="898" w:leftChars="342" w:hanging="180"/>
        <w:textAlignment w:val="auto"/>
        <w:rPr>
          <w:rFonts w:hint="eastAsia" w:ascii="微软雅黑" w:hAnsi="微软雅黑" w:eastAsia="微软雅黑" w:cs="微软雅黑"/>
          <w:b w:val="0"/>
          <w:bCs w:val="0"/>
          <w:color w:val="auto"/>
          <w:sz w:val="24"/>
          <w:szCs w:val="24"/>
          <w:highlight w:val="none"/>
          <w:u w:val="single"/>
        </w:rPr>
      </w:pPr>
      <w:r>
        <w:rPr>
          <w:rFonts w:hint="eastAsia" w:ascii="微软雅黑" w:hAnsi="微软雅黑" w:eastAsia="微软雅黑" w:cs="微软雅黑"/>
          <w:b w:val="0"/>
          <w:bCs w:val="0"/>
          <w:color w:val="auto"/>
          <w:sz w:val="24"/>
          <w:szCs w:val="24"/>
          <w:highlight w:val="none"/>
        </w:rPr>
        <w:t>（2）</w:t>
      </w:r>
      <w:r>
        <w:rPr>
          <w:rFonts w:hint="eastAsia" w:ascii="微软雅黑" w:hAnsi="微软雅黑" w:eastAsia="微软雅黑" w:cs="微软雅黑"/>
          <w:b w:val="0"/>
          <w:bCs w:val="0"/>
          <w:color w:val="auto"/>
          <w:sz w:val="24"/>
          <w:szCs w:val="24"/>
          <w:highlight w:val="none"/>
          <w:u w:val="none"/>
        </w:rPr>
        <w:t>综合评分法，是指投标文件满足</w:t>
      </w:r>
      <w:r>
        <w:rPr>
          <w:rFonts w:hint="eastAsia" w:ascii="微软雅黑" w:hAnsi="微软雅黑" w:eastAsia="微软雅黑" w:cs="微软雅黑"/>
          <w:b w:val="0"/>
          <w:bCs w:val="0"/>
          <w:color w:val="auto"/>
          <w:sz w:val="24"/>
          <w:szCs w:val="24"/>
          <w:highlight w:val="none"/>
          <w:u w:val="none"/>
          <w:lang w:eastAsia="zh-CN"/>
        </w:rPr>
        <w:t>招标文件</w:t>
      </w:r>
      <w:r>
        <w:rPr>
          <w:rFonts w:hint="eastAsia" w:ascii="微软雅黑" w:hAnsi="微软雅黑" w:eastAsia="微软雅黑" w:cs="微软雅黑"/>
          <w:b w:val="0"/>
          <w:bCs w:val="0"/>
          <w:color w:val="auto"/>
          <w:sz w:val="24"/>
          <w:szCs w:val="24"/>
          <w:highlight w:val="none"/>
          <w:u w:val="none"/>
        </w:rPr>
        <w:t>全部实质性要求，且按照评审因素的量化指标评审得分最高的投标人为中标候选人的评标方法。</w:t>
      </w:r>
    </w:p>
    <w:p w14:paraId="0CE6CDE8">
      <w:pPr>
        <w:pStyle w:val="16"/>
        <w:pageBreakBefore w:val="0"/>
        <w:kinsoku/>
        <w:overflowPunct/>
        <w:topLinePunct w:val="0"/>
        <w:bidi w:val="0"/>
        <w:snapToGrid w:val="0"/>
        <w:spacing w:line="312" w:lineRule="auto"/>
        <w:ind w:left="960" w:hanging="960" w:hangingChars="4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sz w:val="24"/>
          <w:szCs w:val="24"/>
          <w:highlight w:val="none"/>
        </w:rPr>
        <w:t>23.3</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b w:val="0"/>
          <w:bCs/>
          <w:color w:val="auto"/>
          <w:sz w:val="24"/>
          <w:szCs w:val="24"/>
          <w:highlight w:val="none"/>
          <w:lang w:val="en-US" w:eastAsia="zh-CN"/>
        </w:rPr>
        <w:t>本项目根据《政府采购促进中小企业发展管理办法》（财库[2020]46 号）、关于进一步加大政府采购支持中小企业力度的通知财库〔2022〕19号，《财政部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号）的规定，对满足价格扣除条件且在投标文件中提交了《中小企业声明函》或省级以上监狱管理局、戒毒管理局（含新疆生产建设兵团）出具的属于监狱企业的证明文件的投标人，其投标报价扣除</w:t>
      </w:r>
      <w:r>
        <w:rPr>
          <w:rFonts w:hint="eastAsia" w:ascii="微软雅黑" w:hAnsi="微软雅黑" w:eastAsia="微软雅黑" w:cs="微软雅黑"/>
          <w:b w:val="0"/>
          <w:bCs/>
          <w:color w:val="auto"/>
          <w:sz w:val="24"/>
          <w:szCs w:val="24"/>
          <w:highlight w:val="none"/>
          <w:u w:val="single"/>
          <w:lang w:val="en-US" w:eastAsia="zh-CN"/>
        </w:rPr>
        <w:t xml:space="preserve">  10%  </w:t>
      </w:r>
      <w:r>
        <w:rPr>
          <w:rFonts w:hint="eastAsia" w:ascii="微软雅黑" w:hAnsi="微软雅黑" w:eastAsia="微软雅黑" w:cs="微软雅黑"/>
          <w:b w:val="0"/>
          <w:bCs/>
          <w:color w:val="auto"/>
          <w:sz w:val="24"/>
          <w:szCs w:val="24"/>
          <w:highlight w:val="none"/>
          <w:lang w:val="en-US" w:eastAsia="zh-CN"/>
        </w:rPr>
        <w:t>后参与评审。对于同时属于小微企业、监狱企业或残疾人福利性单位的，不重复进行投标报价扣除。具体办法详见招标文件第</w:t>
      </w:r>
      <w:r>
        <w:rPr>
          <w:rFonts w:hint="eastAsia" w:ascii="微软雅黑" w:hAnsi="微软雅黑" w:eastAsia="微软雅黑" w:cs="微软雅黑"/>
          <w:b w:val="0"/>
          <w:bCs/>
          <w:color w:val="auto"/>
          <w:sz w:val="24"/>
          <w:szCs w:val="24"/>
          <w:highlight w:val="none"/>
          <w:u w:val="single"/>
          <w:lang w:val="en-US" w:eastAsia="zh-CN"/>
        </w:rPr>
        <w:t xml:space="preserve"> 6 </w:t>
      </w:r>
      <w:r>
        <w:rPr>
          <w:rFonts w:hint="eastAsia" w:ascii="微软雅黑" w:hAnsi="微软雅黑" w:eastAsia="微软雅黑" w:cs="微软雅黑"/>
          <w:b w:val="0"/>
          <w:bCs/>
          <w:color w:val="auto"/>
          <w:sz w:val="24"/>
          <w:szCs w:val="24"/>
          <w:highlight w:val="none"/>
          <w:lang w:val="en-US" w:eastAsia="zh-CN"/>
        </w:rPr>
        <w:t>章。</w:t>
      </w:r>
    </w:p>
    <w:p w14:paraId="229490D1">
      <w:pPr>
        <w:pStyle w:val="4"/>
        <w:pageBreakBefore w:val="0"/>
        <w:numPr>
          <w:ilvl w:val="0"/>
          <w:numId w:val="3"/>
        </w:numPr>
        <w:kinsoku/>
        <w:overflowPunct/>
        <w:topLinePunct w:val="0"/>
        <w:bidi w:val="0"/>
        <w:snapToGrid w:val="0"/>
        <w:spacing w:before="0" w:after="0" w:line="312" w:lineRule="auto"/>
        <w:textAlignment w:val="auto"/>
        <w:rPr>
          <w:rFonts w:hint="eastAsia" w:ascii="微软雅黑" w:hAnsi="微软雅黑" w:eastAsia="微软雅黑" w:cs="微软雅黑"/>
          <w:b/>
          <w:bCs/>
          <w:color w:val="auto"/>
          <w:sz w:val="24"/>
          <w:szCs w:val="24"/>
          <w:highlight w:val="none"/>
          <w:u w:val="none"/>
        </w:rPr>
      </w:pPr>
      <w:bookmarkStart w:id="174" w:name="_Toc32310"/>
      <w:bookmarkStart w:id="175" w:name="_Toc16467"/>
      <w:r>
        <w:rPr>
          <w:rFonts w:hint="eastAsia" w:ascii="微软雅黑" w:hAnsi="微软雅黑" w:eastAsia="微软雅黑" w:cs="微软雅黑"/>
          <w:b/>
          <w:bCs/>
          <w:color w:val="auto"/>
          <w:sz w:val="24"/>
          <w:szCs w:val="24"/>
          <w:highlight w:val="none"/>
          <w:u w:val="none"/>
        </w:rPr>
        <w:t>出现下列情形之一，将导致项目废标：</w:t>
      </w:r>
      <w:bookmarkEnd w:id="174"/>
      <w:bookmarkEnd w:id="175"/>
      <w:r>
        <w:rPr>
          <w:rFonts w:hint="eastAsia" w:ascii="微软雅黑" w:hAnsi="微软雅黑" w:eastAsia="微软雅黑" w:cs="微软雅黑"/>
          <w:b/>
          <w:bCs/>
          <w:color w:val="auto"/>
          <w:sz w:val="24"/>
          <w:szCs w:val="24"/>
          <w:highlight w:val="none"/>
          <w:u w:val="none"/>
        </w:rPr>
        <w:t xml:space="preserve"> </w:t>
      </w:r>
    </w:p>
    <w:p w14:paraId="44039B50">
      <w:pPr>
        <w:pageBreakBefore w:val="0"/>
        <w:kinsoku/>
        <w:overflowPunct/>
        <w:topLinePunct w:val="0"/>
        <w:bidi w:val="0"/>
        <w:snapToGrid w:val="0"/>
        <w:spacing w:line="312" w:lineRule="auto"/>
        <w:ind w:left="978" w:leftChars="380" w:hanging="180" w:hangingChars="75"/>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（1）符合专业条件的投标人或者对</w:t>
      </w:r>
      <w:r>
        <w:rPr>
          <w:rFonts w:hint="eastAsia" w:ascii="微软雅黑" w:hAnsi="微软雅黑" w:eastAsia="微软雅黑" w:cs="微软雅黑"/>
          <w:b/>
          <w:bCs/>
          <w:color w:val="auto"/>
          <w:sz w:val="24"/>
          <w:szCs w:val="24"/>
          <w:highlight w:val="none"/>
          <w:lang w:eastAsia="zh-CN"/>
        </w:rPr>
        <w:t>招标文件</w:t>
      </w:r>
      <w:r>
        <w:rPr>
          <w:rFonts w:hint="eastAsia" w:ascii="微软雅黑" w:hAnsi="微软雅黑" w:eastAsia="微软雅黑" w:cs="微软雅黑"/>
          <w:b/>
          <w:bCs/>
          <w:color w:val="auto"/>
          <w:sz w:val="24"/>
          <w:szCs w:val="24"/>
          <w:highlight w:val="none"/>
        </w:rPr>
        <w:t>做实质性响应的投标人不足三家；</w:t>
      </w:r>
    </w:p>
    <w:p w14:paraId="2D2D759E">
      <w:pPr>
        <w:pageBreakBefore w:val="0"/>
        <w:kinsoku/>
        <w:overflowPunct/>
        <w:topLinePunct w:val="0"/>
        <w:bidi w:val="0"/>
        <w:snapToGrid w:val="0"/>
        <w:spacing w:line="312" w:lineRule="auto"/>
        <w:ind w:firstLine="720" w:firstLineChars="3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（2）出现影响采购公正的违法、违规行为的；</w:t>
      </w:r>
    </w:p>
    <w:p w14:paraId="7F2E518A">
      <w:pPr>
        <w:pageBreakBefore w:val="0"/>
        <w:kinsoku/>
        <w:overflowPunct/>
        <w:topLinePunct w:val="0"/>
        <w:bidi w:val="0"/>
        <w:snapToGrid w:val="0"/>
        <w:spacing w:line="312" w:lineRule="auto"/>
        <w:ind w:firstLine="720" w:firstLineChars="3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（3）投标人的报价均超过了采购预算，采购人不能支付的；</w:t>
      </w:r>
    </w:p>
    <w:p w14:paraId="1B2007A7">
      <w:pPr>
        <w:pageBreakBefore w:val="0"/>
        <w:kinsoku/>
        <w:overflowPunct/>
        <w:topLinePunct w:val="0"/>
        <w:bidi w:val="0"/>
        <w:snapToGrid w:val="0"/>
        <w:spacing w:line="312" w:lineRule="auto"/>
        <w:ind w:firstLine="720" w:firstLineChars="3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 xml:space="preserve">（4）因重大变故，采购任务取消的。   </w:t>
      </w:r>
    </w:p>
    <w:p w14:paraId="4F5467D3">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76" w:name="_Toc12734"/>
      <w:bookmarkStart w:id="177" w:name="_Toc3138"/>
      <w:bookmarkStart w:id="178" w:name="_Toc518923090"/>
      <w:bookmarkStart w:id="179" w:name="_Toc716"/>
      <w:bookmarkStart w:id="180" w:name="_Toc520356169"/>
      <w:r>
        <w:rPr>
          <w:rFonts w:hint="eastAsia" w:ascii="微软雅黑" w:hAnsi="微软雅黑" w:eastAsia="微软雅黑" w:cs="微软雅黑"/>
          <w:color w:val="auto"/>
          <w:sz w:val="24"/>
          <w:szCs w:val="24"/>
          <w:highlight w:val="none"/>
          <w:u w:val="none"/>
        </w:rPr>
        <w:t>25.保密原则</w:t>
      </w:r>
      <w:bookmarkEnd w:id="176"/>
      <w:bookmarkEnd w:id="177"/>
      <w:bookmarkEnd w:id="178"/>
      <w:bookmarkEnd w:id="179"/>
    </w:p>
    <w:p w14:paraId="6F1B805C">
      <w:pPr>
        <w:pageBreakBefore w:val="0"/>
        <w:kinsoku/>
        <w:overflowPunct/>
        <w:topLinePunct w:val="0"/>
        <w:bidi w:val="0"/>
        <w:snapToGrid w:val="0"/>
        <w:spacing w:line="312" w:lineRule="auto"/>
        <w:ind w:left="1050" w:hanging="900" w:hangingChars="375"/>
        <w:textAlignment w:val="auto"/>
        <w:outlineLvl w:val="1"/>
        <w:rPr>
          <w:rFonts w:hint="eastAsia" w:ascii="微软雅黑" w:hAnsi="微软雅黑" w:eastAsia="微软雅黑" w:cs="微软雅黑"/>
          <w:color w:val="auto"/>
          <w:sz w:val="24"/>
          <w:szCs w:val="24"/>
          <w:highlight w:val="none"/>
        </w:rPr>
      </w:pPr>
      <w:bookmarkStart w:id="181" w:name="_Toc23923"/>
      <w:r>
        <w:rPr>
          <w:rFonts w:hint="eastAsia" w:ascii="微软雅黑" w:hAnsi="微软雅黑" w:eastAsia="微软雅黑" w:cs="微软雅黑"/>
          <w:color w:val="auto"/>
          <w:sz w:val="24"/>
          <w:szCs w:val="24"/>
          <w:highlight w:val="none"/>
        </w:rPr>
        <w:t>25.1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评标将在严格保密的情况下进行。</w:t>
      </w:r>
      <w:bookmarkEnd w:id="181"/>
    </w:p>
    <w:p w14:paraId="7919BED8">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政府采购评审专家应当遵守评审工作纪律，不得泄露评审文件、评审情况和评审中获悉的商业秘密。</w:t>
      </w:r>
    </w:p>
    <w:p w14:paraId="2F66DC4B">
      <w:pPr>
        <w:pStyle w:val="3"/>
        <w:pageBreakBefore w:val="0"/>
        <w:kinsoku/>
        <w:overflowPunct/>
        <w:topLinePunct w:val="0"/>
        <w:bidi w:val="0"/>
        <w:snapToGrid w:val="0"/>
        <w:spacing w:before="0" w:line="312" w:lineRule="auto"/>
        <w:ind w:left="1079" w:leftChars="257" w:hanging="540"/>
        <w:textAlignment w:val="auto"/>
        <w:outlineLvl w:val="2"/>
        <w:rPr>
          <w:rFonts w:hint="eastAsia" w:ascii="微软雅黑" w:hAnsi="微软雅黑" w:eastAsia="微软雅黑" w:cs="微软雅黑"/>
          <w:color w:val="auto"/>
          <w:sz w:val="24"/>
          <w:szCs w:val="24"/>
          <w:highlight w:val="none"/>
        </w:rPr>
      </w:pPr>
      <w:bookmarkStart w:id="182" w:name="_Toc216582810"/>
      <w:bookmarkStart w:id="183" w:name="_Toc10648"/>
      <w:bookmarkStart w:id="184" w:name="_Toc518923091"/>
      <w:bookmarkStart w:id="185" w:name="_Toc2448"/>
      <w:r>
        <w:rPr>
          <w:rFonts w:hint="eastAsia" w:ascii="微软雅黑" w:hAnsi="微软雅黑" w:eastAsia="微软雅黑" w:cs="微软雅黑"/>
          <w:color w:val="auto"/>
          <w:sz w:val="24"/>
          <w:szCs w:val="24"/>
          <w:highlight w:val="none"/>
        </w:rPr>
        <w:t>六</w:t>
      </w:r>
      <w:bookmarkEnd w:id="180"/>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确定中标</w:t>
      </w:r>
      <w:bookmarkEnd w:id="182"/>
      <w:bookmarkEnd w:id="183"/>
      <w:bookmarkEnd w:id="184"/>
      <w:bookmarkEnd w:id="185"/>
    </w:p>
    <w:p w14:paraId="4B370C83">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86" w:name="_Toc518923092"/>
      <w:bookmarkStart w:id="187" w:name="_Ref467307010"/>
      <w:bookmarkStart w:id="188" w:name="_Toc10778"/>
      <w:bookmarkStart w:id="189" w:name="_Toc520356170"/>
      <w:bookmarkStart w:id="190" w:name="_Toc20881"/>
      <w:bookmarkStart w:id="191" w:name="_Toc21691"/>
      <w:r>
        <w:rPr>
          <w:rFonts w:hint="eastAsia" w:ascii="微软雅黑" w:hAnsi="微软雅黑" w:eastAsia="微软雅黑" w:cs="微软雅黑"/>
          <w:color w:val="auto"/>
          <w:sz w:val="24"/>
          <w:szCs w:val="24"/>
          <w:highlight w:val="none"/>
          <w:u w:val="none"/>
        </w:rPr>
        <w:t>26.中标候选人的确定原则及标准</w:t>
      </w:r>
      <w:bookmarkEnd w:id="186"/>
      <w:bookmarkEnd w:id="187"/>
      <w:bookmarkEnd w:id="188"/>
      <w:bookmarkEnd w:id="189"/>
      <w:bookmarkEnd w:id="190"/>
      <w:bookmarkEnd w:id="191"/>
    </w:p>
    <w:p w14:paraId="1415C2B3">
      <w:pPr>
        <w:pageBreakBefore w:val="0"/>
        <w:kinsoku/>
        <w:overflowPunct/>
        <w:topLinePunct w:val="0"/>
        <w:bidi w:val="0"/>
        <w:snapToGrid w:val="0"/>
        <w:spacing w:line="312" w:lineRule="auto"/>
        <w:ind w:firstLine="960" w:firstLineChars="4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除第28条规定外，对实质上响应</w:t>
      </w:r>
      <w:r>
        <w:rPr>
          <w:rFonts w:hint="eastAsia" w:ascii="微软雅黑" w:hAnsi="微软雅黑" w:eastAsia="微软雅黑" w:cs="微软雅黑"/>
          <w:bCs/>
          <w:color w:val="auto"/>
          <w:sz w:val="24"/>
          <w:szCs w:val="24"/>
          <w:highlight w:val="none"/>
          <w:lang w:eastAsia="zh-CN"/>
        </w:rPr>
        <w:t>招标文件</w:t>
      </w:r>
      <w:r>
        <w:rPr>
          <w:rFonts w:hint="eastAsia" w:ascii="微软雅黑" w:hAnsi="微软雅黑" w:eastAsia="微软雅黑" w:cs="微软雅黑"/>
          <w:bCs/>
          <w:color w:val="auto"/>
          <w:sz w:val="24"/>
          <w:szCs w:val="24"/>
          <w:highlight w:val="none"/>
        </w:rPr>
        <w:t>的投标人按下列方法进行排序，确定中标候选人：</w:t>
      </w:r>
    </w:p>
    <w:p w14:paraId="3BA9B199">
      <w:pPr>
        <w:pageBreakBefore w:val="0"/>
        <w:kinsoku/>
        <w:overflowPunct/>
        <w:topLinePunct w:val="0"/>
        <w:bidi w:val="0"/>
        <w:snapToGrid w:val="0"/>
        <w:spacing w:line="312" w:lineRule="auto"/>
        <w:ind w:left="895" w:leftChars="312" w:hanging="240" w:hangingChars="1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w:t>
      </w:r>
      <w:r>
        <w:rPr>
          <w:rFonts w:hint="eastAsia" w:ascii="微软雅黑" w:hAnsi="微软雅黑" w:eastAsia="微软雅黑" w:cs="微软雅黑"/>
          <w:bCs/>
          <w:color w:val="auto"/>
          <w:sz w:val="24"/>
          <w:szCs w:val="24"/>
          <w:highlight w:val="none"/>
          <w:lang w:eastAsia="zh-CN"/>
        </w:rPr>
        <w:t>招标文件</w:t>
      </w:r>
      <w:r>
        <w:rPr>
          <w:rFonts w:hint="eastAsia" w:ascii="微软雅黑" w:hAnsi="微软雅黑" w:eastAsia="微软雅黑" w:cs="微软雅黑"/>
          <w:bCs/>
          <w:color w:val="auto"/>
          <w:sz w:val="24"/>
          <w:szCs w:val="24"/>
          <w:highlight w:val="none"/>
        </w:rPr>
        <w:t>第6章。</w:t>
      </w:r>
    </w:p>
    <w:p w14:paraId="3BD7E45F">
      <w:pPr>
        <w:pageBreakBefore w:val="0"/>
        <w:kinsoku/>
        <w:overflowPunct/>
        <w:topLinePunct w:val="0"/>
        <w:bidi w:val="0"/>
        <w:snapToGrid w:val="0"/>
        <w:spacing w:line="312" w:lineRule="auto"/>
        <w:ind w:left="895" w:leftChars="312" w:hanging="240" w:hangingChars="1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（2）采用综合评分法的，评标结果按评审后得分由高到低顺序排列。得分相同的，按修正和扣除后的投标报价由低到高顺序排列。得分与投标报价均相同的处理方式详见</w:t>
      </w:r>
      <w:r>
        <w:rPr>
          <w:rFonts w:hint="eastAsia" w:ascii="微软雅黑" w:hAnsi="微软雅黑" w:eastAsia="微软雅黑" w:cs="微软雅黑"/>
          <w:bCs/>
          <w:color w:val="auto"/>
          <w:sz w:val="24"/>
          <w:szCs w:val="24"/>
          <w:highlight w:val="none"/>
          <w:lang w:eastAsia="zh-CN"/>
        </w:rPr>
        <w:t>招标文件</w:t>
      </w:r>
      <w:r>
        <w:rPr>
          <w:rFonts w:hint="eastAsia" w:ascii="微软雅黑" w:hAnsi="微软雅黑" w:eastAsia="微软雅黑" w:cs="微软雅黑"/>
          <w:bCs/>
          <w:color w:val="auto"/>
          <w:sz w:val="24"/>
          <w:szCs w:val="24"/>
          <w:highlight w:val="none"/>
        </w:rPr>
        <w:t>第6章。</w:t>
      </w:r>
    </w:p>
    <w:p w14:paraId="631B1DB8">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92" w:name="_Toc520356171"/>
      <w:bookmarkStart w:id="193" w:name="_Toc3596"/>
      <w:bookmarkStart w:id="194" w:name="_Toc518923093"/>
      <w:bookmarkStart w:id="195" w:name="_Toc32044"/>
      <w:bookmarkStart w:id="196" w:name="_Toc13969"/>
      <w:r>
        <w:rPr>
          <w:rFonts w:hint="eastAsia" w:ascii="微软雅黑" w:hAnsi="微软雅黑" w:eastAsia="微软雅黑" w:cs="微软雅黑"/>
          <w:color w:val="auto"/>
          <w:sz w:val="24"/>
          <w:szCs w:val="24"/>
          <w:highlight w:val="none"/>
          <w:u w:val="none"/>
        </w:rPr>
        <w:t>27</w:t>
      </w:r>
      <w:bookmarkEnd w:id="192"/>
      <w:r>
        <w:rPr>
          <w:rFonts w:hint="eastAsia" w:ascii="微软雅黑" w:hAnsi="微软雅黑" w:eastAsia="微软雅黑" w:cs="微软雅黑"/>
          <w:color w:val="auto"/>
          <w:sz w:val="24"/>
          <w:szCs w:val="24"/>
          <w:highlight w:val="none"/>
          <w:u w:val="none"/>
        </w:rPr>
        <w:t>.确定中标候选人和中标人</w:t>
      </w:r>
      <w:bookmarkEnd w:id="193"/>
      <w:bookmarkEnd w:id="194"/>
      <w:bookmarkEnd w:id="195"/>
      <w:bookmarkEnd w:id="196"/>
    </w:p>
    <w:p w14:paraId="04C3F6A8">
      <w:pPr>
        <w:pageBreakBefore w:val="0"/>
        <w:kinsoku/>
        <w:overflowPunct/>
        <w:topLinePunct w:val="0"/>
        <w:bidi w:val="0"/>
        <w:snapToGrid w:val="0"/>
        <w:spacing w:line="312" w:lineRule="auto"/>
        <w:ind w:left="837" w:leftChars="399" w:firstLine="0"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评标委员会将根据评标标准，按投标人须知资料表中规定数量推荐中标候选人；或根据采购人的委托，直接确定中标人。</w:t>
      </w:r>
    </w:p>
    <w:p w14:paraId="0D3ECB1B">
      <w:pPr>
        <w:pStyle w:val="4"/>
        <w:pageBreakBefore w:val="0"/>
        <w:tabs>
          <w:tab w:val="left" w:pos="900"/>
        </w:tabs>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197" w:name="_Toc520356173"/>
      <w:bookmarkStart w:id="198" w:name="_Ref467306874"/>
      <w:bookmarkStart w:id="199" w:name="_Toc518923094"/>
      <w:bookmarkStart w:id="200" w:name="_Toc11515"/>
      <w:bookmarkStart w:id="201" w:name="_Toc13552"/>
      <w:bookmarkStart w:id="202" w:name="_Toc3672"/>
      <w:r>
        <w:rPr>
          <w:rFonts w:hint="eastAsia" w:ascii="微软雅黑" w:hAnsi="微软雅黑" w:eastAsia="微软雅黑" w:cs="微软雅黑"/>
          <w:color w:val="auto"/>
          <w:sz w:val="24"/>
          <w:szCs w:val="24"/>
          <w:highlight w:val="none"/>
          <w:u w:val="none"/>
        </w:rPr>
        <w:t>28</w:t>
      </w:r>
      <w:bookmarkEnd w:id="197"/>
      <w:bookmarkEnd w:id="198"/>
      <w:r>
        <w:rPr>
          <w:rFonts w:hint="eastAsia" w:ascii="微软雅黑" w:hAnsi="微软雅黑" w:eastAsia="微软雅黑" w:cs="微软雅黑"/>
          <w:color w:val="auto"/>
          <w:sz w:val="24"/>
          <w:szCs w:val="24"/>
          <w:highlight w:val="none"/>
          <w:u w:val="none"/>
        </w:rPr>
        <w:t>.采购任务取消</w:t>
      </w:r>
      <w:bookmarkEnd w:id="199"/>
      <w:bookmarkEnd w:id="200"/>
      <w:bookmarkEnd w:id="201"/>
      <w:bookmarkEnd w:id="202"/>
    </w:p>
    <w:p w14:paraId="30E2A374">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因重大变故采购任务取消时，采购人有权拒绝任何投标人中标，且对受影响的投标人不承担任何责任。</w:t>
      </w:r>
      <w:bookmarkStart w:id="203" w:name="_Toc520356174"/>
    </w:p>
    <w:p w14:paraId="3260F1D9">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lang w:eastAsia="zh-CN"/>
        </w:rPr>
      </w:pPr>
      <w:bookmarkStart w:id="204" w:name="_Toc518923095"/>
      <w:bookmarkStart w:id="205" w:name="_Toc18841"/>
      <w:bookmarkStart w:id="206" w:name="_Toc7625"/>
      <w:bookmarkStart w:id="207" w:name="_Toc28183"/>
      <w:r>
        <w:rPr>
          <w:rFonts w:hint="eastAsia" w:ascii="微软雅黑" w:hAnsi="微软雅黑" w:eastAsia="微软雅黑" w:cs="微软雅黑"/>
          <w:color w:val="auto"/>
          <w:sz w:val="24"/>
          <w:szCs w:val="24"/>
          <w:highlight w:val="none"/>
          <w:u w:val="none"/>
        </w:rPr>
        <w:t>29.中标通知书</w:t>
      </w:r>
      <w:bookmarkEnd w:id="203"/>
      <w:r>
        <w:rPr>
          <w:rFonts w:hint="eastAsia" w:ascii="微软雅黑" w:hAnsi="微软雅黑" w:eastAsia="微软雅黑" w:cs="微软雅黑"/>
          <w:color w:val="auto"/>
          <w:sz w:val="24"/>
          <w:szCs w:val="24"/>
          <w:highlight w:val="none"/>
          <w:u w:val="none"/>
        </w:rPr>
        <w:t>和</w:t>
      </w:r>
      <w:bookmarkEnd w:id="204"/>
      <w:bookmarkEnd w:id="205"/>
      <w:r>
        <w:rPr>
          <w:rFonts w:hint="eastAsia" w:ascii="微软雅黑" w:hAnsi="微软雅黑" w:eastAsia="微软雅黑" w:cs="微软雅黑"/>
          <w:color w:val="auto"/>
          <w:sz w:val="24"/>
          <w:szCs w:val="24"/>
          <w:highlight w:val="none"/>
          <w:u w:val="none"/>
          <w:lang w:eastAsia="zh-CN"/>
        </w:rPr>
        <w:t>中标公示</w:t>
      </w:r>
      <w:bookmarkEnd w:id="206"/>
      <w:bookmarkEnd w:id="207"/>
    </w:p>
    <w:p w14:paraId="21A885AE">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29.1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在投标有效期内，中标人确定后，采购人或者采购代理机构发布中标</w:t>
      </w:r>
      <w:r>
        <w:rPr>
          <w:rFonts w:hint="eastAsia" w:ascii="微软雅黑" w:hAnsi="微软雅黑" w:eastAsia="微软雅黑" w:cs="微软雅黑"/>
          <w:color w:val="auto"/>
          <w:sz w:val="24"/>
          <w:szCs w:val="24"/>
          <w:highlight w:val="none"/>
          <w:lang w:val="en-US" w:eastAsia="zh-CN"/>
        </w:rPr>
        <w:t>公告</w:t>
      </w:r>
      <w:r>
        <w:rPr>
          <w:rFonts w:hint="eastAsia" w:ascii="微软雅黑" w:hAnsi="微软雅黑" w:eastAsia="微软雅黑" w:cs="微软雅黑"/>
          <w:color w:val="auto"/>
          <w:sz w:val="24"/>
          <w:szCs w:val="24"/>
          <w:highlight w:val="none"/>
        </w:rPr>
        <w:t>，同时以书面形式向中标人发出中标通知书；</w:t>
      </w:r>
    </w:p>
    <w:p w14:paraId="7A0970A7">
      <w:pPr>
        <w:pageBreakBefore w:val="0"/>
        <w:kinsoku/>
        <w:overflowPunct/>
        <w:topLinePunct w:val="0"/>
        <w:bidi w:val="0"/>
        <w:snapToGrid w:val="0"/>
        <w:spacing w:line="312" w:lineRule="auto"/>
        <w:ind w:left="1050" w:hanging="900" w:hangingChars="375"/>
        <w:textAlignment w:val="auto"/>
        <w:outlineLvl w:val="1"/>
        <w:rPr>
          <w:rFonts w:hint="eastAsia" w:ascii="微软雅黑" w:hAnsi="微软雅黑" w:eastAsia="微软雅黑" w:cs="微软雅黑"/>
          <w:color w:val="auto"/>
          <w:sz w:val="24"/>
          <w:szCs w:val="24"/>
          <w:highlight w:val="none"/>
        </w:rPr>
      </w:pPr>
      <w:bookmarkStart w:id="208" w:name="_Toc2468"/>
      <w:r>
        <w:rPr>
          <w:rFonts w:hint="eastAsia" w:ascii="微软雅黑" w:hAnsi="微软雅黑" w:eastAsia="微软雅黑" w:cs="微软雅黑"/>
          <w:color w:val="auto"/>
          <w:sz w:val="24"/>
          <w:szCs w:val="24"/>
          <w:highlight w:val="none"/>
        </w:rPr>
        <w:t>29.2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中标通知书是合同的组成部分；</w:t>
      </w:r>
      <w:bookmarkEnd w:id="208"/>
    </w:p>
    <w:p w14:paraId="588EBFC4">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09" w:name="_Ref467306978"/>
      <w:bookmarkStart w:id="210" w:name="_Toc5463"/>
      <w:bookmarkStart w:id="211" w:name="_Toc22031"/>
      <w:bookmarkStart w:id="212" w:name="_Toc518923096"/>
      <w:bookmarkStart w:id="213" w:name="_Ref467307204"/>
      <w:bookmarkStart w:id="214" w:name="_Ref467306377"/>
      <w:bookmarkStart w:id="215" w:name="_Ref467307062"/>
      <w:bookmarkStart w:id="216" w:name="_Toc2887"/>
      <w:bookmarkStart w:id="217" w:name="_Toc520356175"/>
      <w:r>
        <w:rPr>
          <w:rFonts w:hint="eastAsia" w:ascii="微软雅黑" w:hAnsi="微软雅黑" w:eastAsia="微软雅黑" w:cs="微软雅黑"/>
          <w:color w:val="auto"/>
          <w:sz w:val="24"/>
          <w:szCs w:val="24"/>
          <w:highlight w:val="none"/>
          <w:u w:val="none"/>
        </w:rPr>
        <w:t>30.签订合同</w:t>
      </w:r>
      <w:bookmarkEnd w:id="209"/>
      <w:bookmarkEnd w:id="210"/>
      <w:bookmarkEnd w:id="211"/>
      <w:bookmarkEnd w:id="212"/>
      <w:bookmarkEnd w:id="213"/>
      <w:bookmarkEnd w:id="214"/>
      <w:bookmarkEnd w:id="215"/>
      <w:bookmarkEnd w:id="216"/>
      <w:bookmarkEnd w:id="217"/>
    </w:p>
    <w:p w14:paraId="3A5BB9FF">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中标人应当自发出中标通知书之日起30日内，与采购人签订合同。</w:t>
      </w:r>
    </w:p>
    <w:p w14:paraId="3A61FE73">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30.2</w:t>
      </w:r>
      <w:r>
        <w:rPr>
          <w:rFonts w:hint="eastAsia" w:ascii="微软雅黑" w:hAnsi="微软雅黑" w:eastAsia="微软雅黑" w:cs="微软雅黑"/>
          <w:color w:val="auto"/>
          <w:sz w:val="24"/>
          <w:szCs w:val="24"/>
          <w:highlight w:val="none"/>
        </w:rPr>
        <w:tab/>
      </w:r>
      <w:bookmarkStart w:id="218" w:name="_Ref467307090"/>
      <w:bookmarkStart w:id="219" w:name="_Ref467306425"/>
      <w:bookmarkStart w:id="220" w:name="_Toc520356176"/>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、中标人的投标文件及其澄清文件等，均为签订合同的依据。</w:t>
      </w:r>
    </w:p>
    <w:p w14:paraId="520FE3BB">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4A6F4A7E">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30.4   当出现法规规定的</w:t>
      </w:r>
      <w:r>
        <w:rPr>
          <w:rFonts w:hint="eastAsia" w:ascii="微软雅黑" w:hAnsi="微软雅黑" w:eastAsia="微软雅黑" w:cs="微软雅黑"/>
          <w:b/>
          <w:color w:val="auto"/>
          <w:sz w:val="24"/>
          <w:szCs w:val="24"/>
          <w:highlight w:val="none"/>
        </w:rPr>
        <w:t>中标无效或中标结果无效</w:t>
      </w:r>
      <w:r>
        <w:rPr>
          <w:rFonts w:hint="eastAsia" w:ascii="微软雅黑" w:hAnsi="微软雅黑" w:eastAsia="微软雅黑" w:cs="微软雅黑"/>
          <w:color w:val="auto"/>
          <w:sz w:val="24"/>
          <w:szCs w:val="24"/>
          <w:highlight w:val="none"/>
        </w:rPr>
        <w:t>情形时，采购人可与排名下一位的中标候选人另行签订合同，或依法重新开展采购活动。</w:t>
      </w:r>
    </w:p>
    <w:p w14:paraId="41F70A06">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21" w:name="_Toc2891"/>
      <w:bookmarkStart w:id="222" w:name="_Toc31323"/>
      <w:bookmarkStart w:id="223" w:name="_Toc30541"/>
      <w:bookmarkStart w:id="224" w:name="_Toc518923097"/>
      <w:r>
        <w:rPr>
          <w:rFonts w:hint="eastAsia" w:ascii="微软雅黑" w:hAnsi="微软雅黑" w:eastAsia="微软雅黑" w:cs="微软雅黑"/>
          <w:color w:val="auto"/>
          <w:sz w:val="24"/>
          <w:szCs w:val="24"/>
          <w:highlight w:val="none"/>
          <w:u w:val="none"/>
        </w:rPr>
        <w:t>31.履约保证金</w:t>
      </w:r>
      <w:bookmarkEnd w:id="218"/>
      <w:bookmarkEnd w:id="219"/>
      <w:bookmarkEnd w:id="220"/>
      <w:bookmarkEnd w:id="221"/>
      <w:bookmarkEnd w:id="222"/>
      <w:bookmarkEnd w:id="223"/>
      <w:bookmarkEnd w:id="224"/>
    </w:p>
    <w:p w14:paraId="1C2BFD60">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中标人应按照</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规定向采购人缴纳履约保证金。</w:t>
      </w:r>
    </w:p>
    <w:p w14:paraId="45036A59">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政府采购利用担保试点范围内的项目，除31.1规定的情形外，中标人也可以按照财政部门的规定，向采购人提供合格的履约担保函。</w:t>
      </w:r>
    </w:p>
    <w:p w14:paraId="385B2BFF">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31.3   如果中标人没有按照上述履约保证金的规定执行，将视为放弃中标资格，中标人的投标保证金将不予退还。在此情况下，采购人可确定下一候选人为中标人，也可以重新开展采购活动。</w:t>
      </w:r>
    </w:p>
    <w:p w14:paraId="4502C72E">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25" w:name="_Toc518923098"/>
      <w:bookmarkStart w:id="226" w:name="_Toc7363"/>
      <w:bookmarkStart w:id="227" w:name="_Toc9590"/>
      <w:bookmarkStart w:id="228" w:name="_Toc9222"/>
      <w:r>
        <w:rPr>
          <w:rFonts w:hint="eastAsia" w:ascii="微软雅黑" w:hAnsi="微软雅黑" w:eastAsia="微软雅黑" w:cs="微软雅黑"/>
          <w:color w:val="auto"/>
          <w:sz w:val="24"/>
          <w:szCs w:val="24"/>
          <w:highlight w:val="none"/>
          <w:u w:val="none"/>
        </w:rPr>
        <w:t>32.中标服务费</w:t>
      </w:r>
      <w:bookmarkEnd w:id="225"/>
      <w:bookmarkEnd w:id="226"/>
      <w:bookmarkEnd w:id="227"/>
      <w:bookmarkEnd w:id="228"/>
    </w:p>
    <w:p w14:paraId="260CFD16">
      <w:pPr>
        <w:pageBreakBefore w:val="0"/>
        <w:kinsoku/>
        <w:overflowPunct/>
        <w:topLinePunct w:val="0"/>
        <w:bidi w:val="0"/>
        <w:snapToGrid w:val="0"/>
        <w:spacing w:line="312" w:lineRule="auto"/>
        <w:ind w:left="840" w:leftChars="200" w:hanging="420" w:hangingChars="1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中标人须按照</w:t>
      </w:r>
      <w:r>
        <w:rPr>
          <w:rFonts w:hint="eastAsia" w:ascii="微软雅黑" w:hAnsi="微软雅黑" w:eastAsia="微软雅黑" w:cs="微软雅黑"/>
          <w:color w:val="auto"/>
          <w:sz w:val="24"/>
          <w:szCs w:val="24"/>
          <w:highlight w:val="none"/>
          <w:u w:val="single"/>
        </w:rPr>
        <w:t>投标须知资料表</w:t>
      </w:r>
      <w:r>
        <w:rPr>
          <w:rFonts w:hint="eastAsia" w:ascii="微软雅黑" w:hAnsi="微软雅黑" w:eastAsia="微软雅黑" w:cs="微软雅黑"/>
          <w:color w:val="auto"/>
          <w:sz w:val="24"/>
          <w:szCs w:val="24"/>
          <w:highlight w:val="none"/>
        </w:rPr>
        <w:t>规定，向采购代理机构支付中标服务费。</w:t>
      </w:r>
    </w:p>
    <w:p w14:paraId="0A3935C7">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29" w:name="_Toc15631"/>
      <w:bookmarkStart w:id="230" w:name="_Toc31421"/>
      <w:bookmarkStart w:id="231" w:name="_Toc28933"/>
      <w:bookmarkStart w:id="232" w:name="_Toc518923099"/>
      <w:r>
        <w:rPr>
          <w:rFonts w:hint="eastAsia" w:ascii="微软雅黑" w:hAnsi="微软雅黑" w:eastAsia="微软雅黑" w:cs="微软雅黑"/>
          <w:color w:val="auto"/>
          <w:sz w:val="24"/>
          <w:szCs w:val="24"/>
          <w:highlight w:val="none"/>
          <w:u w:val="none"/>
        </w:rPr>
        <w:t>33.政府采购信用担保</w:t>
      </w:r>
      <w:bookmarkEnd w:id="229"/>
      <w:bookmarkEnd w:id="230"/>
      <w:bookmarkEnd w:id="231"/>
      <w:bookmarkEnd w:id="232"/>
    </w:p>
    <w:p w14:paraId="43371550">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33.1   本项目是否属于信用担保试点范围见</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w:t>
      </w:r>
    </w:p>
    <w:p w14:paraId="2DFAABB0">
      <w:pPr>
        <w:pageBreakBefore w:val="0"/>
        <w:kinsoku/>
        <w:overflowPunct/>
        <w:topLinePunct w:val="0"/>
        <w:bidi w:val="0"/>
        <w:snapToGrid w:val="0"/>
        <w:spacing w:line="312" w:lineRule="auto"/>
        <w:ind w:left="991" w:hanging="849" w:hangingChars="354"/>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33.2   如属于政府采购信用担保试点范围内，中小型企业投标人可以自由按照财政部门的规定，采用投标担保、履约担保和融资担保。</w:t>
      </w:r>
    </w:p>
    <w:p w14:paraId="040645B5">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33.2.1 供应商递交的投标担保函和履约担保函应符合本招标文件的规定。</w:t>
      </w:r>
    </w:p>
    <w:p w14:paraId="67B91589">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33.2.2 中标人可以采取融资担保的形式为政府采购项目履约进行融资。</w:t>
      </w:r>
    </w:p>
    <w:p w14:paraId="385F5DC3">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33.2.3 合格的政府采购专业信用担保机构见</w:t>
      </w:r>
      <w:r>
        <w:rPr>
          <w:rFonts w:hint="eastAsia" w:ascii="微软雅黑" w:hAnsi="微软雅黑" w:eastAsia="微软雅黑" w:cs="微软雅黑"/>
          <w:color w:val="auto"/>
          <w:sz w:val="24"/>
          <w:szCs w:val="24"/>
          <w:highlight w:val="none"/>
          <w:u w:val="single"/>
        </w:rPr>
        <w:t>投标人须知资料表</w:t>
      </w:r>
      <w:r>
        <w:rPr>
          <w:rFonts w:hint="eastAsia" w:ascii="微软雅黑" w:hAnsi="微软雅黑" w:eastAsia="微软雅黑" w:cs="微软雅黑"/>
          <w:color w:val="auto"/>
          <w:sz w:val="24"/>
          <w:szCs w:val="24"/>
          <w:highlight w:val="none"/>
        </w:rPr>
        <w:t>。</w:t>
      </w:r>
    </w:p>
    <w:p w14:paraId="7FB61FFB">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33" w:name="_Toc518923100"/>
      <w:bookmarkStart w:id="234" w:name="_Toc26042"/>
      <w:bookmarkStart w:id="235" w:name="_Toc28579"/>
      <w:bookmarkStart w:id="236" w:name="_Toc30701"/>
      <w:r>
        <w:rPr>
          <w:rFonts w:hint="eastAsia" w:ascii="微软雅黑" w:hAnsi="微软雅黑" w:eastAsia="微软雅黑" w:cs="微软雅黑"/>
          <w:color w:val="auto"/>
          <w:sz w:val="24"/>
          <w:szCs w:val="24"/>
          <w:highlight w:val="none"/>
          <w:u w:val="none"/>
        </w:rPr>
        <w:t>34.廉洁自律规定</w:t>
      </w:r>
      <w:bookmarkEnd w:id="233"/>
      <w:bookmarkEnd w:id="234"/>
      <w:bookmarkEnd w:id="235"/>
      <w:bookmarkEnd w:id="236"/>
    </w:p>
    <w:p w14:paraId="5319CE58">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34.1   采购代理机构工作人员不得以不正当手段获取政府采购代理业务，不得与采购人、投标人恶意串通操纵政府采购活动。</w:t>
      </w:r>
    </w:p>
    <w:p w14:paraId="49EB675B">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34.2   采购代理机构工作人员不得接受采购人或者投标人组织的宴请、旅游、娱乐，不得收受礼品、现金、有价证券等，不得向采购人或者投标人报销应当由个人承担的费用。</w:t>
      </w:r>
    </w:p>
    <w:p w14:paraId="3A59F2DB">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34.3   为强化采购代理机构内部监督机制，投标人可按</w:t>
      </w:r>
      <w:r>
        <w:rPr>
          <w:rFonts w:hint="eastAsia" w:ascii="微软雅黑" w:hAnsi="微软雅黑" w:eastAsia="微软雅黑" w:cs="微软雅黑"/>
          <w:color w:val="auto"/>
          <w:sz w:val="24"/>
          <w:szCs w:val="24"/>
          <w:highlight w:val="none"/>
          <w:u w:val="single"/>
        </w:rPr>
        <w:t>投标人须知资料表中的</w:t>
      </w:r>
      <w:r>
        <w:rPr>
          <w:rFonts w:hint="eastAsia" w:ascii="微软雅黑" w:hAnsi="微软雅黑" w:eastAsia="微软雅黑" w:cs="微软雅黑"/>
          <w:color w:val="auto"/>
          <w:sz w:val="24"/>
          <w:szCs w:val="24"/>
          <w:highlight w:val="none"/>
        </w:rPr>
        <w:t>监督电话和信箱，反映采购代理机构的廉洁自律等问题。</w:t>
      </w:r>
    </w:p>
    <w:p w14:paraId="4929B7DE">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37" w:name="_Toc355"/>
      <w:bookmarkStart w:id="238" w:name="_Toc11975"/>
      <w:bookmarkStart w:id="239" w:name="_Toc29807"/>
      <w:bookmarkStart w:id="240" w:name="_Toc518923101"/>
      <w:r>
        <w:rPr>
          <w:rFonts w:hint="eastAsia" w:ascii="微软雅黑" w:hAnsi="微软雅黑" w:eastAsia="微软雅黑" w:cs="微软雅黑"/>
          <w:color w:val="auto"/>
          <w:sz w:val="24"/>
          <w:szCs w:val="24"/>
          <w:highlight w:val="none"/>
          <w:u w:val="none"/>
        </w:rPr>
        <w:t>35.人员回避</w:t>
      </w:r>
      <w:bookmarkEnd w:id="237"/>
      <w:bookmarkEnd w:id="238"/>
      <w:bookmarkEnd w:id="239"/>
      <w:bookmarkEnd w:id="240"/>
    </w:p>
    <w:p w14:paraId="3AF3BC30">
      <w:pPr>
        <w:pageBreakBefore w:val="0"/>
        <w:kinsoku/>
        <w:overflowPunct/>
        <w:topLinePunct w:val="0"/>
        <w:bidi w:val="0"/>
        <w:snapToGrid w:val="0"/>
        <w:spacing w:line="312" w:lineRule="auto"/>
        <w:ind w:left="105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投标人认为采购人员及其相关人员有法律法规所列与其他投标人有利害关系的，可以向采购人或采购代理机构书面提出回避申请，并说明理由。</w:t>
      </w:r>
    </w:p>
    <w:p w14:paraId="4CB1AA00">
      <w:pPr>
        <w:pStyle w:val="4"/>
        <w:pageBreakBefore w:val="0"/>
        <w:kinsoku/>
        <w:overflowPunct/>
        <w:topLinePunct w:val="0"/>
        <w:bidi w:val="0"/>
        <w:snapToGrid w:val="0"/>
        <w:spacing w:before="0" w:after="0" w:line="312" w:lineRule="auto"/>
        <w:textAlignment w:val="auto"/>
        <w:rPr>
          <w:rFonts w:hint="eastAsia" w:ascii="微软雅黑" w:hAnsi="微软雅黑" w:eastAsia="微软雅黑" w:cs="微软雅黑"/>
          <w:color w:val="auto"/>
          <w:sz w:val="24"/>
          <w:szCs w:val="24"/>
          <w:highlight w:val="none"/>
          <w:u w:val="none"/>
        </w:rPr>
      </w:pPr>
      <w:bookmarkStart w:id="241" w:name="_Toc102"/>
      <w:bookmarkStart w:id="242" w:name="_Toc515647798"/>
      <w:bookmarkStart w:id="243" w:name="_Toc11115"/>
      <w:bookmarkStart w:id="244" w:name="_Toc10247"/>
      <w:bookmarkStart w:id="245" w:name="_Toc1148"/>
      <w:bookmarkStart w:id="246" w:name="_Toc13925"/>
      <w:bookmarkStart w:id="247" w:name="_Toc5666"/>
      <w:r>
        <w:rPr>
          <w:rFonts w:hint="eastAsia" w:ascii="微软雅黑" w:hAnsi="微软雅黑" w:eastAsia="微软雅黑" w:cs="微软雅黑"/>
          <w:color w:val="auto"/>
          <w:sz w:val="24"/>
          <w:szCs w:val="24"/>
          <w:highlight w:val="none"/>
          <w:u w:val="none"/>
        </w:rPr>
        <w:t>36.质疑与接收</w:t>
      </w:r>
      <w:bookmarkEnd w:id="241"/>
      <w:bookmarkEnd w:id="242"/>
      <w:bookmarkEnd w:id="243"/>
      <w:bookmarkEnd w:id="244"/>
      <w:bookmarkEnd w:id="245"/>
      <w:bookmarkEnd w:id="246"/>
      <w:bookmarkEnd w:id="247"/>
    </w:p>
    <w:p w14:paraId="725498F5">
      <w:pPr>
        <w:pageBreakBefore w:val="0"/>
        <w:kinsoku/>
        <w:overflowPunct/>
        <w:topLinePunct w:val="0"/>
        <w:bidi w:val="0"/>
        <w:snapToGrid w:val="0"/>
        <w:spacing w:line="312"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36.1  投标人认为</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0811287">
      <w:pPr>
        <w:pStyle w:val="12"/>
        <w:pageBreakBefore w:val="0"/>
        <w:kinsoku/>
        <w:overflowPunct/>
        <w:topLinePunct w:val="0"/>
        <w:bidi w:val="0"/>
        <w:snapToGrid w:val="0"/>
        <w:spacing w:before="0" w:line="312" w:lineRule="auto"/>
        <w:ind w:left="702" w:right="61" w:hanging="702" w:hangingChars="30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lang w:val="en-US" w:eastAsia="zh-CN"/>
        </w:rPr>
        <w:t xml:space="preserve">36.2  </w:t>
      </w:r>
      <w:r>
        <w:rPr>
          <w:rFonts w:hint="eastAsia" w:ascii="微软雅黑" w:hAnsi="微软雅黑" w:eastAsia="微软雅黑" w:cs="微软雅黑"/>
          <w:color w:val="auto"/>
          <w:spacing w:val="-3"/>
          <w:sz w:val="24"/>
          <w:szCs w:val="24"/>
          <w:highlight w:val="none"/>
        </w:rPr>
        <w:t>供应商对本项目提出质疑，必须按照相关法律法规的要求和程序，提供的质疑材料必须具备事实依据和法律依据。质疑函应当包含具体</w:t>
      </w:r>
      <w:r>
        <w:rPr>
          <w:rFonts w:hint="eastAsia" w:ascii="微软雅黑" w:hAnsi="微软雅黑" w:eastAsia="微软雅黑" w:cs="微软雅黑"/>
          <w:color w:val="auto"/>
          <w:spacing w:val="-4"/>
          <w:sz w:val="24"/>
          <w:szCs w:val="24"/>
          <w:highlight w:val="none"/>
        </w:rPr>
        <w:t>的质疑事项</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3"/>
          <w:sz w:val="24"/>
          <w:szCs w:val="24"/>
          <w:highlight w:val="none"/>
        </w:rPr>
        <w:t>及事实依据，不得进行虚假及恶意质疑，如所提供的质疑材料出现</w:t>
      </w:r>
      <w:r>
        <w:rPr>
          <w:rFonts w:hint="eastAsia" w:ascii="微软雅黑" w:hAnsi="微软雅黑" w:eastAsia="微软雅黑" w:cs="微软雅黑"/>
          <w:color w:val="auto"/>
          <w:spacing w:val="-4"/>
          <w:sz w:val="24"/>
          <w:szCs w:val="24"/>
          <w:highlight w:val="none"/>
        </w:rPr>
        <w:t>恶意诋</w:t>
      </w:r>
      <w:r>
        <w:rPr>
          <w:rFonts w:hint="eastAsia" w:ascii="微软雅黑" w:hAnsi="微软雅黑" w:eastAsia="微软雅黑" w:cs="微软雅黑"/>
          <w:color w:val="auto"/>
          <w:sz w:val="24"/>
          <w:szCs w:val="24"/>
          <w:highlight w:val="none"/>
        </w:rPr>
        <w:t xml:space="preserve"> 毁或与事实不符等现象，我公司将该企业的行</w:t>
      </w:r>
      <w:r>
        <w:rPr>
          <w:rFonts w:hint="eastAsia" w:ascii="微软雅黑" w:hAnsi="微软雅黑" w:eastAsia="微软雅黑" w:cs="微软雅黑"/>
          <w:color w:val="auto"/>
          <w:spacing w:val="-1"/>
          <w:sz w:val="24"/>
          <w:szCs w:val="24"/>
          <w:highlight w:val="none"/>
        </w:rPr>
        <w:t>为上报相应主管部门。</w:t>
      </w:r>
    </w:p>
    <w:p w14:paraId="23D163DF">
      <w:pPr>
        <w:pStyle w:val="12"/>
        <w:pageBreakBefore w:val="0"/>
        <w:kinsoku/>
        <w:overflowPunct/>
        <w:topLinePunct w:val="0"/>
        <w:bidi w:val="0"/>
        <w:snapToGrid w:val="0"/>
        <w:spacing w:before="0" w:line="312" w:lineRule="auto"/>
        <w:ind w:left="743" w:leftChars="11" w:hanging="720" w:hangingChars="30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 投诉人无法证明其取得方式合法的，视为以非法手段取得证明材料。</w:t>
      </w:r>
    </w:p>
    <w:p w14:paraId="6F059D2E">
      <w:pPr>
        <w:pageBreakBefore w:val="0"/>
        <w:kinsoku/>
        <w:overflowPunct/>
        <w:topLinePunct w:val="0"/>
        <w:bidi w:val="0"/>
        <w:snapToGrid w:val="0"/>
        <w:spacing w:line="312"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 xml:space="preserve">  质疑投标人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投标人将依法承担不利后果。</w:t>
      </w:r>
    </w:p>
    <w:p w14:paraId="655281C4">
      <w:pPr>
        <w:pageBreakBefore w:val="0"/>
        <w:kinsoku/>
        <w:overflowPunct/>
        <w:topLinePunct w:val="0"/>
        <w:bidi w:val="0"/>
        <w:snapToGrid w:val="0"/>
        <w:spacing w:line="312" w:lineRule="auto"/>
        <w:ind w:left="840" w:hanging="720" w:hangingChars="300"/>
        <w:textAlignment w:val="auto"/>
        <w:rPr>
          <w:rFonts w:hint="eastAsia" w:ascii="微软雅黑" w:hAnsi="微软雅黑" w:eastAsia="微软雅黑" w:cs="微软雅黑"/>
          <w:b/>
          <w:color w:val="auto"/>
          <w:kern w:val="0"/>
          <w:sz w:val="24"/>
          <w:szCs w:val="24"/>
          <w:highlight w:val="none"/>
          <w:u w:val="none"/>
          <w:lang w:val="en-US" w:eastAsia="zh-CN" w:bidi="ar-SA"/>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 xml:space="preserve">  采购代理机构质疑函接收部门、联系电话和通讯地址, 见</w:t>
      </w:r>
      <w:r>
        <w:rPr>
          <w:rFonts w:hint="eastAsia" w:ascii="微软雅黑" w:hAnsi="微软雅黑" w:eastAsia="微软雅黑" w:cs="微软雅黑"/>
          <w:color w:val="auto"/>
          <w:sz w:val="24"/>
          <w:szCs w:val="24"/>
          <w:highlight w:val="none"/>
          <w:u w:val="single"/>
        </w:rPr>
        <w:t>投标人须知资料表。</w:t>
      </w:r>
    </w:p>
    <w:p w14:paraId="60C3B2E8">
      <w:pPr>
        <w:pageBreakBefore w:val="0"/>
        <w:widowControl w:val="0"/>
        <w:kinsoku/>
        <w:wordWrap/>
        <w:overflowPunct/>
        <w:topLinePunct w:val="0"/>
        <w:bidi w:val="0"/>
        <w:snapToGrid w:val="0"/>
        <w:spacing w:line="336" w:lineRule="auto"/>
        <w:ind w:left="72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36.6  供应商认为</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、采购过程和中标结果使自己的权益受到损害的，可以在知道或者应知其权益受到损害之日起7个工作日内，以书面形式向采购方提出质疑。供应商应知其权益受到损害之日，是指：</w:t>
      </w:r>
    </w:p>
    <w:p w14:paraId="0ECB182B">
      <w:pPr>
        <w:pageBreakBefore w:val="0"/>
        <w:widowControl w:val="0"/>
        <w:kinsoku/>
        <w:wordWrap/>
        <w:overflowPunct/>
        <w:topLinePunct w:val="0"/>
        <w:bidi w:val="0"/>
        <w:snapToGrid w:val="0"/>
        <w:spacing w:line="336" w:lineRule="auto"/>
        <w:ind w:firstLine="720" w:firstLineChars="3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(一)对可以质疑的</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提出质疑的，为收到</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之日或者</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公告期限届满之日</w:t>
      </w:r>
      <w:r>
        <w:rPr>
          <w:rFonts w:hint="eastAsia" w:ascii="微软雅黑" w:hAnsi="微软雅黑" w:eastAsia="微软雅黑" w:cs="微软雅黑"/>
          <w:color w:val="auto"/>
          <w:sz w:val="24"/>
          <w:szCs w:val="24"/>
          <w:highlight w:val="none"/>
          <w:lang w:eastAsia="zh-CN"/>
        </w:rPr>
        <w:t>。</w:t>
      </w:r>
    </w:p>
    <w:p w14:paraId="05D36C60">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(二)对采购过程提出质疑的，为各采购程序环节结束之日；</w:t>
      </w:r>
    </w:p>
    <w:p w14:paraId="44CC46B8">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(三)对中标结果提出质疑的，为中标结果公告期限届满之日。</w:t>
      </w:r>
    </w:p>
    <w:p w14:paraId="3271F338">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中所称质疑及答复，是指参加本次采购活动的</w:t>
      </w:r>
      <w:r>
        <w:rPr>
          <w:rFonts w:hint="eastAsia" w:ascii="微软雅黑" w:hAnsi="微软雅黑" w:eastAsia="微软雅黑" w:cs="微软雅黑"/>
          <w:b w:val="0"/>
          <w:i w:val="0"/>
          <w:color w:val="auto"/>
          <w:sz w:val="24"/>
          <w:szCs w:val="24"/>
          <w:highlight w:val="none"/>
          <w:lang w:eastAsia="zh-CN"/>
        </w:rPr>
        <w:t>投标人</w:t>
      </w:r>
      <w:r>
        <w:rPr>
          <w:rFonts w:hint="eastAsia" w:ascii="微软雅黑" w:hAnsi="微软雅黑" w:eastAsia="微软雅黑" w:cs="微软雅黑"/>
          <w:color w:val="auto"/>
          <w:sz w:val="24"/>
          <w:szCs w:val="24"/>
          <w:highlight w:val="none"/>
        </w:rPr>
        <w:t>对政府采购活动中的</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、采购过程和成交结果向采购方提出质疑，采购方答复质疑的行为。</w:t>
      </w:r>
    </w:p>
    <w:p w14:paraId="220449A8">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 xml:space="preserve">8  </w:t>
      </w:r>
      <w:r>
        <w:rPr>
          <w:rFonts w:hint="eastAsia" w:ascii="微软雅黑" w:hAnsi="微软雅黑" w:eastAsia="微软雅黑" w:cs="微软雅黑"/>
          <w:color w:val="auto"/>
          <w:sz w:val="24"/>
          <w:szCs w:val="24"/>
          <w:highlight w:val="none"/>
        </w:rPr>
        <w:t>对可以质疑的</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提出质疑的，质疑人为参与本项目的报价方或潜在报价方。可质疑的文件为采购公告以及</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（包括属于其组成部分的澄清、修改、补充文件和评审标准等）。</w:t>
      </w:r>
    </w:p>
    <w:p w14:paraId="689A35DF">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 xml:space="preserve">9  </w:t>
      </w:r>
      <w:r>
        <w:rPr>
          <w:rFonts w:hint="eastAsia" w:ascii="微软雅黑" w:hAnsi="微软雅黑" w:eastAsia="微软雅黑" w:cs="微软雅黑"/>
          <w:color w:val="auto"/>
          <w:sz w:val="24"/>
          <w:szCs w:val="24"/>
          <w:highlight w:val="none"/>
        </w:rPr>
        <w:t>对采购过程和成交结果提出质疑的，质疑人为直接参与本项目的报价方。采购过程,即从采购项目信息公告发布起到</w:t>
      </w:r>
      <w:r>
        <w:rPr>
          <w:rFonts w:hint="eastAsia" w:ascii="微软雅黑" w:hAnsi="微软雅黑" w:eastAsia="微软雅黑" w:cs="微软雅黑"/>
          <w:color w:val="auto"/>
          <w:sz w:val="24"/>
          <w:szCs w:val="24"/>
          <w:highlight w:val="none"/>
          <w:lang w:eastAsia="zh-CN"/>
        </w:rPr>
        <w:t>中标</w:t>
      </w:r>
      <w:r>
        <w:rPr>
          <w:rFonts w:hint="eastAsia" w:ascii="微软雅黑" w:hAnsi="微软雅黑" w:eastAsia="微软雅黑" w:cs="微软雅黑"/>
          <w:color w:val="auto"/>
          <w:sz w:val="24"/>
          <w:szCs w:val="24"/>
          <w:highlight w:val="none"/>
        </w:rPr>
        <w:t>结果公告止，包括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的发出、提交投标文件、投标文件开启、评审等各个采购程序环节。</w:t>
      </w:r>
    </w:p>
    <w:p w14:paraId="13C31B9D">
      <w:pPr>
        <w:pageBreakBefore w:val="0"/>
        <w:widowControl w:val="0"/>
        <w:kinsoku/>
        <w:wordWrap/>
        <w:overflowPunct/>
        <w:topLinePunct w:val="0"/>
        <w:bidi w:val="0"/>
        <w:snapToGrid w:val="0"/>
        <w:spacing w:line="336" w:lineRule="auto"/>
        <w:textAlignment w:val="auto"/>
        <w:outlineLvl w:val="1"/>
        <w:rPr>
          <w:rFonts w:hint="eastAsia" w:ascii="微软雅黑" w:hAnsi="微软雅黑" w:eastAsia="微软雅黑" w:cs="微软雅黑"/>
          <w:color w:val="auto"/>
          <w:sz w:val="24"/>
          <w:szCs w:val="24"/>
          <w:highlight w:val="none"/>
        </w:rPr>
      </w:pPr>
      <w:bookmarkStart w:id="248" w:name="_Toc20223"/>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 xml:space="preserve"> 提出质疑应当符合下列条件：</w:t>
      </w:r>
      <w:bookmarkEnd w:id="248"/>
    </w:p>
    <w:p w14:paraId="08A462AD">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（一）质疑主体应当符合有关规定；</w:t>
      </w:r>
    </w:p>
    <w:p w14:paraId="747C9561">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（二）在质疑法定期限内提出；</w:t>
      </w:r>
    </w:p>
    <w:p w14:paraId="24BA8763">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（三）属于可以提出质疑的政府采购事项受理范围和本项目采购人的管辖权范围；</w:t>
      </w:r>
    </w:p>
    <w:p w14:paraId="2B5CA352">
      <w:pPr>
        <w:pageBreakBefore w:val="0"/>
        <w:widowControl w:val="0"/>
        <w:kinsoku/>
        <w:wordWrap/>
        <w:overflowPunct/>
        <w:topLinePunct w:val="0"/>
        <w:bidi w:val="0"/>
        <w:snapToGrid w:val="0"/>
        <w:spacing w:line="336" w:lineRule="auto"/>
        <w:ind w:firstLine="720" w:firstLineChars="300"/>
        <w:textAlignment w:val="auto"/>
        <w:outlineLvl w:val="2"/>
        <w:rPr>
          <w:rFonts w:hint="eastAsia" w:ascii="微软雅黑" w:hAnsi="微软雅黑" w:eastAsia="微软雅黑" w:cs="微软雅黑"/>
          <w:color w:val="auto"/>
          <w:sz w:val="24"/>
          <w:szCs w:val="24"/>
          <w:highlight w:val="none"/>
        </w:rPr>
      </w:pPr>
      <w:bookmarkStart w:id="249" w:name="_Toc6896"/>
      <w:r>
        <w:rPr>
          <w:rFonts w:hint="eastAsia" w:ascii="微软雅黑" w:hAnsi="微软雅黑" w:eastAsia="微软雅黑" w:cs="微软雅黑"/>
          <w:color w:val="auto"/>
          <w:sz w:val="24"/>
          <w:szCs w:val="24"/>
          <w:highlight w:val="none"/>
        </w:rPr>
        <w:t>（四）政府采购法律、法规、规章规定的其他条件。</w:t>
      </w:r>
      <w:bookmarkEnd w:id="249"/>
    </w:p>
    <w:p w14:paraId="3CDA2442">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36.11 </w:t>
      </w:r>
      <w:r>
        <w:rPr>
          <w:rFonts w:hint="eastAsia" w:ascii="微软雅黑" w:hAnsi="微软雅黑" w:eastAsia="微软雅黑" w:cs="微软雅黑"/>
          <w:color w:val="auto"/>
          <w:sz w:val="24"/>
          <w:szCs w:val="24"/>
          <w:highlight w:val="none"/>
        </w:rP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FD1052F">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36.12</w:t>
      </w:r>
      <w:r>
        <w:rPr>
          <w:rFonts w:hint="eastAsia" w:ascii="微软雅黑" w:hAnsi="微软雅黑" w:eastAsia="微软雅黑" w:cs="微软雅黑"/>
          <w:color w:val="auto"/>
          <w:sz w:val="24"/>
          <w:szCs w:val="24"/>
          <w:highlight w:val="none"/>
        </w:rPr>
        <w:t xml:space="preserve"> 质疑人所提供的证明材料应当具有真实性、合法性以及与质疑事项的关联性和证明力，否则不能作为认定该质疑事项成立的依据。</w:t>
      </w:r>
    </w:p>
    <w:p w14:paraId="324FFC18">
      <w:pPr>
        <w:pageBreakBefore w:val="0"/>
        <w:widowControl w:val="0"/>
        <w:kinsoku/>
        <w:wordWrap/>
        <w:overflowPunct/>
        <w:topLinePunct w:val="0"/>
        <w:bidi w:val="0"/>
        <w:snapToGrid w:val="0"/>
        <w:spacing w:line="336"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36.13</w:t>
      </w:r>
      <w:r>
        <w:rPr>
          <w:rFonts w:hint="eastAsia" w:ascii="微软雅黑" w:hAnsi="微软雅黑" w:eastAsia="微软雅黑" w:cs="微软雅黑"/>
          <w:color w:val="auto"/>
          <w:sz w:val="24"/>
          <w:szCs w:val="24"/>
          <w:highlight w:val="none"/>
        </w:rPr>
        <w:t xml:space="preserve"> 质疑人提出质疑时应当提交质疑函。质疑函包括下列内容：</w:t>
      </w:r>
    </w:p>
    <w:p w14:paraId="68511511">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（一）提出质疑的质疑人的名称、地址、邮编、联系人及联系电话等；</w:t>
      </w:r>
    </w:p>
    <w:p w14:paraId="5B548016">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（二）质疑项目的名称、编号；</w:t>
      </w:r>
    </w:p>
    <w:p w14:paraId="4110CFF2">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（三）质疑事项；</w:t>
      </w:r>
    </w:p>
    <w:p w14:paraId="2E63A003">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（四）事实依据和证明材料；</w:t>
      </w:r>
    </w:p>
    <w:p w14:paraId="79E233ED">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（五）法律依据；</w:t>
      </w:r>
    </w:p>
    <w:p w14:paraId="0480E1D0">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（六）提出质疑的日期。</w:t>
      </w:r>
    </w:p>
    <w:p w14:paraId="5B1C5CA4">
      <w:pPr>
        <w:pageBreakBefore w:val="0"/>
        <w:widowControl w:val="0"/>
        <w:kinsoku/>
        <w:wordWrap/>
        <w:overflowPunct/>
        <w:topLinePunct w:val="0"/>
        <w:bidi w:val="0"/>
        <w:snapToGrid w:val="0"/>
        <w:spacing w:line="336" w:lineRule="auto"/>
        <w:ind w:left="630" w:leftChars="300"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172AEAC0">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36.14</w:t>
      </w:r>
      <w:r>
        <w:rPr>
          <w:rFonts w:hint="eastAsia" w:ascii="微软雅黑" w:hAnsi="微软雅黑" w:eastAsia="微软雅黑" w:cs="微软雅黑"/>
          <w:color w:val="auto"/>
          <w:sz w:val="24"/>
          <w:szCs w:val="24"/>
          <w:highlight w:val="none"/>
        </w:rPr>
        <w:t xml:space="preserve"> 质疑人可以委托代理人进行质疑。代理人应当提交授权委托书。授权委托书应当载明委托代理的具体权限、期限和相关事项。</w:t>
      </w:r>
    </w:p>
    <w:p w14:paraId="02F7AB2D">
      <w:pPr>
        <w:pageBreakBefore w:val="0"/>
        <w:widowControl w:val="0"/>
        <w:kinsoku/>
        <w:wordWrap/>
        <w:overflowPunct/>
        <w:topLinePunct w:val="0"/>
        <w:bidi w:val="0"/>
        <w:snapToGrid w:val="0"/>
        <w:spacing w:line="336" w:lineRule="auto"/>
        <w:textAlignment w:val="auto"/>
        <w:outlineLvl w:val="1"/>
        <w:rPr>
          <w:rFonts w:hint="eastAsia" w:ascii="微软雅黑" w:hAnsi="微软雅黑" w:eastAsia="微软雅黑" w:cs="微软雅黑"/>
          <w:color w:val="auto"/>
          <w:sz w:val="24"/>
          <w:szCs w:val="24"/>
          <w:highlight w:val="none"/>
        </w:rPr>
      </w:pPr>
      <w:bookmarkStart w:id="250" w:name="_Toc8780"/>
      <w:r>
        <w:rPr>
          <w:rFonts w:hint="eastAsia" w:ascii="微软雅黑" w:hAnsi="微软雅黑" w:eastAsia="微软雅黑" w:cs="微软雅黑"/>
          <w:color w:val="auto"/>
          <w:sz w:val="24"/>
          <w:szCs w:val="24"/>
          <w:highlight w:val="none"/>
          <w:lang w:val="en-US" w:eastAsia="zh-CN"/>
        </w:rPr>
        <w:t xml:space="preserve">36.15 </w:t>
      </w:r>
      <w:r>
        <w:rPr>
          <w:rFonts w:hint="eastAsia" w:ascii="微软雅黑" w:hAnsi="微软雅黑" w:eastAsia="微软雅黑" w:cs="微软雅黑"/>
          <w:color w:val="auto"/>
          <w:sz w:val="24"/>
          <w:szCs w:val="24"/>
          <w:highlight w:val="none"/>
        </w:rPr>
        <w:t>质疑的审查和受理</w:t>
      </w:r>
      <w:bookmarkEnd w:id="250"/>
    </w:p>
    <w:p w14:paraId="067A56F0">
      <w:pPr>
        <w:pageBreakBefore w:val="0"/>
        <w:widowControl w:val="0"/>
        <w:kinsoku/>
        <w:wordWrap/>
        <w:overflowPunct/>
        <w:topLinePunct w:val="0"/>
        <w:bidi w:val="0"/>
        <w:snapToGrid w:val="0"/>
        <w:spacing w:line="336" w:lineRule="auto"/>
        <w:ind w:left="630" w:leftChars="300"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采购方在收到质疑函后应当及时审查是否符合质疑受理条件，对符合质疑受理条件的，及时予以受理。</w:t>
      </w:r>
    </w:p>
    <w:p w14:paraId="23C7A39C">
      <w:pPr>
        <w:pageBreakBefore w:val="0"/>
        <w:widowControl w:val="0"/>
        <w:kinsoku/>
        <w:wordWrap/>
        <w:overflowPunct/>
        <w:topLinePunct w:val="0"/>
        <w:bidi w:val="0"/>
        <w:snapToGrid w:val="0"/>
        <w:spacing w:line="336"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36.16</w:t>
      </w:r>
      <w:r>
        <w:rPr>
          <w:rFonts w:hint="eastAsia" w:ascii="微软雅黑" w:hAnsi="微软雅黑" w:eastAsia="微软雅黑" w:cs="微软雅黑"/>
          <w:color w:val="auto"/>
          <w:sz w:val="24"/>
          <w:szCs w:val="24"/>
          <w:highlight w:val="none"/>
        </w:rPr>
        <w:t xml:space="preserve"> 对不符合质疑受理条件的，分别按照下列不同情形予以处理：</w:t>
      </w:r>
    </w:p>
    <w:p w14:paraId="1A0F1A7D">
      <w:pPr>
        <w:pageBreakBefore w:val="0"/>
        <w:widowControl w:val="0"/>
        <w:kinsoku/>
        <w:wordWrap/>
        <w:overflowPunct/>
        <w:topLinePunct w:val="0"/>
        <w:bidi w:val="0"/>
        <w:snapToGrid w:val="0"/>
        <w:spacing w:line="336" w:lineRule="auto"/>
        <w:ind w:left="630" w:leftChars="300"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08A54CC1">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（二）质疑主体不符合有关规定的，告知质疑人不予受理；</w:t>
      </w:r>
    </w:p>
    <w:p w14:paraId="31FB99FE">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（三）超过质疑法定期限提出质疑的，告知质疑人不予受理；</w:t>
      </w:r>
    </w:p>
    <w:p w14:paraId="136BBD94">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（四）对不属于可以提出质疑的政府采购事项提出质疑的，告知质疑人不予受理；</w:t>
      </w:r>
    </w:p>
    <w:p w14:paraId="513EE17B">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（五）质疑不属于本项目采购方管辖的，告知质疑人向有管辖权的采购人提出质疑；</w:t>
      </w:r>
    </w:p>
    <w:p w14:paraId="52E102F9">
      <w:pPr>
        <w:pageBreakBefore w:val="0"/>
        <w:widowControl w:val="0"/>
        <w:kinsoku/>
        <w:wordWrap/>
        <w:overflowPunct/>
        <w:topLinePunct w:val="0"/>
        <w:bidi w:val="0"/>
        <w:snapToGrid w:val="0"/>
        <w:spacing w:line="336" w:lineRule="auto"/>
        <w:ind w:firstLine="720" w:firstLineChars="300"/>
        <w:textAlignment w:val="auto"/>
        <w:outlineLvl w:val="2"/>
        <w:rPr>
          <w:rFonts w:hint="eastAsia" w:ascii="微软雅黑" w:hAnsi="微软雅黑" w:eastAsia="微软雅黑" w:cs="微软雅黑"/>
          <w:color w:val="auto"/>
          <w:sz w:val="24"/>
          <w:szCs w:val="24"/>
          <w:highlight w:val="none"/>
        </w:rPr>
      </w:pPr>
      <w:bookmarkStart w:id="251" w:name="_Toc1374"/>
      <w:r>
        <w:rPr>
          <w:rFonts w:hint="eastAsia" w:ascii="微软雅黑" w:hAnsi="微软雅黑" w:eastAsia="微软雅黑" w:cs="微软雅黑"/>
          <w:color w:val="auto"/>
          <w:sz w:val="24"/>
          <w:szCs w:val="24"/>
          <w:highlight w:val="none"/>
        </w:rPr>
        <w:t>（六）质疑不符合其他条件的，告知质疑人不予受理。</w:t>
      </w:r>
      <w:bookmarkEnd w:id="251"/>
    </w:p>
    <w:p w14:paraId="5E8C9089">
      <w:pPr>
        <w:pageBreakBefore w:val="0"/>
        <w:widowControl w:val="0"/>
        <w:kinsoku/>
        <w:wordWrap/>
        <w:overflowPunct/>
        <w:topLinePunct w:val="0"/>
        <w:bidi w:val="0"/>
        <w:snapToGrid w:val="0"/>
        <w:spacing w:line="336" w:lineRule="auto"/>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37.</w:t>
      </w:r>
      <w:r>
        <w:rPr>
          <w:rFonts w:hint="eastAsia" w:ascii="微软雅黑" w:hAnsi="微软雅黑" w:eastAsia="微软雅黑" w:cs="微软雅黑"/>
          <w:b/>
          <w:bCs/>
          <w:color w:val="auto"/>
          <w:sz w:val="24"/>
          <w:szCs w:val="24"/>
          <w:highlight w:val="none"/>
        </w:rPr>
        <w:t>质疑的处理和答复</w:t>
      </w:r>
    </w:p>
    <w:p w14:paraId="01B1C5C3">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37.1</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采购方受理质疑后，将及时把质疑函发送给被质疑人，并要求其在一定限期</w:t>
      </w:r>
      <w:r>
        <w:rPr>
          <w:rFonts w:hint="eastAsia" w:ascii="微软雅黑" w:hAnsi="微软雅黑" w:eastAsia="微软雅黑" w:cs="微软雅黑"/>
          <w:color w:val="auto"/>
          <w:sz w:val="24"/>
          <w:szCs w:val="24"/>
          <w:highlight w:val="none"/>
          <w:lang w:eastAsia="zh-CN"/>
        </w:rPr>
        <w:t>内</w:t>
      </w:r>
      <w:r>
        <w:rPr>
          <w:rFonts w:hint="eastAsia" w:ascii="微软雅黑" w:hAnsi="微软雅黑" w:eastAsia="微软雅黑" w:cs="微软雅黑"/>
          <w:color w:val="auto"/>
          <w:sz w:val="24"/>
          <w:szCs w:val="24"/>
          <w:highlight w:val="none"/>
        </w:rPr>
        <w:t>提交书面答复，同时提供有关证据、依据和相关材料。</w:t>
      </w:r>
    </w:p>
    <w:p w14:paraId="23DF7D64">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37.2</w:t>
      </w:r>
      <w:r>
        <w:rPr>
          <w:rFonts w:hint="eastAsia" w:ascii="微软雅黑" w:hAnsi="微软雅黑" w:eastAsia="微软雅黑" w:cs="微软雅黑"/>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2425284B">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37.3</w:t>
      </w:r>
      <w:r>
        <w:rPr>
          <w:rFonts w:hint="eastAsia" w:ascii="微软雅黑" w:hAnsi="微软雅黑" w:eastAsia="微软雅黑" w:cs="微软雅黑"/>
          <w:color w:val="auto"/>
          <w:sz w:val="24"/>
          <w:szCs w:val="24"/>
          <w:highlight w:val="none"/>
        </w:rPr>
        <w:t xml:space="preserve">  对评审过程、成交结果提出质疑的，采购方可以组织原评审委员会协助答复质疑。</w:t>
      </w:r>
    </w:p>
    <w:p w14:paraId="09AF27A5">
      <w:pPr>
        <w:pageBreakBefore w:val="0"/>
        <w:widowControl w:val="0"/>
        <w:kinsoku/>
        <w:wordWrap/>
        <w:overflowPunct/>
        <w:topLinePunct w:val="0"/>
        <w:bidi w:val="0"/>
        <w:snapToGrid w:val="0"/>
        <w:spacing w:line="336"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37.4  </w:t>
      </w:r>
      <w:r>
        <w:rPr>
          <w:rFonts w:hint="eastAsia" w:ascii="微软雅黑" w:hAnsi="微软雅黑" w:eastAsia="微软雅黑" w:cs="微软雅黑"/>
          <w:color w:val="auto"/>
          <w:sz w:val="24"/>
          <w:szCs w:val="24"/>
          <w:highlight w:val="none"/>
        </w:rPr>
        <w:t>质疑处理过程中，质疑人书面申请撤回质疑的，将终止质疑处理程序。</w:t>
      </w:r>
    </w:p>
    <w:p w14:paraId="5344E0A1">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37.5  </w:t>
      </w:r>
      <w:r>
        <w:rPr>
          <w:rFonts w:hint="eastAsia" w:ascii="微软雅黑" w:hAnsi="微软雅黑" w:eastAsia="微软雅黑" w:cs="微软雅黑"/>
          <w:color w:val="auto"/>
          <w:sz w:val="24"/>
          <w:szCs w:val="24"/>
          <w:highlight w:val="none"/>
        </w:rPr>
        <w:t>质疑人拒绝配合采购方依法对质疑进行调查处理的，采购方将按质疑人自动撤回质疑处理；被质疑人拒绝配合采购方依法对质疑进行调查处理的，采购方将视同其认可质疑事项。</w:t>
      </w:r>
    </w:p>
    <w:p w14:paraId="202BA2A8">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37.6  </w:t>
      </w:r>
      <w:r>
        <w:rPr>
          <w:rFonts w:hint="eastAsia" w:ascii="微软雅黑" w:hAnsi="微软雅黑" w:eastAsia="微软雅黑" w:cs="微软雅黑"/>
          <w:color w:val="auto"/>
          <w:sz w:val="24"/>
          <w:szCs w:val="24"/>
          <w:highlight w:val="none"/>
        </w:rPr>
        <w:t>采购方将在正式受理质疑后7个工作日内作出答复，但处理质疑需要进行调查取证、组织专家评审、质疑人及被质疑人提交或补正材料等所需时间，不计算在质疑处理期限内。</w:t>
      </w:r>
    </w:p>
    <w:p w14:paraId="549EE682">
      <w:pPr>
        <w:pageBreakBefore w:val="0"/>
        <w:widowControl w:val="0"/>
        <w:kinsoku/>
        <w:wordWrap/>
        <w:overflowPunct/>
        <w:topLinePunct w:val="0"/>
        <w:bidi w:val="0"/>
        <w:snapToGrid w:val="0"/>
        <w:spacing w:line="336" w:lineRule="auto"/>
        <w:ind w:left="84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37.7</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采购方经调查、论证、核实，认定质疑不能成立的，继续开展采购活动；认定质疑成立的，按照以下情况处理：</w:t>
      </w:r>
    </w:p>
    <w:p w14:paraId="5524AE47">
      <w:pPr>
        <w:pageBreakBefore w:val="0"/>
        <w:widowControl w:val="0"/>
        <w:kinsoku/>
        <w:wordWrap/>
        <w:overflowPunct/>
        <w:topLinePunct w:val="0"/>
        <w:bidi w:val="0"/>
        <w:snapToGrid w:val="0"/>
        <w:spacing w:line="336" w:lineRule="auto"/>
        <w:ind w:left="630" w:leftChars="300"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提出的质疑未对成交结果构成影响的，继续开展采购活动；对成交结果构成影响但依法通过澄清或者修改可以继续开展采购活动的，澄清或者修改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后继续开展采购活动，否则应当修改</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后重新开展采购活动。</w:t>
      </w:r>
    </w:p>
    <w:p w14:paraId="0B711C1D">
      <w:pPr>
        <w:pageBreakBefore w:val="0"/>
        <w:widowControl w:val="0"/>
        <w:kinsoku/>
        <w:wordWrap/>
        <w:overflowPunct/>
        <w:topLinePunct w:val="0"/>
        <w:bidi w:val="0"/>
        <w:snapToGrid w:val="0"/>
        <w:spacing w:line="336" w:lineRule="auto"/>
        <w:ind w:left="630" w:leftChars="300"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67F65E45">
      <w:pPr>
        <w:pageBreakBefore w:val="0"/>
        <w:widowControl w:val="0"/>
        <w:kinsoku/>
        <w:wordWrap/>
        <w:overflowPunct/>
        <w:topLinePunct w:val="0"/>
        <w:bidi w:val="0"/>
        <w:snapToGrid w:val="0"/>
        <w:spacing w:line="336" w:lineRule="auto"/>
        <w:textAlignment w:val="auto"/>
        <w:outlineLvl w:val="1"/>
        <w:rPr>
          <w:rFonts w:hint="eastAsia" w:ascii="微软雅黑" w:hAnsi="微软雅黑" w:eastAsia="微软雅黑" w:cs="微软雅黑"/>
          <w:color w:val="auto"/>
          <w:sz w:val="24"/>
          <w:szCs w:val="24"/>
          <w:highlight w:val="none"/>
        </w:rPr>
      </w:pPr>
      <w:bookmarkStart w:id="252" w:name="_Toc174"/>
      <w:r>
        <w:rPr>
          <w:rFonts w:hint="eastAsia" w:ascii="微软雅黑" w:hAnsi="微软雅黑" w:eastAsia="微软雅黑" w:cs="微软雅黑"/>
          <w:color w:val="auto"/>
          <w:sz w:val="24"/>
          <w:szCs w:val="24"/>
          <w:highlight w:val="none"/>
          <w:lang w:val="en-US" w:eastAsia="zh-CN"/>
        </w:rPr>
        <w:t>37.8</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采购方将书面答复质疑，质疑答复包括下列内容：</w:t>
      </w:r>
      <w:bookmarkEnd w:id="252"/>
    </w:p>
    <w:p w14:paraId="25E43BB8">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（一）质疑人名称；</w:t>
      </w:r>
    </w:p>
    <w:p w14:paraId="2B2926C9">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（二）收到质疑函的日期、质疑项目名称及编号;</w:t>
      </w:r>
    </w:p>
    <w:p w14:paraId="6486AE33">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（三）</w:t>
      </w:r>
      <w:r>
        <w:rPr>
          <w:rFonts w:hint="eastAsia" w:ascii="微软雅黑" w:hAnsi="微软雅黑" w:eastAsia="微软雅黑" w:cs="微软雅黑"/>
          <w:color w:val="auto"/>
          <w:sz w:val="24"/>
          <w:szCs w:val="24"/>
          <w:highlight w:val="none"/>
        </w:rPr>
        <w:t>质疑事项、质疑答复的具体内容、事实依据和法律依据；</w:t>
      </w:r>
    </w:p>
    <w:p w14:paraId="103654A1">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（四）告知质疑人依法投诉的权利；</w:t>
      </w:r>
    </w:p>
    <w:p w14:paraId="7BBD8466">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（五）质疑答复日期。</w:t>
      </w:r>
    </w:p>
    <w:p w14:paraId="2F8A237B">
      <w:pPr>
        <w:pageBreakBefore w:val="0"/>
        <w:widowControl w:val="0"/>
        <w:kinsoku/>
        <w:wordWrap/>
        <w:overflowPunct/>
        <w:topLinePunct w:val="0"/>
        <w:bidi w:val="0"/>
        <w:snapToGrid w:val="0"/>
        <w:spacing w:line="336" w:lineRule="auto"/>
        <w:ind w:left="72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41.5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质疑人有下列行为之一的，属于虚假、恶意质疑，将由采购方建议财政部门将其列入不良行为记录名单，禁止其1至3年内参加政府采购活动：</w:t>
      </w:r>
    </w:p>
    <w:p w14:paraId="4CC421D4">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（一）捏造事实；</w:t>
      </w:r>
    </w:p>
    <w:p w14:paraId="7482A7DD">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（二）提供虚假材料；</w:t>
      </w:r>
    </w:p>
    <w:p w14:paraId="6A1B64C9">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（三）以非法手段取得证明材料或者无法提供证据的合法来源；</w:t>
      </w:r>
    </w:p>
    <w:p w14:paraId="3C760E1B">
      <w:pPr>
        <w:pageBreakBefore w:val="0"/>
        <w:widowControl w:val="0"/>
        <w:kinsoku/>
        <w:wordWrap/>
        <w:overflowPunct/>
        <w:topLinePunct w:val="0"/>
        <w:bidi w:val="0"/>
        <w:snapToGrid w:val="0"/>
        <w:spacing w:line="336"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（四）法律法规规定的其他违法情形。</w:t>
      </w:r>
    </w:p>
    <w:p w14:paraId="3B1C7D40">
      <w:pPr>
        <w:jc w:val="center"/>
        <w:outlineLvl w:val="9"/>
        <w:rPr>
          <w:rFonts w:hint="eastAsia" w:ascii="宋体" w:hAnsi="宋体" w:eastAsia="宋体" w:cs="宋体"/>
          <w:b/>
          <w:bCs/>
          <w:color w:val="auto"/>
          <w:sz w:val="22"/>
          <w:szCs w:val="22"/>
          <w:highlight w:val="none"/>
        </w:rPr>
        <w:sectPr>
          <w:pgSz w:w="11906" w:h="16838"/>
          <w:pgMar w:top="1440" w:right="1080" w:bottom="1440" w:left="1080" w:header="851" w:footer="992" w:gutter="0"/>
          <w:pgNumType w:fmt="decimal"/>
          <w:cols w:space="720" w:num="1"/>
          <w:docGrid w:type="linesAndChars" w:linePitch="312" w:charSpace="0"/>
        </w:sectPr>
      </w:pPr>
      <w:bookmarkStart w:id="253" w:name="_Toc3750"/>
      <w:bookmarkStart w:id="254" w:name="_Toc4670"/>
      <w:bookmarkStart w:id="255" w:name="_Toc2335"/>
      <w:bookmarkStart w:id="256" w:name="_Toc25761"/>
      <w:bookmarkStart w:id="257" w:name="_Toc12854"/>
      <w:bookmarkStart w:id="258" w:name="_Toc32746"/>
      <w:bookmarkStart w:id="259" w:name="_Toc27626"/>
      <w:bookmarkStart w:id="260" w:name="_Toc11739"/>
      <w:bookmarkStart w:id="261" w:name="_Toc7782"/>
    </w:p>
    <w:p w14:paraId="675C7466">
      <w:pPr>
        <w:spacing w:line="240" w:lineRule="auto"/>
        <w:jc w:val="center"/>
        <w:outlineLvl w:val="2"/>
        <w:rPr>
          <w:rFonts w:hint="eastAsia" w:ascii="微软雅黑" w:hAnsi="微软雅黑" w:eastAsia="微软雅黑" w:cs="微软雅黑"/>
          <w:b/>
          <w:bCs/>
          <w:color w:val="auto"/>
          <w:sz w:val="24"/>
          <w:szCs w:val="24"/>
          <w:highlight w:val="none"/>
        </w:rPr>
      </w:pPr>
      <w:bookmarkStart w:id="262" w:name="_Toc21087"/>
      <w:bookmarkStart w:id="263" w:name="_Toc12634"/>
      <w:r>
        <w:rPr>
          <w:rFonts w:hint="eastAsia" w:ascii="微软雅黑" w:hAnsi="微软雅黑" w:eastAsia="微软雅黑" w:cs="微软雅黑"/>
          <w:b/>
          <w:bCs/>
          <w:color w:val="auto"/>
          <w:sz w:val="24"/>
          <w:szCs w:val="24"/>
          <w:highlight w:val="none"/>
        </w:rPr>
        <w:t>质疑函范本</w:t>
      </w:r>
      <w:bookmarkEnd w:id="253"/>
      <w:bookmarkEnd w:id="254"/>
      <w:bookmarkEnd w:id="255"/>
      <w:bookmarkEnd w:id="256"/>
      <w:bookmarkEnd w:id="257"/>
      <w:bookmarkEnd w:id="258"/>
      <w:bookmarkEnd w:id="259"/>
      <w:bookmarkEnd w:id="260"/>
      <w:bookmarkEnd w:id="261"/>
      <w:bookmarkEnd w:id="262"/>
      <w:bookmarkEnd w:id="263"/>
    </w:p>
    <w:p w14:paraId="7D30EAE6">
      <w:pPr>
        <w:adjustRightInd w:val="0"/>
        <w:snapToGrid w:val="0"/>
        <w:spacing w:before="312" w:beforeLines="100" w:line="240" w:lineRule="auto"/>
        <w:outlineLvl w:val="2"/>
        <w:rPr>
          <w:rFonts w:hint="eastAsia" w:ascii="微软雅黑" w:hAnsi="微软雅黑" w:eastAsia="微软雅黑" w:cs="微软雅黑"/>
          <w:bCs/>
          <w:color w:val="auto"/>
          <w:sz w:val="24"/>
          <w:szCs w:val="24"/>
          <w:highlight w:val="none"/>
        </w:rPr>
      </w:pPr>
      <w:bookmarkStart w:id="264" w:name="_Toc28797"/>
      <w:bookmarkStart w:id="265" w:name="_Toc24926"/>
      <w:bookmarkStart w:id="266" w:name="_Toc7044"/>
      <w:bookmarkStart w:id="267" w:name="_Toc18159"/>
      <w:bookmarkStart w:id="268" w:name="_Toc31020"/>
      <w:bookmarkStart w:id="269" w:name="_Toc13218"/>
      <w:bookmarkStart w:id="270" w:name="_Toc32439"/>
      <w:bookmarkStart w:id="271" w:name="_Toc29534"/>
      <w:bookmarkStart w:id="272" w:name="_Toc9491"/>
      <w:bookmarkStart w:id="273" w:name="_Toc20504"/>
      <w:r>
        <w:rPr>
          <w:rFonts w:hint="eastAsia" w:ascii="微软雅黑" w:hAnsi="微软雅黑" w:eastAsia="微软雅黑" w:cs="微软雅黑"/>
          <w:bCs/>
          <w:color w:val="auto"/>
          <w:sz w:val="24"/>
          <w:szCs w:val="24"/>
          <w:highlight w:val="none"/>
        </w:rPr>
        <w:t>一、质疑供应商基本信息</w:t>
      </w:r>
      <w:bookmarkEnd w:id="264"/>
      <w:bookmarkEnd w:id="265"/>
      <w:bookmarkEnd w:id="266"/>
      <w:bookmarkEnd w:id="267"/>
      <w:bookmarkEnd w:id="268"/>
      <w:bookmarkEnd w:id="269"/>
      <w:bookmarkEnd w:id="270"/>
      <w:bookmarkEnd w:id="271"/>
      <w:bookmarkEnd w:id="272"/>
      <w:bookmarkEnd w:id="273"/>
    </w:p>
    <w:p w14:paraId="002CFCF4">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质疑供应商：</w:t>
      </w:r>
      <w:r>
        <w:rPr>
          <w:rFonts w:hint="eastAsia" w:ascii="微软雅黑" w:hAnsi="微软雅黑" w:eastAsia="微软雅黑" w:cs="微软雅黑"/>
          <w:color w:val="auto"/>
          <w:sz w:val="24"/>
          <w:szCs w:val="24"/>
          <w:highlight w:val="none"/>
          <w:u w:val="dotted"/>
        </w:rPr>
        <w:t xml:space="preserve">                                        </w:t>
      </w:r>
    </w:p>
    <w:p w14:paraId="62B800AE">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dotted"/>
        </w:rPr>
        <w:t xml:space="preserve">                          </w:t>
      </w:r>
      <w:r>
        <w:rPr>
          <w:rFonts w:hint="eastAsia" w:ascii="微软雅黑" w:hAnsi="微软雅黑" w:eastAsia="微软雅黑" w:cs="微软雅黑"/>
          <w:color w:val="auto"/>
          <w:sz w:val="24"/>
          <w:szCs w:val="24"/>
          <w:highlight w:val="none"/>
        </w:rPr>
        <w:t>邮编：</w:t>
      </w:r>
      <w:r>
        <w:rPr>
          <w:rFonts w:hint="eastAsia" w:ascii="微软雅黑" w:hAnsi="微软雅黑" w:eastAsia="微软雅黑" w:cs="微软雅黑"/>
          <w:color w:val="auto"/>
          <w:sz w:val="24"/>
          <w:szCs w:val="24"/>
          <w:highlight w:val="none"/>
          <w:u w:val="dotted"/>
        </w:rPr>
        <w:t xml:space="preserve">              </w:t>
      </w:r>
    </w:p>
    <w:p w14:paraId="0283094A">
      <w:pPr>
        <w:adjustRightInd w:val="0"/>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u w:val="dotted"/>
        </w:rPr>
        <w:t xml:space="preserve">                      </w:t>
      </w: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dotted"/>
        </w:rPr>
        <w:t xml:space="preserve">            </w:t>
      </w:r>
    </w:p>
    <w:p w14:paraId="473A2005">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授权代表：</w:t>
      </w:r>
      <w:r>
        <w:rPr>
          <w:rFonts w:hint="eastAsia" w:ascii="微软雅黑" w:hAnsi="微软雅黑" w:eastAsia="微软雅黑" w:cs="微软雅黑"/>
          <w:color w:val="auto"/>
          <w:sz w:val="24"/>
          <w:szCs w:val="24"/>
          <w:highlight w:val="none"/>
          <w:u w:val="dotted"/>
        </w:rPr>
        <w:t xml:space="preserve">                                          </w:t>
      </w:r>
    </w:p>
    <w:p w14:paraId="2C94CF18">
      <w:pPr>
        <w:adjustRightInd w:val="0"/>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dotted"/>
        </w:rPr>
        <w:t xml:space="preserve">                                          </w:t>
      </w:r>
    </w:p>
    <w:p w14:paraId="22CF2F42">
      <w:pPr>
        <w:adjustRightInd w:val="0"/>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地址： </w:t>
      </w:r>
      <w:r>
        <w:rPr>
          <w:rFonts w:hint="eastAsia" w:ascii="微软雅黑" w:hAnsi="微软雅黑" w:eastAsia="微软雅黑" w:cs="微软雅黑"/>
          <w:color w:val="auto"/>
          <w:sz w:val="24"/>
          <w:szCs w:val="24"/>
          <w:highlight w:val="none"/>
          <w:u w:val="dotted"/>
        </w:rPr>
        <w:t xml:space="preserve">                        </w:t>
      </w:r>
      <w:r>
        <w:rPr>
          <w:rFonts w:hint="eastAsia" w:ascii="微软雅黑" w:hAnsi="微软雅黑" w:eastAsia="微软雅黑" w:cs="微软雅黑"/>
          <w:color w:val="auto"/>
          <w:sz w:val="24"/>
          <w:szCs w:val="24"/>
          <w:highlight w:val="none"/>
        </w:rPr>
        <w:t>邮编：</w:t>
      </w:r>
      <w:r>
        <w:rPr>
          <w:rFonts w:hint="eastAsia" w:ascii="微软雅黑" w:hAnsi="微软雅黑" w:eastAsia="微软雅黑" w:cs="微软雅黑"/>
          <w:color w:val="auto"/>
          <w:sz w:val="24"/>
          <w:szCs w:val="24"/>
          <w:highlight w:val="none"/>
          <w:u w:val="dotted"/>
        </w:rPr>
        <w:t xml:space="preserve">               </w:t>
      </w:r>
    </w:p>
    <w:p w14:paraId="2E94D332">
      <w:pPr>
        <w:adjustRightInd w:val="0"/>
        <w:snapToGrid w:val="0"/>
        <w:spacing w:line="240" w:lineRule="auto"/>
        <w:outlineLvl w:val="2"/>
        <w:rPr>
          <w:rFonts w:hint="eastAsia" w:ascii="微软雅黑" w:hAnsi="微软雅黑" w:eastAsia="微软雅黑" w:cs="微软雅黑"/>
          <w:bCs/>
          <w:color w:val="auto"/>
          <w:sz w:val="24"/>
          <w:szCs w:val="24"/>
          <w:highlight w:val="none"/>
        </w:rPr>
      </w:pPr>
      <w:bookmarkStart w:id="274" w:name="_Toc32083"/>
      <w:bookmarkStart w:id="275" w:name="_Toc31363"/>
      <w:bookmarkStart w:id="276" w:name="_Toc12179"/>
      <w:bookmarkStart w:id="277" w:name="_Toc27681"/>
      <w:bookmarkStart w:id="278" w:name="_Toc4409"/>
      <w:bookmarkStart w:id="279" w:name="_Toc3694"/>
      <w:bookmarkStart w:id="280" w:name="_Toc20123"/>
      <w:bookmarkStart w:id="281" w:name="_Toc226"/>
      <w:bookmarkStart w:id="282" w:name="_Toc30222"/>
      <w:bookmarkStart w:id="283" w:name="_Toc8469"/>
      <w:r>
        <w:rPr>
          <w:rFonts w:hint="eastAsia" w:ascii="微软雅黑" w:hAnsi="微软雅黑" w:eastAsia="微软雅黑" w:cs="微软雅黑"/>
          <w:bCs/>
          <w:color w:val="auto"/>
          <w:sz w:val="24"/>
          <w:szCs w:val="24"/>
          <w:highlight w:val="none"/>
        </w:rPr>
        <w:t>二、质疑项目基本情况</w:t>
      </w:r>
      <w:bookmarkEnd w:id="274"/>
      <w:bookmarkEnd w:id="275"/>
      <w:bookmarkEnd w:id="276"/>
      <w:bookmarkEnd w:id="277"/>
      <w:bookmarkEnd w:id="278"/>
      <w:bookmarkEnd w:id="279"/>
      <w:bookmarkEnd w:id="280"/>
      <w:bookmarkEnd w:id="281"/>
      <w:bookmarkEnd w:id="282"/>
      <w:bookmarkEnd w:id="283"/>
    </w:p>
    <w:p w14:paraId="6D668A36">
      <w:pPr>
        <w:adjustRightInd w:val="0"/>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质疑项目的名称：</w:t>
      </w:r>
      <w:r>
        <w:rPr>
          <w:rFonts w:hint="eastAsia" w:ascii="微软雅黑" w:hAnsi="微软雅黑" w:eastAsia="微软雅黑" w:cs="微软雅黑"/>
          <w:color w:val="auto"/>
          <w:sz w:val="24"/>
          <w:szCs w:val="24"/>
          <w:highlight w:val="none"/>
          <w:u w:val="dotted"/>
        </w:rPr>
        <w:t xml:space="preserve">                                     </w:t>
      </w:r>
    </w:p>
    <w:p w14:paraId="65E70A82">
      <w:pPr>
        <w:adjustRightInd w:val="0"/>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质疑项目的编号：</w:t>
      </w:r>
      <w:r>
        <w:rPr>
          <w:rFonts w:hint="eastAsia" w:ascii="微软雅黑" w:hAnsi="微软雅黑" w:eastAsia="微软雅黑" w:cs="微软雅黑"/>
          <w:color w:val="auto"/>
          <w:sz w:val="24"/>
          <w:szCs w:val="24"/>
          <w:highlight w:val="none"/>
          <w:u w:val="dotted"/>
        </w:rPr>
        <w:t xml:space="preserve">               </w:t>
      </w:r>
      <w:r>
        <w:rPr>
          <w:rFonts w:hint="eastAsia" w:ascii="微软雅黑" w:hAnsi="微软雅黑" w:eastAsia="微软雅黑" w:cs="微软雅黑"/>
          <w:color w:val="auto"/>
          <w:sz w:val="24"/>
          <w:szCs w:val="24"/>
          <w:highlight w:val="none"/>
        </w:rPr>
        <w:t>包号：</w:t>
      </w:r>
      <w:r>
        <w:rPr>
          <w:rFonts w:hint="eastAsia" w:ascii="微软雅黑" w:hAnsi="微软雅黑" w:eastAsia="微软雅黑" w:cs="微软雅黑"/>
          <w:color w:val="auto"/>
          <w:sz w:val="24"/>
          <w:szCs w:val="24"/>
          <w:highlight w:val="none"/>
          <w:u w:val="dotted"/>
        </w:rPr>
        <w:t xml:space="preserve">                </w:t>
      </w:r>
    </w:p>
    <w:p w14:paraId="1EA46B7B">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采购人名称：</w:t>
      </w:r>
      <w:r>
        <w:rPr>
          <w:rFonts w:hint="eastAsia" w:ascii="微软雅黑" w:hAnsi="微软雅黑" w:eastAsia="微软雅黑" w:cs="微软雅黑"/>
          <w:color w:val="auto"/>
          <w:sz w:val="24"/>
          <w:szCs w:val="24"/>
          <w:highlight w:val="none"/>
          <w:u w:val="dotted"/>
        </w:rPr>
        <w:t xml:space="preserve">                                         </w:t>
      </w:r>
    </w:p>
    <w:p w14:paraId="72584205">
      <w:pPr>
        <w:adjustRightInd w:val="0"/>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获取日期：</w:t>
      </w:r>
      <w:r>
        <w:rPr>
          <w:rFonts w:hint="eastAsia" w:ascii="微软雅黑" w:hAnsi="微软雅黑" w:eastAsia="微软雅黑" w:cs="微软雅黑"/>
          <w:color w:val="auto"/>
          <w:sz w:val="24"/>
          <w:szCs w:val="24"/>
          <w:highlight w:val="none"/>
          <w:u w:val="dotted"/>
        </w:rPr>
        <w:t xml:space="preserve">                                   </w:t>
      </w:r>
    </w:p>
    <w:p w14:paraId="1C646705">
      <w:pPr>
        <w:adjustRightInd w:val="0"/>
        <w:snapToGrid w:val="0"/>
        <w:spacing w:line="240" w:lineRule="auto"/>
        <w:outlineLvl w:val="2"/>
        <w:rPr>
          <w:rFonts w:hint="eastAsia" w:ascii="微软雅黑" w:hAnsi="微软雅黑" w:eastAsia="微软雅黑" w:cs="微软雅黑"/>
          <w:bCs/>
          <w:color w:val="auto"/>
          <w:sz w:val="24"/>
          <w:szCs w:val="24"/>
          <w:highlight w:val="none"/>
        </w:rPr>
      </w:pPr>
      <w:bookmarkStart w:id="284" w:name="_Toc1349"/>
      <w:bookmarkStart w:id="285" w:name="_Toc21644"/>
      <w:bookmarkStart w:id="286" w:name="_Toc4900"/>
      <w:bookmarkStart w:id="287" w:name="_Toc4978"/>
      <w:bookmarkStart w:id="288" w:name="_Toc21917"/>
      <w:bookmarkStart w:id="289" w:name="_Toc12401"/>
      <w:bookmarkStart w:id="290" w:name="_Toc19680"/>
      <w:bookmarkStart w:id="291" w:name="_Toc17475"/>
      <w:bookmarkStart w:id="292" w:name="_Toc17103"/>
      <w:r>
        <w:rPr>
          <w:rFonts w:hint="eastAsia" w:ascii="微软雅黑" w:hAnsi="微软雅黑" w:eastAsia="微软雅黑" w:cs="微软雅黑"/>
          <w:bCs/>
          <w:color w:val="auto"/>
          <w:sz w:val="24"/>
          <w:szCs w:val="24"/>
          <w:highlight w:val="none"/>
        </w:rPr>
        <w:t>三、质疑事项具体内容</w:t>
      </w:r>
      <w:bookmarkEnd w:id="284"/>
      <w:bookmarkEnd w:id="285"/>
      <w:bookmarkEnd w:id="286"/>
      <w:bookmarkEnd w:id="287"/>
      <w:bookmarkEnd w:id="288"/>
      <w:bookmarkEnd w:id="289"/>
      <w:bookmarkEnd w:id="290"/>
      <w:bookmarkEnd w:id="291"/>
      <w:bookmarkEnd w:id="292"/>
    </w:p>
    <w:p w14:paraId="2AE48D74">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质疑事项1：</w:t>
      </w:r>
      <w:r>
        <w:rPr>
          <w:rFonts w:hint="eastAsia" w:ascii="微软雅黑" w:hAnsi="微软雅黑" w:eastAsia="微软雅黑" w:cs="微软雅黑"/>
          <w:color w:val="auto"/>
          <w:sz w:val="24"/>
          <w:szCs w:val="24"/>
          <w:highlight w:val="none"/>
          <w:u w:val="dotted"/>
        </w:rPr>
        <w:t xml:space="preserve">                                      </w:t>
      </w:r>
    </w:p>
    <w:p w14:paraId="51584772">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事实依据：</w:t>
      </w:r>
      <w:r>
        <w:rPr>
          <w:rFonts w:hint="eastAsia" w:ascii="微软雅黑" w:hAnsi="微软雅黑" w:eastAsia="微软雅黑" w:cs="微软雅黑"/>
          <w:color w:val="auto"/>
          <w:sz w:val="24"/>
          <w:szCs w:val="24"/>
          <w:highlight w:val="none"/>
          <w:u w:val="dotted"/>
        </w:rPr>
        <w:t xml:space="preserve">                                        </w:t>
      </w:r>
    </w:p>
    <w:p w14:paraId="036C0CAB">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法律依据：</w:t>
      </w:r>
      <w:r>
        <w:rPr>
          <w:rFonts w:hint="eastAsia" w:ascii="微软雅黑" w:hAnsi="微软雅黑" w:eastAsia="微软雅黑" w:cs="微软雅黑"/>
          <w:color w:val="auto"/>
          <w:sz w:val="24"/>
          <w:szCs w:val="24"/>
          <w:highlight w:val="none"/>
          <w:u w:val="dotted"/>
        </w:rPr>
        <w:t xml:space="preserve">                                        </w:t>
      </w:r>
    </w:p>
    <w:p w14:paraId="5775650D">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质疑事项2</w:t>
      </w:r>
      <w:r>
        <w:rPr>
          <w:rFonts w:hint="eastAsia" w:ascii="微软雅黑" w:hAnsi="微软雅黑" w:eastAsia="微软雅黑" w:cs="微软雅黑"/>
          <w:color w:val="auto"/>
          <w:sz w:val="24"/>
          <w:szCs w:val="24"/>
          <w:highlight w:val="none"/>
          <w:u w:val="dotted"/>
        </w:rPr>
        <w:t xml:space="preserve">                                        </w:t>
      </w:r>
    </w:p>
    <w:p w14:paraId="6C9C52DF">
      <w:pPr>
        <w:adjustRightInd w:val="0"/>
        <w:snapToGrid w:val="0"/>
        <w:spacing w:line="240" w:lineRule="auto"/>
        <w:outlineLvl w:val="2"/>
        <w:rPr>
          <w:rFonts w:hint="eastAsia" w:ascii="微软雅黑" w:hAnsi="微软雅黑" w:eastAsia="微软雅黑" w:cs="微软雅黑"/>
          <w:bCs/>
          <w:color w:val="auto"/>
          <w:sz w:val="24"/>
          <w:szCs w:val="24"/>
          <w:highlight w:val="none"/>
        </w:rPr>
      </w:pPr>
      <w:bookmarkStart w:id="293" w:name="_Toc11711"/>
      <w:bookmarkStart w:id="294" w:name="_Toc15774"/>
      <w:bookmarkStart w:id="295" w:name="_Toc30785"/>
      <w:bookmarkStart w:id="296" w:name="_Toc19138"/>
      <w:bookmarkStart w:id="297" w:name="_Toc11725"/>
      <w:bookmarkStart w:id="298" w:name="_Toc12953"/>
      <w:bookmarkStart w:id="299" w:name="_Toc14716"/>
      <w:bookmarkStart w:id="300" w:name="_Toc31962"/>
      <w:bookmarkStart w:id="301" w:name="_Toc19561"/>
      <w:bookmarkStart w:id="302" w:name="_Toc14838"/>
      <w:r>
        <w:rPr>
          <w:rFonts w:hint="eastAsia" w:ascii="微软雅黑" w:hAnsi="微软雅黑" w:eastAsia="微软雅黑" w:cs="微软雅黑"/>
          <w:bCs/>
          <w:color w:val="auto"/>
          <w:sz w:val="24"/>
          <w:szCs w:val="24"/>
          <w:highlight w:val="none"/>
        </w:rPr>
        <w:t>四、与质疑事项相关的质疑请求</w:t>
      </w:r>
      <w:bookmarkEnd w:id="293"/>
      <w:bookmarkEnd w:id="294"/>
      <w:bookmarkEnd w:id="295"/>
      <w:bookmarkEnd w:id="296"/>
      <w:bookmarkEnd w:id="297"/>
      <w:bookmarkEnd w:id="298"/>
      <w:bookmarkEnd w:id="299"/>
      <w:bookmarkEnd w:id="300"/>
      <w:bookmarkEnd w:id="301"/>
      <w:bookmarkEnd w:id="302"/>
    </w:p>
    <w:p w14:paraId="00C851A6">
      <w:pPr>
        <w:adjustRightInd w:val="0"/>
        <w:snapToGrid w:val="0"/>
        <w:spacing w:line="240" w:lineRule="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请求：</w:t>
      </w:r>
      <w:r>
        <w:rPr>
          <w:rFonts w:hint="eastAsia" w:ascii="微软雅黑" w:hAnsi="微软雅黑" w:eastAsia="微软雅黑" w:cs="微软雅黑"/>
          <w:color w:val="auto"/>
          <w:sz w:val="24"/>
          <w:szCs w:val="24"/>
          <w:highlight w:val="none"/>
          <w:u w:val="dotted"/>
        </w:rPr>
        <w:t xml:space="preserve">                                               </w:t>
      </w:r>
    </w:p>
    <w:p w14:paraId="28D3CCE3">
      <w:pPr>
        <w:spacing w:line="240" w:lineRule="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 xml:space="preserve">签字(签章)：                   公章：                      日期：    </w:t>
      </w:r>
    </w:p>
    <w:p w14:paraId="33F0A0A7">
      <w:pPr>
        <w:spacing w:line="240" w:lineRule="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质疑函制作说明：</w:t>
      </w:r>
    </w:p>
    <w:p w14:paraId="1E419BED">
      <w:pPr>
        <w:keepNext w:val="0"/>
        <w:keepLines w:val="0"/>
        <w:pageBreakBefore w:val="0"/>
        <w:widowControl/>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宋体" w:cs="宋体"/>
          <w:color w:val="auto"/>
          <w:sz w:val="24"/>
          <w:szCs w:val="24"/>
          <w:highlight w:val="none"/>
        </w:rPr>
        <w:sectPr>
          <w:pgSz w:w="11906" w:h="16838"/>
          <w:pgMar w:top="1440" w:right="1080" w:bottom="1440" w:left="1080" w:header="851" w:footer="992" w:gutter="0"/>
          <w:pgNumType w:fmt="decimal"/>
          <w:cols w:space="720" w:num="1"/>
          <w:docGrid w:type="linesAndChars" w:linePitch="312" w:charSpace="0"/>
        </w:sectPr>
      </w:pPr>
      <w:r>
        <w:rPr>
          <w:rFonts w:hint="eastAsia" w:ascii="微软雅黑" w:hAnsi="微软雅黑" w:eastAsia="微软雅黑" w:cs="微软雅黑"/>
          <w:color w:val="auto"/>
          <w:sz w:val="22"/>
          <w:szCs w:val="22"/>
          <w:highlight w:val="none"/>
        </w:rPr>
        <w:t>1.供应商提出质疑时，应提交质疑函和必要的证明材料。2.质疑供应商若委托代理人进行质疑的，质疑函应按要求列明“授权代表”的有关内容，并在附件中提交由质疑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2"/>
          <w:szCs w:val="22"/>
          <w:highlight w:val="none"/>
        </w:rPr>
        <w:t>供应商签署的授权委托书。授权委托书应载明代理人的姓名或者名称、代理事项、具体权限、期限和相关事项。</w:t>
      </w:r>
      <w:r>
        <w:rPr>
          <w:rFonts w:hint="eastAsia" w:ascii="微软雅黑" w:hAnsi="微软雅黑" w:eastAsia="微软雅黑" w:cs="微软雅黑"/>
          <w:color w:val="auto"/>
          <w:sz w:val="22"/>
          <w:szCs w:val="22"/>
          <w:highlight w:val="none"/>
        </w:rPr>
        <w:t>3.质疑供应商若对项目的某一分包进行质疑，质疑函中应列明具体分包号。4.质疑函的质疑事项应具体、明确，并有必要的事实依据和法律依据。5.质疑函的质疑请求应与质疑事项相关。6.质疑供应商为自然人的，质疑函应由本人签字；质疑供应商为法人或者其他组织的，质疑函应由法定代表人、主要负责人，或者其授权代表签字或者盖章，并加盖公章。</w:t>
      </w:r>
    </w:p>
    <w:p w14:paraId="4635D13B">
      <w:pPr>
        <w:pStyle w:val="3"/>
        <w:pageBreakBefore w:val="0"/>
        <w:widowControl w:val="0"/>
        <w:kinsoku/>
        <w:wordWrap/>
        <w:overflowPunct/>
        <w:topLinePunct w:val="0"/>
        <w:bidi w:val="0"/>
        <w:spacing w:before="0" w:line="312" w:lineRule="auto"/>
        <w:jc w:val="center"/>
        <w:textAlignment w:val="auto"/>
        <w:rPr>
          <w:rFonts w:hint="eastAsia" w:ascii="微软雅黑" w:hAnsi="微软雅黑" w:eastAsia="微软雅黑" w:cs="微软雅黑"/>
          <w:color w:val="auto"/>
          <w:sz w:val="24"/>
          <w:szCs w:val="24"/>
          <w:highlight w:val="none"/>
        </w:rPr>
      </w:pPr>
      <w:bookmarkStart w:id="303" w:name="_Toc3872"/>
      <w:bookmarkStart w:id="304" w:name="_Toc962"/>
      <w:bookmarkStart w:id="305" w:name="_Toc16485"/>
      <w:bookmarkStart w:id="306" w:name="_Toc518923104"/>
      <w:r>
        <w:rPr>
          <w:rFonts w:hint="eastAsia" w:ascii="微软雅黑" w:hAnsi="微软雅黑" w:eastAsia="微软雅黑" w:cs="微软雅黑"/>
          <w:color w:val="auto"/>
          <w:sz w:val="24"/>
          <w:szCs w:val="24"/>
          <w:highlight w:val="none"/>
        </w:rPr>
        <w:t>附件1：履约保证金保函</w:t>
      </w:r>
      <w:bookmarkEnd w:id="303"/>
      <w:bookmarkEnd w:id="304"/>
    </w:p>
    <w:p w14:paraId="4D420F07">
      <w:pPr>
        <w:pStyle w:val="3"/>
        <w:pageBreakBefore w:val="0"/>
        <w:widowControl w:val="0"/>
        <w:kinsoku/>
        <w:wordWrap/>
        <w:overflowPunct/>
        <w:topLinePunct w:val="0"/>
        <w:bidi w:val="0"/>
        <w:spacing w:before="0" w:line="312" w:lineRule="auto"/>
        <w:jc w:val="center"/>
        <w:textAlignment w:val="auto"/>
        <w:rPr>
          <w:rFonts w:hint="eastAsia" w:ascii="微软雅黑" w:hAnsi="微软雅黑" w:eastAsia="微软雅黑" w:cs="微软雅黑"/>
          <w:b/>
          <w:color w:val="auto"/>
          <w:sz w:val="24"/>
          <w:szCs w:val="24"/>
          <w:highlight w:val="none"/>
        </w:rPr>
      </w:pPr>
      <w:bookmarkStart w:id="307" w:name="_Toc515647801"/>
      <w:bookmarkStart w:id="308" w:name="_Toc9613"/>
      <w:bookmarkStart w:id="309" w:name="_Toc13962"/>
      <w:bookmarkStart w:id="310" w:name="_Toc16607"/>
      <w:bookmarkStart w:id="311" w:name="_Toc162"/>
      <w:bookmarkStart w:id="312" w:name="_Toc1768"/>
      <w:bookmarkStart w:id="313" w:name="_Toc3043"/>
      <w:r>
        <w:rPr>
          <w:rFonts w:hint="eastAsia" w:ascii="微软雅黑" w:hAnsi="微软雅黑" w:eastAsia="微软雅黑" w:cs="微软雅黑"/>
          <w:b/>
          <w:color w:val="auto"/>
          <w:sz w:val="24"/>
          <w:szCs w:val="24"/>
          <w:highlight w:val="none"/>
          <w:lang w:val="en-US" w:eastAsia="zh-CN"/>
        </w:rPr>
        <w:t>(</w:t>
      </w:r>
      <w:bookmarkEnd w:id="307"/>
      <w:bookmarkEnd w:id="308"/>
      <w:bookmarkEnd w:id="309"/>
      <w:bookmarkEnd w:id="310"/>
      <w:bookmarkEnd w:id="311"/>
      <w:r>
        <w:rPr>
          <w:rFonts w:hint="eastAsia" w:ascii="微软雅黑" w:hAnsi="微软雅黑" w:eastAsia="微软雅黑" w:cs="微软雅黑"/>
          <w:b/>
          <w:color w:val="auto"/>
          <w:sz w:val="24"/>
          <w:szCs w:val="24"/>
          <w:highlight w:val="none"/>
        </w:rPr>
        <w:t>中标后开具）</w:t>
      </w:r>
      <w:bookmarkEnd w:id="312"/>
      <w:bookmarkEnd w:id="313"/>
    </w:p>
    <w:p w14:paraId="037F282D">
      <w:pPr>
        <w:pStyle w:val="16"/>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 (</w:t>
      </w:r>
      <w:r>
        <w:rPr>
          <w:rFonts w:hint="eastAsia" w:ascii="微软雅黑" w:hAnsi="微软雅黑" w:eastAsia="微软雅黑" w:cs="微软雅黑"/>
          <w:i/>
          <w:color w:val="auto"/>
          <w:sz w:val="24"/>
          <w:szCs w:val="24"/>
          <w:highlight w:val="none"/>
          <w:u w:val="single"/>
          <w:lang w:eastAsia="zh-CN"/>
        </w:rPr>
        <w:t>采购人</w:t>
      </w:r>
      <w:r>
        <w:rPr>
          <w:rFonts w:hint="eastAsia" w:ascii="微软雅黑" w:hAnsi="微软雅黑" w:eastAsia="微软雅黑" w:cs="微软雅黑"/>
          <w:color w:val="auto"/>
          <w:sz w:val="24"/>
          <w:szCs w:val="24"/>
          <w:highlight w:val="none"/>
        </w:rPr>
        <w:t>)</w:t>
      </w:r>
    </w:p>
    <w:p w14:paraId="34D1387F">
      <w:pPr>
        <w:pStyle w:val="16"/>
        <w:keepNext w:val="0"/>
        <w:keepLines w:val="0"/>
        <w:pageBreakBefore w:val="0"/>
        <w:widowControl w:val="0"/>
        <w:kinsoku/>
        <w:wordWrap/>
        <w:overflowPunct/>
        <w:topLinePunct w:val="0"/>
        <w:autoSpaceDE/>
        <w:autoSpaceDN/>
        <w:bidi w:val="0"/>
        <w:adjustRightInd/>
        <w:snapToGrid w:val="0"/>
        <w:spacing w:line="312" w:lineRule="auto"/>
        <w:ind w:left="1079" w:leftChars="257" w:hanging="540"/>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号合同履约保函</w:t>
      </w:r>
    </w:p>
    <w:p w14:paraId="3B9E64AB">
      <w:pPr>
        <w:pStyle w:val="16"/>
        <w:keepNext w:val="0"/>
        <w:keepLines w:val="0"/>
        <w:pageBreakBefore w:val="0"/>
        <w:widowControl w:val="0"/>
        <w:kinsoku/>
        <w:wordWrap/>
        <w:overflowPunct/>
        <w:topLinePunct w:val="0"/>
        <w:autoSpaceDE/>
        <w:autoSpaceDN/>
        <w:bidi w:val="0"/>
        <w:adjustRightInd/>
        <w:snapToGrid w:val="0"/>
        <w:spacing w:line="312" w:lineRule="auto"/>
        <w:ind w:firstLine="600" w:firstLineChars="2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本保函作为贵方与(</w:t>
      </w:r>
      <w:r>
        <w:rPr>
          <w:rFonts w:hint="eastAsia" w:ascii="微软雅黑" w:hAnsi="微软雅黑" w:eastAsia="微软雅黑" w:cs="微软雅黑"/>
          <w:i/>
          <w:color w:val="auto"/>
          <w:sz w:val="24"/>
          <w:szCs w:val="24"/>
          <w:highlight w:val="none"/>
          <w:u w:val="single"/>
        </w:rPr>
        <w:t>卖方名称</w:t>
      </w:r>
      <w:r>
        <w:rPr>
          <w:rFonts w:hint="eastAsia" w:ascii="微软雅黑" w:hAnsi="微软雅黑" w:eastAsia="微软雅黑" w:cs="微软雅黑"/>
          <w:color w:val="auto"/>
          <w:sz w:val="24"/>
          <w:szCs w:val="24"/>
          <w:highlight w:val="none"/>
        </w:rPr>
        <w:t>)(以下简称卖方)于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日就</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项目(以下简称项目)项下提供(</w:t>
      </w:r>
      <w:r>
        <w:rPr>
          <w:rFonts w:hint="eastAsia" w:ascii="微软雅黑" w:hAnsi="微软雅黑" w:eastAsia="微软雅黑" w:cs="微软雅黑"/>
          <w:i/>
          <w:color w:val="auto"/>
          <w:sz w:val="24"/>
          <w:szCs w:val="24"/>
          <w:highlight w:val="none"/>
          <w:u w:val="single"/>
        </w:rPr>
        <w:t>服务名称</w:t>
      </w:r>
      <w:r>
        <w:rPr>
          <w:rFonts w:hint="eastAsia" w:ascii="微软雅黑" w:hAnsi="微软雅黑" w:eastAsia="微软雅黑" w:cs="微软雅黑"/>
          <w:color w:val="auto"/>
          <w:sz w:val="24"/>
          <w:szCs w:val="24"/>
          <w:highlight w:val="none"/>
        </w:rPr>
        <w:t>)(以下简称服务)签订的(</w:t>
      </w:r>
      <w:r>
        <w:rPr>
          <w:rFonts w:hint="eastAsia" w:ascii="微软雅黑" w:hAnsi="微软雅黑" w:eastAsia="微软雅黑" w:cs="微软雅黑"/>
          <w:i/>
          <w:color w:val="auto"/>
          <w:sz w:val="24"/>
          <w:szCs w:val="24"/>
          <w:highlight w:val="none"/>
          <w:u w:val="single"/>
        </w:rPr>
        <w:t>合同号</w:t>
      </w:r>
      <w:r>
        <w:rPr>
          <w:rFonts w:hint="eastAsia" w:ascii="微软雅黑" w:hAnsi="微软雅黑" w:eastAsia="微软雅黑" w:cs="微软雅黑"/>
          <w:color w:val="auto"/>
          <w:sz w:val="24"/>
          <w:szCs w:val="24"/>
          <w:highlight w:val="none"/>
        </w:rPr>
        <w:t>)号合同的履约保函。</w:t>
      </w:r>
    </w:p>
    <w:p w14:paraId="0568C61A">
      <w:pPr>
        <w:pStyle w:val="16"/>
        <w:keepNext w:val="0"/>
        <w:keepLines w:val="0"/>
        <w:pageBreakBefore w:val="0"/>
        <w:widowControl w:val="0"/>
        <w:kinsoku/>
        <w:wordWrap/>
        <w:overflowPunct/>
        <w:topLinePunct w:val="0"/>
        <w:autoSpaceDE/>
        <w:autoSpaceDN/>
        <w:bidi w:val="0"/>
        <w:adjustRightInd/>
        <w:snapToGrid w:val="0"/>
        <w:spacing w:line="312" w:lineRule="auto"/>
        <w:ind w:firstLine="540" w:firstLineChars="2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i/>
          <w:color w:val="auto"/>
          <w:sz w:val="24"/>
          <w:szCs w:val="24"/>
          <w:highlight w:val="none"/>
          <w:u w:val="single"/>
        </w:rPr>
        <w:t>出具保函的银行名称</w:t>
      </w:r>
      <w:r>
        <w:rPr>
          <w:rFonts w:hint="eastAsia" w:ascii="微软雅黑" w:hAnsi="微软雅黑" w:eastAsia="微软雅黑" w:cs="微软雅黑"/>
          <w:color w:val="auto"/>
          <w:sz w:val="24"/>
          <w:szCs w:val="24"/>
          <w:highlight w:val="none"/>
        </w:rPr>
        <w:t>)(以下简称银行)无条件地、不可撤销地具结保证本行、其继承人和受让人无追索地向贵方以(</w:t>
      </w:r>
      <w:r>
        <w:rPr>
          <w:rFonts w:hint="eastAsia" w:ascii="微软雅黑" w:hAnsi="微软雅黑" w:eastAsia="微软雅黑" w:cs="微软雅黑"/>
          <w:i/>
          <w:color w:val="auto"/>
          <w:sz w:val="24"/>
          <w:szCs w:val="24"/>
          <w:highlight w:val="none"/>
          <w:u w:val="single"/>
        </w:rPr>
        <w:t>货币名称</w:t>
      </w:r>
      <w:r>
        <w:rPr>
          <w:rFonts w:hint="eastAsia" w:ascii="微软雅黑" w:hAnsi="微软雅黑" w:eastAsia="微软雅黑" w:cs="微软雅黑"/>
          <w:color w:val="auto"/>
          <w:sz w:val="24"/>
          <w:szCs w:val="24"/>
          <w:highlight w:val="none"/>
        </w:rPr>
        <w:t>)支付总额不超过(</w:t>
      </w:r>
      <w:r>
        <w:rPr>
          <w:rFonts w:hint="eastAsia" w:ascii="微软雅黑" w:hAnsi="微软雅黑" w:eastAsia="微软雅黑" w:cs="微软雅黑"/>
          <w:i/>
          <w:color w:val="auto"/>
          <w:sz w:val="24"/>
          <w:szCs w:val="24"/>
          <w:highlight w:val="none"/>
          <w:u w:val="single"/>
        </w:rPr>
        <w:t>货币数量</w:t>
      </w:r>
      <w:r>
        <w:rPr>
          <w:rFonts w:hint="eastAsia" w:ascii="微软雅黑" w:hAnsi="微软雅黑" w:eastAsia="微软雅黑" w:cs="微软雅黑"/>
          <w:color w:val="auto"/>
          <w:sz w:val="24"/>
          <w:szCs w:val="24"/>
          <w:highlight w:val="none"/>
        </w:rPr>
        <w:t>),即相当于合同价格的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%,并以此约定如下:</w:t>
      </w:r>
    </w:p>
    <w:p w14:paraId="22393921">
      <w:pPr>
        <w:pStyle w:val="16"/>
        <w:keepNext w:val="0"/>
        <w:keepLines w:val="0"/>
        <w:pageBreakBefore w:val="0"/>
        <w:widowControl w:val="0"/>
        <w:kinsoku/>
        <w:wordWrap/>
        <w:overflowPunct/>
        <w:topLinePunct w:val="0"/>
        <w:autoSpaceDE/>
        <w:autoSpaceDN/>
        <w:bidi w:val="0"/>
        <w:adjustRightInd/>
        <w:snapToGrid w:val="0"/>
        <w:spacing w:line="312" w:lineRule="auto"/>
        <w:ind w:left="539" w:leftChars="257"/>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211AE48C">
      <w:pPr>
        <w:pStyle w:val="16"/>
        <w:keepNext w:val="0"/>
        <w:keepLines w:val="0"/>
        <w:pageBreakBefore w:val="0"/>
        <w:widowControl w:val="0"/>
        <w:kinsoku/>
        <w:wordWrap/>
        <w:overflowPunct/>
        <w:topLinePunct w:val="0"/>
        <w:autoSpaceDE/>
        <w:autoSpaceDN/>
        <w:bidi w:val="0"/>
        <w:adjustRightInd/>
        <w:snapToGrid w:val="0"/>
        <w:spacing w:line="312" w:lineRule="auto"/>
        <w:ind w:left="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2.本保函项下的任何支付应为免税和净值。对于现有或将来的税收、关税、收费、费用扣减或预提税款，不论这些款项是何种性质和由谁征收，都不应从本保函项下的支付中扣除。</w:t>
      </w:r>
    </w:p>
    <w:p w14:paraId="737633B5">
      <w:pPr>
        <w:pStyle w:val="16"/>
        <w:keepNext w:val="0"/>
        <w:keepLines w:val="0"/>
        <w:pageBreakBefore w:val="0"/>
        <w:widowControl w:val="0"/>
        <w:kinsoku/>
        <w:wordWrap/>
        <w:overflowPunct/>
        <w:topLinePunct w:val="0"/>
        <w:autoSpaceDE/>
        <w:autoSpaceDN/>
        <w:bidi w:val="0"/>
        <w:adjustRightInd/>
        <w:snapToGrid w:val="0"/>
        <w:spacing w:line="312" w:lineRule="auto"/>
        <w:ind w:left="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37C03B2C">
      <w:pPr>
        <w:pStyle w:val="16"/>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4.本保函在本合同规定的保证期期满前完全有效。</w:t>
      </w:r>
    </w:p>
    <w:p w14:paraId="54E411C7">
      <w:pPr>
        <w:pStyle w:val="16"/>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谨启</w:t>
      </w:r>
    </w:p>
    <w:p w14:paraId="2BB7042C">
      <w:pPr>
        <w:pStyle w:val="16"/>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出具保函银行名称：</w:t>
      </w:r>
      <w:r>
        <w:rPr>
          <w:rFonts w:hint="eastAsia" w:ascii="微软雅黑" w:hAnsi="微软雅黑" w:eastAsia="微软雅黑" w:cs="微软雅黑"/>
          <w:color w:val="auto"/>
          <w:sz w:val="24"/>
          <w:szCs w:val="24"/>
          <w:highlight w:val="none"/>
          <w:u w:val="single"/>
        </w:rPr>
        <w:t xml:space="preserve">                             </w:t>
      </w:r>
    </w:p>
    <w:p w14:paraId="011BFCF0">
      <w:pPr>
        <w:pStyle w:val="16"/>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签字人姓名和职务：</w:t>
      </w:r>
      <w:r>
        <w:rPr>
          <w:rFonts w:hint="eastAsia" w:ascii="微软雅黑" w:hAnsi="微软雅黑" w:eastAsia="微软雅黑" w:cs="微软雅黑"/>
          <w:color w:val="auto"/>
          <w:sz w:val="24"/>
          <w:szCs w:val="24"/>
          <w:highlight w:val="none"/>
          <w:u w:val="single"/>
        </w:rPr>
        <w:t xml:space="preserve">                             </w:t>
      </w:r>
    </w:p>
    <w:p w14:paraId="11A8ECD9">
      <w:pPr>
        <w:pStyle w:val="16"/>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签字人签名：</w:t>
      </w:r>
      <w:r>
        <w:rPr>
          <w:rFonts w:hint="eastAsia" w:ascii="微软雅黑" w:hAnsi="微软雅黑" w:eastAsia="微软雅黑" w:cs="微软雅黑"/>
          <w:color w:val="auto"/>
          <w:sz w:val="24"/>
          <w:szCs w:val="24"/>
          <w:highlight w:val="none"/>
          <w:u w:val="single"/>
        </w:rPr>
        <w:t xml:space="preserve">                                   </w:t>
      </w:r>
    </w:p>
    <w:p w14:paraId="302434D4">
      <w:pPr>
        <w:pStyle w:val="16"/>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公章：</w:t>
      </w:r>
      <w:r>
        <w:rPr>
          <w:rFonts w:hint="eastAsia" w:ascii="微软雅黑" w:hAnsi="微软雅黑" w:eastAsia="微软雅黑" w:cs="微软雅黑"/>
          <w:color w:val="auto"/>
          <w:sz w:val="24"/>
          <w:szCs w:val="24"/>
          <w:highlight w:val="none"/>
          <w:u w:val="single"/>
        </w:rPr>
        <w:t xml:space="preserve">                                         </w:t>
      </w:r>
    </w:p>
    <w:p w14:paraId="759A6BCD">
      <w:pPr>
        <w:pStyle w:val="3"/>
        <w:pageBreakBefore w:val="0"/>
        <w:widowControl w:val="0"/>
        <w:kinsoku/>
        <w:wordWrap/>
        <w:overflowPunct/>
        <w:topLinePunct w:val="0"/>
        <w:bidi w:val="0"/>
        <w:spacing w:before="0" w:line="312" w:lineRule="auto"/>
        <w:jc w:val="both"/>
        <w:textAlignment w:val="auto"/>
        <w:outlineLvl w:val="9"/>
        <w:rPr>
          <w:rFonts w:hint="eastAsia" w:ascii="微软雅黑" w:hAnsi="微软雅黑" w:eastAsia="微软雅黑" w:cs="微软雅黑"/>
          <w:color w:val="auto"/>
          <w:sz w:val="21"/>
          <w:szCs w:val="21"/>
          <w:highlight w:val="none"/>
        </w:rPr>
        <w:sectPr>
          <w:pgSz w:w="11906" w:h="16838"/>
          <w:pgMar w:top="1440" w:right="1080" w:bottom="1440" w:left="1080" w:header="851" w:footer="992" w:gutter="0"/>
          <w:pgNumType w:fmt="decimal"/>
          <w:cols w:space="720" w:num="1"/>
          <w:docGrid w:type="linesAndChars" w:linePitch="312" w:charSpace="0"/>
        </w:sectPr>
      </w:pPr>
    </w:p>
    <w:p w14:paraId="28579AB0">
      <w:pPr>
        <w:pStyle w:val="3"/>
        <w:pageBreakBefore w:val="0"/>
        <w:widowControl w:val="0"/>
        <w:kinsoku/>
        <w:wordWrap/>
        <w:overflowPunct/>
        <w:topLinePunct w:val="0"/>
        <w:bidi w:val="0"/>
        <w:adjustRightInd w:val="0"/>
        <w:snapToGrid w:val="0"/>
        <w:spacing w:before="0" w:line="288" w:lineRule="auto"/>
        <w:ind w:left="1079" w:leftChars="257" w:hanging="540"/>
        <w:textAlignment w:val="auto"/>
        <w:outlineLvl w:val="2"/>
        <w:rPr>
          <w:rFonts w:hint="eastAsia" w:ascii="微软雅黑" w:hAnsi="微软雅黑" w:eastAsia="微软雅黑" w:cs="微软雅黑"/>
          <w:color w:val="auto"/>
          <w:sz w:val="24"/>
          <w:szCs w:val="24"/>
          <w:highlight w:val="none"/>
        </w:rPr>
      </w:pPr>
      <w:bookmarkStart w:id="314" w:name="_Toc14561"/>
      <w:bookmarkStart w:id="315" w:name="_Toc4693"/>
      <w:r>
        <w:rPr>
          <w:rFonts w:hint="eastAsia" w:ascii="微软雅黑" w:hAnsi="微软雅黑" w:eastAsia="微软雅黑" w:cs="微软雅黑"/>
          <w:color w:val="auto"/>
          <w:sz w:val="24"/>
          <w:szCs w:val="24"/>
          <w:highlight w:val="none"/>
        </w:rPr>
        <w:t>附件2：</w:t>
      </w:r>
      <w:bookmarkEnd w:id="305"/>
      <w:bookmarkEnd w:id="306"/>
      <w:r>
        <w:rPr>
          <w:rFonts w:hint="eastAsia" w:ascii="微软雅黑" w:hAnsi="微软雅黑" w:eastAsia="微软雅黑" w:cs="微软雅黑"/>
          <w:color w:val="auto"/>
          <w:sz w:val="24"/>
          <w:szCs w:val="24"/>
          <w:highlight w:val="none"/>
        </w:rPr>
        <w:t>政府采购履约担保函</w:t>
      </w:r>
      <w:bookmarkEnd w:id="314"/>
      <w:bookmarkEnd w:id="315"/>
    </w:p>
    <w:p w14:paraId="32C7994B">
      <w:pPr>
        <w:pStyle w:val="3"/>
        <w:pageBreakBefore w:val="0"/>
        <w:widowControl w:val="0"/>
        <w:kinsoku/>
        <w:wordWrap/>
        <w:overflowPunct/>
        <w:topLinePunct w:val="0"/>
        <w:bidi w:val="0"/>
        <w:adjustRightInd w:val="0"/>
        <w:snapToGrid w:val="0"/>
        <w:spacing w:before="0" w:line="288" w:lineRule="auto"/>
        <w:ind w:left="1079" w:leftChars="257" w:hanging="540"/>
        <w:textAlignment w:val="auto"/>
        <w:rPr>
          <w:rFonts w:hint="eastAsia" w:ascii="微软雅黑" w:hAnsi="微软雅黑" w:eastAsia="微软雅黑" w:cs="微软雅黑"/>
          <w:b w:val="0"/>
          <w:color w:val="auto"/>
          <w:kern w:val="0"/>
          <w:sz w:val="24"/>
          <w:szCs w:val="24"/>
          <w:highlight w:val="none"/>
        </w:rPr>
      </w:pPr>
      <w:bookmarkStart w:id="316" w:name="_Toc28268"/>
      <w:bookmarkStart w:id="317" w:name="_Toc518923105"/>
      <w:bookmarkStart w:id="318" w:name="_Toc515904842"/>
      <w:bookmarkStart w:id="319" w:name="_Toc26934"/>
      <w:bookmarkStart w:id="320" w:name="_Toc16371"/>
      <w:r>
        <w:rPr>
          <w:rFonts w:hint="eastAsia" w:ascii="微软雅黑" w:hAnsi="微软雅黑" w:eastAsia="微软雅黑" w:cs="微软雅黑"/>
          <w:color w:val="auto"/>
          <w:sz w:val="24"/>
          <w:szCs w:val="24"/>
          <w:highlight w:val="none"/>
        </w:rPr>
        <w:t>（采用政府采购信用担保形式时使用）</w:t>
      </w:r>
      <w:bookmarkEnd w:id="316"/>
      <w:bookmarkEnd w:id="317"/>
      <w:bookmarkEnd w:id="318"/>
      <w:bookmarkEnd w:id="319"/>
      <w:bookmarkEnd w:id="320"/>
    </w:p>
    <w:p w14:paraId="5851BF10">
      <w:pPr>
        <w:pageBreakBefore w:val="0"/>
        <w:widowControl w:val="0"/>
        <w:kinsoku/>
        <w:wordWrap/>
        <w:overflowPunct/>
        <w:topLinePunct w:val="0"/>
        <w:bidi w:val="0"/>
        <w:adjustRightInd w:val="0"/>
        <w:snapToGrid w:val="0"/>
        <w:spacing w:line="288"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编号：</w:t>
      </w:r>
    </w:p>
    <w:p w14:paraId="5F4852C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（采购人）：</w:t>
      </w:r>
    </w:p>
    <w:p w14:paraId="19B7ECD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鉴于你方与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（以下简称</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日签定编号为   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政府采购合同》（以下简称主合同），且依据该合同的约定，</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应在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p>
    <w:p w14:paraId="25CE3110">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日前向你方交纳履约保证金，且可以履约担保函的形式交纳履约保证金。应</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的申请，我方以保证的方式向你方提供如下履约保证金担保：</w:t>
      </w:r>
    </w:p>
    <w:p w14:paraId="52D653FE">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21" w:name="_Toc9740"/>
      <w:r>
        <w:rPr>
          <w:rFonts w:hint="eastAsia" w:ascii="微软雅黑" w:hAnsi="微软雅黑" w:eastAsia="微软雅黑" w:cs="微软雅黑"/>
          <w:color w:val="auto"/>
          <w:sz w:val="24"/>
          <w:szCs w:val="24"/>
          <w:highlight w:val="none"/>
        </w:rPr>
        <w:t>一、保证责任的情形及保证金额</w:t>
      </w:r>
      <w:bookmarkEnd w:id="321"/>
    </w:p>
    <w:p w14:paraId="2F5CF7A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（一）在</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出现下列情形之一时，我方承担保证责任：</w:t>
      </w:r>
    </w:p>
    <w:p w14:paraId="21DE68BE">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1．将中标项目转让给他人，或者在投标文件中未说明，且未经采购招标机构人同意，将中标项目分包给他人的；</w:t>
      </w:r>
    </w:p>
    <w:p w14:paraId="4CDD6F52">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2．主合同约定的应当缴纳履约保证金的情形: </w:t>
      </w:r>
    </w:p>
    <w:p w14:paraId="3E1BF8B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（1）未按主合同约定的质量、数量和期限供应货物/提供服务/完成工程的；</w:t>
      </w:r>
    </w:p>
    <w:p w14:paraId="29C9CEF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29193C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（二）我方的保证范围是主合同约定的合同价款总额的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%数额为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元（大写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），币种为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。（即主合同履约保证金金额）</w:t>
      </w:r>
    </w:p>
    <w:p w14:paraId="4227070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22" w:name="_Toc20865"/>
      <w:r>
        <w:rPr>
          <w:rFonts w:hint="eastAsia" w:ascii="微软雅黑" w:hAnsi="微软雅黑" w:eastAsia="微软雅黑" w:cs="微软雅黑"/>
          <w:color w:val="auto"/>
          <w:sz w:val="24"/>
          <w:szCs w:val="24"/>
          <w:highlight w:val="none"/>
        </w:rPr>
        <w:t>二、保证的方式及保证期间</w:t>
      </w:r>
      <w:bookmarkEnd w:id="322"/>
    </w:p>
    <w:p w14:paraId="4A247FC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我方保证的方式为：连带责任保证。</w:t>
      </w:r>
    </w:p>
    <w:p w14:paraId="2A0BC37E">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我方保证的期间为：自本合同生效之日起至</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按照主合同约定的供货/完工期限届满后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日内。</w:t>
      </w:r>
    </w:p>
    <w:p w14:paraId="15A1BDB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如果</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未按主合同约定向贵方供应货物/提供服务/完成工程的，由我方在保证金额内向你方支付上述款项。</w:t>
      </w:r>
    </w:p>
    <w:p w14:paraId="16B799CF">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23" w:name="_Toc1749"/>
      <w:r>
        <w:rPr>
          <w:rFonts w:hint="eastAsia" w:ascii="微软雅黑" w:hAnsi="微软雅黑" w:eastAsia="微软雅黑" w:cs="微软雅黑"/>
          <w:color w:val="auto"/>
          <w:sz w:val="24"/>
          <w:szCs w:val="24"/>
          <w:highlight w:val="none"/>
        </w:rPr>
        <w:t>三、承担保证责任的程序</w:t>
      </w:r>
      <w:bookmarkEnd w:id="323"/>
    </w:p>
    <w:p w14:paraId="5AC73F4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1．你方要求我方承担保证责任的，应在本保函保证期间内向我方发出书面索赔通知。索赔通知应写明要求索赔的金额，支付款项应到达</w:t>
      </w:r>
      <w:r>
        <w:rPr>
          <w:rFonts w:hint="eastAsia" w:ascii="微软雅黑" w:hAnsi="微软雅黑" w:eastAsia="微软雅黑" w:cs="微软雅黑"/>
          <w:color w:val="auto"/>
          <w:sz w:val="24"/>
          <w:szCs w:val="24"/>
          <w:highlight w:val="none"/>
          <w:lang w:eastAsia="zh-CN"/>
        </w:rPr>
        <w:t>的账号</w:t>
      </w:r>
      <w:r>
        <w:rPr>
          <w:rFonts w:hint="eastAsia" w:ascii="微软雅黑" w:hAnsi="微软雅黑" w:eastAsia="微软雅黑" w:cs="微软雅黑"/>
          <w:color w:val="auto"/>
          <w:sz w:val="24"/>
          <w:szCs w:val="24"/>
          <w:highlight w:val="none"/>
        </w:rPr>
        <w:t>。并附有证明</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违约事实的证明材料。</w:t>
      </w:r>
    </w:p>
    <w:p w14:paraId="2050C6D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如果你方与</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因货物质量问题产生争议，你方还需同时提供</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部门出具的质量检测报告，或经诉讼（仲裁）程序裁决后的裁决书、调解书，本保证人即按照检测结果或裁决书、调解书决定是否承担保证责任。</w:t>
      </w:r>
    </w:p>
    <w:p w14:paraId="1A32D065">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 我方收到你方的书面索赔通知及相应证明材料，在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工作日内进行核定后按照本保函的承诺承担保证责任。</w:t>
      </w:r>
    </w:p>
    <w:p w14:paraId="4D4A9F7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24" w:name="_Toc3314"/>
      <w:r>
        <w:rPr>
          <w:rFonts w:hint="eastAsia" w:ascii="微软雅黑" w:hAnsi="微软雅黑" w:eastAsia="微软雅黑" w:cs="微软雅黑"/>
          <w:color w:val="auto"/>
          <w:sz w:val="24"/>
          <w:szCs w:val="24"/>
          <w:highlight w:val="none"/>
        </w:rPr>
        <w:t>四、保证责任的终止</w:t>
      </w:r>
      <w:bookmarkEnd w:id="324"/>
    </w:p>
    <w:p w14:paraId="5FAC172C">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892BD3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2．我方按照本保函向你方履行了保证责任后，自我方向你方支付款项（支付款项从我方账户划出）之日起，保证责任即终止。</w:t>
      </w:r>
    </w:p>
    <w:p w14:paraId="6E4A488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3．按照法律法规的规定或出现应终止我方保证责任的其它情形的，我方在本保函项下的保证责任亦终止。</w:t>
      </w:r>
    </w:p>
    <w:p w14:paraId="6374BCB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4．你方与</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修改主合同，加重我方保证责任的，我方对加重部分不承担保证责任，但该等修改事先经我方书面同意的除外；你方与</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修改主合同履行期限，我方保证期间仍依修改前的履行期限计算，但该等修改事先经我方书面同意的除外。</w:t>
      </w:r>
    </w:p>
    <w:p w14:paraId="57DF443E">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25" w:name="_Toc24761"/>
      <w:r>
        <w:rPr>
          <w:rFonts w:hint="eastAsia" w:ascii="微软雅黑" w:hAnsi="微软雅黑" w:eastAsia="微软雅黑" w:cs="微软雅黑"/>
          <w:color w:val="auto"/>
          <w:sz w:val="24"/>
          <w:szCs w:val="24"/>
          <w:highlight w:val="none"/>
        </w:rPr>
        <w:t>五、免责条款</w:t>
      </w:r>
      <w:bookmarkEnd w:id="325"/>
    </w:p>
    <w:p w14:paraId="00772F6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1．因你方违反主合同约定致使</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不能履行义务的，我方不承担保证责任。</w:t>
      </w:r>
    </w:p>
    <w:p w14:paraId="23923235">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2．依照法律法规的规定或你方与</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的另行约定，全部或者部分免除</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应缴纳的保证金义务的，我方亦免除相应的保证责任。</w:t>
      </w:r>
    </w:p>
    <w:p w14:paraId="639522FD">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3．因不可抗力造成</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不能履行供货义务的，我方不承担保证责任。</w:t>
      </w:r>
    </w:p>
    <w:p w14:paraId="57FCDD3D">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26" w:name="_Toc27068"/>
      <w:r>
        <w:rPr>
          <w:rFonts w:hint="eastAsia" w:ascii="微软雅黑" w:hAnsi="微软雅黑" w:eastAsia="微软雅黑" w:cs="微软雅黑"/>
          <w:color w:val="auto"/>
          <w:sz w:val="24"/>
          <w:szCs w:val="24"/>
          <w:highlight w:val="none"/>
        </w:rPr>
        <w:t>六、争议的解决</w:t>
      </w:r>
      <w:bookmarkEnd w:id="326"/>
    </w:p>
    <w:p w14:paraId="65515D4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因本保函发生的纠纷，由你我双方协商解决，协商不成的，通过诉讼程序解决，诉讼管辖地法院为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法院。</w:t>
      </w:r>
    </w:p>
    <w:p w14:paraId="152FB76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27" w:name="_Toc23967"/>
      <w:r>
        <w:rPr>
          <w:rFonts w:hint="eastAsia" w:ascii="微软雅黑" w:hAnsi="微软雅黑" w:eastAsia="微软雅黑" w:cs="微软雅黑"/>
          <w:color w:val="auto"/>
          <w:sz w:val="24"/>
          <w:szCs w:val="24"/>
          <w:highlight w:val="none"/>
        </w:rPr>
        <w:t>七、保函的生效</w:t>
      </w:r>
      <w:bookmarkEnd w:id="327"/>
    </w:p>
    <w:p w14:paraId="0A4C5A6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本保函自我方加盖公章之日起生效。</w:t>
      </w:r>
    </w:p>
    <w:p w14:paraId="35E32309">
      <w:pPr>
        <w:pageBreakBefore w:val="0"/>
        <w:widowControl w:val="0"/>
        <w:kinsoku/>
        <w:wordWrap/>
        <w:overflowPunct/>
        <w:topLinePunct w:val="0"/>
        <w:bidi w:val="0"/>
        <w:adjustRightInd w:val="0"/>
        <w:snapToGrid w:val="0"/>
        <w:spacing w:line="288" w:lineRule="auto"/>
        <w:ind w:firstLine="5400" w:firstLineChars="22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保证人：（公章）</w:t>
      </w:r>
    </w:p>
    <w:p w14:paraId="752F5F19">
      <w:pPr>
        <w:pageBreakBefore w:val="0"/>
        <w:widowControl w:val="0"/>
        <w:kinsoku/>
        <w:wordWrap/>
        <w:overflowPunct/>
        <w:topLinePunct w:val="0"/>
        <w:bidi w:val="0"/>
        <w:adjustRightInd w:val="0"/>
        <w:snapToGrid w:val="0"/>
        <w:spacing w:line="288"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年     月      日</w:t>
      </w:r>
    </w:p>
    <w:p w14:paraId="6052D738">
      <w:pPr>
        <w:pStyle w:val="28"/>
        <w:rPr>
          <w:rFonts w:hint="eastAsia"/>
          <w:color w:val="auto"/>
          <w:highlight w:val="none"/>
        </w:rPr>
      </w:pPr>
    </w:p>
    <w:p w14:paraId="6592B99A">
      <w:pPr>
        <w:pStyle w:val="2"/>
        <w:bidi w:val="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br w:type="page"/>
      </w:r>
      <w:bookmarkStart w:id="328" w:name="_Toc8889"/>
      <w:bookmarkStart w:id="329" w:name="_Toc16734"/>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投标文件格式</w:t>
      </w:r>
      <w:bookmarkEnd w:id="18"/>
      <w:bookmarkEnd w:id="328"/>
      <w:bookmarkEnd w:id="329"/>
    </w:p>
    <w:tbl>
      <w:tblPr>
        <w:tblStyle w:val="41"/>
        <w:tblpPr w:leftFromText="180" w:rightFromText="180" w:vertAnchor="text" w:horzAnchor="page" w:tblpX="1885" w:tblpY="246"/>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8300"/>
      </w:tblGrid>
      <w:tr w14:paraId="29B9A7D8">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286" w:hRule="atLeast"/>
        </w:trPr>
        <w:tc>
          <w:tcPr>
            <w:tcW w:w="8300" w:type="dxa"/>
            <w:shd w:val="clear" w:color="auto" w:fill="FCFEEA"/>
            <w:noWrap w:val="0"/>
            <w:vAlign w:val="top"/>
          </w:tcPr>
          <w:p w14:paraId="31D30CF0">
            <w:pPr>
              <w:pStyle w:val="12"/>
              <w:jc w:val="right"/>
              <w:rPr>
                <w:rFonts w:hint="eastAsia" w:ascii="宋体" w:hAnsi="宋体" w:eastAsia="宋体" w:cs="宋体"/>
                <w:b/>
                <w:bCs/>
                <w:color w:val="auto"/>
                <w:sz w:val="28"/>
                <w:szCs w:val="28"/>
                <w:highlight w:val="none"/>
              </w:rPr>
            </w:pPr>
          </w:p>
          <w:p w14:paraId="0A5ED760">
            <w:pPr>
              <w:pStyle w:val="12"/>
              <w:ind w:firstLine="4200" w:firstLineChars="1500"/>
              <w:rPr>
                <w:rFonts w:hint="eastAsia" w:ascii="宋体" w:hAnsi="宋体" w:eastAsia="宋体" w:cs="宋体"/>
                <w:b/>
                <w:bCs/>
                <w:color w:val="auto"/>
                <w:sz w:val="28"/>
                <w:szCs w:val="28"/>
                <w:highlight w:val="none"/>
              </w:rPr>
            </w:pPr>
          </w:p>
          <w:p w14:paraId="6690E1B0">
            <w:pPr>
              <w:pStyle w:val="12"/>
              <w:ind w:firstLine="4200" w:firstLineChars="1500"/>
              <w:rPr>
                <w:rFonts w:hint="eastAsia" w:ascii="宋体" w:hAnsi="宋体" w:eastAsia="宋体" w:cs="宋体"/>
                <w:b/>
                <w:bCs/>
                <w:color w:val="auto"/>
                <w:sz w:val="28"/>
                <w:szCs w:val="28"/>
                <w:highlight w:val="none"/>
              </w:rPr>
            </w:pPr>
          </w:p>
          <w:p w14:paraId="7F270D46">
            <w:pPr>
              <w:pStyle w:val="12"/>
              <w:ind w:firstLine="1400" w:firstLineChars="500"/>
              <w:rPr>
                <w:rFonts w:hint="eastAsia" w:ascii="宋体" w:hAnsi="宋体" w:eastAsia="宋体" w:cs="宋体"/>
                <w:b/>
                <w:bCs/>
                <w:color w:val="auto"/>
                <w:sz w:val="28"/>
                <w:szCs w:val="28"/>
                <w:highlight w:val="none"/>
              </w:rPr>
            </w:pPr>
            <w:r>
              <w:rPr>
                <w:rFonts w:hint="eastAsia" w:cs="宋体"/>
                <w:b/>
                <w:bCs/>
                <w:color w:val="auto"/>
                <w:sz w:val="28"/>
                <w:szCs w:val="28"/>
                <w:highlight w:val="none"/>
              </w:rPr>
              <w:t>***************************** （项目名称）</w:t>
            </w:r>
          </w:p>
          <w:p w14:paraId="221BEC49">
            <w:pPr>
              <w:pStyle w:val="1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8"/>
                <w:szCs w:val="28"/>
                <w:highlight w:val="none"/>
                <w:lang w:val="en-US" w:eastAsia="zh-CN"/>
              </w:rPr>
              <w:t xml:space="preserve">    </w:t>
            </w:r>
          </w:p>
          <w:p w14:paraId="7E9B4D20">
            <w:pPr>
              <w:pStyle w:val="12"/>
              <w:ind w:firstLine="3150" w:firstLineChars="15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项目编号*************</w:t>
            </w:r>
          </w:p>
          <w:p w14:paraId="61666C83">
            <w:pPr>
              <w:pStyle w:val="12"/>
              <w:jc w:val="center"/>
              <w:rPr>
                <w:rFonts w:hint="eastAsia" w:ascii="宋体" w:hAnsi="宋体" w:eastAsia="宋体" w:cs="宋体"/>
                <w:b/>
                <w:bCs/>
                <w:color w:val="auto"/>
                <w:sz w:val="48"/>
                <w:highlight w:val="none"/>
              </w:rPr>
            </w:pPr>
          </w:p>
          <w:p w14:paraId="6F7A8677">
            <w:pPr>
              <w:pStyle w:val="12"/>
              <w:jc w:val="center"/>
              <w:rPr>
                <w:rFonts w:hint="eastAsia" w:ascii="宋体" w:hAnsi="宋体" w:eastAsia="宋体" w:cs="宋体"/>
                <w:b/>
                <w:bCs/>
                <w:color w:val="auto"/>
                <w:sz w:val="48"/>
                <w:highlight w:val="none"/>
                <w:lang w:eastAsia="zh-CN"/>
              </w:rPr>
            </w:pPr>
          </w:p>
          <w:p w14:paraId="2BC0057F">
            <w:pPr>
              <w:pStyle w:val="12"/>
              <w:jc w:val="center"/>
              <w:rPr>
                <w:rFonts w:hint="eastAsia" w:ascii="宋体" w:hAnsi="宋体" w:eastAsia="宋体" w:cs="宋体"/>
                <w:b/>
                <w:bCs/>
                <w:color w:val="auto"/>
                <w:sz w:val="48"/>
                <w:highlight w:val="none"/>
              </w:rPr>
            </w:pPr>
            <w:r>
              <w:rPr>
                <w:rFonts w:hint="eastAsia" w:ascii="宋体" w:hAnsi="宋体" w:eastAsia="宋体" w:cs="宋体"/>
                <w:b/>
                <w:bCs/>
                <w:color w:val="auto"/>
                <w:sz w:val="48"/>
                <w:highlight w:val="none"/>
                <w:lang w:eastAsia="zh-CN"/>
              </w:rPr>
              <w:t>投标</w:t>
            </w:r>
            <w:r>
              <w:rPr>
                <w:rFonts w:hint="eastAsia" w:ascii="宋体" w:hAnsi="宋体" w:eastAsia="宋体" w:cs="宋体"/>
                <w:b/>
                <w:bCs/>
                <w:color w:val="auto"/>
                <w:sz w:val="48"/>
                <w:highlight w:val="none"/>
              </w:rPr>
              <w:t>文件</w:t>
            </w:r>
          </w:p>
          <w:p w14:paraId="375DC0B3">
            <w:pPr>
              <w:jc w:val="center"/>
              <w:rPr>
                <w:rFonts w:hint="eastAsia" w:ascii="宋体" w:hAnsi="宋体" w:eastAsia="宋体" w:cs="宋体"/>
                <w:b/>
                <w:color w:val="auto"/>
                <w:sz w:val="32"/>
                <w:highlight w:val="none"/>
              </w:rPr>
            </w:pPr>
          </w:p>
          <w:p w14:paraId="57057589">
            <w:pPr>
              <w:pStyle w:val="7"/>
              <w:rPr>
                <w:rFonts w:hint="eastAsia" w:ascii="宋体" w:hAnsi="宋体" w:eastAsia="宋体" w:cs="宋体"/>
                <w:b/>
                <w:color w:val="auto"/>
                <w:sz w:val="32"/>
                <w:highlight w:val="none"/>
              </w:rPr>
            </w:pPr>
          </w:p>
          <w:p w14:paraId="3FE933D6">
            <w:pPr>
              <w:pStyle w:val="7"/>
              <w:rPr>
                <w:rFonts w:hint="eastAsia" w:ascii="宋体" w:hAnsi="宋体" w:eastAsia="宋体" w:cs="宋体"/>
                <w:b/>
                <w:color w:val="auto"/>
                <w:sz w:val="32"/>
                <w:highlight w:val="none"/>
              </w:rPr>
            </w:pPr>
          </w:p>
          <w:p w14:paraId="0A918ABC">
            <w:pPr>
              <w:shd w:val="clear" w:color="auto" w:fill="auto"/>
              <w:spacing w:line="360" w:lineRule="auto"/>
              <w:ind w:left="176" w:leftChars="84" w:firstLine="960" w:firstLineChars="40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投标单位：（公章）</w:t>
            </w:r>
          </w:p>
          <w:p w14:paraId="3BE9DB6B">
            <w:pPr>
              <w:shd w:val="clear" w:color="auto" w:fill="auto"/>
              <w:spacing w:line="360" w:lineRule="auto"/>
              <w:ind w:left="176" w:leftChars="84" w:firstLine="960" w:firstLineChars="4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p>
          <w:p w14:paraId="7812CB02">
            <w:pPr>
              <w:shd w:val="clear" w:color="auto" w:fill="auto"/>
              <w:spacing w:line="360" w:lineRule="auto"/>
              <w:ind w:left="176" w:leftChars="84" w:firstLine="960" w:firstLineChars="40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联系人：</w:t>
            </w:r>
          </w:p>
          <w:p w14:paraId="340DC7AC">
            <w:pPr>
              <w:spacing w:line="360" w:lineRule="auto"/>
              <w:ind w:left="176" w:leftChars="84" w:firstLine="960" w:firstLineChars="400"/>
              <w:rPr>
                <w:rFonts w:hint="eastAsia" w:ascii="宋体" w:hAnsi="宋体" w:eastAsia="宋体" w:cs="宋体"/>
                <w:color w:val="auto"/>
                <w:sz w:val="24"/>
                <w:highlight w:val="none"/>
              </w:rPr>
            </w:pPr>
            <w:r>
              <w:rPr>
                <w:rFonts w:hint="eastAsia" w:ascii="微软雅黑" w:hAnsi="微软雅黑" w:eastAsia="微软雅黑" w:cs="微软雅黑"/>
                <w:color w:val="auto"/>
                <w:sz w:val="24"/>
                <w:szCs w:val="24"/>
                <w:highlight w:val="none"/>
              </w:rPr>
              <w:t>电话：</w:t>
            </w:r>
          </w:p>
          <w:p w14:paraId="038ADF76">
            <w:pPr>
              <w:jc w:val="center"/>
              <w:rPr>
                <w:rFonts w:hint="eastAsia" w:ascii="宋体" w:hAnsi="宋体" w:eastAsia="宋体" w:cs="宋体"/>
                <w:b/>
                <w:bCs/>
                <w:color w:val="auto"/>
                <w:highlight w:val="none"/>
              </w:rPr>
            </w:pPr>
          </w:p>
          <w:p w14:paraId="78DA8969">
            <w:pPr>
              <w:jc w:val="center"/>
              <w:rPr>
                <w:rFonts w:hint="eastAsia" w:ascii="宋体" w:hAnsi="宋体" w:eastAsia="宋体" w:cs="宋体"/>
                <w:b/>
                <w:bCs/>
                <w:color w:val="auto"/>
                <w:highlight w:val="none"/>
              </w:rPr>
            </w:pPr>
          </w:p>
          <w:p w14:paraId="080CB54B">
            <w:pPr>
              <w:jc w:val="center"/>
              <w:rPr>
                <w:rFonts w:hint="eastAsia" w:ascii="宋体" w:hAnsi="宋体" w:eastAsia="宋体" w:cs="宋体"/>
                <w:b/>
                <w:bCs/>
                <w:color w:val="auto"/>
                <w:highlight w:val="none"/>
              </w:rPr>
            </w:pPr>
          </w:p>
          <w:p w14:paraId="4B3084EF">
            <w:pPr>
              <w:jc w:val="center"/>
              <w:rPr>
                <w:rFonts w:hint="eastAsia" w:ascii="宋体" w:hAnsi="宋体" w:eastAsia="宋体" w:cs="宋体"/>
                <w:b/>
                <w:bCs/>
                <w:color w:val="auto"/>
                <w:highlight w:val="none"/>
              </w:rPr>
            </w:pPr>
          </w:p>
          <w:p w14:paraId="37F16161">
            <w:pPr>
              <w:jc w:val="center"/>
              <w:rPr>
                <w:rFonts w:hint="eastAsia" w:ascii="宋体" w:hAnsi="宋体" w:eastAsia="宋体" w:cs="宋体"/>
                <w:b/>
                <w:bCs/>
                <w:color w:val="auto"/>
                <w:highlight w:val="none"/>
              </w:rPr>
            </w:pPr>
          </w:p>
          <w:p w14:paraId="51B842C3">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注：</w:t>
            </w:r>
            <w:r>
              <w:rPr>
                <w:rFonts w:hint="eastAsia" w:ascii="微软雅黑" w:hAnsi="微软雅黑" w:eastAsia="微软雅黑" w:cs="微软雅黑"/>
                <w:b/>
                <w:bCs/>
                <w:color w:val="auto"/>
                <w:sz w:val="22"/>
                <w:szCs w:val="22"/>
                <w:highlight w:val="none"/>
              </w:rPr>
              <w:t>在xxx年xx月xx日xx</w:t>
            </w:r>
            <w:r>
              <w:rPr>
                <w:rFonts w:hint="eastAsia" w:ascii="微软雅黑" w:hAnsi="微软雅黑" w:eastAsia="微软雅黑" w:cs="微软雅黑"/>
                <w:b/>
                <w:bCs/>
                <w:color w:val="auto"/>
                <w:sz w:val="22"/>
                <w:szCs w:val="22"/>
                <w:highlight w:val="none"/>
                <w:lang w:eastAsia="zh-CN"/>
              </w:rPr>
              <w:t>：</w:t>
            </w:r>
            <w:r>
              <w:rPr>
                <w:rFonts w:hint="eastAsia" w:ascii="微软雅黑" w:hAnsi="微软雅黑" w:eastAsia="微软雅黑" w:cs="微软雅黑"/>
                <w:b/>
                <w:bCs/>
                <w:color w:val="auto"/>
                <w:sz w:val="22"/>
                <w:szCs w:val="22"/>
                <w:highlight w:val="none"/>
              </w:rPr>
              <w:t>xx之前不得启封</w:t>
            </w:r>
          </w:p>
        </w:tc>
      </w:tr>
    </w:tbl>
    <w:p w14:paraId="40BDFDF1">
      <w:pPr>
        <w:spacing w:line="240" w:lineRule="atLeast"/>
        <w:ind w:left="735" w:leftChars="350" w:firstLine="120" w:firstLineChars="50"/>
        <w:rPr>
          <w:rFonts w:hint="eastAsia" w:ascii="宋体" w:hAnsi="宋体" w:eastAsia="宋体" w:cs="宋体"/>
          <w:color w:val="auto"/>
          <w:sz w:val="24"/>
          <w:highlight w:val="none"/>
        </w:rPr>
        <w:sectPr>
          <w:pgSz w:w="11906" w:h="16838"/>
          <w:pgMar w:top="1440" w:right="1080" w:bottom="1440" w:left="1080" w:header="851" w:footer="992" w:gutter="0"/>
          <w:pgNumType w:fmt="decimal"/>
          <w:cols w:space="720" w:num="1"/>
          <w:docGrid w:type="linesAndChars" w:linePitch="312" w:charSpace="0"/>
        </w:sectPr>
      </w:pPr>
    </w:p>
    <w:p w14:paraId="556CB5F0">
      <w:pPr>
        <w:pStyle w:val="3"/>
        <w:numPr>
          <w:ilvl w:val="0"/>
          <w:numId w:val="0"/>
        </w:numPr>
        <w:spacing w:before="0" w:line="240" w:lineRule="atLeast"/>
        <w:jc w:val="center"/>
        <w:rPr>
          <w:rFonts w:hint="eastAsia" w:ascii="微软雅黑" w:hAnsi="微软雅黑" w:eastAsia="微软雅黑" w:cs="微软雅黑"/>
          <w:b/>
          <w:color w:val="auto"/>
          <w:kern w:val="0"/>
          <w:sz w:val="22"/>
          <w:szCs w:val="22"/>
          <w:highlight w:val="none"/>
          <w:lang w:val="en-US" w:eastAsia="zh-CN" w:bidi="ar-SA"/>
        </w:rPr>
      </w:pPr>
      <w:bookmarkStart w:id="330" w:name="_Toc32549"/>
      <w:bookmarkStart w:id="331" w:name="_Toc1270"/>
      <w:bookmarkStart w:id="332" w:name="_Toc22852"/>
      <w:bookmarkStart w:id="333" w:name="_Toc515647803"/>
      <w:bookmarkStart w:id="334" w:name="_Toc18974"/>
      <w:bookmarkStart w:id="335" w:name="_Toc21338"/>
      <w:bookmarkStart w:id="336" w:name="_Toc18694"/>
      <w:r>
        <w:rPr>
          <w:rFonts w:hint="eastAsia" w:ascii="微软雅黑" w:hAnsi="微软雅黑" w:eastAsia="微软雅黑" w:cs="微软雅黑"/>
          <w:color w:val="auto"/>
          <w:sz w:val="28"/>
          <w:szCs w:val="28"/>
          <w:highlight w:val="none"/>
          <w:lang w:val="en-US" w:eastAsia="zh-CN"/>
        </w:rPr>
        <w:t xml:space="preserve">第一部分 </w:t>
      </w:r>
      <w:r>
        <w:rPr>
          <w:rFonts w:hint="eastAsia" w:ascii="微软雅黑" w:hAnsi="微软雅黑" w:eastAsia="微软雅黑" w:cs="微软雅黑"/>
          <w:color w:val="auto"/>
          <w:sz w:val="28"/>
          <w:szCs w:val="28"/>
          <w:highlight w:val="none"/>
        </w:rPr>
        <w:t>开标一览表及资格证明文件</w:t>
      </w:r>
      <w:bookmarkEnd w:id="330"/>
      <w:bookmarkEnd w:id="331"/>
      <w:bookmarkEnd w:id="332"/>
      <w:bookmarkEnd w:id="333"/>
      <w:bookmarkEnd w:id="334"/>
      <w:bookmarkEnd w:id="335"/>
      <w:bookmarkEnd w:id="336"/>
    </w:p>
    <w:p w14:paraId="4828632B">
      <w:pPr>
        <w:numPr>
          <w:ilvl w:val="0"/>
          <w:numId w:val="0"/>
        </w:numPr>
        <w:jc w:val="center"/>
        <w:outlineLvl w:val="2"/>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color w:val="auto"/>
          <w:kern w:val="0"/>
          <w:sz w:val="22"/>
          <w:szCs w:val="22"/>
          <w:highlight w:val="none"/>
          <w:lang w:val="en-US" w:eastAsia="zh-CN" w:bidi="ar-SA"/>
        </w:rPr>
        <w:t>（资格证明文件扫描件均加盖投标人公章）</w:t>
      </w:r>
      <w:bookmarkStart w:id="337" w:name="_Toc22967"/>
      <w:bookmarkStart w:id="338" w:name="_Toc480942349"/>
      <w:bookmarkStart w:id="339" w:name="_Toc520356217"/>
      <w:bookmarkStart w:id="340" w:name="_Ref467988698"/>
      <w:bookmarkStart w:id="341" w:name="_Toc515647816"/>
      <w:bookmarkStart w:id="342" w:name="_Toc11180"/>
      <w:bookmarkStart w:id="343" w:name="_Toc216582813"/>
    </w:p>
    <w:p w14:paraId="1AC21F2F">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bookmarkStart w:id="344" w:name="_Toc21113"/>
      <w:bookmarkStart w:id="345" w:name="_Toc20202"/>
      <w:r>
        <w:rPr>
          <w:rFonts w:hint="eastAsia" w:ascii="微软雅黑" w:hAnsi="微软雅黑" w:eastAsia="微软雅黑" w:cs="微软雅黑"/>
          <w:color w:val="auto"/>
          <w:sz w:val="24"/>
          <w:szCs w:val="24"/>
          <w:highlight w:val="none"/>
        </w:rPr>
        <w:t>1、开标一览表；</w:t>
      </w:r>
    </w:p>
    <w:p w14:paraId="1CA34941">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2、法人或者其他组织的营业执照等证明文件；</w:t>
      </w:r>
    </w:p>
    <w:p w14:paraId="0D6BC3D5">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3、法定代表人（单位负责人）投标需提供法定代表人（单位负责人）身份证明；授权人投标需提供法定代表人(单位负责人)身份证明及授权书；</w:t>
      </w:r>
    </w:p>
    <w:p w14:paraId="19B05E9B">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4、提供</w:t>
      </w:r>
      <w:r>
        <w:rPr>
          <w:rFonts w:hint="eastAsia" w:ascii="微软雅黑" w:hAnsi="微软雅黑" w:eastAsia="微软雅黑" w:cs="微软雅黑"/>
          <w:color w:val="auto"/>
          <w:sz w:val="24"/>
          <w:szCs w:val="24"/>
          <w:highlight w:val="none"/>
          <w:lang w:eastAsia="zh-CN"/>
        </w:rPr>
        <w:t>2023年度或2024年度</w:t>
      </w:r>
      <w:r>
        <w:rPr>
          <w:rFonts w:hint="eastAsia" w:ascii="微软雅黑" w:hAnsi="微软雅黑" w:eastAsia="微软雅黑" w:cs="微软雅黑"/>
          <w:color w:val="auto"/>
          <w:sz w:val="24"/>
          <w:szCs w:val="24"/>
          <w:highlight w:val="none"/>
        </w:rPr>
        <w:t>的财务审计报告（成立未满十二个月的新公司可提供近三个月内任意一个月的银行资信证明）；</w:t>
      </w:r>
    </w:p>
    <w:p w14:paraId="5FB09723">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5、提供投标单位在社保部门或税务局出具依法缴纳近六个月任意一个月缴纳的社保证明；</w:t>
      </w:r>
    </w:p>
    <w:p w14:paraId="7CA53C33">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6、提供税务部门出具的近六个月任意一个月的税收证明；</w:t>
      </w:r>
    </w:p>
    <w:p w14:paraId="4515F9E2">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根据《财政部关于在政府采购活动中查询及使用信用记录有关问题的通知》（财库﹝2016﹞125号）的要求，凡拟参加本次招标项目的投标人，如在“信用中国”网站被列入失信被执行人、重大税收违法失信主体(信用中国首页-点击信用服务-查询)、“中国政府采购网“严重违法失信行为记录名单的（尚在处罚期内的）、“ 国家企业信用信息公示系统”列入严重违法失信企业名单（黑名单）信息，将拒绝其参加本次招标活动；（开标现场查询核实）；</w:t>
      </w:r>
    </w:p>
    <w:p w14:paraId="0FBE01C2">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8、具有履行合同所必需的设备和专业技术能力的承诺书</w:t>
      </w:r>
      <w:r>
        <w:rPr>
          <w:rFonts w:hint="eastAsia" w:ascii="微软雅黑" w:hAnsi="微软雅黑" w:eastAsia="微软雅黑" w:cs="微软雅黑"/>
          <w:color w:val="auto"/>
          <w:sz w:val="24"/>
          <w:szCs w:val="24"/>
          <w:highlight w:val="none"/>
          <w:lang w:eastAsia="zh-CN"/>
        </w:rPr>
        <w:t>；</w:t>
      </w:r>
    </w:p>
    <w:p w14:paraId="1617F301">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、提供针对本次项目《反商业贿赂承诺书》；</w:t>
      </w:r>
    </w:p>
    <w:p w14:paraId="7D57B346">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、参加政府采购活动前3年内在经营活动中没有重大违法违规记录的书面声明；</w:t>
      </w:r>
    </w:p>
    <w:p w14:paraId="49C997D4">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rPr>
        <w:t>、投标保证金缴纳凭证；</w:t>
      </w:r>
    </w:p>
    <w:p w14:paraId="77661DE7">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12</w:t>
      </w:r>
      <w:r>
        <w:rPr>
          <w:rFonts w:hint="eastAsia" w:ascii="微软雅黑" w:hAnsi="微软雅黑" w:eastAsia="微软雅黑" w:cs="微软雅黑"/>
          <w:color w:val="auto"/>
          <w:sz w:val="24"/>
          <w:szCs w:val="24"/>
          <w:highlight w:val="none"/>
        </w:rPr>
        <w:t>、供应商须知资料表要求的其他资格证明文件;</w:t>
      </w:r>
    </w:p>
    <w:p w14:paraId="0D14716D">
      <w:pPr>
        <w:pStyle w:val="7"/>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sectPr>
          <w:footerReference r:id="rId9" w:type="default"/>
          <w:pgSz w:w="11906" w:h="16838"/>
          <w:pgMar w:top="1440" w:right="1080" w:bottom="1440" w:left="1080" w:header="851" w:footer="992" w:gutter="0"/>
          <w:pgNumType w:fmt="decimal"/>
          <w:cols w:space="720" w:num="1"/>
          <w:docGrid w:type="linesAndChars" w:linePitch="312" w:charSpace="0"/>
        </w:sectPr>
      </w:pPr>
      <w:r>
        <w:rPr>
          <w:rFonts w:hint="eastAsia" w:ascii="微软雅黑" w:hAnsi="微软雅黑" w:eastAsia="微软雅黑" w:cs="微软雅黑"/>
          <w:color w:val="auto"/>
          <w:sz w:val="24"/>
          <w:szCs w:val="24"/>
          <w:highlight w:val="none"/>
          <w:lang w:val="en-US" w:eastAsia="zh-CN"/>
        </w:rPr>
        <w:t>13</w:t>
      </w:r>
      <w:r>
        <w:rPr>
          <w:rFonts w:hint="eastAsia" w:ascii="微软雅黑" w:hAnsi="微软雅黑" w:eastAsia="微软雅黑" w:cs="微软雅黑"/>
          <w:color w:val="auto"/>
          <w:sz w:val="24"/>
          <w:szCs w:val="24"/>
          <w:highlight w:val="none"/>
        </w:rPr>
        <w:t>、供应商可提供有利于投标的其他证明材料；</w:t>
      </w:r>
    </w:p>
    <w:bookmarkEnd w:id="337"/>
    <w:bookmarkEnd w:id="338"/>
    <w:bookmarkEnd w:id="339"/>
    <w:bookmarkEnd w:id="340"/>
    <w:bookmarkEnd w:id="341"/>
    <w:bookmarkEnd w:id="342"/>
    <w:bookmarkEnd w:id="343"/>
    <w:bookmarkEnd w:id="344"/>
    <w:bookmarkEnd w:id="345"/>
    <w:p w14:paraId="70C88AFD">
      <w:pPr>
        <w:pStyle w:val="3"/>
        <w:spacing w:before="0" w:line="240" w:lineRule="atLeast"/>
        <w:jc w:val="center"/>
        <w:rPr>
          <w:rFonts w:hint="eastAsia" w:ascii="微软雅黑" w:hAnsi="微软雅黑" w:eastAsia="微软雅黑" w:cs="微软雅黑"/>
          <w:color w:val="auto"/>
          <w:sz w:val="28"/>
          <w:szCs w:val="28"/>
          <w:highlight w:val="none"/>
          <w:lang w:eastAsia="zh-CN"/>
        </w:rPr>
      </w:pPr>
      <w:bookmarkStart w:id="346" w:name="_Toc30042"/>
      <w:bookmarkStart w:id="347" w:name="_Toc518923108"/>
      <w:bookmarkStart w:id="348" w:name="_Toc16370"/>
      <w:bookmarkStart w:id="349" w:name="_Toc515647829"/>
      <w:bookmarkStart w:id="350" w:name="_Toc507399902"/>
      <w:bookmarkStart w:id="351" w:name="_Toc218935350"/>
      <w:bookmarkStart w:id="352" w:name="_Toc219175634"/>
      <w:bookmarkStart w:id="353" w:name="_Toc216582822"/>
      <w:bookmarkStart w:id="354" w:name="_Toc28765"/>
      <w:bookmarkStart w:id="355" w:name="_Toc507399903"/>
      <w:bookmarkStart w:id="356" w:name="_Toc31583"/>
      <w:bookmarkStart w:id="357" w:name="_Toc8350"/>
      <w:bookmarkStart w:id="358" w:name="_Toc216582823"/>
      <w:bookmarkStart w:id="359" w:name="_Toc512937850"/>
      <w:bookmarkStart w:id="360" w:name="_Toc515647830"/>
      <w:bookmarkStart w:id="361" w:name="_Toc10488"/>
      <w:r>
        <w:rPr>
          <w:rFonts w:hint="eastAsia" w:ascii="微软雅黑" w:hAnsi="微软雅黑" w:eastAsia="微软雅黑" w:cs="微软雅黑"/>
          <w:color w:val="auto"/>
          <w:sz w:val="28"/>
          <w:szCs w:val="28"/>
          <w:highlight w:val="none"/>
        </w:rPr>
        <w:t>1</w:t>
      </w:r>
      <w:r>
        <w:rPr>
          <w:rFonts w:hint="eastAsia" w:ascii="微软雅黑" w:hAnsi="微软雅黑" w:eastAsia="微软雅黑" w:cs="微软雅黑"/>
          <w:color w:val="auto"/>
          <w:sz w:val="28"/>
          <w:szCs w:val="28"/>
          <w:highlight w:val="none"/>
          <w:lang w:val="en-US" w:eastAsia="zh-CN"/>
        </w:rPr>
        <w:t>、</w:t>
      </w:r>
      <w:r>
        <w:rPr>
          <w:rFonts w:hint="eastAsia" w:ascii="微软雅黑" w:hAnsi="微软雅黑" w:eastAsia="微软雅黑" w:cs="微软雅黑"/>
          <w:color w:val="auto"/>
          <w:sz w:val="28"/>
          <w:szCs w:val="28"/>
          <w:highlight w:val="none"/>
        </w:rPr>
        <w:t>开标一览表</w:t>
      </w:r>
      <w:bookmarkEnd w:id="346"/>
      <w:bookmarkEnd w:id="347"/>
      <w:bookmarkStart w:id="362" w:name="_Hlt520356241"/>
      <w:bookmarkEnd w:id="362"/>
    </w:p>
    <w:p w14:paraId="5157EF5C">
      <w:pPr>
        <w:tabs>
          <w:tab w:val="left" w:pos="1800"/>
          <w:tab w:val="left" w:pos="5580"/>
        </w:tabs>
        <w:spacing w:line="240" w:lineRule="atLeast"/>
        <w:ind w:left="1079" w:leftChars="257" w:right="-867" w:rightChars="-413" w:hanging="54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项目名称：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lang w:eastAsia="zh-CN"/>
        </w:rPr>
        <w:t>项目编号</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p>
    <w:p w14:paraId="70484B68">
      <w:pPr>
        <w:tabs>
          <w:tab w:val="left" w:pos="1800"/>
          <w:tab w:val="left" w:pos="5580"/>
        </w:tabs>
        <w:spacing w:line="240" w:lineRule="atLeast"/>
        <w:ind w:right="-867" w:rightChars="-413" w:firstLine="6960" w:firstLineChars="29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报价单位：</w:t>
      </w:r>
      <w:r>
        <w:rPr>
          <w:rFonts w:hint="eastAsia" w:ascii="微软雅黑" w:hAnsi="微软雅黑" w:eastAsia="微软雅黑" w:cs="微软雅黑"/>
          <w:color w:val="auto"/>
          <w:sz w:val="24"/>
          <w:szCs w:val="24"/>
          <w:highlight w:val="none"/>
          <w:lang w:val="en-US" w:eastAsia="zh-CN"/>
        </w:rPr>
        <w:t xml:space="preserve">人民币/元       </w:t>
      </w:r>
    </w:p>
    <w:tbl>
      <w:tblPr>
        <w:tblStyle w:val="41"/>
        <w:tblW w:w="9747" w:type="dxa"/>
        <w:tblInd w:w="-61" w:type="dxa"/>
        <w:tblLayout w:type="fixed"/>
        <w:tblCellMar>
          <w:top w:w="0" w:type="dxa"/>
          <w:left w:w="0" w:type="dxa"/>
          <w:bottom w:w="0" w:type="dxa"/>
          <w:right w:w="0" w:type="dxa"/>
        </w:tblCellMar>
      </w:tblPr>
      <w:tblGrid>
        <w:gridCol w:w="552"/>
        <w:gridCol w:w="2287"/>
        <w:gridCol w:w="2158"/>
        <w:gridCol w:w="1633"/>
        <w:gridCol w:w="1509"/>
        <w:gridCol w:w="1608"/>
      </w:tblGrid>
      <w:tr w14:paraId="722A8B51">
        <w:tblPrEx>
          <w:tblCellMar>
            <w:top w:w="0" w:type="dxa"/>
            <w:left w:w="0" w:type="dxa"/>
            <w:bottom w:w="0" w:type="dxa"/>
            <w:right w:w="0" w:type="dxa"/>
          </w:tblCellMar>
        </w:tblPrEx>
        <w:trPr>
          <w:trHeight w:val="1245" w:hRule="atLeast"/>
        </w:trPr>
        <w:tc>
          <w:tcPr>
            <w:tcW w:w="552" w:type="dxa"/>
            <w:tcBorders>
              <w:top w:val="single" w:color="auto" w:sz="4" w:space="0"/>
              <w:left w:val="single" w:color="auto" w:sz="4" w:space="0"/>
              <w:bottom w:val="single" w:color="auto" w:sz="8" w:space="0"/>
              <w:right w:val="single" w:color="auto" w:sz="4" w:space="0"/>
            </w:tcBorders>
            <w:noWrap w:val="0"/>
            <w:vAlign w:val="center"/>
          </w:tcPr>
          <w:p w14:paraId="7D01470B">
            <w:pPr>
              <w:tabs>
                <w:tab w:val="left" w:pos="5580"/>
              </w:tabs>
              <w:spacing w:line="240" w:lineRule="atLeast"/>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序号</w:t>
            </w:r>
          </w:p>
        </w:tc>
        <w:tc>
          <w:tcPr>
            <w:tcW w:w="2287" w:type="dxa"/>
            <w:tcBorders>
              <w:top w:val="single" w:color="auto" w:sz="8" w:space="0"/>
              <w:left w:val="nil"/>
              <w:bottom w:val="single" w:color="auto" w:sz="8" w:space="0"/>
              <w:right w:val="single" w:color="auto" w:sz="4" w:space="0"/>
            </w:tcBorders>
            <w:noWrap w:val="0"/>
            <w:vAlign w:val="center"/>
          </w:tcPr>
          <w:p w14:paraId="0AE00D87">
            <w:pPr>
              <w:tabs>
                <w:tab w:val="left" w:pos="5580"/>
              </w:tabs>
              <w:spacing w:line="240" w:lineRule="atLeas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投标报价 (总价、元)</w:t>
            </w:r>
          </w:p>
        </w:tc>
        <w:tc>
          <w:tcPr>
            <w:tcW w:w="2158" w:type="dxa"/>
            <w:tcBorders>
              <w:top w:val="single" w:color="auto" w:sz="8" w:space="0"/>
              <w:left w:val="nil"/>
              <w:bottom w:val="single" w:color="auto" w:sz="8" w:space="0"/>
              <w:right w:val="single" w:color="auto" w:sz="4" w:space="0"/>
            </w:tcBorders>
            <w:noWrap w:val="0"/>
            <w:vAlign w:val="center"/>
          </w:tcPr>
          <w:p w14:paraId="390DFA8B">
            <w:pPr>
              <w:tabs>
                <w:tab w:val="left" w:pos="5580"/>
              </w:tabs>
              <w:spacing w:line="240" w:lineRule="atLeas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投标保证金缴纳金额及缴纳方式</w:t>
            </w:r>
          </w:p>
        </w:tc>
        <w:tc>
          <w:tcPr>
            <w:tcW w:w="1633" w:type="dxa"/>
            <w:tcBorders>
              <w:top w:val="single" w:color="auto" w:sz="8" w:space="0"/>
              <w:left w:val="nil"/>
              <w:bottom w:val="single" w:color="auto" w:sz="8" w:space="0"/>
              <w:right w:val="single" w:color="auto" w:sz="4" w:space="0"/>
            </w:tcBorders>
            <w:noWrap w:val="0"/>
            <w:vAlign w:val="center"/>
          </w:tcPr>
          <w:p w14:paraId="4A4EB7A6">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交货期限 </w:t>
            </w:r>
          </w:p>
        </w:tc>
        <w:tc>
          <w:tcPr>
            <w:tcW w:w="1509" w:type="dxa"/>
            <w:tcBorders>
              <w:top w:val="single" w:color="auto" w:sz="8" w:space="0"/>
              <w:left w:val="nil"/>
              <w:bottom w:val="single" w:color="auto" w:sz="8" w:space="0"/>
              <w:right w:val="single" w:color="auto" w:sz="4" w:space="0"/>
            </w:tcBorders>
            <w:noWrap w:val="0"/>
            <w:vAlign w:val="center"/>
          </w:tcPr>
          <w:p w14:paraId="3B76DD5F">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交货</w:t>
            </w:r>
            <w:r>
              <w:rPr>
                <w:rFonts w:hint="eastAsia" w:ascii="微软雅黑" w:hAnsi="微软雅黑" w:eastAsia="微软雅黑" w:cs="微软雅黑"/>
                <w:color w:val="auto"/>
                <w:sz w:val="24"/>
                <w:szCs w:val="24"/>
                <w:highlight w:val="none"/>
              </w:rPr>
              <w:t>地点</w:t>
            </w:r>
          </w:p>
        </w:tc>
        <w:tc>
          <w:tcPr>
            <w:tcW w:w="1608" w:type="dxa"/>
            <w:tcBorders>
              <w:top w:val="single" w:color="auto" w:sz="8" w:space="0"/>
              <w:left w:val="single" w:color="auto" w:sz="4" w:space="0"/>
              <w:bottom w:val="single" w:color="auto" w:sz="8" w:space="0"/>
              <w:right w:val="single" w:color="auto" w:sz="8" w:space="0"/>
            </w:tcBorders>
            <w:noWrap w:val="0"/>
            <w:vAlign w:val="center"/>
          </w:tcPr>
          <w:p w14:paraId="16C58228">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6012C225">
        <w:tblPrEx>
          <w:tblCellMar>
            <w:top w:w="0" w:type="dxa"/>
            <w:left w:w="0" w:type="dxa"/>
            <w:bottom w:w="0" w:type="dxa"/>
            <w:right w:w="0" w:type="dxa"/>
          </w:tblCellMar>
        </w:tblPrEx>
        <w:trPr>
          <w:cantSplit/>
          <w:trHeight w:val="2752" w:hRule="atLeast"/>
        </w:trPr>
        <w:tc>
          <w:tcPr>
            <w:tcW w:w="552" w:type="dxa"/>
            <w:tcBorders>
              <w:top w:val="single" w:color="auto" w:sz="8" w:space="0"/>
              <w:left w:val="single" w:color="auto" w:sz="4" w:space="0"/>
              <w:bottom w:val="single" w:color="auto" w:sz="4" w:space="0"/>
              <w:right w:val="single" w:color="auto" w:sz="4" w:space="0"/>
            </w:tcBorders>
            <w:noWrap w:val="0"/>
            <w:vAlign w:val="center"/>
          </w:tcPr>
          <w:p w14:paraId="33D4367E">
            <w:pPr>
              <w:tabs>
                <w:tab w:val="left" w:pos="5580"/>
              </w:tabs>
              <w:spacing w:line="240" w:lineRule="atLeas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2287" w:type="dxa"/>
            <w:tcBorders>
              <w:left w:val="nil"/>
              <w:bottom w:val="single" w:color="auto" w:sz="4" w:space="0"/>
              <w:right w:val="single" w:color="auto" w:sz="4" w:space="0"/>
            </w:tcBorders>
            <w:noWrap w:val="0"/>
            <w:vAlign w:val="center"/>
          </w:tcPr>
          <w:p w14:paraId="040CB2DB">
            <w:pPr>
              <w:tabs>
                <w:tab w:val="left" w:pos="5580"/>
              </w:tabs>
              <w:spacing w:line="480" w:lineRule="auto"/>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大写：</w:t>
            </w:r>
          </w:p>
          <w:p w14:paraId="57273506">
            <w:pPr>
              <w:tabs>
                <w:tab w:val="left" w:pos="5580"/>
              </w:tabs>
              <w:spacing w:line="480" w:lineRule="auto"/>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小写：</w:t>
            </w:r>
          </w:p>
        </w:tc>
        <w:tc>
          <w:tcPr>
            <w:tcW w:w="2158" w:type="dxa"/>
            <w:tcBorders>
              <w:top w:val="single" w:color="auto" w:sz="8" w:space="0"/>
              <w:left w:val="nil"/>
              <w:bottom w:val="single" w:color="auto" w:sz="4" w:space="0"/>
              <w:right w:val="single" w:color="auto" w:sz="4" w:space="0"/>
            </w:tcBorders>
            <w:noWrap w:val="0"/>
            <w:vAlign w:val="center"/>
          </w:tcPr>
          <w:p w14:paraId="42641A72">
            <w:pPr>
              <w:tabs>
                <w:tab w:val="left" w:pos="5580"/>
              </w:tabs>
              <w:spacing w:line="240" w:lineRule="atLeast"/>
              <w:jc w:val="both"/>
              <w:rPr>
                <w:rFonts w:hint="eastAsia" w:ascii="微软雅黑" w:hAnsi="微软雅黑" w:eastAsia="微软雅黑" w:cs="微软雅黑"/>
                <w:color w:val="auto"/>
                <w:sz w:val="24"/>
                <w:szCs w:val="24"/>
                <w:highlight w:val="none"/>
              </w:rPr>
            </w:pPr>
          </w:p>
        </w:tc>
        <w:tc>
          <w:tcPr>
            <w:tcW w:w="1633" w:type="dxa"/>
            <w:tcBorders>
              <w:top w:val="single" w:color="auto" w:sz="8" w:space="0"/>
              <w:left w:val="nil"/>
              <w:bottom w:val="single" w:color="auto" w:sz="4" w:space="0"/>
              <w:right w:val="single" w:color="auto" w:sz="4" w:space="0"/>
            </w:tcBorders>
            <w:noWrap w:val="0"/>
            <w:vAlign w:val="center"/>
          </w:tcPr>
          <w:p w14:paraId="023201A9">
            <w:pPr>
              <w:tabs>
                <w:tab w:val="left" w:pos="5580"/>
              </w:tabs>
              <w:spacing w:line="240" w:lineRule="atLeast"/>
              <w:jc w:val="both"/>
              <w:rPr>
                <w:rFonts w:hint="eastAsia" w:ascii="微软雅黑" w:hAnsi="微软雅黑" w:eastAsia="微软雅黑" w:cs="微软雅黑"/>
                <w:color w:val="auto"/>
                <w:sz w:val="24"/>
                <w:szCs w:val="24"/>
                <w:highlight w:val="none"/>
              </w:rPr>
            </w:pPr>
          </w:p>
        </w:tc>
        <w:tc>
          <w:tcPr>
            <w:tcW w:w="1509" w:type="dxa"/>
            <w:tcBorders>
              <w:top w:val="single" w:color="auto" w:sz="8" w:space="0"/>
              <w:left w:val="nil"/>
              <w:bottom w:val="single" w:color="auto" w:sz="4" w:space="0"/>
              <w:right w:val="single" w:color="auto" w:sz="4" w:space="0"/>
            </w:tcBorders>
            <w:noWrap w:val="0"/>
            <w:vAlign w:val="center"/>
          </w:tcPr>
          <w:p w14:paraId="31F8D367">
            <w:pPr>
              <w:tabs>
                <w:tab w:val="left" w:pos="5580"/>
              </w:tabs>
              <w:spacing w:line="240" w:lineRule="atLeast"/>
              <w:jc w:val="both"/>
              <w:rPr>
                <w:rFonts w:hint="eastAsia" w:ascii="微软雅黑" w:hAnsi="微软雅黑" w:eastAsia="微软雅黑" w:cs="微软雅黑"/>
                <w:color w:val="auto"/>
                <w:sz w:val="24"/>
                <w:szCs w:val="24"/>
                <w:highlight w:val="none"/>
              </w:rPr>
            </w:pPr>
          </w:p>
        </w:tc>
        <w:tc>
          <w:tcPr>
            <w:tcW w:w="1608" w:type="dxa"/>
            <w:tcBorders>
              <w:top w:val="single" w:color="auto" w:sz="8" w:space="0"/>
              <w:left w:val="single" w:color="auto" w:sz="4" w:space="0"/>
              <w:bottom w:val="single" w:color="auto" w:sz="4" w:space="0"/>
              <w:right w:val="single" w:color="auto" w:sz="8" w:space="0"/>
            </w:tcBorders>
            <w:noWrap w:val="0"/>
            <w:vAlign w:val="center"/>
          </w:tcPr>
          <w:p w14:paraId="7F713925">
            <w:pPr>
              <w:tabs>
                <w:tab w:val="left" w:pos="5580"/>
              </w:tabs>
              <w:spacing w:line="240" w:lineRule="atLeast"/>
              <w:jc w:val="both"/>
              <w:rPr>
                <w:rFonts w:hint="eastAsia" w:ascii="微软雅黑" w:hAnsi="微软雅黑" w:eastAsia="微软雅黑" w:cs="微软雅黑"/>
                <w:color w:val="auto"/>
                <w:sz w:val="24"/>
                <w:szCs w:val="24"/>
                <w:highlight w:val="none"/>
              </w:rPr>
            </w:pPr>
          </w:p>
        </w:tc>
      </w:tr>
    </w:tbl>
    <w:p w14:paraId="552F31E6">
      <w:pPr>
        <w:pStyle w:val="16"/>
        <w:tabs>
          <w:tab w:val="left" w:pos="5580"/>
        </w:tabs>
        <w:spacing w:line="240" w:lineRule="atLeast"/>
        <w:rPr>
          <w:rFonts w:hint="eastAsia" w:ascii="微软雅黑" w:hAnsi="微软雅黑" w:eastAsia="微软雅黑" w:cs="微软雅黑"/>
          <w:color w:val="auto"/>
          <w:sz w:val="24"/>
          <w:szCs w:val="24"/>
          <w:highlight w:val="none"/>
          <w:u w:val="single"/>
        </w:rPr>
      </w:pPr>
    </w:p>
    <w:p w14:paraId="5BAC5F83">
      <w:pPr>
        <w:pStyle w:val="16"/>
        <w:tabs>
          <w:tab w:val="left" w:pos="5580"/>
        </w:tabs>
        <w:spacing w:line="240" w:lineRule="atLeast"/>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名称（单位盖</w:t>
      </w:r>
      <w:r>
        <w:rPr>
          <w:rFonts w:hint="eastAsia" w:ascii="微软雅黑" w:hAnsi="微软雅黑" w:eastAsia="微软雅黑" w:cs="微软雅黑"/>
          <w:color w:val="auto"/>
          <w:sz w:val="24"/>
          <w:szCs w:val="24"/>
          <w:highlight w:val="none"/>
          <w:lang w:eastAsia="zh-CN"/>
        </w:rPr>
        <w:t>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5DEDAE5B">
      <w:pPr>
        <w:pStyle w:val="16"/>
        <w:tabs>
          <w:tab w:val="left" w:pos="5580"/>
        </w:tabs>
        <w:spacing w:line="240" w:lineRule="atLeast"/>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(签字或盖章):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487950CC">
      <w:pPr>
        <w:pStyle w:val="16"/>
        <w:tabs>
          <w:tab w:val="left" w:pos="5580"/>
        </w:tabs>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5957BECF">
      <w:pPr>
        <w:pStyle w:val="16"/>
        <w:pageBreakBefore w:val="0"/>
        <w:tabs>
          <w:tab w:val="left" w:pos="5580"/>
        </w:tabs>
        <w:kinsoku/>
        <w:overflowPunct/>
        <w:bidi w:val="0"/>
        <w:snapToGrid w:val="0"/>
        <w:spacing w:line="312" w:lineRule="auto"/>
        <w:rPr>
          <w:rFonts w:hint="eastAsia" w:ascii="微软雅黑" w:hAnsi="微软雅黑" w:eastAsia="微软雅黑" w:cs="微软雅黑"/>
          <w:b/>
          <w:bCs/>
          <w:color w:val="auto"/>
          <w:sz w:val="24"/>
          <w:szCs w:val="24"/>
          <w:highlight w:val="none"/>
          <w:lang w:eastAsia="zh-CN"/>
        </w:rPr>
      </w:pPr>
      <w:bookmarkStart w:id="363" w:name="_Toc61"/>
      <w:bookmarkStart w:id="364" w:name="_Toc518923109"/>
    </w:p>
    <w:p w14:paraId="19260280">
      <w:pPr>
        <w:pStyle w:val="16"/>
        <w:pageBreakBefore w:val="0"/>
        <w:tabs>
          <w:tab w:val="left" w:pos="5580"/>
        </w:tabs>
        <w:kinsoku/>
        <w:overflowPunct/>
        <w:bidi w:val="0"/>
        <w:snapToGrid w:val="0"/>
        <w:spacing w:line="312" w:lineRule="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t xml:space="preserve">注: </w:t>
      </w:r>
      <w:r>
        <w:rPr>
          <w:rFonts w:hint="eastAsia" w:ascii="微软雅黑" w:hAnsi="微软雅黑" w:eastAsia="微软雅黑" w:cs="微软雅黑"/>
          <w:b/>
          <w:bCs/>
          <w:color w:val="auto"/>
          <w:sz w:val="24"/>
          <w:szCs w:val="24"/>
          <w:highlight w:val="none"/>
          <w:lang w:val="en-US" w:eastAsia="zh-CN"/>
        </w:rPr>
        <w:t xml:space="preserve"> 1</w:t>
      </w:r>
      <w:r>
        <w:rPr>
          <w:rFonts w:hint="eastAsia" w:ascii="微软雅黑" w:hAnsi="微软雅黑" w:eastAsia="微软雅黑" w:cs="微软雅黑"/>
          <w:b/>
          <w:bCs/>
          <w:color w:val="auto"/>
          <w:sz w:val="24"/>
          <w:szCs w:val="24"/>
          <w:highlight w:val="none"/>
          <w:lang w:eastAsia="zh-CN"/>
        </w:rPr>
        <w:t xml:space="preserve">、此表中，投标总价应和投标分项报价表的总价相一致。 </w:t>
      </w:r>
    </w:p>
    <w:p w14:paraId="121F4FEB">
      <w:pPr>
        <w:pStyle w:val="16"/>
        <w:pageBreakBefore w:val="0"/>
        <w:tabs>
          <w:tab w:val="left" w:pos="5580"/>
        </w:tabs>
        <w:kinsoku/>
        <w:overflowPunct/>
        <w:bidi w:val="0"/>
        <w:snapToGrid w:val="0"/>
        <w:spacing w:line="312" w:lineRule="auto"/>
        <w:ind w:firstLine="480" w:firstLineChars="200"/>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2</w:t>
      </w:r>
      <w:r>
        <w:rPr>
          <w:rFonts w:hint="eastAsia" w:ascii="微软雅黑" w:hAnsi="微软雅黑" w:eastAsia="微软雅黑" w:cs="微软雅黑"/>
          <w:b/>
          <w:bCs/>
          <w:color w:val="auto"/>
          <w:sz w:val="24"/>
          <w:szCs w:val="24"/>
          <w:highlight w:val="none"/>
          <w:lang w:eastAsia="zh-CN"/>
        </w:rPr>
        <w:t>、投标人报价时包含税费、运费等一切与本次项目相关的费用。</w:t>
      </w:r>
    </w:p>
    <w:p w14:paraId="5E4EA48E">
      <w:pPr>
        <w:pStyle w:val="17"/>
        <w:ind w:left="0" w:leftChars="0" w:firstLine="0" w:firstLineChars="0"/>
        <w:rPr>
          <w:rFonts w:hint="eastAsia"/>
          <w:color w:val="auto"/>
          <w:highlight w:val="none"/>
          <w:lang w:eastAsia="zh-CN"/>
        </w:rPr>
      </w:pPr>
    </w:p>
    <w:p w14:paraId="76F3AD2E">
      <w:pPr>
        <w:pStyle w:val="3"/>
        <w:spacing w:before="0" w:line="240" w:lineRule="atLeast"/>
        <w:ind w:left="1079" w:leftChars="257" w:hanging="540"/>
        <w:rPr>
          <w:rFonts w:hint="eastAsia" w:ascii="微软雅黑" w:hAnsi="微软雅黑" w:eastAsia="微软雅黑" w:cs="微软雅黑"/>
          <w:color w:val="auto"/>
          <w:sz w:val="28"/>
          <w:szCs w:val="28"/>
          <w:highlight w:val="none"/>
        </w:rPr>
        <w:sectPr>
          <w:footerReference r:id="rId10" w:type="default"/>
          <w:pgSz w:w="11906" w:h="16838"/>
          <w:pgMar w:top="1440" w:right="1080" w:bottom="1440" w:left="1080" w:header="851" w:footer="992" w:gutter="0"/>
          <w:pgNumType w:fmt="decimal"/>
          <w:cols w:space="720" w:num="1"/>
          <w:docGrid w:type="linesAndChars" w:linePitch="312" w:charSpace="0"/>
        </w:sectPr>
      </w:pPr>
    </w:p>
    <w:p w14:paraId="5B0ED9D8">
      <w:pPr>
        <w:pStyle w:val="3"/>
        <w:spacing w:before="0" w:line="240" w:lineRule="atLeast"/>
        <w:jc w:val="center"/>
        <w:rPr>
          <w:rFonts w:hint="eastAsia" w:ascii="微软雅黑" w:hAnsi="微软雅黑" w:eastAsia="微软雅黑" w:cs="微软雅黑"/>
          <w:b w:val="0"/>
          <w:color w:val="auto"/>
          <w:sz w:val="28"/>
          <w:szCs w:val="28"/>
          <w:highlight w:val="none"/>
        </w:rPr>
      </w:pPr>
      <w:r>
        <w:rPr>
          <w:rFonts w:hint="eastAsia" w:ascii="微软雅黑" w:hAnsi="微软雅黑" w:eastAsia="微软雅黑" w:cs="微软雅黑"/>
          <w:color w:val="auto"/>
          <w:sz w:val="28"/>
          <w:szCs w:val="28"/>
          <w:highlight w:val="none"/>
        </w:rPr>
        <w:t>2</w:t>
      </w:r>
      <w:r>
        <w:rPr>
          <w:rFonts w:hint="eastAsia" w:ascii="微软雅黑" w:hAnsi="微软雅黑" w:eastAsia="微软雅黑" w:cs="微软雅黑"/>
          <w:color w:val="auto"/>
          <w:sz w:val="28"/>
          <w:szCs w:val="28"/>
          <w:highlight w:val="none"/>
          <w:lang w:eastAsia="zh-CN"/>
        </w:rPr>
        <w:t>、</w:t>
      </w:r>
      <w:bookmarkEnd w:id="363"/>
      <w:bookmarkEnd w:id="364"/>
      <w:r>
        <w:rPr>
          <w:rFonts w:hint="eastAsia" w:ascii="微软雅黑" w:hAnsi="微软雅黑" w:eastAsia="微软雅黑" w:cs="微软雅黑"/>
          <w:color w:val="auto"/>
          <w:sz w:val="28"/>
          <w:szCs w:val="28"/>
          <w:highlight w:val="none"/>
        </w:rPr>
        <w:t>有效的</w:t>
      </w:r>
      <w:r>
        <w:rPr>
          <w:rFonts w:hint="eastAsia" w:ascii="微软雅黑" w:hAnsi="微软雅黑" w:eastAsia="微软雅黑" w:cs="微软雅黑"/>
          <w:b/>
          <w:color w:val="auto"/>
          <w:sz w:val="28"/>
          <w:szCs w:val="28"/>
          <w:highlight w:val="none"/>
        </w:rPr>
        <w:t>营业执照等</w:t>
      </w:r>
      <w:r>
        <w:rPr>
          <w:rFonts w:hint="eastAsia" w:ascii="微软雅黑" w:hAnsi="微软雅黑" w:eastAsia="微软雅黑" w:cs="微软雅黑"/>
          <w:color w:val="auto"/>
          <w:sz w:val="28"/>
          <w:szCs w:val="28"/>
          <w:highlight w:val="none"/>
        </w:rPr>
        <w:t>证明文件</w:t>
      </w:r>
    </w:p>
    <w:p w14:paraId="1D6E4C2F">
      <w:pPr>
        <w:pStyle w:val="16"/>
        <w:tabs>
          <w:tab w:val="left" w:pos="5580"/>
        </w:tabs>
        <w:spacing w:line="360" w:lineRule="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rPr>
        <w:t>说明：</w:t>
      </w:r>
      <w:r>
        <w:rPr>
          <w:rFonts w:hint="eastAsia" w:ascii="微软雅黑" w:hAnsi="微软雅黑" w:eastAsia="微软雅黑" w:cs="微软雅黑"/>
          <w:b w:val="0"/>
          <w:bCs w:val="0"/>
          <w:color w:val="auto"/>
          <w:kern w:val="2"/>
          <w:sz w:val="24"/>
          <w:szCs w:val="24"/>
          <w:highlight w:val="none"/>
          <w:lang w:val="en-US" w:eastAsia="zh-CN" w:bidi="ar-SA"/>
        </w:rPr>
        <w:t>提供有效的法人或者其他组织的营业执照等证明文件扫描件，扫描件上应加盖本单位公章。</w:t>
      </w:r>
    </w:p>
    <w:p w14:paraId="545E3C0A">
      <w:pPr>
        <w:pStyle w:val="16"/>
        <w:tabs>
          <w:tab w:val="left" w:pos="5580"/>
        </w:tabs>
        <w:spacing w:line="360" w:lineRule="auto"/>
        <w:ind w:firstLine="720" w:firstLineChars="300"/>
        <w:rPr>
          <w:rFonts w:hint="default" w:ascii="微软雅黑" w:hAnsi="微软雅黑" w:eastAsia="微软雅黑" w:cs="微软雅黑"/>
          <w:b w:val="0"/>
          <w:bCs w:val="0"/>
          <w:color w:val="auto"/>
          <w:kern w:val="2"/>
          <w:sz w:val="24"/>
          <w:szCs w:val="24"/>
          <w:highlight w:val="none"/>
          <w:lang w:val="en-US" w:eastAsia="zh-CN" w:bidi="ar-SA"/>
        </w:rPr>
        <w:sectPr>
          <w:pgSz w:w="11906" w:h="16838"/>
          <w:pgMar w:top="1440" w:right="1080" w:bottom="1440" w:left="1080" w:header="851" w:footer="992" w:gutter="0"/>
          <w:pgNumType w:fmt="decimal"/>
          <w:cols w:space="720" w:num="1"/>
          <w:docGrid w:type="linesAndChars" w:linePitch="312" w:charSpace="0"/>
        </w:sectPr>
      </w:pPr>
    </w:p>
    <w:p w14:paraId="5D26BD41">
      <w:pPr>
        <w:pStyle w:val="3"/>
        <w:spacing w:before="0" w:line="240" w:lineRule="atLeast"/>
        <w:jc w:val="center"/>
        <w:rPr>
          <w:rFonts w:hint="eastAsia" w:ascii="微软雅黑" w:hAnsi="微软雅黑" w:eastAsia="微软雅黑" w:cs="微软雅黑"/>
          <w:b/>
          <w:color w:val="auto"/>
          <w:sz w:val="28"/>
          <w:szCs w:val="28"/>
          <w:highlight w:val="none"/>
          <w:lang w:val="en-US" w:eastAsia="zh-CN"/>
        </w:rPr>
      </w:pPr>
      <w:bookmarkStart w:id="365" w:name="_Toc12923"/>
      <w:bookmarkStart w:id="366" w:name="_Toc16191"/>
      <w:bookmarkStart w:id="367" w:name="_Toc29452"/>
      <w:bookmarkStart w:id="368" w:name="_Toc515647807"/>
      <w:bookmarkStart w:id="369" w:name="_Toc22472"/>
      <w:bookmarkStart w:id="370" w:name="_Toc1083"/>
      <w:r>
        <w:rPr>
          <w:rFonts w:hint="eastAsia" w:ascii="微软雅黑" w:hAnsi="微软雅黑" w:eastAsia="微软雅黑" w:cs="微软雅黑"/>
          <w:color w:val="auto"/>
          <w:sz w:val="28"/>
          <w:szCs w:val="28"/>
          <w:highlight w:val="none"/>
          <w:lang w:val="en-US" w:eastAsia="zh-CN"/>
        </w:rPr>
        <w:t>3</w:t>
      </w:r>
      <w:r>
        <w:rPr>
          <w:rFonts w:hint="eastAsia" w:ascii="微软雅黑" w:hAnsi="微软雅黑" w:eastAsia="微软雅黑" w:cs="微软雅黑"/>
          <w:color w:val="auto"/>
          <w:sz w:val="28"/>
          <w:szCs w:val="28"/>
          <w:highlight w:val="none"/>
          <w:lang w:eastAsia="zh-CN"/>
        </w:rPr>
        <w:t>、</w:t>
      </w:r>
      <w:bookmarkEnd w:id="365"/>
      <w:r>
        <w:rPr>
          <w:rFonts w:hint="eastAsia" w:ascii="微软雅黑" w:hAnsi="微软雅黑" w:eastAsia="微软雅黑" w:cs="微软雅黑"/>
          <w:color w:val="auto"/>
          <w:sz w:val="28"/>
          <w:szCs w:val="28"/>
          <w:highlight w:val="none"/>
          <w:lang w:eastAsia="zh-CN"/>
        </w:rPr>
        <w:t>法定代表人（单位负责人）投标需提供法定代表人（单位负责人）身份证明；授权人投标需提供法定代表人(单位负责人)身份证明及授权书；</w:t>
      </w:r>
    </w:p>
    <w:p w14:paraId="71E9D68A">
      <w:pPr>
        <w:pStyle w:val="3"/>
        <w:spacing w:before="0" w:line="240" w:lineRule="atLeast"/>
        <w:jc w:val="center"/>
        <w:rPr>
          <w:rFonts w:hint="eastAsia" w:ascii="微软雅黑" w:hAnsi="微软雅黑" w:eastAsia="微软雅黑" w:cs="微软雅黑"/>
          <w:b/>
          <w:color w:val="auto"/>
          <w:sz w:val="28"/>
          <w:szCs w:val="28"/>
          <w:highlight w:val="none"/>
          <w:lang w:val="en-US" w:eastAsia="zh-CN"/>
        </w:rPr>
      </w:pPr>
      <w:r>
        <w:rPr>
          <w:rFonts w:hint="eastAsia" w:ascii="微软雅黑" w:hAnsi="微软雅黑" w:eastAsia="微软雅黑" w:cs="微软雅黑"/>
          <w:b/>
          <w:color w:val="auto"/>
          <w:sz w:val="28"/>
          <w:szCs w:val="28"/>
          <w:highlight w:val="none"/>
          <w:lang w:val="en-US" w:eastAsia="zh-CN"/>
        </w:rPr>
        <w:t>3.1、法定代表人（单位负责人）身份证明</w:t>
      </w:r>
      <w:bookmarkEnd w:id="366"/>
      <w:bookmarkEnd w:id="367"/>
    </w:p>
    <w:bookmarkEnd w:id="368"/>
    <w:bookmarkEnd w:id="369"/>
    <w:bookmarkEnd w:id="370"/>
    <w:p w14:paraId="696DCAC4">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8"/>
          <w:szCs w:val="28"/>
          <w:highlight w:val="none"/>
        </w:rPr>
        <w:cr/>
      </w:r>
      <w:r>
        <w:rPr>
          <w:rFonts w:hint="eastAsia" w:ascii="微软雅黑" w:hAnsi="微软雅黑" w:eastAsia="微软雅黑" w:cs="微软雅黑"/>
          <w:color w:val="auto"/>
          <w:sz w:val="24"/>
          <w:szCs w:val="24"/>
          <w:highlight w:val="none"/>
        </w:rPr>
        <w:t xml:space="preserve">投标人名称： </w:t>
      </w:r>
      <w:r>
        <w:rPr>
          <w:rFonts w:hint="eastAsia" w:ascii="微软雅黑" w:hAnsi="微软雅黑" w:eastAsia="微软雅黑" w:cs="微软雅黑"/>
          <w:color w:val="auto"/>
          <w:sz w:val="24"/>
          <w:szCs w:val="24"/>
          <w:highlight w:val="none"/>
        </w:rPr>
        <w:tab/>
      </w:r>
    </w:p>
    <w:p w14:paraId="1237B25C">
      <w:pPr>
        <w:spacing w:line="360" w:lineRule="auto"/>
        <w:rPr>
          <w:rFonts w:hint="eastAsia" w:ascii="微软雅黑" w:hAnsi="微软雅黑" w:eastAsia="微软雅黑" w:cs="微软雅黑"/>
          <w:color w:val="auto"/>
          <w:sz w:val="24"/>
          <w:szCs w:val="24"/>
          <w:highlight w:val="none"/>
        </w:rPr>
      </w:pPr>
    </w:p>
    <w:p w14:paraId="160D6668">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姓名：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性别：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年龄：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职务： </w:t>
      </w:r>
      <w:r>
        <w:rPr>
          <w:rFonts w:hint="eastAsia" w:ascii="微软雅黑" w:hAnsi="微软雅黑" w:eastAsia="微软雅黑" w:cs="微软雅黑"/>
          <w:color w:val="auto"/>
          <w:sz w:val="24"/>
          <w:szCs w:val="24"/>
          <w:highlight w:val="none"/>
        </w:rPr>
        <w:tab/>
      </w:r>
    </w:p>
    <w:p w14:paraId="64988E57">
      <w:pPr>
        <w:spacing w:line="360" w:lineRule="auto"/>
        <w:rPr>
          <w:rFonts w:hint="eastAsia" w:ascii="微软雅黑" w:hAnsi="微软雅黑" w:eastAsia="微软雅黑" w:cs="微软雅黑"/>
          <w:color w:val="auto"/>
          <w:sz w:val="24"/>
          <w:szCs w:val="24"/>
          <w:highlight w:val="none"/>
        </w:rPr>
      </w:pPr>
    </w:p>
    <w:p w14:paraId="54F56A4A">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系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（投标人名称）的法定代表人（单位负责人）。</w:t>
      </w:r>
    </w:p>
    <w:p w14:paraId="78E754A9">
      <w:pPr>
        <w:spacing w:line="360" w:lineRule="auto"/>
        <w:rPr>
          <w:rFonts w:hint="eastAsia" w:ascii="微软雅黑" w:hAnsi="微软雅黑" w:eastAsia="微软雅黑" w:cs="微软雅黑"/>
          <w:color w:val="auto"/>
          <w:sz w:val="24"/>
          <w:szCs w:val="24"/>
          <w:highlight w:val="none"/>
        </w:rPr>
      </w:pPr>
    </w:p>
    <w:p w14:paraId="449A34FC">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特此证明。</w:t>
      </w:r>
    </w:p>
    <w:p w14:paraId="2A15E0EF">
      <w:pPr>
        <w:spacing w:line="360" w:lineRule="auto"/>
        <w:rPr>
          <w:rFonts w:hint="eastAsia" w:ascii="微软雅黑" w:hAnsi="微软雅黑" w:eastAsia="微软雅黑" w:cs="微软雅黑"/>
          <w:color w:val="auto"/>
          <w:sz w:val="24"/>
          <w:szCs w:val="24"/>
          <w:highlight w:val="none"/>
        </w:rPr>
      </w:pPr>
    </w:p>
    <w:p w14:paraId="0821F331">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附：法定代表人（单位负责人）身份证正反面</w:t>
      </w:r>
      <w:r>
        <w:rPr>
          <w:rFonts w:hint="eastAsia" w:ascii="微软雅黑" w:hAnsi="微软雅黑" w:eastAsia="微软雅黑" w:cs="微软雅黑"/>
          <w:color w:val="auto"/>
          <w:sz w:val="24"/>
          <w:szCs w:val="24"/>
          <w:highlight w:val="none"/>
          <w:lang w:eastAsia="zh-CN"/>
        </w:rPr>
        <w:t>扫描</w:t>
      </w:r>
      <w:r>
        <w:rPr>
          <w:rFonts w:hint="eastAsia" w:ascii="微软雅黑" w:hAnsi="微软雅黑" w:eastAsia="微软雅黑" w:cs="微软雅黑"/>
          <w:color w:val="auto"/>
          <w:sz w:val="24"/>
          <w:szCs w:val="24"/>
          <w:highlight w:val="none"/>
        </w:rPr>
        <w:t xml:space="preserve">件。 </w:t>
      </w:r>
    </w:p>
    <w:p w14:paraId="071A6BCC">
      <w:pPr>
        <w:spacing w:line="360" w:lineRule="auto"/>
        <w:rPr>
          <w:rFonts w:hint="eastAsia" w:ascii="微软雅黑" w:hAnsi="微软雅黑" w:eastAsia="微软雅黑" w:cs="微软雅黑"/>
          <w:color w:val="auto"/>
          <w:sz w:val="24"/>
          <w:szCs w:val="24"/>
          <w:highlight w:val="none"/>
        </w:rPr>
      </w:pPr>
    </w:p>
    <w:p w14:paraId="0EF70F5D">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注：本身份证明需由投标人加盖单位公章。</w:t>
      </w:r>
    </w:p>
    <w:p w14:paraId="56DE5056">
      <w:pPr>
        <w:spacing w:line="360" w:lineRule="auto"/>
        <w:rPr>
          <w:rFonts w:hint="eastAsia" w:ascii="微软雅黑" w:hAnsi="微软雅黑" w:eastAsia="微软雅黑" w:cs="微软雅黑"/>
          <w:color w:val="auto"/>
          <w:sz w:val="24"/>
          <w:szCs w:val="24"/>
          <w:highlight w:val="none"/>
        </w:rPr>
      </w:pPr>
    </w:p>
    <w:p w14:paraId="61B8AE73">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名称（单位盖</w:t>
      </w:r>
      <w:r>
        <w:rPr>
          <w:rFonts w:hint="eastAsia" w:ascii="微软雅黑" w:hAnsi="微软雅黑" w:eastAsia="微软雅黑" w:cs="微软雅黑"/>
          <w:color w:val="auto"/>
          <w:sz w:val="24"/>
          <w:szCs w:val="24"/>
          <w:highlight w:val="none"/>
          <w:lang w:eastAsia="zh-CN"/>
        </w:rPr>
        <w:t>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0C08D45E">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法定代表人（签字或盖章）：</w:t>
      </w:r>
      <w:r>
        <w:rPr>
          <w:rFonts w:hint="eastAsia" w:ascii="微软雅黑" w:hAnsi="微软雅黑" w:eastAsia="微软雅黑" w:cs="微软雅黑"/>
          <w:color w:val="auto"/>
          <w:sz w:val="24"/>
          <w:szCs w:val="24"/>
          <w:highlight w:val="none"/>
          <w:u w:val="single"/>
        </w:rPr>
        <w:t xml:space="preserve">                    </w:t>
      </w:r>
    </w:p>
    <w:p w14:paraId="45AA4DBB">
      <w:pPr>
        <w:pStyle w:val="16"/>
        <w:tabs>
          <w:tab w:val="left" w:pos="5580"/>
        </w:tabs>
        <w:spacing w:line="240" w:lineRule="atLeas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7B7D307E">
      <w:pPr>
        <w:pStyle w:val="16"/>
        <w:tabs>
          <w:tab w:val="left" w:pos="5580"/>
        </w:tabs>
        <w:spacing w:line="480" w:lineRule="auto"/>
        <w:rPr>
          <w:rFonts w:hint="eastAsia" w:ascii="微软雅黑" w:hAnsi="微软雅黑" w:eastAsia="微软雅黑" w:cs="微软雅黑"/>
          <w:color w:val="auto"/>
          <w:sz w:val="24"/>
          <w:szCs w:val="24"/>
          <w:highlight w:val="none"/>
        </w:rPr>
        <w:sectPr>
          <w:pgSz w:w="11906" w:h="16838"/>
          <w:pgMar w:top="1440" w:right="1080" w:bottom="1440" w:left="1080" w:header="851" w:footer="992" w:gutter="0"/>
          <w:pgNumType w:fmt="decimal"/>
          <w:cols w:space="720" w:num="1"/>
          <w:docGrid w:type="linesAndChars" w:linePitch="312" w:charSpace="0"/>
        </w:sectPr>
      </w:pPr>
      <w:r>
        <w:rPr>
          <w:rFonts w:hint="eastAsia" w:ascii="微软雅黑" w:hAnsi="微软雅黑" w:eastAsia="微软雅黑" w:cs="微软雅黑"/>
          <w:color w:val="auto"/>
          <w:sz w:val="24"/>
          <w:szCs w:val="24"/>
          <w:highlight w:val="none"/>
        </w:rPr>
        <w:t xml:space="preserve">   </w:t>
      </w:r>
    </w:p>
    <w:p w14:paraId="5ABB3BFA">
      <w:pPr>
        <w:pStyle w:val="16"/>
        <w:tabs>
          <w:tab w:val="left" w:pos="5580"/>
        </w:tabs>
        <w:spacing w:line="480" w:lineRule="auto"/>
        <w:jc w:val="center"/>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3.2、法定代表人（单位负责人）授权委托书</w:t>
      </w:r>
    </w:p>
    <w:p w14:paraId="701C6053">
      <w:pPr>
        <w:pStyle w:val="12"/>
        <w:keepNext w:val="0"/>
        <w:keepLines w:val="0"/>
        <w:pageBreakBefore w:val="0"/>
        <w:widowControl w:val="0"/>
        <w:tabs>
          <w:tab w:val="left" w:pos="2119"/>
          <w:tab w:val="clear" w:pos="567"/>
        </w:tabs>
        <w:kinsoku/>
        <w:wordWrap/>
        <w:overflowPunct/>
        <w:topLinePunct w:val="0"/>
        <w:autoSpaceDE/>
        <w:autoSpaceDN/>
        <w:bidi w:val="0"/>
        <w:adjustRightInd/>
        <w:snapToGrid w:val="0"/>
        <w:spacing w:before="181" w:line="288" w:lineRule="auto"/>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(采购人)</w:t>
      </w:r>
    </w:p>
    <w:p w14:paraId="45F1D218">
      <w:pPr>
        <w:pStyle w:val="16"/>
        <w:tabs>
          <w:tab w:val="left" w:pos="5580"/>
        </w:tabs>
        <w:spacing w:line="48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本授权书声明：注册于</w:t>
      </w:r>
      <w:r>
        <w:rPr>
          <w:rFonts w:hint="eastAsia" w:ascii="微软雅黑" w:hAnsi="微软雅黑" w:eastAsia="微软雅黑" w:cs="微软雅黑"/>
          <w:i w:val="0"/>
          <w:iCs w:val="0"/>
          <w:color w:val="auto"/>
          <w:sz w:val="24"/>
          <w:szCs w:val="24"/>
          <w:highlight w:val="none"/>
          <w:u w:val="single"/>
        </w:rPr>
        <w:t>（国家或地区的名称）</w:t>
      </w:r>
      <w:r>
        <w:rPr>
          <w:rFonts w:hint="eastAsia" w:ascii="微软雅黑" w:hAnsi="微软雅黑" w:eastAsia="微软雅黑" w:cs="微软雅黑"/>
          <w:i w:val="0"/>
          <w:iCs w:val="0"/>
          <w:color w:val="auto"/>
          <w:sz w:val="24"/>
          <w:szCs w:val="24"/>
          <w:highlight w:val="none"/>
        </w:rPr>
        <w:t>的（</w:t>
      </w:r>
      <w:r>
        <w:rPr>
          <w:rFonts w:hint="eastAsia" w:ascii="微软雅黑" w:hAnsi="微软雅黑" w:eastAsia="微软雅黑" w:cs="微软雅黑"/>
          <w:i w:val="0"/>
          <w:iCs w:val="0"/>
          <w:color w:val="auto"/>
          <w:sz w:val="24"/>
          <w:szCs w:val="24"/>
          <w:highlight w:val="none"/>
          <w:u w:val="single"/>
        </w:rPr>
        <w:t>投标人</w:t>
      </w:r>
      <w:r>
        <w:rPr>
          <w:rFonts w:hint="eastAsia" w:ascii="微软雅黑" w:hAnsi="微软雅黑" w:eastAsia="微软雅黑" w:cs="微软雅黑"/>
          <w:i w:val="0"/>
          <w:iCs w:val="0"/>
          <w:color w:val="auto"/>
          <w:sz w:val="24"/>
          <w:szCs w:val="24"/>
          <w:highlight w:val="none"/>
        </w:rPr>
        <w:t>）的在下面签字的（</w:t>
      </w:r>
      <w:r>
        <w:rPr>
          <w:rFonts w:hint="eastAsia" w:ascii="微软雅黑" w:hAnsi="微软雅黑" w:eastAsia="微软雅黑" w:cs="微软雅黑"/>
          <w:i w:val="0"/>
          <w:iCs w:val="0"/>
          <w:color w:val="auto"/>
          <w:sz w:val="24"/>
          <w:szCs w:val="24"/>
          <w:highlight w:val="none"/>
          <w:u w:val="single"/>
        </w:rPr>
        <w:t>法人代表姓名、职务</w:t>
      </w:r>
      <w:r>
        <w:rPr>
          <w:rFonts w:hint="eastAsia" w:ascii="微软雅黑" w:hAnsi="微软雅黑" w:eastAsia="微软雅黑" w:cs="微软雅黑"/>
          <w:i w:val="0"/>
          <w:iCs w:val="0"/>
          <w:color w:val="auto"/>
          <w:sz w:val="24"/>
          <w:szCs w:val="24"/>
          <w:highlight w:val="none"/>
        </w:rPr>
        <w:t>）代表我单位授权（</w:t>
      </w:r>
      <w:r>
        <w:rPr>
          <w:rFonts w:hint="eastAsia" w:ascii="微软雅黑" w:hAnsi="微软雅黑" w:eastAsia="微软雅黑" w:cs="微软雅黑"/>
          <w:i w:val="0"/>
          <w:iCs w:val="0"/>
          <w:color w:val="auto"/>
          <w:sz w:val="24"/>
          <w:szCs w:val="24"/>
          <w:highlight w:val="none"/>
          <w:u w:val="single"/>
        </w:rPr>
        <w:t>单位名称</w:t>
      </w:r>
      <w:r>
        <w:rPr>
          <w:rFonts w:hint="eastAsia" w:ascii="微软雅黑" w:hAnsi="微软雅黑" w:eastAsia="微软雅黑" w:cs="微软雅黑"/>
          <w:i w:val="0"/>
          <w:iCs w:val="0"/>
          <w:color w:val="auto"/>
          <w:sz w:val="24"/>
          <w:szCs w:val="24"/>
          <w:highlight w:val="none"/>
        </w:rPr>
        <w:t>）的在下面签字的（</w:t>
      </w:r>
      <w:r>
        <w:rPr>
          <w:rFonts w:hint="eastAsia" w:ascii="微软雅黑" w:hAnsi="微软雅黑" w:eastAsia="微软雅黑" w:cs="微软雅黑"/>
          <w:i w:val="0"/>
          <w:iCs w:val="0"/>
          <w:color w:val="auto"/>
          <w:sz w:val="24"/>
          <w:szCs w:val="24"/>
          <w:highlight w:val="none"/>
          <w:u w:val="single"/>
        </w:rPr>
        <w:t>被授权人的姓名、职务</w:t>
      </w:r>
      <w:r>
        <w:rPr>
          <w:rFonts w:hint="eastAsia" w:ascii="微软雅黑" w:hAnsi="微软雅黑" w:eastAsia="微软雅黑" w:cs="微软雅黑"/>
          <w:i w:val="0"/>
          <w:iCs w:val="0"/>
          <w:color w:val="auto"/>
          <w:sz w:val="24"/>
          <w:szCs w:val="24"/>
          <w:highlight w:val="none"/>
        </w:rPr>
        <w:t>）为我单位的合法代理人，就（</w:t>
      </w:r>
      <w:r>
        <w:rPr>
          <w:rFonts w:hint="eastAsia" w:ascii="微软雅黑" w:hAnsi="微软雅黑" w:eastAsia="微软雅黑" w:cs="微软雅黑"/>
          <w:i w:val="0"/>
          <w:iCs w:val="0"/>
          <w:color w:val="auto"/>
          <w:sz w:val="24"/>
          <w:szCs w:val="24"/>
          <w:highlight w:val="none"/>
          <w:u w:val="single"/>
          <w:lang w:eastAsia="zh-CN"/>
        </w:rPr>
        <w:t>项目</w:t>
      </w:r>
      <w:r>
        <w:rPr>
          <w:rFonts w:hint="eastAsia" w:ascii="微软雅黑" w:hAnsi="微软雅黑" w:eastAsia="微软雅黑" w:cs="微软雅黑"/>
          <w:i w:val="0"/>
          <w:iCs w:val="0"/>
          <w:color w:val="auto"/>
          <w:sz w:val="24"/>
          <w:szCs w:val="24"/>
          <w:highlight w:val="none"/>
          <w:u w:val="single"/>
        </w:rPr>
        <w:t>名称</w:t>
      </w:r>
      <w:r>
        <w:rPr>
          <w:rFonts w:hint="eastAsia" w:ascii="微软雅黑" w:hAnsi="微软雅黑" w:eastAsia="微软雅黑" w:cs="微软雅黑"/>
          <w:i w:val="0"/>
          <w:iCs w:val="0"/>
          <w:color w:val="auto"/>
          <w:sz w:val="24"/>
          <w:szCs w:val="24"/>
          <w:highlight w:val="none"/>
        </w:rPr>
        <w:t>）的投标，以我单位名义处理一切与之有关的事务。</w:t>
      </w:r>
    </w:p>
    <w:p w14:paraId="0312E1F5">
      <w:pPr>
        <w:pStyle w:val="12"/>
        <w:keepNext w:val="0"/>
        <w:keepLines w:val="0"/>
        <w:pageBreakBefore w:val="0"/>
        <w:widowControl w:val="0"/>
        <w:tabs>
          <w:tab w:val="left" w:pos="2539"/>
          <w:tab w:val="left" w:pos="3168"/>
          <w:tab w:val="left" w:pos="3799"/>
          <w:tab w:val="clear" w:pos="567"/>
        </w:tabs>
        <w:kinsoku/>
        <w:wordWrap/>
        <w:overflowPunct/>
        <w:topLinePunct w:val="0"/>
        <w:autoSpaceDE/>
        <w:autoSpaceDN/>
        <w:bidi w:val="0"/>
        <w:adjustRightInd/>
        <w:snapToGrid w:val="0"/>
        <w:spacing w:line="288" w:lineRule="auto"/>
        <w:ind w:right="-35" w:rightChars="-17"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本授权委托书于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日签字生效，代理人无转委托权，特此声明。</w:t>
      </w:r>
    </w:p>
    <w:p w14:paraId="332F1BD7">
      <w:pPr>
        <w:pStyle w:val="7"/>
        <w:spacing w:line="480" w:lineRule="auto"/>
        <w:rPr>
          <w:rFonts w:hint="eastAsia" w:ascii="微软雅黑" w:hAnsi="微软雅黑" w:eastAsia="微软雅黑" w:cs="微软雅黑"/>
          <w:color w:val="auto"/>
          <w:sz w:val="24"/>
          <w:szCs w:val="24"/>
          <w:highlight w:val="none"/>
        </w:rPr>
      </w:pPr>
    </w:p>
    <w:p w14:paraId="0A4E7314">
      <w:pPr>
        <w:pStyle w:val="7"/>
        <w:spacing w:line="48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w:t>
      </w:r>
      <w:r>
        <w:rPr>
          <w:rFonts w:hint="eastAsia" w:ascii="微软雅黑" w:hAnsi="微软雅黑" w:eastAsia="微软雅黑" w:cs="微软雅黑"/>
          <w:color w:val="auto"/>
          <w:sz w:val="24"/>
          <w:szCs w:val="24"/>
          <w:highlight w:val="none"/>
          <w:lang w:eastAsia="zh-CN"/>
        </w:rPr>
        <w:t>委托人和被委托人身份证正反面扫描件，如有授权人必须提供授权委托书。</w:t>
      </w:r>
    </w:p>
    <w:p w14:paraId="4C05AE2F">
      <w:pPr>
        <w:pStyle w:val="16"/>
        <w:tabs>
          <w:tab w:val="left" w:pos="5580"/>
        </w:tabs>
        <w:spacing w:line="480" w:lineRule="auto"/>
        <w:ind w:left="-539" w:leftChars="-257" w:firstLine="900" w:firstLineChars="375"/>
        <w:rPr>
          <w:rFonts w:hint="eastAsia" w:ascii="微软雅黑" w:hAnsi="微软雅黑" w:eastAsia="微软雅黑" w:cs="微软雅黑"/>
          <w:color w:val="auto"/>
          <w:sz w:val="24"/>
          <w:szCs w:val="24"/>
          <w:highlight w:val="none"/>
        </w:rPr>
      </w:pPr>
    </w:p>
    <w:p w14:paraId="2E4D8FA6">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投标人名称</w:t>
      </w:r>
      <w:r>
        <w:rPr>
          <w:rFonts w:hint="eastAsia" w:ascii="微软雅黑" w:hAnsi="微软雅黑" w:eastAsia="微软雅黑" w:cs="微软雅黑"/>
          <w:color w:val="auto"/>
          <w:sz w:val="24"/>
          <w:szCs w:val="24"/>
          <w:highlight w:val="none"/>
        </w:rPr>
        <w:t>（单位盖</w:t>
      </w:r>
      <w:r>
        <w:rPr>
          <w:rFonts w:hint="eastAsia" w:ascii="微软雅黑" w:hAnsi="微软雅黑" w:eastAsia="微软雅黑" w:cs="微软雅黑"/>
          <w:color w:val="auto"/>
          <w:sz w:val="24"/>
          <w:szCs w:val="24"/>
          <w:highlight w:val="none"/>
          <w:lang w:eastAsia="zh-CN"/>
        </w:rPr>
        <w:t>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u w:val="single"/>
        </w:rPr>
        <w:t xml:space="preserve">                    </w:t>
      </w:r>
    </w:p>
    <w:p w14:paraId="687CC421">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法定代表人（签字或盖章）：</w:t>
      </w:r>
      <w:r>
        <w:rPr>
          <w:rFonts w:hint="eastAsia" w:ascii="微软雅黑" w:hAnsi="微软雅黑" w:eastAsia="微软雅黑" w:cs="微软雅黑"/>
          <w:color w:val="auto"/>
          <w:sz w:val="24"/>
          <w:szCs w:val="24"/>
          <w:highlight w:val="none"/>
          <w:u w:val="single"/>
          <w:lang w:val="en-US" w:eastAsia="zh-CN"/>
        </w:rPr>
        <w:t xml:space="preserve">                    </w:t>
      </w:r>
    </w:p>
    <w:p w14:paraId="27133B44">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身份证号码：</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p>
    <w:p w14:paraId="268E15B2">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委托代理人（签字或盖章）：</w:t>
      </w:r>
      <w:r>
        <w:rPr>
          <w:rFonts w:hint="eastAsia" w:ascii="微软雅黑" w:hAnsi="微软雅黑" w:eastAsia="微软雅黑" w:cs="微软雅黑"/>
          <w:color w:val="auto"/>
          <w:sz w:val="24"/>
          <w:szCs w:val="24"/>
          <w:highlight w:val="none"/>
          <w:u w:val="single"/>
          <w:lang w:val="en-US" w:eastAsia="zh-CN"/>
        </w:rPr>
        <w:t xml:space="preserve">                    </w:t>
      </w:r>
    </w:p>
    <w:p w14:paraId="4DCBD5CC">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身份证号码：</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lang w:val="en-US" w:eastAsia="zh-CN"/>
        </w:rPr>
        <w:t xml:space="preserve">  </w:t>
      </w:r>
    </w:p>
    <w:p w14:paraId="07001457">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详细通讯地址：</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lang w:val="en-US" w:eastAsia="zh-CN"/>
        </w:rPr>
        <w:t xml:space="preserve">  </w:t>
      </w:r>
    </w:p>
    <w:p w14:paraId="3603CBDF">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邮政编码：</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lang w:val="en-US" w:eastAsia="zh-CN"/>
        </w:rPr>
        <w:t xml:space="preserve">   </w:t>
      </w:r>
    </w:p>
    <w:p w14:paraId="3C4FFC53">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传　　真：</w:t>
      </w:r>
      <w:r>
        <w:rPr>
          <w:rFonts w:hint="eastAsia" w:ascii="微软雅黑" w:hAnsi="微软雅黑" w:eastAsia="微软雅黑" w:cs="微软雅黑"/>
          <w:color w:val="auto"/>
          <w:sz w:val="24"/>
          <w:szCs w:val="24"/>
          <w:highlight w:val="none"/>
          <w:u w:val="single"/>
          <w:lang w:val="en-US" w:eastAsia="zh-CN"/>
        </w:rPr>
        <w:t xml:space="preserve">                                    </w:t>
      </w:r>
    </w:p>
    <w:p w14:paraId="198ED6EC">
      <w:pPr>
        <w:pStyle w:val="16"/>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color w:val="auto"/>
          <w:sz w:val="24"/>
          <w:szCs w:val="24"/>
          <w:highlight w:val="none"/>
        </w:rPr>
        <w:t>电　　话：</w:t>
      </w:r>
      <w:bookmarkStart w:id="371" w:name="_Toc22138"/>
      <w:bookmarkStart w:id="372" w:name="_Toc8410"/>
      <w:bookmarkStart w:id="373" w:name="_Toc4923"/>
      <w:bookmarkStart w:id="374" w:name="_Toc15480"/>
      <w:bookmarkStart w:id="375" w:name="_Toc10290"/>
      <w:r>
        <w:rPr>
          <w:rFonts w:hint="eastAsia" w:ascii="微软雅黑" w:hAnsi="微软雅黑" w:eastAsia="微软雅黑" w:cs="微软雅黑"/>
          <w:color w:val="auto"/>
          <w:sz w:val="24"/>
          <w:szCs w:val="24"/>
          <w:highlight w:val="none"/>
          <w:u w:val="single"/>
          <w:lang w:val="en-US" w:eastAsia="zh-CN"/>
        </w:rPr>
        <w:t xml:space="preserve">                                    </w:t>
      </w:r>
    </w:p>
    <w:bookmarkEnd w:id="371"/>
    <w:bookmarkEnd w:id="372"/>
    <w:bookmarkEnd w:id="373"/>
    <w:bookmarkEnd w:id="374"/>
    <w:bookmarkEnd w:id="375"/>
    <w:p w14:paraId="71A02902">
      <w:pPr>
        <w:pStyle w:val="16"/>
        <w:tabs>
          <w:tab w:val="left" w:pos="5580"/>
        </w:tabs>
        <w:spacing w:line="240" w:lineRule="atLeast"/>
        <w:ind w:left="-539" w:leftChars="-257" w:firstLine="900" w:firstLineChars="375"/>
        <w:jc w:val="center"/>
        <w:outlineLvl w:val="1"/>
        <w:rPr>
          <w:rFonts w:hint="eastAsia" w:ascii="微软雅黑" w:hAnsi="微软雅黑" w:eastAsia="微软雅黑" w:cs="微软雅黑"/>
          <w:b/>
          <w:color w:val="auto"/>
          <w:kern w:val="0"/>
          <w:sz w:val="24"/>
          <w:szCs w:val="24"/>
          <w:highlight w:val="none"/>
        </w:rPr>
        <w:sectPr>
          <w:footerReference r:id="rId11" w:type="default"/>
          <w:pgSz w:w="11906" w:h="16838"/>
          <w:pgMar w:top="1440" w:right="1080" w:bottom="1440" w:left="1080" w:header="851" w:footer="992" w:gutter="0"/>
          <w:pgNumType w:fmt="decimal"/>
          <w:cols w:space="720" w:num="1"/>
          <w:rtlGutter w:val="0"/>
          <w:docGrid w:type="linesAndChars" w:linePitch="312" w:charSpace="0"/>
        </w:sectPr>
      </w:pPr>
    </w:p>
    <w:p w14:paraId="74539B57">
      <w:pPr>
        <w:pStyle w:val="16"/>
        <w:tabs>
          <w:tab w:val="left" w:pos="5580"/>
        </w:tabs>
        <w:spacing w:line="480" w:lineRule="auto"/>
        <w:jc w:val="left"/>
        <w:outlineLvl w:val="1"/>
        <w:rPr>
          <w:rFonts w:hint="eastAsia" w:ascii="微软雅黑" w:hAnsi="微软雅黑" w:eastAsia="微软雅黑" w:cs="微软雅黑"/>
          <w:b/>
          <w:color w:val="auto"/>
          <w:kern w:val="0"/>
          <w:sz w:val="28"/>
          <w:szCs w:val="28"/>
          <w:highlight w:val="none"/>
          <w:lang w:val="en-US" w:eastAsia="zh-CN" w:bidi="ar-SA"/>
        </w:rPr>
      </w:pPr>
      <w:bookmarkStart w:id="376" w:name="_Toc31961"/>
      <w:bookmarkStart w:id="377" w:name="_Toc6003"/>
      <w:bookmarkStart w:id="378" w:name="_Toc11047"/>
      <w:bookmarkStart w:id="379" w:name="_Toc28913"/>
      <w:bookmarkStart w:id="380" w:name="_Toc879"/>
      <w:bookmarkStart w:id="381" w:name="_Toc515647809"/>
      <w:r>
        <w:rPr>
          <w:rFonts w:hint="eastAsia" w:ascii="微软雅黑" w:hAnsi="微软雅黑" w:eastAsia="微软雅黑" w:cs="微软雅黑"/>
          <w:b/>
          <w:color w:val="auto"/>
          <w:kern w:val="0"/>
          <w:sz w:val="28"/>
          <w:szCs w:val="28"/>
          <w:highlight w:val="none"/>
          <w:lang w:val="en-US" w:eastAsia="zh-CN" w:bidi="ar-SA"/>
        </w:rPr>
        <w:t>4</w:t>
      </w:r>
      <w:bookmarkEnd w:id="376"/>
      <w:r>
        <w:rPr>
          <w:rFonts w:hint="eastAsia" w:ascii="微软雅黑" w:hAnsi="微软雅黑" w:eastAsia="微软雅黑" w:cs="微软雅黑"/>
          <w:b/>
          <w:color w:val="auto"/>
          <w:kern w:val="0"/>
          <w:sz w:val="28"/>
          <w:szCs w:val="28"/>
          <w:highlight w:val="none"/>
          <w:lang w:val="en-US" w:eastAsia="zh-CN" w:bidi="ar-SA"/>
        </w:rPr>
        <w:t>、提供2023年度或2024年度的财务审计报告（成立未满十二个月的新公司可提供近三个月内任意一个月的银行资信证明）；</w:t>
      </w:r>
      <w:bookmarkEnd w:id="377"/>
    </w:p>
    <w:p w14:paraId="1FA1F4E6">
      <w:pPr>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bCs/>
          <w:color w:val="auto"/>
          <w:sz w:val="24"/>
          <w:szCs w:val="24"/>
          <w:highlight w:val="none"/>
          <w:lang w:eastAsia="zh-CN"/>
        </w:rPr>
        <w:t>说明：</w:t>
      </w:r>
      <w:r>
        <w:rPr>
          <w:rFonts w:hint="eastAsia" w:ascii="微软雅黑" w:hAnsi="微软雅黑" w:eastAsia="微软雅黑" w:cs="微软雅黑"/>
          <w:b w:val="0"/>
          <w:bCs w:val="0"/>
          <w:color w:val="auto"/>
          <w:sz w:val="24"/>
          <w:szCs w:val="24"/>
          <w:highlight w:val="none"/>
          <w:lang w:eastAsia="zh-CN"/>
        </w:rPr>
        <w:t>投标人须提供2023年度或2024年度的财务审计报告（报告中须包括资产负债表、利润表、现金流量表及财务报表附注），成立未满十二个月的新公司可提供近三个月内任意一个月的银行资信证明；扫描件上应加盖本单位公章。</w:t>
      </w:r>
    </w:p>
    <w:p w14:paraId="5A6AA51C">
      <w:pPr>
        <w:pStyle w:val="12"/>
        <w:rPr>
          <w:rFonts w:hint="eastAsia" w:ascii="微软雅黑" w:hAnsi="微软雅黑" w:eastAsia="微软雅黑" w:cs="微软雅黑"/>
          <w:color w:val="auto"/>
          <w:sz w:val="24"/>
          <w:szCs w:val="24"/>
          <w:highlight w:val="none"/>
        </w:rPr>
      </w:pPr>
    </w:p>
    <w:p w14:paraId="30E7678B">
      <w:pPr>
        <w:pStyle w:val="3"/>
        <w:numPr>
          <w:ilvl w:val="0"/>
          <w:numId w:val="0"/>
        </w:numPr>
        <w:spacing w:before="0" w:line="240" w:lineRule="atLeast"/>
        <w:jc w:val="left"/>
        <w:outlineLvl w:val="1"/>
        <w:rPr>
          <w:rFonts w:hint="eastAsia" w:ascii="微软雅黑" w:hAnsi="微软雅黑" w:eastAsia="微软雅黑" w:cs="微软雅黑"/>
          <w:b/>
          <w:color w:val="auto"/>
          <w:kern w:val="0"/>
          <w:sz w:val="28"/>
          <w:szCs w:val="28"/>
          <w:highlight w:val="none"/>
          <w:lang w:val="en-US" w:eastAsia="zh-CN" w:bidi="ar-SA"/>
        </w:rPr>
      </w:pPr>
      <w:bookmarkStart w:id="382" w:name="_Toc25584"/>
      <w:r>
        <w:rPr>
          <w:rFonts w:hint="eastAsia" w:ascii="微软雅黑" w:hAnsi="微软雅黑" w:eastAsia="微软雅黑" w:cs="微软雅黑"/>
          <w:b/>
          <w:color w:val="auto"/>
          <w:kern w:val="0"/>
          <w:sz w:val="28"/>
          <w:szCs w:val="28"/>
          <w:highlight w:val="none"/>
          <w:lang w:val="en-US" w:eastAsia="zh-CN" w:bidi="ar-SA"/>
        </w:rPr>
        <w:t>5、</w:t>
      </w:r>
      <w:bookmarkEnd w:id="382"/>
      <w:r>
        <w:rPr>
          <w:rFonts w:hint="eastAsia" w:ascii="微软雅黑" w:hAnsi="微软雅黑" w:eastAsia="微软雅黑" w:cs="微软雅黑"/>
          <w:b/>
          <w:color w:val="auto"/>
          <w:kern w:val="0"/>
          <w:sz w:val="28"/>
          <w:szCs w:val="28"/>
          <w:highlight w:val="none"/>
          <w:lang w:val="en-US" w:eastAsia="zh-CN" w:bidi="ar-SA"/>
        </w:rPr>
        <w:t>提供投标单位在社保部门或税务局出具依法缴纳近六个月任意一个月缴纳的社保证明；</w:t>
      </w:r>
    </w:p>
    <w:p w14:paraId="64D7234B">
      <w:pP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说明：</w:t>
      </w:r>
      <w:r>
        <w:rPr>
          <w:rFonts w:hint="eastAsia" w:ascii="微软雅黑" w:hAnsi="微软雅黑" w:eastAsia="微软雅黑" w:cs="微软雅黑"/>
          <w:color w:val="auto"/>
          <w:sz w:val="24"/>
          <w:szCs w:val="24"/>
          <w:highlight w:val="none"/>
          <w:lang w:val="en-US" w:eastAsia="zh-CN"/>
        </w:rPr>
        <w:t>提供投标单位在社保部门或税务局出具依法缴纳近六个月任意一个月缴纳的社保证明；扫描件上应加盖本单位公章。</w:t>
      </w:r>
    </w:p>
    <w:p w14:paraId="0D4F8DCE">
      <w:pPr>
        <w:pStyle w:val="28"/>
        <w:rPr>
          <w:rFonts w:hint="eastAsia" w:ascii="微软雅黑" w:hAnsi="微软雅黑" w:eastAsia="微软雅黑" w:cs="微软雅黑"/>
          <w:color w:val="auto"/>
          <w:sz w:val="24"/>
          <w:szCs w:val="24"/>
          <w:highlight w:val="none"/>
          <w:lang w:val="en-US" w:eastAsia="zh-CN"/>
        </w:rPr>
      </w:pPr>
    </w:p>
    <w:p w14:paraId="5F88A916">
      <w:pPr>
        <w:pStyle w:val="12"/>
        <w:rPr>
          <w:rFonts w:hint="eastAsia" w:ascii="微软雅黑" w:hAnsi="微软雅黑" w:eastAsia="微软雅黑" w:cs="微软雅黑"/>
          <w:color w:val="auto"/>
          <w:sz w:val="24"/>
          <w:szCs w:val="24"/>
          <w:highlight w:val="none"/>
          <w:lang w:val="en-US" w:eastAsia="zh-CN"/>
        </w:rPr>
      </w:pPr>
    </w:p>
    <w:p w14:paraId="5B4A6538">
      <w:pPr>
        <w:pStyle w:val="3"/>
        <w:numPr>
          <w:ilvl w:val="0"/>
          <w:numId w:val="0"/>
        </w:numPr>
        <w:spacing w:before="0" w:line="240" w:lineRule="atLeast"/>
        <w:jc w:val="left"/>
        <w:rPr>
          <w:rFonts w:hint="eastAsia" w:ascii="微软雅黑" w:hAnsi="微软雅黑" w:eastAsia="微软雅黑" w:cs="微软雅黑"/>
          <w:b/>
          <w:color w:val="auto"/>
          <w:kern w:val="0"/>
          <w:sz w:val="28"/>
          <w:szCs w:val="28"/>
          <w:highlight w:val="none"/>
          <w:lang w:val="en-US" w:eastAsia="zh-CN" w:bidi="ar-SA"/>
        </w:rPr>
      </w:pPr>
      <w:bookmarkStart w:id="383" w:name="_Toc31898"/>
      <w:r>
        <w:rPr>
          <w:rFonts w:hint="eastAsia" w:ascii="微软雅黑" w:hAnsi="微软雅黑" w:eastAsia="微软雅黑" w:cs="微软雅黑"/>
          <w:b/>
          <w:color w:val="auto"/>
          <w:kern w:val="0"/>
          <w:sz w:val="28"/>
          <w:szCs w:val="28"/>
          <w:highlight w:val="none"/>
          <w:lang w:val="en-US" w:eastAsia="zh-CN" w:bidi="ar-SA"/>
        </w:rPr>
        <w:t>6、提供税务部门出具的近六个月任意一个月的税收证明；</w:t>
      </w:r>
      <w:bookmarkEnd w:id="383"/>
    </w:p>
    <w:p w14:paraId="2268FF40">
      <w:pPr>
        <w:tabs>
          <w:tab w:val="left" w:pos="5580"/>
        </w:tabs>
        <w:spacing w:line="240" w:lineRule="atLeas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说明：</w:t>
      </w:r>
      <w:r>
        <w:rPr>
          <w:rFonts w:hint="eastAsia" w:ascii="微软雅黑" w:hAnsi="微软雅黑" w:eastAsia="微软雅黑" w:cs="微软雅黑"/>
          <w:color w:val="auto"/>
          <w:sz w:val="24"/>
          <w:szCs w:val="24"/>
          <w:highlight w:val="none"/>
          <w:lang w:val="en-US" w:eastAsia="zh-CN"/>
        </w:rPr>
        <w:t>提供税务部门出具的近六个月任意一个月的税收证明；扫描件上应加盖本单位公章。</w:t>
      </w:r>
    </w:p>
    <w:p w14:paraId="4CFAF496">
      <w:pPr>
        <w:ind w:firstLine="480" w:firstLineChars="200"/>
        <w:rPr>
          <w:rFonts w:hint="eastAsia" w:ascii="微软雅黑" w:hAnsi="微软雅黑" w:eastAsia="微软雅黑" w:cs="微软雅黑"/>
          <w:color w:val="auto"/>
          <w:sz w:val="24"/>
          <w:szCs w:val="24"/>
          <w:highlight w:val="none"/>
          <w:lang w:val="en-US" w:eastAsia="zh-CN"/>
        </w:rPr>
      </w:pPr>
    </w:p>
    <w:p w14:paraId="7DF00A77">
      <w:pPr>
        <w:ind w:firstLine="480" w:firstLineChars="200"/>
        <w:rPr>
          <w:rFonts w:hint="eastAsia" w:ascii="微软雅黑" w:hAnsi="微软雅黑" w:eastAsia="微软雅黑" w:cs="微软雅黑"/>
          <w:color w:val="auto"/>
          <w:sz w:val="24"/>
          <w:szCs w:val="24"/>
          <w:highlight w:val="none"/>
          <w:lang w:val="en-US" w:eastAsia="zh-CN"/>
        </w:rPr>
        <w:sectPr>
          <w:pgSz w:w="11906" w:h="16838"/>
          <w:pgMar w:top="1440" w:right="1080" w:bottom="1440" w:left="1080" w:header="851" w:footer="992" w:gutter="0"/>
          <w:pgNumType w:fmt="decimal"/>
          <w:cols w:space="720" w:num="1"/>
          <w:docGrid w:type="lines" w:linePitch="312" w:charSpace="0"/>
        </w:sectPr>
      </w:pPr>
      <w:r>
        <w:rPr>
          <w:rFonts w:hint="eastAsia" w:ascii="微软雅黑" w:hAnsi="微软雅黑" w:eastAsia="微软雅黑" w:cs="微软雅黑"/>
          <w:color w:val="auto"/>
          <w:sz w:val="24"/>
          <w:szCs w:val="24"/>
          <w:highlight w:val="none"/>
          <w:lang w:val="en-US" w:eastAsia="zh-CN"/>
        </w:rPr>
        <w:t>注：“提供税务部门出具的近六个月内任意一个月的完税证明”：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请各投标人注意！</w:t>
      </w:r>
    </w:p>
    <w:bookmarkEnd w:id="378"/>
    <w:bookmarkEnd w:id="379"/>
    <w:bookmarkEnd w:id="380"/>
    <w:bookmarkEnd w:id="381"/>
    <w:p w14:paraId="7AFB1431">
      <w:pPr>
        <w:pStyle w:val="3"/>
        <w:numPr>
          <w:ilvl w:val="0"/>
          <w:numId w:val="0"/>
        </w:numPr>
        <w:spacing w:before="0" w:line="240" w:lineRule="atLeast"/>
        <w:jc w:val="both"/>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7、根据《财政部关于在政府采购活动中查询及使用信用记录有关问题的通知》（财库﹝2016﹞125号）的要求，凡拟参加本次招标项目的投标人，如在“信用中国”网站被列入失信被执行人、重大税收违法失信主体(信用中国首页-点击信用服务-查询)、“中国政府采购网“严重违法失信行为记录名单的（尚在处罚期内的）、“ 国家企业信用信息公示系统”列入严重违法失信企业名单（黑名单）信息，将拒绝其参加本次招标活动；（开标现场查询核实）</w:t>
      </w:r>
    </w:p>
    <w:p w14:paraId="58D53E37">
      <w:pPr>
        <w:pStyle w:val="3"/>
        <w:numPr>
          <w:ilvl w:val="0"/>
          <w:numId w:val="0"/>
        </w:numPr>
        <w:spacing w:before="0" w:line="240" w:lineRule="atLeast"/>
        <w:jc w:val="both"/>
        <w:rPr>
          <w:rFonts w:hint="eastAsia" w:ascii="微软雅黑" w:hAnsi="微软雅黑" w:eastAsia="微软雅黑" w:cs="微软雅黑"/>
          <w:b/>
          <w:color w:val="auto"/>
          <w:kern w:val="0"/>
          <w:sz w:val="28"/>
          <w:szCs w:val="28"/>
          <w:highlight w:val="none"/>
          <w:lang w:val="en-US" w:eastAsia="zh-CN" w:bidi="ar-SA"/>
        </w:rPr>
      </w:pPr>
    </w:p>
    <w:p w14:paraId="6CBC78FB">
      <w:pPr>
        <w:pStyle w:val="3"/>
        <w:numPr>
          <w:ilvl w:val="0"/>
          <w:numId w:val="0"/>
        </w:numPr>
        <w:spacing w:before="0" w:line="240" w:lineRule="atLeast"/>
        <w:jc w:val="both"/>
        <w:rPr>
          <w:rFonts w:hint="eastAsia" w:ascii="微软雅黑" w:hAnsi="微软雅黑" w:eastAsia="微软雅黑" w:cs="微软雅黑"/>
          <w:b w:val="0"/>
          <w:bCs/>
          <w:color w:val="auto"/>
          <w:kern w:val="0"/>
          <w:sz w:val="24"/>
          <w:szCs w:val="24"/>
          <w:highlight w:val="none"/>
          <w:lang w:val="en-US" w:eastAsia="zh-CN" w:bidi="ar-SA"/>
        </w:rPr>
      </w:pPr>
      <w:r>
        <w:rPr>
          <w:rFonts w:hint="eastAsia" w:ascii="微软雅黑" w:hAnsi="微软雅黑" w:eastAsia="微软雅黑" w:cs="微软雅黑"/>
          <w:b w:val="0"/>
          <w:bCs/>
          <w:color w:val="auto"/>
          <w:kern w:val="0"/>
          <w:sz w:val="24"/>
          <w:szCs w:val="24"/>
          <w:highlight w:val="none"/>
          <w:lang w:val="en-US" w:eastAsia="zh-CN" w:bidi="ar-SA"/>
        </w:rPr>
        <w:t>说明：查询时间为自公告发布之日起至投标文件递交截止时间止（该时间段内任一时间）。</w:t>
      </w:r>
    </w:p>
    <w:p w14:paraId="738F8FCC">
      <w:pPr>
        <w:pStyle w:val="16"/>
        <w:tabs>
          <w:tab w:val="left" w:pos="5580"/>
        </w:tabs>
        <w:spacing w:line="240" w:lineRule="atLeast"/>
        <w:ind w:left="1080" w:leftChars="257" w:hanging="540"/>
        <w:jc w:val="center"/>
        <w:rPr>
          <w:rFonts w:hint="eastAsia" w:ascii="微软雅黑" w:hAnsi="微软雅黑" w:eastAsia="微软雅黑" w:cs="微软雅黑"/>
          <w:b/>
          <w:color w:val="auto"/>
          <w:sz w:val="24"/>
          <w:szCs w:val="24"/>
          <w:highlight w:val="none"/>
        </w:rPr>
      </w:pPr>
    </w:p>
    <w:p w14:paraId="5911A366">
      <w:pPr>
        <w:pageBreakBefore w:val="0"/>
        <w:tabs>
          <w:tab w:val="left" w:pos="5580"/>
        </w:tabs>
        <w:kinsoku/>
        <w:overflowPunct/>
        <w:bidi w:val="0"/>
        <w:snapToGrid w:val="0"/>
        <w:spacing w:line="312" w:lineRule="auto"/>
        <w:ind w:firstLine="480" w:firstLineChars="200"/>
        <w:rPr>
          <w:rFonts w:hint="eastAsia" w:ascii="微软雅黑" w:hAnsi="微软雅黑" w:eastAsia="微软雅黑" w:cs="微软雅黑"/>
          <w:b w:val="0"/>
          <w:bCs w:val="0"/>
          <w:color w:val="auto"/>
          <w:sz w:val="24"/>
          <w:szCs w:val="24"/>
          <w:highlight w:val="none"/>
        </w:rPr>
      </w:pPr>
    </w:p>
    <w:p w14:paraId="7DDBA109">
      <w:pPr>
        <w:pStyle w:val="61"/>
        <w:jc w:val="left"/>
        <w:rPr>
          <w:rFonts w:hint="eastAsia" w:ascii="微软雅黑" w:hAnsi="微软雅黑" w:eastAsia="微软雅黑" w:cs="微软雅黑"/>
          <w:color w:val="auto"/>
          <w:sz w:val="24"/>
          <w:szCs w:val="24"/>
          <w:highlight w:val="none"/>
          <w:lang w:val="en-US" w:eastAsia="zh-CN"/>
        </w:rPr>
        <w:sectPr>
          <w:footerReference r:id="rId12" w:type="default"/>
          <w:pgSz w:w="11906" w:h="16838"/>
          <w:pgMar w:top="1440" w:right="1080" w:bottom="1440" w:left="1080" w:header="851" w:footer="992" w:gutter="0"/>
          <w:pgNumType w:fmt="decimal"/>
          <w:cols w:space="720" w:num="1"/>
          <w:docGrid w:type="lines" w:linePitch="312" w:charSpace="0"/>
        </w:sectPr>
      </w:pPr>
    </w:p>
    <w:p w14:paraId="1FCA8882">
      <w:pPr>
        <w:pStyle w:val="3"/>
        <w:numPr>
          <w:ilvl w:val="0"/>
          <w:numId w:val="0"/>
        </w:numPr>
        <w:spacing w:before="0" w:line="240" w:lineRule="atLeast"/>
        <w:jc w:val="center"/>
        <w:rPr>
          <w:rFonts w:hint="default" w:ascii="微软雅黑" w:hAnsi="微软雅黑" w:eastAsia="微软雅黑" w:cs="微软雅黑"/>
          <w:b/>
          <w:color w:val="auto"/>
          <w:kern w:val="0"/>
          <w:sz w:val="28"/>
          <w:szCs w:val="28"/>
          <w:highlight w:val="none"/>
          <w:lang w:val="en-US" w:eastAsia="zh-CN" w:bidi="ar-SA"/>
        </w:rPr>
      </w:pPr>
      <w:bookmarkStart w:id="384" w:name="_Toc5644"/>
      <w:bookmarkStart w:id="385" w:name="_Toc3740"/>
      <w:r>
        <w:rPr>
          <w:rFonts w:hint="eastAsia" w:ascii="微软雅黑" w:hAnsi="微软雅黑" w:eastAsia="微软雅黑" w:cs="微软雅黑"/>
          <w:b/>
          <w:color w:val="auto"/>
          <w:kern w:val="0"/>
          <w:sz w:val="28"/>
          <w:szCs w:val="28"/>
          <w:highlight w:val="none"/>
          <w:lang w:val="en-US" w:eastAsia="zh-CN" w:bidi="ar-SA"/>
        </w:rPr>
        <w:t>8、具有履行合同所必需的设备和专业技术能力的承诺书</w:t>
      </w:r>
    </w:p>
    <w:p w14:paraId="4F76CAFC">
      <w:pPr>
        <w:pStyle w:val="3"/>
        <w:numPr>
          <w:ilvl w:val="0"/>
          <w:numId w:val="0"/>
        </w:numPr>
        <w:spacing w:before="0" w:line="240" w:lineRule="atLeast"/>
        <w:jc w:val="center"/>
        <w:rPr>
          <w:rFonts w:hint="eastAsia" w:ascii="微软雅黑" w:hAnsi="微软雅黑" w:eastAsia="微软雅黑" w:cs="微软雅黑"/>
          <w:b/>
          <w:color w:val="auto"/>
          <w:kern w:val="0"/>
          <w:sz w:val="28"/>
          <w:szCs w:val="28"/>
          <w:highlight w:val="none"/>
          <w:lang w:val="en-US" w:eastAsia="zh-CN" w:bidi="ar-SA"/>
        </w:rPr>
      </w:pPr>
    </w:p>
    <w:p w14:paraId="4EE9C877">
      <w:pPr>
        <w:spacing w:before="185" w:line="361" w:lineRule="auto"/>
        <w:ind w:right="80"/>
        <w:rPr>
          <w:rFonts w:hint="eastAsia" w:ascii="微软雅黑" w:hAnsi="微软雅黑" w:eastAsia="微软雅黑" w:cs="微软雅黑"/>
          <w:color w:val="auto"/>
          <w:spacing w:val="9"/>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采购</w:t>
      </w:r>
      <w:r>
        <w:rPr>
          <w:rFonts w:hint="eastAsia" w:ascii="微软雅黑" w:hAnsi="微软雅黑" w:eastAsia="微软雅黑" w:cs="微软雅黑"/>
          <w:color w:val="auto"/>
          <w:sz w:val="24"/>
          <w:szCs w:val="24"/>
          <w:highlight w:val="none"/>
          <w:u w:val="single"/>
          <w:lang w:eastAsia="zh-CN"/>
        </w:rPr>
        <w:t>人</w:t>
      </w:r>
    </w:p>
    <w:p w14:paraId="122B71EB">
      <w:pPr>
        <w:spacing w:before="185" w:line="361" w:lineRule="auto"/>
        <w:ind w:left="9" w:right="80" w:firstLine="4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我公司自愿参加由贵</w:t>
      </w:r>
      <w:r>
        <w:rPr>
          <w:rFonts w:hint="eastAsia" w:ascii="微软雅黑" w:hAnsi="微软雅黑" w:eastAsia="微软雅黑" w:cs="微软雅黑"/>
          <w:color w:val="auto"/>
          <w:spacing w:val="9"/>
          <w:sz w:val="24"/>
          <w:szCs w:val="24"/>
          <w:highlight w:val="none"/>
          <w:lang w:val="en-US" w:eastAsia="zh-CN"/>
        </w:rPr>
        <w:t>单位</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eastAsia="zh-CN"/>
        </w:rPr>
        <w:t>（</w:t>
      </w:r>
      <w:r>
        <w:rPr>
          <w:rFonts w:hint="eastAsia" w:ascii="微软雅黑" w:hAnsi="微软雅黑" w:eastAsia="微软雅黑" w:cs="微软雅黑"/>
          <w:color w:val="auto"/>
          <w:sz w:val="24"/>
          <w:szCs w:val="24"/>
          <w:highlight w:val="none"/>
          <w:u w:val="single"/>
          <w:lang w:val="en-US" w:eastAsia="zh-CN"/>
        </w:rPr>
        <w:t>项目名称</w:t>
      </w:r>
      <w:r>
        <w:rPr>
          <w:rFonts w:hint="eastAsia" w:ascii="微软雅黑" w:hAnsi="微软雅黑" w:eastAsia="微软雅黑" w:cs="微软雅黑"/>
          <w:color w:val="auto"/>
          <w:sz w:val="24"/>
          <w:szCs w:val="24"/>
          <w:highlight w:val="none"/>
          <w:u w:val="single"/>
          <w:lang w:eastAsia="zh-CN"/>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pacing w:val="8"/>
          <w:sz w:val="24"/>
          <w:szCs w:val="24"/>
          <w:highlight w:val="none"/>
        </w:rPr>
        <w:t>采购活动，在</w:t>
      </w:r>
      <w:r>
        <w:rPr>
          <w:rFonts w:hint="eastAsia" w:ascii="微软雅黑" w:hAnsi="微软雅黑" w:eastAsia="微软雅黑" w:cs="微软雅黑"/>
          <w:color w:val="auto"/>
          <w:spacing w:val="-2"/>
          <w:sz w:val="24"/>
          <w:szCs w:val="24"/>
          <w:highlight w:val="none"/>
        </w:rPr>
        <w:t>此郑重承诺：</w:t>
      </w:r>
    </w:p>
    <w:p w14:paraId="530F4AC3">
      <w:pPr>
        <w:spacing w:before="36" w:line="361" w:lineRule="auto"/>
        <w:ind w:left="11" w:firstLine="47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我公司完全理解本项目招标的技术要求、商务条款及其他内容，决定参与该项目的</w:t>
      </w:r>
      <w:r>
        <w:rPr>
          <w:rFonts w:hint="eastAsia" w:ascii="微软雅黑" w:hAnsi="微软雅黑" w:eastAsia="微软雅黑" w:cs="微软雅黑"/>
          <w:color w:val="auto"/>
          <w:spacing w:val="11"/>
          <w:sz w:val="24"/>
          <w:szCs w:val="24"/>
          <w:highlight w:val="none"/>
        </w:rPr>
        <w:t xml:space="preserve"> </w:t>
      </w:r>
      <w:r>
        <w:rPr>
          <w:rFonts w:hint="eastAsia" w:ascii="微软雅黑" w:hAnsi="微软雅黑" w:eastAsia="微软雅黑" w:cs="微软雅黑"/>
          <w:color w:val="auto"/>
          <w:spacing w:val="9"/>
          <w:sz w:val="24"/>
          <w:szCs w:val="24"/>
          <w:highlight w:val="none"/>
        </w:rPr>
        <w:t>投标活动。并承诺，如中标我公司将提供足够的产</w:t>
      </w:r>
      <w:r>
        <w:rPr>
          <w:rFonts w:hint="eastAsia" w:ascii="微软雅黑" w:hAnsi="微软雅黑" w:eastAsia="微软雅黑" w:cs="微软雅黑"/>
          <w:color w:val="auto"/>
          <w:spacing w:val="8"/>
          <w:sz w:val="24"/>
          <w:szCs w:val="24"/>
          <w:highlight w:val="none"/>
        </w:rPr>
        <w:t>品和专业技术能力保证本合同履行。</w:t>
      </w:r>
    </w:p>
    <w:p w14:paraId="07370D5E">
      <w:pPr>
        <w:spacing w:before="36" w:line="361" w:lineRule="auto"/>
        <w:ind w:left="10" w:right="8" w:firstLine="47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本公司对以上承诺的真实性负责。如有虚假，我公司同意按我方合同违约处理，并</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5"/>
          <w:sz w:val="24"/>
          <w:szCs w:val="24"/>
          <w:highlight w:val="none"/>
        </w:rPr>
        <w:t>依法承担相应的法律责任。</w:t>
      </w:r>
    </w:p>
    <w:p w14:paraId="0C3F0FCE">
      <w:pPr>
        <w:pStyle w:val="12"/>
        <w:spacing w:line="251" w:lineRule="auto"/>
        <w:rPr>
          <w:rFonts w:hint="eastAsia" w:ascii="微软雅黑" w:hAnsi="微软雅黑" w:eastAsia="微软雅黑" w:cs="微软雅黑"/>
          <w:color w:val="auto"/>
          <w:sz w:val="24"/>
          <w:szCs w:val="24"/>
          <w:highlight w:val="none"/>
        </w:rPr>
      </w:pPr>
    </w:p>
    <w:p w14:paraId="7D55D5BB">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投标人名称（单位盖</w:t>
      </w:r>
      <w:r>
        <w:rPr>
          <w:rFonts w:hint="eastAsia" w:ascii="微软雅黑" w:hAnsi="微软雅黑" w:eastAsia="微软雅黑" w:cs="微软雅黑"/>
          <w:color w:val="auto"/>
          <w:sz w:val="24"/>
          <w:szCs w:val="24"/>
          <w:highlight w:val="none"/>
          <w:lang w:eastAsia="zh-CN"/>
        </w:rPr>
        <w:t>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5EAB1448">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14:paraId="3FD45A79">
      <w:pPr>
        <w:rPr>
          <w:rFonts w:hint="eastAsia"/>
          <w:color w:val="auto"/>
          <w:highlight w:val="none"/>
          <w:lang w:val="en-US" w:eastAsia="zh-CN"/>
        </w:rPr>
      </w:pPr>
      <w:r>
        <w:rPr>
          <w:rFonts w:hint="eastAsia" w:ascii="微软雅黑" w:hAnsi="微软雅黑" w:eastAsia="微软雅黑" w:cs="微软雅黑"/>
          <w:color w:val="auto"/>
          <w:sz w:val="24"/>
          <w:szCs w:val="24"/>
          <w:highlight w:val="none"/>
        </w:rPr>
        <w:t>日期：  年  月  日</w:t>
      </w:r>
    </w:p>
    <w:p w14:paraId="35A06F78">
      <w:pPr>
        <w:rPr>
          <w:rFonts w:hint="eastAsia"/>
          <w:color w:val="auto"/>
          <w:highlight w:val="none"/>
          <w:lang w:val="en-US" w:eastAsia="zh-CN"/>
        </w:rPr>
        <w:sectPr>
          <w:pgSz w:w="11906" w:h="16838"/>
          <w:pgMar w:top="1440" w:right="1080" w:bottom="1440" w:left="1080" w:header="851" w:footer="992" w:gutter="0"/>
          <w:pgNumType w:fmt="decimal"/>
          <w:cols w:space="720" w:num="1"/>
          <w:docGrid w:type="linesAndChars" w:linePitch="312" w:charSpace="0"/>
        </w:sectPr>
      </w:pPr>
    </w:p>
    <w:p w14:paraId="0C22F2BB">
      <w:pPr>
        <w:pStyle w:val="3"/>
        <w:numPr>
          <w:ilvl w:val="0"/>
          <w:numId w:val="0"/>
        </w:numPr>
        <w:spacing w:before="0" w:line="240" w:lineRule="atLeast"/>
        <w:jc w:val="center"/>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9、</w:t>
      </w:r>
      <w:bookmarkEnd w:id="384"/>
      <w:bookmarkEnd w:id="385"/>
      <w:r>
        <w:rPr>
          <w:rFonts w:hint="eastAsia" w:ascii="微软雅黑" w:hAnsi="微软雅黑" w:eastAsia="微软雅黑" w:cs="微软雅黑"/>
          <w:b/>
          <w:color w:val="auto"/>
          <w:kern w:val="0"/>
          <w:sz w:val="28"/>
          <w:szCs w:val="28"/>
          <w:highlight w:val="none"/>
          <w:lang w:val="en-US" w:eastAsia="zh-CN" w:bidi="ar-SA"/>
        </w:rPr>
        <w:t>针对本次项目的《反商业贿赂承诺书》</w:t>
      </w:r>
    </w:p>
    <w:p w14:paraId="60BD76E0">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采购</w:t>
      </w:r>
      <w:r>
        <w:rPr>
          <w:rFonts w:hint="eastAsia" w:ascii="微软雅黑" w:hAnsi="微软雅黑" w:eastAsia="微软雅黑" w:cs="微软雅黑"/>
          <w:color w:val="auto"/>
          <w:sz w:val="24"/>
          <w:szCs w:val="24"/>
          <w:highlight w:val="none"/>
          <w:u w:val="single"/>
          <w:lang w:eastAsia="zh-CN"/>
        </w:rPr>
        <w:t>人</w:t>
      </w:r>
    </w:p>
    <w:p w14:paraId="3738388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我公司承诺在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eastAsia="zh-CN"/>
        </w:rPr>
        <w:t>（</w:t>
      </w:r>
      <w:r>
        <w:rPr>
          <w:rFonts w:hint="eastAsia" w:ascii="微软雅黑" w:hAnsi="微软雅黑" w:eastAsia="微软雅黑" w:cs="微软雅黑"/>
          <w:color w:val="auto"/>
          <w:sz w:val="24"/>
          <w:szCs w:val="24"/>
          <w:highlight w:val="none"/>
          <w:u w:val="single"/>
          <w:lang w:val="en-US" w:eastAsia="zh-CN"/>
        </w:rPr>
        <w:t>项目名称</w:t>
      </w:r>
      <w:r>
        <w:rPr>
          <w:rFonts w:hint="eastAsia" w:ascii="微软雅黑" w:hAnsi="微软雅黑" w:eastAsia="微软雅黑" w:cs="微软雅黑"/>
          <w:color w:val="auto"/>
          <w:sz w:val="24"/>
          <w:szCs w:val="24"/>
          <w:highlight w:val="none"/>
          <w:u w:val="single"/>
          <w:lang w:eastAsia="zh-CN"/>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公开采购</w:t>
      </w:r>
      <w:r>
        <w:rPr>
          <w:rFonts w:hint="eastAsia" w:ascii="微软雅黑" w:hAnsi="微软雅黑" w:eastAsia="微软雅黑" w:cs="微软雅黑"/>
          <w:color w:val="auto"/>
          <w:sz w:val="24"/>
          <w:szCs w:val="24"/>
          <w:highlight w:val="none"/>
          <w:lang w:eastAsia="zh-CN"/>
        </w:rPr>
        <w:t>招</w:t>
      </w:r>
      <w:r>
        <w:rPr>
          <w:rFonts w:hint="eastAsia" w:ascii="微软雅黑" w:hAnsi="微软雅黑" w:eastAsia="微软雅黑" w:cs="微软雅黑"/>
          <w:color w:val="auto"/>
          <w:sz w:val="24"/>
          <w:szCs w:val="24"/>
          <w:highlight w:val="none"/>
        </w:rPr>
        <w:t>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w:t>
      </w:r>
      <w:r>
        <w:rPr>
          <w:rFonts w:hint="eastAsia" w:ascii="微软雅黑" w:hAnsi="微软雅黑" w:eastAsia="微软雅黑" w:cs="微软雅黑"/>
          <w:color w:val="auto"/>
          <w:sz w:val="24"/>
          <w:szCs w:val="24"/>
          <w:highlight w:val="none"/>
          <w:lang w:eastAsia="zh-CN"/>
        </w:rPr>
        <w:t>中华人民共和国反不正当竞争法</w:t>
      </w:r>
      <w:r>
        <w:rPr>
          <w:rFonts w:hint="eastAsia" w:ascii="微软雅黑" w:hAnsi="微软雅黑" w:eastAsia="微软雅黑" w:cs="微软雅黑"/>
          <w:color w:val="auto"/>
          <w:sz w:val="24"/>
          <w:szCs w:val="24"/>
          <w:highlight w:val="none"/>
        </w:rPr>
        <w:t>》的有关规定接受处罚。</w:t>
      </w:r>
    </w:p>
    <w:p w14:paraId="6802FEDF">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p>
    <w:p w14:paraId="01918FB4">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投标人名称（单位盖</w:t>
      </w:r>
      <w:r>
        <w:rPr>
          <w:rFonts w:hint="eastAsia" w:ascii="微软雅黑" w:hAnsi="微软雅黑" w:eastAsia="微软雅黑" w:cs="微软雅黑"/>
          <w:color w:val="auto"/>
          <w:sz w:val="24"/>
          <w:szCs w:val="24"/>
          <w:highlight w:val="none"/>
          <w:lang w:eastAsia="zh-CN"/>
        </w:rPr>
        <w:t>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09B552F7">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14:paraId="02519B03">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日期：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年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月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日</w:t>
      </w:r>
    </w:p>
    <w:p w14:paraId="45034D1B">
      <w:pPr>
        <w:pStyle w:val="3"/>
        <w:spacing w:before="0" w:line="240" w:lineRule="atLeast"/>
        <w:ind w:left="1079" w:leftChars="257" w:hanging="540"/>
        <w:outlineLvl w:val="9"/>
        <w:rPr>
          <w:rFonts w:hint="eastAsia" w:ascii="微软雅黑" w:hAnsi="微软雅黑" w:eastAsia="微软雅黑" w:cs="微软雅黑"/>
          <w:color w:val="auto"/>
          <w:sz w:val="24"/>
          <w:szCs w:val="24"/>
          <w:highlight w:val="none"/>
          <w:lang w:eastAsia="zh-CN"/>
        </w:rPr>
      </w:pPr>
    </w:p>
    <w:p w14:paraId="126927B6">
      <w:pPr>
        <w:pStyle w:val="3"/>
        <w:spacing w:before="0" w:line="240" w:lineRule="atLeast"/>
        <w:ind w:left="1079" w:leftChars="257" w:hanging="540"/>
        <w:outlineLvl w:val="9"/>
        <w:rPr>
          <w:rFonts w:hint="eastAsia" w:ascii="微软雅黑" w:hAnsi="微软雅黑" w:eastAsia="微软雅黑" w:cs="微软雅黑"/>
          <w:color w:val="auto"/>
          <w:sz w:val="24"/>
          <w:szCs w:val="24"/>
          <w:highlight w:val="none"/>
          <w:lang w:eastAsia="zh-CN"/>
        </w:rPr>
      </w:pPr>
    </w:p>
    <w:p w14:paraId="4CF14DB9">
      <w:pPr>
        <w:pStyle w:val="3"/>
        <w:spacing w:before="0" w:line="240" w:lineRule="atLeast"/>
        <w:jc w:val="both"/>
        <w:outlineLvl w:val="9"/>
        <w:rPr>
          <w:rFonts w:hint="eastAsia" w:ascii="微软雅黑" w:hAnsi="微软雅黑" w:eastAsia="微软雅黑" w:cs="微软雅黑"/>
          <w:color w:val="auto"/>
          <w:sz w:val="24"/>
          <w:szCs w:val="24"/>
          <w:highlight w:val="none"/>
          <w:lang w:eastAsia="zh-CN"/>
        </w:rPr>
      </w:pPr>
    </w:p>
    <w:p w14:paraId="20CCF83A">
      <w:pPr>
        <w:pStyle w:val="3"/>
        <w:numPr>
          <w:ilvl w:val="0"/>
          <w:numId w:val="0"/>
        </w:numPr>
        <w:spacing w:before="0" w:line="240" w:lineRule="atLeast"/>
        <w:jc w:val="center"/>
        <w:rPr>
          <w:rFonts w:hint="eastAsia" w:ascii="微软雅黑" w:hAnsi="微软雅黑" w:eastAsia="微软雅黑" w:cs="微软雅黑"/>
          <w:b/>
          <w:color w:val="auto"/>
          <w:kern w:val="0"/>
          <w:sz w:val="28"/>
          <w:szCs w:val="28"/>
          <w:highlight w:val="none"/>
          <w:lang w:val="en-US" w:eastAsia="zh-CN" w:bidi="ar-SA"/>
        </w:rPr>
      </w:pPr>
      <w:bookmarkStart w:id="386" w:name="_Toc28449"/>
      <w:bookmarkStart w:id="387" w:name="_Toc15105"/>
      <w:r>
        <w:rPr>
          <w:rFonts w:hint="eastAsia" w:ascii="微软雅黑" w:hAnsi="微软雅黑" w:eastAsia="微软雅黑" w:cs="微软雅黑"/>
          <w:b/>
          <w:color w:val="auto"/>
          <w:kern w:val="0"/>
          <w:sz w:val="28"/>
          <w:szCs w:val="28"/>
          <w:highlight w:val="none"/>
          <w:lang w:val="en-US" w:eastAsia="zh-CN" w:bidi="ar-SA"/>
        </w:rPr>
        <w:t>10、</w:t>
      </w:r>
      <w:bookmarkEnd w:id="386"/>
      <w:bookmarkEnd w:id="387"/>
      <w:r>
        <w:rPr>
          <w:rFonts w:hint="eastAsia" w:ascii="微软雅黑" w:hAnsi="微软雅黑" w:eastAsia="微软雅黑" w:cs="微软雅黑"/>
          <w:b/>
          <w:color w:val="auto"/>
          <w:kern w:val="0"/>
          <w:sz w:val="28"/>
          <w:szCs w:val="28"/>
          <w:highlight w:val="none"/>
          <w:lang w:val="en-US" w:eastAsia="zh-CN" w:bidi="ar-SA"/>
        </w:rPr>
        <w:t>参加政府采购活动前3年内在经营活动中没有重大违法违规记录的书面声明</w:t>
      </w:r>
    </w:p>
    <w:p w14:paraId="53AA58E1">
      <w:pPr>
        <w:pStyle w:val="3"/>
        <w:numPr>
          <w:ilvl w:val="0"/>
          <w:numId w:val="0"/>
        </w:numPr>
        <w:spacing w:before="0" w:line="240" w:lineRule="atLeast"/>
        <w:jc w:val="center"/>
        <w:rPr>
          <w:rFonts w:hint="eastAsia" w:ascii="微软雅黑" w:hAnsi="微软雅黑" w:eastAsia="微软雅黑" w:cs="微软雅黑"/>
          <w:b/>
          <w:color w:val="auto"/>
          <w:kern w:val="0"/>
          <w:sz w:val="24"/>
          <w:szCs w:val="24"/>
          <w:highlight w:val="none"/>
          <w:lang w:val="en-US" w:eastAsia="zh-CN" w:bidi="ar-SA"/>
        </w:rPr>
      </w:pPr>
      <w:r>
        <w:rPr>
          <w:rFonts w:hint="eastAsia" w:ascii="微软雅黑" w:hAnsi="微软雅黑" w:eastAsia="微软雅黑" w:cs="微软雅黑"/>
          <w:b/>
          <w:color w:val="auto"/>
          <w:kern w:val="0"/>
          <w:sz w:val="24"/>
          <w:szCs w:val="24"/>
          <w:highlight w:val="none"/>
          <w:lang w:val="en-US" w:eastAsia="zh-CN" w:bidi="ar-SA"/>
        </w:rPr>
        <w:t>（格式自拟）</w:t>
      </w:r>
    </w:p>
    <w:p w14:paraId="2F308C9A">
      <w:pPr>
        <w:pStyle w:val="16"/>
        <w:tabs>
          <w:tab w:val="left" w:pos="5580"/>
        </w:tabs>
        <w:spacing w:line="240" w:lineRule="atLeast"/>
        <w:ind w:firstLine="480" w:firstLineChars="200"/>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rPr>
        <w:t>说明：投标人应按照相关法规规定如实作出说明</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按照招标文件的规定加盖单位章。</w:t>
      </w:r>
    </w:p>
    <w:p w14:paraId="7C817A22">
      <w:pPr>
        <w:rPr>
          <w:rFonts w:hint="eastAsia" w:ascii="微软雅黑" w:hAnsi="微软雅黑" w:eastAsia="微软雅黑" w:cs="微软雅黑"/>
          <w:color w:val="auto"/>
          <w:sz w:val="24"/>
          <w:szCs w:val="24"/>
          <w:highlight w:val="none"/>
        </w:rPr>
      </w:pPr>
    </w:p>
    <w:p w14:paraId="5054DEDA">
      <w:pPr>
        <w:pStyle w:val="3"/>
        <w:spacing w:before="0" w:line="240" w:lineRule="atLeast"/>
        <w:ind w:left="1079" w:leftChars="257" w:hanging="540"/>
        <w:rPr>
          <w:rFonts w:hint="eastAsia" w:ascii="微软雅黑" w:hAnsi="微软雅黑" w:eastAsia="微软雅黑" w:cs="微软雅黑"/>
          <w:color w:val="auto"/>
          <w:sz w:val="24"/>
          <w:szCs w:val="24"/>
          <w:highlight w:val="none"/>
          <w:lang w:val="en-US" w:eastAsia="zh-CN"/>
        </w:rPr>
        <w:sectPr>
          <w:pgSz w:w="11906" w:h="16838"/>
          <w:pgMar w:top="1440" w:right="1080" w:bottom="1440" w:left="1080" w:header="851" w:footer="992" w:gutter="0"/>
          <w:pgNumType w:fmt="decimal"/>
          <w:cols w:space="720" w:num="1"/>
          <w:docGrid w:type="linesAndChars" w:linePitch="312" w:charSpace="0"/>
        </w:sectPr>
      </w:pPr>
      <w:bookmarkStart w:id="388" w:name="_Toc29703"/>
      <w:bookmarkStart w:id="389" w:name="_Toc17207"/>
      <w:bookmarkStart w:id="390" w:name="_Toc515647813"/>
      <w:bookmarkStart w:id="391" w:name="_Toc14296"/>
      <w:bookmarkStart w:id="392" w:name="_Toc10594"/>
    </w:p>
    <w:p w14:paraId="1F2359A5">
      <w:pPr>
        <w:pStyle w:val="3"/>
        <w:numPr>
          <w:ilvl w:val="0"/>
          <w:numId w:val="0"/>
        </w:numPr>
        <w:spacing w:before="0" w:line="240" w:lineRule="atLeas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color w:val="auto"/>
          <w:kern w:val="0"/>
          <w:sz w:val="28"/>
          <w:szCs w:val="28"/>
          <w:highlight w:val="none"/>
          <w:lang w:val="en-US" w:eastAsia="zh-CN" w:bidi="ar-SA"/>
        </w:rPr>
        <w:t xml:space="preserve">11、 </w:t>
      </w:r>
      <w:bookmarkEnd w:id="388"/>
      <w:bookmarkEnd w:id="389"/>
      <w:bookmarkEnd w:id="390"/>
      <w:bookmarkEnd w:id="391"/>
      <w:bookmarkEnd w:id="392"/>
      <w:r>
        <w:rPr>
          <w:rFonts w:hint="eastAsia" w:ascii="微软雅黑" w:hAnsi="微软雅黑" w:eastAsia="微软雅黑" w:cs="微软雅黑"/>
          <w:b/>
          <w:color w:val="auto"/>
          <w:kern w:val="0"/>
          <w:sz w:val="28"/>
          <w:szCs w:val="28"/>
          <w:highlight w:val="none"/>
          <w:lang w:val="en-US" w:eastAsia="zh-CN" w:bidi="ar-SA"/>
        </w:rPr>
        <w:t>投标保证金有效缴纳凭证</w:t>
      </w:r>
    </w:p>
    <w:p w14:paraId="24DC2647">
      <w:pPr>
        <w:pStyle w:val="16"/>
        <w:tabs>
          <w:tab w:val="left" w:pos="5580"/>
        </w:tabs>
        <w:spacing w:line="240" w:lineRule="atLeast"/>
        <w:jc w:val="both"/>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说明：</w:t>
      </w:r>
    </w:p>
    <w:p w14:paraId="69EE895A">
      <w:pPr>
        <w:pStyle w:val="7"/>
        <w:ind w:left="0" w:leftChars="0"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投标人可将本项目投标保证金支付的汇款凭证、支票、汇票、本票或投标保证金收据（如有）的扫描件作为缴纳凭证装订在本部分，扫描件上应加盖本单位公章；使用电子保函、银行保函等其他投标担保函的，应将保函扫描件装订在本部分；扫描件上应加盖本单位公章；</w:t>
      </w:r>
    </w:p>
    <w:p w14:paraId="60B3CD24">
      <w:pPr>
        <w:rPr>
          <w:rFonts w:hint="eastAsia"/>
          <w:color w:val="auto"/>
          <w:highlight w:val="none"/>
          <w:lang w:val="en-US" w:eastAsia="zh-CN"/>
        </w:rPr>
      </w:pPr>
    </w:p>
    <w:p w14:paraId="22BC1D96">
      <w:pPr>
        <w:pStyle w:val="7"/>
        <w:ind w:left="0" w:leftChars="0" w:firstLine="0" w:firstLineChars="0"/>
        <w:rPr>
          <w:rFonts w:hint="eastAsia" w:ascii="微软雅黑" w:hAnsi="微软雅黑" w:eastAsia="微软雅黑" w:cs="微软雅黑"/>
          <w:b/>
          <w:bCs/>
          <w:i w:val="0"/>
          <w:iCs w:val="0"/>
          <w:color w:val="auto"/>
          <w:kern w:val="2"/>
          <w:sz w:val="24"/>
          <w:szCs w:val="24"/>
          <w:highlight w:val="none"/>
          <w:u w:val="none"/>
          <w:lang w:val="en-US" w:eastAsia="zh-CN" w:bidi="ar-SA"/>
        </w:rPr>
      </w:pPr>
    </w:p>
    <w:p w14:paraId="18EF37BD">
      <w:pPr>
        <w:pStyle w:val="3"/>
        <w:spacing w:before="0" w:line="240" w:lineRule="atLeast"/>
        <w:ind w:left="1079" w:leftChars="257" w:hanging="540"/>
        <w:rPr>
          <w:rFonts w:hint="eastAsia" w:ascii="微软雅黑" w:hAnsi="微软雅黑" w:eastAsia="微软雅黑" w:cs="微软雅黑"/>
          <w:color w:val="auto"/>
          <w:sz w:val="24"/>
          <w:szCs w:val="24"/>
          <w:highlight w:val="none"/>
        </w:rPr>
        <w:sectPr>
          <w:pgSz w:w="11906" w:h="16838"/>
          <w:pgMar w:top="1440" w:right="1080" w:bottom="1440" w:left="1080" w:header="851" w:footer="992" w:gutter="0"/>
          <w:pgNumType w:fmt="decimal"/>
          <w:cols w:space="720" w:num="1"/>
          <w:docGrid w:type="linesAndChars" w:linePitch="312" w:charSpace="0"/>
        </w:sectPr>
      </w:pPr>
    </w:p>
    <w:p w14:paraId="6F300426">
      <w:pPr>
        <w:pStyle w:val="3"/>
        <w:numPr>
          <w:ilvl w:val="0"/>
          <w:numId w:val="0"/>
        </w:numPr>
        <w:spacing w:before="0" w:line="240" w:lineRule="atLeast"/>
        <w:jc w:val="center"/>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12.投标人须知资料表要求的其他资格证明文件</w:t>
      </w:r>
    </w:p>
    <w:p w14:paraId="55E3A370">
      <w:pPr>
        <w:pStyle w:val="7"/>
        <w:ind w:left="0" w:leftChars="0" w:firstLine="480" w:firstLineChars="20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说明：提供投标人须知资料表要求的其他资格证明文件；扫描件应加盖投标单位公章。</w:t>
      </w:r>
    </w:p>
    <w:p w14:paraId="71B0D48C">
      <w:pPr>
        <w:pStyle w:val="7"/>
        <w:ind w:left="0" w:leftChars="0" w:firstLine="480" w:firstLineChars="200"/>
        <w:jc w:val="center"/>
        <w:rPr>
          <w:rFonts w:hint="eastAsia" w:ascii="微软雅黑" w:hAnsi="微软雅黑" w:eastAsia="微软雅黑" w:cs="微软雅黑"/>
          <w:color w:val="auto"/>
          <w:sz w:val="24"/>
          <w:szCs w:val="24"/>
          <w:highlight w:val="none"/>
          <w:lang w:val="en-US" w:eastAsia="zh-CN"/>
        </w:rPr>
      </w:pPr>
    </w:p>
    <w:p w14:paraId="37AB9E0F">
      <w:pPr>
        <w:pStyle w:val="7"/>
        <w:ind w:left="0" w:leftChars="0" w:firstLine="480" w:firstLineChars="200"/>
        <w:jc w:val="center"/>
        <w:rPr>
          <w:rFonts w:hint="eastAsia" w:ascii="微软雅黑" w:hAnsi="微软雅黑" w:eastAsia="微软雅黑" w:cs="微软雅黑"/>
          <w:color w:val="auto"/>
          <w:sz w:val="24"/>
          <w:szCs w:val="24"/>
          <w:highlight w:val="none"/>
          <w:lang w:val="en-US" w:eastAsia="zh-CN"/>
        </w:rPr>
      </w:pPr>
    </w:p>
    <w:p w14:paraId="6B3181F4">
      <w:pPr>
        <w:pStyle w:val="7"/>
        <w:ind w:left="0" w:leftChars="0" w:firstLine="480" w:firstLineChars="200"/>
        <w:jc w:val="center"/>
        <w:rPr>
          <w:rFonts w:hint="eastAsia" w:ascii="微软雅黑" w:hAnsi="微软雅黑" w:eastAsia="微软雅黑" w:cs="微软雅黑"/>
          <w:color w:val="auto"/>
          <w:sz w:val="24"/>
          <w:szCs w:val="24"/>
          <w:highlight w:val="none"/>
          <w:lang w:val="en-US" w:eastAsia="zh-CN"/>
        </w:rPr>
      </w:pPr>
    </w:p>
    <w:p w14:paraId="0E4C7A91">
      <w:pPr>
        <w:pStyle w:val="7"/>
        <w:ind w:left="0" w:leftChars="0" w:firstLine="480" w:firstLineChars="200"/>
        <w:jc w:val="center"/>
        <w:rPr>
          <w:rFonts w:hint="eastAsia" w:ascii="微软雅黑" w:hAnsi="微软雅黑" w:eastAsia="微软雅黑" w:cs="微软雅黑"/>
          <w:color w:val="auto"/>
          <w:sz w:val="24"/>
          <w:szCs w:val="24"/>
          <w:highlight w:val="none"/>
          <w:lang w:val="en-US" w:eastAsia="zh-CN"/>
        </w:rPr>
      </w:pPr>
    </w:p>
    <w:p w14:paraId="32AD747D">
      <w:pPr>
        <w:pStyle w:val="7"/>
        <w:ind w:left="0" w:leftChars="0" w:firstLine="0" w:firstLineChars="0"/>
        <w:jc w:val="center"/>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13.投标人可提供有利于投标的其他证明材料</w:t>
      </w:r>
    </w:p>
    <w:p w14:paraId="0FF578E8">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bookmarkStart w:id="393" w:name="_Toc12004"/>
      <w:bookmarkStart w:id="394" w:name="_Toc518923115"/>
      <w:r>
        <w:rPr>
          <w:rFonts w:hint="eastAsia" w:ascii="微软雅黑" w:hAnsi="微软雅黑" w:eastAsia="微软雅黑" w:cs="微软雅黑"/>
          <w:color w:val="auto"/>
          <w:sz w:val="24"/>
          <w:szCs w:val="24"/>
          <w:highlight w:val="none"/>
        </w:rPr>
        <w:t>提供有利于投标的其他证明材料，</w:t>
      </w:r>
      <w:r>
        <w:rPr>
          <w:rFonts w:hint="eastAsia" w:ascii="微软雅黑" w:hAnsi="微软雅黑" w:eastAsia="微软雅黑" w:cs="微软雅黑"/>
          <w:color w:val="auto"/>
          <w:sz w:val="24"/>
          <w:szCs w:val="24"/>
          <w:highlight w:val="none"/>
          <w:lang w:eastAsia="zh-CN"/>
        </w:rPr>
        <w:t>扫描</w:t>
      </w:r>
      <w:r>
        <w:rPr>
          <w:rFonts w:hint="eastAsia" w:ascii="微软雅黑" w:hAnsi="微软雅黑" w:eastAsia="微软雅黑" w:cs="微软雅黑"/>
          <w:color w:val="auto"/>
          <w:sz w:val="24"/>
          <w:szCs w:val="24"/>
          <w:highlight w:val="none"/>
          <w:lang w:val="en-US" w:eastAsia="zh-CN"/>
        </w:rPr>
        <w:t>件</w:t>
      </w:r>
      <w:r>
        <w:rPr>
          <w:rFonts w:hint="eastAsia" w:ascii="微软雅黑" w:hAnsi="微软雅黑" w:eastAsia="微软雅黑" w:cs="微软雅黑"/>
          <w:color w:val="auto"/>
          <w:sz w:val="24"/>
          <w:szCs w:val="24"/>
          <w:highlight w:val="none"/>
        </w:rPr>
        <w:t>应加盖投标单位公章。</w:t>
      </w:r>
    </w:p>
    <w:p w14:paraId="6380A5AF">
      <w:pPr>
        <w:pStyle w:val="7"/>
        <w:numPr>
          <w:ilvl w:val="0"/>
          <w:numId w:val="0"/>
        </w:numPr>
        <w:ind w:leftChars="300"/>
        <w:jc w:val="both"/>
        <w:rPr>
          <w:rFonts w:hint="eastAsia" w:ascii="微软雅黑" w:hAnsi="微软雅黑" w:eastAsia="微软雅黑" w:cs="微软雅黑"/>
          <w:b/>
          <w:bCs/>
          <w:color w:val="auto"/>
          <w:sz w:val="24"/>
          <w:szCs w:val="24"/>
          <w:highlight w:val="none"/>
        </w:rPr>
        <w:sectPr>
          <w:pgSz w:w="11906" w:h="16838"/>
          <w:pgMar w:top="1440" w:right="1080" w:bottom="1440" w:left="1080" w:header="851" w:footer="992" w:gutter="0"/>
          <w:pgNumType w:fmt="decimal"/>
          <w:cols w:space="720" w:num="1"/>
          <w:docGrid w:type="linesAndChars" w:linePitch="312" w:charSpace="0"/>
        </w:sectPr>
      </w:pPr>
    </w:p>
    <w:p w14:paraId="474D59A8">
      <w:pPr>
        <w:pStyle w:val="7"/>
        <w:numPr>
          <w:ilvl w:val="0"/>
          <w:numId w:val="0"/>
        </w:numPr>
        <w:jc w:val="center"/>
        <w:rPr>
          <w:rFonts w:hint="eastAsia" w:ascii="微软雅黑" w:hAnsi="微软雅黑" w:eastAsia="微软雅黑" w:cs="微软雅黑"/>
          <w:b/>
          <w:color w:val="auto"/>
          <w:kern w:val="0"/>
          <w:sz w:val="32"/>
          <w:szCs w:val="32"/>
          <w:highlight w:val="none"/>
          <w:lang w:val="en-US" w:eastAsia="zh-CN" w:bidi="ar-SA"/>
        </w:rPr>
      </w:pPr>
      <w:r>
        <w:rPr>
          <w:rFonts w:hint="eastAsia" w:ascii="微软雅黑" w:hAnsi="微软雅黑" w:eastAsia="微软雅黑" w:cs="微软雅黑"/>
          <w:b/>
          <w:color w:val="auto"/>
          <w:kern w:val="0"/>
          <w:sz w:val="32"/>
          <w:szCs w:val="32"/>
          <w:highlight w:val="none"/>
          <w:lang w:val="en-US" w:eastAsia="zh-CN" w:bidi="ar-SA"/>
        </w:rPr>
        <w:t>第二部分  商务及技术文件</w:t>
      </w:r>
      <w:bookmarkEnd w:id="393"/>
      <w:bookmarkEnd w:id="394"/>
    </w:p>
    <w:p w14:paraId="33F98272">
      <w:pPr>
        <w:pStyle w:val="16"/>
        <w:ind w:left="1079" w:leftChars="257" w:hanging="540"/>
        <w:rPr>
          <w:rFonts w:hint="eastAsia" w:ascii="微软雅黑" w:hAnsi="微软雅黑" w:eastAsia="微软雅黑" w:cs="微软雅黑"/>
          <w:color w:val="auto"/>
          <w:sz w:val="28"/>
          <w:szCs w:val="28"/>
          <w:highlight w:val="none"/>
        </w:rPr>
      </w:pPr>
    </w:p>
    <w:p w14:paraId="620AEDF6">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1、投标书</w:t>
      </w:r>
    </w:p>
    <w:p w14:paraId="7581EDAC">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2、投标分项报价表</w:t>
      </w:r>
    </w:p>
    <w:p w14:paraId="3F8AB4E5">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3、货物说明一览表</w:t>
      </w:r>
    </w:p>
    <w:p w14:paraId="5B27F4E2">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4、技术条款偏离表</w:t>
      </w:r>
    </w:p>
    <w:p w14:paraId="64360C1E">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5、商务条款偏离表</w:t>
      </w:r>
    </w:p>
    <w:p w14:paraId="1DCAD42A">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w:t>
      </w:r>
      <w:r>
        <w:rPr>
          <w:rFonts w:hint="eastAsia" w:ascii="微软雅黑" w:hAnsi="微软雅黑" w:eastAsia="微软雅黑" w:cs="微软雅黑"/>
          <w:color w:val="auto"/>
          <w:sz w:val="24"/>
          <w:szCs w:val="24"/>
          <w:highlight w:val="none"/>
          <w:lang w:val="en-US" w:eastAsia="zh-CN"/>
        </w:rPr>
        <w:t>符合《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价格扣减条件的投标人须提交</w:t>
      </w:r>
    </w:p>
    <w:p w14:paraId="61FCE149">
      <w:pPr>
        <w:pStyle w:val="16"/>
        <w:tabs>
          <w:tab w:val="left" w:pos="5580"/>
        </w:tabs>
        <w:spacing w:line="360" w:lineRule="auto"/>
        <w:ind w:left="1079"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6-1《中小企业声明函》</w:t>
      </w:r>
    </w:p>
    <w:p w14:paraId="651C4DC6">
      <w:pPr>
        <w:pStyle w:val="16"/>
        <w:tabs>
          <w:tab w:val="left" w:pos="5580"/>
        </w:tabs>
        <w:spacing w:line="360" w:lineRule="auto"/>
        <w:ind w:left="1079"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6-2《残疾人福利性单位声明函》</w:t>
      </w:r>
    </w:p>
    <w:p w14:paraId="7306E6F2">
      <w:pPr>
        <w:pStyle w:val="16"/>
        <w:tabs>
          <w:tab w:val="left" w:pos="5580"/>
        </w:tabs>
        <w:spacing w:line="360" w:lineRule="auto"/>
        <w:ind w:left="1079"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6-3《监狱企业声明函》</w:t>
      </w:r>
    </w:p>
    <w:p w14:paraId="4DFB7A8A">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7、投标人关联单位的说明</w:t>
      </w:r>
    </w:p>
    <w:p w14:paraId="249FEE58">
      <w:pPr>
        <w:pStyle w:val="16"/>
        <w:tabs>
          <w:tab w:val="left" w:pos="5580"/>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8、其他有利于投标人的文件或证明材料</w:t>
      </w:r>
    </w:p>
    <w:p w14:paraId="5112BA91">
      <w:pPr>
        <w:pStyle w:val="16"/>
        <w:tabs>
          <w:tab w:val="left" w:pos="5580"/>
        </w:tabs>
        <w:spacing w:line="360" w:lineRule="auto"/>
        <w:ind w:firstLine="480" w:firstLineChars="20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4"/>
          <w:szCs w:val="24"/>
          <w:highlight w:val="none"/>
        </w:rPr>
        <w:t>9、关于对本投标文件中资料真实性的承诺</w:t>
      </w:r>
    </w:p>
    <w:p w14:paraId="4833B320">
      <w:pPr>
        <w:pStyle w:val="3"/>
        <w:spacing w:before="0" w:line="240" w:lineRule="atLeast"/>
        <w:jc w:val="center"/>
        <w:rPr>
          <w:rFonts w:hint="eastAsia" w:ascii="微软雅黑" w:hAnsi="微软雅黑" w:eastAsia="微软雅黑" w:cs="微软雅黑"/>
          <w:color w:val="auto"/>
          <w:sz w:val="28"/>
          <w:szCs w:val="28"/>
          <w:highlight w:val="none"/>
        </w:rPr>
        <w:sectPr>
          <w:pgSz w:w="11906" w:h="16838"/>
          <w:pgMar w:top="1440" w:right="1080" w:bottom="1440" w:left="1080" w:header="851" w:footer="992" w:gutter="0"/>
          <w:pgNumType w:fmt="decimal"/>
          <w:cols w:space="720" w:num="1"/>
          <w:docGrid w:type="linesAndChars" w:linePitch="312" w:charSpace="0"/>
        </w:sectPr>
      </w:pPr>
      <w:bookmarkStart w:id="395" w:name="_Toc515647817"/>
      <w:bookmarkStart w:id="396" w:name="_Toc14915"/>
      <w:bookmarkStart w:id="397" w:name="_Toc2041"/>
    </w:p>
    <w:bookmarkEnd w:id="395"/>
    <w:bookmarkEnd w:id="396"/>
    <w:bookmarkEnd w:id="397"/>
    <w:p w14:paraId="704326E1">
      <w:pPr>
        <w:pStyle w:val="3"/>
        <w:spacing w:before="0" w:line="240" w:lineRule="atLeast"/>
        <w:jc w:val="center"/>
        <w:rPr>
          <w:rFonts w:hint="eastAsia" w:ascii="微软雅黑" w:hAnsi="微软雅黑" w:eastAsia="微软雅黑" w:cs="微软雅黑"/>
          <w:color w:val="auto"/>
          <w:sz w:val="24"/>
          <w:szCs w:val="24"/>
          <w:highlight w:val="none"/>
        </w:rPr>
      </w:pPr>
      <w:bookmarkStart w:id="398" w:name="_Toc518923117"/>
      <w:bookmarkStart w:id="399" w:name="_Toc216582815"/>
      <w:bookmarkStart w:id="400" w:name="_Toc22662"/>
      <w:r>
        <w:rPr>
          <w:rFonts w:hint="eastAsia" w:ascii="微软雅黑" w:hAnsi="微软雅黑" w:eastAsia="微软雅黑" w:cs="微软雅黑"/>
          <w:color w:val="auto"/>
          <w:sz w:val="28"/>
          <w:szCs w:val="28"/>
          <w:highlight w:val="none"/>
        </w:rPr>
        <w:t>1</w:t>
      </w:r>
      <w:bookmarkStart w:id="401" w:name="_Hlt520355504"/>
      <w:bookmarkEnd w:id="401"/>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投标书</w:t>
      </w:r>
    </w:p>
    <w:p w14:paraId="4AC4D5FD">
      <w:pPr>
        <w:tabs>
          <w:tab w:val="left" w:pos="5580"/>
        </w:tabs>
        <w:spacing w:line="240" w:lineRule="auto"/>
        <w:ind w:left="1080" w:hanging="10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采购</w:t>
      </w:r>
      <w:r>
        <w:rPr>
          <w:rFonts w:hint="eastAsia" w:ascii="微软雅黑" w:hAnsi="微软雅黑" w:eastAsia="微软雅黑" w:cs="微软雅黑"/>
          <w:color w:val="auto"/>
          <w:sz w:val="24"/>
          <w:szCs w:val="24"/>
          <w:highlight w:val="none"/>
          <w:u w:val="single"/>
          <w:lang w:eastAsia="zh-CN"/>
        </w:rPr>
        <w:t>人</w:t>
      </w:r>
    </w:p>
    <w:p w14:paraId="05A480EA">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2" w:leftChars="1"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根据贵方(</w:t>
      </w:r>
      <w:r>
        <w:rPr>
          <w:rFonts w:hint="eastAsia" w:ascii="微软雅黑" w:hAnsi="微软雅黑" w:eastAsia="微软雅黑" w:cs="微软雅黑"/>
          <w:i/>
          <w:color w:val="auto"/>
          <w:sz w:val="24"/>
          <w:szCs w:val="24"/>
          <w:highlight w:val="none"/>
          <w:u w:val="single"/>
          <w:lang w:val="en-US" w:eastAsia="zh-CN"/>
        </w:rPr>
        <w:t>项目</w:t>
      </w:r>
      <w:r>
        <w:rPr>
          <w:rFonts w:hint="eastAsia" w:ascii="微软雅黑" w:hAnsi="微软雅黑" w:eastAsia="微软雅黑" w:cs="微软雅黑"/>
          <w:i/>
          <w:color w:val="auto"/>
          <w:sz w:val="24"/>
          <w:szCs w:val="24"/>
          <w:highlight w:val="none"/>
          <w:u w:val="single"/>
        </w:rPr>
        <w:t>名称</w:t>
      </w:r>
      <w:r>
        <w:rPr>
          <w:rFonts w:hint="eastAsia" w:ascii="微软雅黑" w:hAnsi="微软雅黑" w:eastAsia="微软雅黑" w:cs="微软雅黑"/>
          <w:color w:val="auto"/>
          <w:sz w:val="24"/>
          <w:szCs w:val="24"/>
          <w:highlight w:val="none"/>
        </w:rPr>
        <w:t>)项目的投标邀请(</w:t>
      </w:r>
      <w:r>
        <w:rPr>
          <w:rFonts w:hint="eastAsia" w:ascii="微软雅黑" w:hAnsi="微软雅黑" w:eastAsia="微软雅黑" w:cs="微软雅黑"/>
          <w:i/>
          <w:color w:val="auto"/>
          <w:sz w:val="24"/>
          <w:szCs w:val="24"/>
          <w:highlight w:val="none"/>
          <w:u w:val="single"/>
          <w:lang w:eastAsia="zh-CN"/>
        </w:rPr>
        <w:t>项目</w:t>
      </w:r>
      <w:r>
        <w:rPr>
          <w:rFonts w:hint="eastAsia" w:ascii="微软雅黑" w:hAnsi="微软雅黑" w:eastAsia="微软雅黑" w:cs="微软雅黑"/>
          <w:i/>
          <w:color w:val="auto"/>
          <w:sz w:val="24"/>
          <w:szCs w:val="24"/>
          <w:highlight w:val="none"/>
          <w:u w:val="single"/>
        </w:rPr>
        <w:t>编号</w:t>
      </w:r>
      <w:r>
        <w:rPr>
          <w:rFonts w:hint="eastAsia" w:ascii="微软雅黑" w:hAnsi="微软雅黑" w:eastAsia="微软雅黑" w:cs="微软雅黑"/>
          <w:color w:val="auto"/>
          <w:sz w:val="24"/>
          <w:szCs w:val="24"/>
          <w:highlight w:val="none"/>
        </w:rPr>
        <w:t>),签字代表(</w:t>
      </w:r>
      <w:r>
        <w:rPr>
          <w:rFonts w:hint="eastAsia" w:ascii="微软雅黑" w:hAnsi="微软雅黑" w:eastAsia="微软雅黑" w:cs="微软雅黑"/>
          <w:i/>
          <w:color w:val="auto"/>
          <w:sz w:val="24"/>
          <w:szCs w:val="24"/>
          <w:highlight w:val="none"/>
          <w:u w:val="single"/>
        </w:rPr>
        <w:t>姓名、职务</w:t>
      </w:r>
      <w:r>
        <w:rPr>
          <w:rFonts w:hint="eastAsia" w:ascii="微软雅黑" w:hAnsi="微软雅黑" w:eastAsia="微软雅黑" w:cs="微软雅黑"/>
          <w:color w:val="auto"/>
          <w:sz w:val="24"/>
          <w:szCs w:val="24"/>
          <w:highlight w:val="none"/>
        </w:rPr>
        <w:t>)经正式授权并代表投标人（</w:t>
      </w:r>
      <w:r>
        <w:rPr>
          <w:rFonts w:hint="eastAsia" w:ascii="微软雅黑" w:hAnsi="微软雅黑" w:eastAsia="微软雅黑" w:cs="微软雅黑"/>
          <w:i/>
          <w:color w:val="auto"/>
          <w:sz w:val="24"/>
          <w:szCs w:val="24"/>
          <w:highlight w:val="none"/>
          <w:u w:val="single"/>
        </w:rPr>
        <w:t>名称、地址</w:t>
      </w:r>
      <w:r>
        <w:rPr>
          <w:rFonts w:hint="eastAsia" w:ascii="微软雅黑" w:hAnsi="微软雅黑" w:eastAsia="微软雅黑" w:cs="微软雅黑"/>
          <w:color w:val="auto"/>
          <w:sz w:val="24"/>
          <w:szCs w:val="24"/>
          <w:highlight w:val="none"/>
        </w:rPr>
        <w:t>）提交</w:t>
      </w:r>
      <w:r>
        <w:rPr>
          <w:rFonts w:hint="eastAsia" w:ascii="微软雅黑" w:hAnsi="微软雅黑" w:eastAsia="微软雅黑" w:cs="微软雅黑"/>
          <w:color w:val="auto"/>
          <w:sz w:val="24"/>
          <w:szCs w:val="24"/>
          <w:highlight w:val="none"/>
          <w:lang w:eastAsia="zh-CN"/>
        </w:rPr>
        <w:t>加密</w:t>
      </w:r>
      <w:r>
        <w:rPr>
          <w:rFonts w:hint="eastAsia" w:ascii="微软雅黑" w:hAnsi="微软雅黑" w:eastAsia="微软雅黑" w:cs="微软雅黑"/>
          <w:color w:val="auto"/>
          <w:sz w:val="24"/>
          <w:szCs w:val="24"/>
          <w:highlight w:val="none"/>
        </w:rPr>
        <w:t>电子投标文件</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lang w:val="en-US" w:eastAsia="zh-CN"/>
        </w:rPr>
        <w:t>份</w:t>
      </w:r>
      <w:r>
        <w:rPr>
          <w:rFonts w:hint="eastAsia" w:ascii="微软雅黑" w:hAnsi="微软雅黑" w:eastAsia="微软雅黑" w:cs="微软雅黑"/>
          <w:color w:val="auto"/>
          <w:sz w:val="24"/>
          <w:szCs w:val="24"/>
          <w:highlight w:val="none"/>
        </w:rPr>
        <w:t>，并以</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形式出具的金额为人民币</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元的投标保证金。</w:t>
      </w:r>
    </w:p>
    <w:p w14:paraId="7AA15C20">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540" w:leftChars="257"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据此，签字代表宣布同意如下：</w:t>
      </w:r>
    </w:p>
    <w:p w14:paraId="35164DD9">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（1）附投标价格表中规定的应提供货物的投标总价详见开标一览表，</w:t>
      </w:r>
      <w:r>
        <w:rPr>
          <w:rFonts w:hint="eastAsia" w:ascii="微软雅黑" w:hAnsi="微软雅黑" w:eastAsia="微软雅黑" w:cs="微软雅黑"/>
          <w:color w:val="auto"/>
          <w:sz w:val="24"/>
          <w:szCs w:val="24"/>
          <w:highlight w:val="none"/>
          <w:u w:val="single"/>
        </w:rPr>
        <w:t>其中由小型和</w:t>
      </w:r>
      <w:r>
        <w:rPr>
          <w:rFonts w:hint="eastAsia" w:ascii="微软雅黑" w:hAnsi="微软雅黑" w:eastAsia="微软雅黑" w:cs="微软雅黑"/>
          <w:color w:val="auto"/>
          <w:sz w:val="24"/>
          <w:szCs w:val="24"/>
          <w:highlight w:val="none"/>
        </w:rPr>
        <w:t>微型企业制造产品的价格为</w:t>
      </w:r>
      <w:r>
        <w:rPr>
          <w:rFonts w:hint="eastAsia" w:ascii="微软雅黑" w:hAnsi="微软雅黑" w:eastAsia="微软雅黑" w:cs="微软雅黑"/>
          <w:color w:val="auto"/>
          <w:sz w:val="24"/>
          <w:szCs w:val="24"/>
          <w:highlight w:val="none"/>
          <w:u w:val="single"/>
        </w:rPr>
        <w:t>（用文字和数字表示），占投标总价   %</w:t>
      </w:r>
      <w:r>
        <w:rPr>
          <w:rFonts w:hint="eastAsia" w:ascii="微软雅黑" w:hAnsi="微软雅黑" w:eastAsia="微软雅黑" w:cs="微软雅黑"/>
          <w:color w:val="auto"/>
          <w:sz w:val="24"/>
          <w:szCs w:val="24"/>
          <w:highlight w:val="none"/>
        </w:rPr>
        <w:t>。</w:t>
      </w:r>
    </w:p>
    <w:p w14:paraId="6EE9513E">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（2）本投标有效期为自投标截止之日起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个日历日。</w:t>
      </w:r>
    </w:p>
    <w:p w14:paraId="313DE4EA">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（存在、不存在）投资关系（如果联合体的话）。</w:t>
      </w:r>
    </w:p>
    <w:p w14:paraId="0C3C72CB">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（4）已详细审查全部招标文件</w:t>
      </w:r>
      <w:r>
        <w:rPr>
          <w:rFonts w:hint="eastAsia" w:ascii="微软雅黑" w:hAnsi="微软雅黑" w:eastAsia="微软雅黑" w:cs="微软雅黑"/>
          <w:color w:val="auto"/>
          <w:sz w:val="24"/>
          <w:szCs w:val="24"/>
          <w:highlight w:val="none"/>
          <w:lang w:eastAsia="zh-CN"/>
        </w:rPr>
        <w:t>内容</w:t>
      </w:r>
      <w:r>
        <w:rPr>
          <w:rFonts w:hint="eastAsia" w:ascii="微软雅黑" w:hAnsi="微软雅黑" w:eastAsia="微软雅黑" w:cs="微软雅黑"/>
          <w:color w:val="auto"/>
          <w:sz w:val="24"/>
          <w:szCs w:val="24"/>
          <w:highlight w:val="none"/>
        </w:rPr>
        <w:t>，包括所有补充通知（如果有的话），完全理解并同意放弃对这方面有不明、误解和质疑的权力。</w:t>
      </w:r>
    </w:p>
    <w:p w14:paraId="1F6DEE46">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（5）如果我方</w:t>
      </w:r>
      <w:r>
        <w:rPr>
          <w:rFonts w:hint="eastAsia" w:ascii="微软雅黑" w:hAnsi="微软雅黑" w:eastAsia="微软雅黑" w:cs="微软雅黑"/>
          <w:color w:val="auto"/>
          <w:sz w:val="24"/>
          <w:szCs w:val="24"/>
          <w:highlight w:val="none"/>
          <w:lang w:eastAsia="zh-CN"/>
        </w:rPr>
        <w:t>中标</w:t>
      </w:r>
      <w:r>
        <w:rPr>
          <w:rFonts w:hint="eastAsia" w:ascii="微软雅黑" w:hAnsi="微软雅黑" w:eastAsia="微软雅黑" w:cs="微软雅黑"/>
          <w:color w:val="auto"/>
          <w:sz w:val="24"/>
          <w:szCs w:val="24"/>
          <w:highlight w:val="none"/>
        </w:rPr>
        <w:t>，我方将在</w:t>
      </w:r>
      <w:r>
        <w:rPr>
          <w:rFonts w:hint="eastAsia" w:ascii="微软雅黑" w:hAnsi="微软雅黑" w:eastAsia="微软雅黑" w:cs="微软雅黑"/>
          <w:color w:val="auto"/>
          <w:sz w:val="24"/>
          <w:szCs w:val="24"/>
          <w:highlight w:val="none"/>
          <w:lang w:eastAsia="zh-CN"/>
        </w:rPr>
        <w:t>招标</w:t>
      </w:r>
      <w:r>
        <w:rPr>
          <w:rFonts w:hint="eastAsia" w:ascii="微软雅黑" w:hAnsi="微软雅黑" w:eastAsia="微软雅黑" w:cs="微软雅黑"/>
          <w:color w:val="auto"/>
          <w:sz w:val="24"/>
          <w:szCs w:val="24"/>
          <w:highlight w:val="none"/>
        </w:rPr>
        <w:t>文件规定的时间内签订委托合同并按采购要求提供履约保证金。如果我方违约，除</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保证金不予退还外，贵方有权终止我方</w:t>
      </w:r>
      <w:r>
        <w:rPr>
          <w:rFonts w:hint="eastAsia" w:ascii="微软雅黑" w:hAnsi="微软雅黑" w:eastAsia="微软雅黑" w:cs="微软雅黑"/>
          <w:color w:val="auto"/>
          <w:sz w:val="24"/>
          <w:szCs w:val="24"/>
          <w:highlight w:val="none"/>
          <w:lang w:eastAsia="zh-CN"/>
        </w:rPr>
        <w:t>中标</w:t>
      </w:r>
      <w:r>
        <w:rPr>
          <w:rFonts w:hint="eastAsia" w:ascii="微软雅黑" w:hAnsi="微软雅黑" w:eastAsia="微软雅黑" w:cs="微软雅黑"/>
          <w:color w:val="auto"/>
          <w:sz w:val="24"/>
          <w:szCs w:val="24"/>
          <w:highlight w:val="none"/>
        </w:rPr>
        <w:t>并选择其它</w:t>
      </w:r>
      <w:r>
        <w:rPr>
          <w:rFonts w:hint="eastAsia" w:ascii="微软雅黑" w:hAnsi="微软雅黑" w:eastAsia="微软雅黑" w:cs="微软雅黑"/>
          <w:color w:val="auto"/>
          <w:sz w:val="24"/>
          <w:szCs w:val="24"/>
          <w:highlight w:val="none"/>
          <w:lang w:eastAsia="zh-CN"/>
        </w:rPr>
        <w:t>中标单位</w:t>
      </w:r>
      <w:r>
        <w:rPr>
          <w:rFonts w:hint="eastAsia" w:ascii="微软雅黑" w:hAnsi="微软雅黑" w:eastAsia="微软雅黑" w:cs="微软雅黑"/>
          <w:color w:val="auto"/>
          <w:sz w:val="24"/>
          <w:szCs w:val="24"/>
          <w:highlight w:val="none"/>
        </w:rPr>
        <w:t>。</w:t>
      </w:r>
    </w:p>
    <w:p w14:paraId="7FC2D383">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（6）根据投标人须知第1条规定，我方不是为本项目提供整体设计、规范编制或者项目管理、监理、检测等服务的供应商，我方不是采购代理机构的附属机构。</w:t>
      </w:r>
    </w:p>
    <w:p w14:paraId="5A244B2B">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（7）在领取中标通知书的同时按招标文件规定的形式，向代理机构一次性支付</w:t>
      </w:r>
      <w:r>
        <w:rPr>
          <w:rFonts w:hint="eastAsia" w:ascii="微软雅黑" w:hAnsi="微软雅黑" w:eastAsia="微软雅黑" w:cs="微软雅黑"/>
          <w:color w:val="auto"/>
          <w:sz w:val="24"/>
          <w:szCs w:val="24"/>
          <w:highlight w:val="none"/>
          <w:lang w:eastAsia="zh-CN"/>
        </w:rPr>
        <w:t>中标</w:t>
      </w:r>
      <w:r>
        <w:rPr>
          <w:rFonts w:hint="eastAsia" w:ascii="微软雅黑" w:hAnsi="微软雅黑" w:eastAsia="微软雅黑" w:cs="微软雅黑"/>
          <w:color w:val="auto"/>
          <w:sz w:val="24"/>
          <w:szCs w:val="24"/>
          <w:highlight w:val="none"/>
        </w:rPr>
        <w:t>服务费。</w:t>
      </w:r>
    </w:p>
    <w:p w14:paraId="5E071863">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（8）按照贵方可能要求，提供与其投标有关的一切数据或资料，完全理解贵方不一定接受最低价的投标或收到的任何投标。</w:t>
      </w:r>
    </w:p>
    <w:p w14:paraId="732A2C21">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）按照招标文件的规定履行合同责任和义务。</w:t>
      </w:r>
    </w:p>
    <w:p w14:paraId="68E48061">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540" w:leftChars="257"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传真</w:t>
      </w:r>
      <w:r>
        <w:rPr>
          <w:rFonts w:hint="eastAsia" w:ascii="微软雅黑" w:hAnsi="微软雅黑" w:eastAsia="微软雅黑" w:cs="微软雅黑"/>
          <w:color w:val="auto"/>
          <w:sz w:val="24"/>
          <w:szCs w:val="24"/>
          <w:highlight w:val="none"/>
          <w:u w:val="single"/>
        </w:rPr>
        <w:t xml:space="preserve">                             </w:t>
      </w:r>
    </w:p>
    <w:p w14:paraId="56AF72C9">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540" w:leftChars="257"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电子函件</w:t>
      </w:r>
      <w:r>
        <w:rPr>
          <w:rFonts w:hint="eastAsia" w:ascii="微软雅黑" w:hAnsi="微软雅黑" w:eastAsia="微软雅黑" w:cs="微软雅黑"/>
          <w:color w:val="auto"/>
          <w:sz w:val="24"/>
          <w:szCs w:val="24"/>
          <w:highlight w:val="none"/>
          <w:u w:val="single"/>
        </w:rPr>
        <w:t xml:space="preserve">                         </w:t>
      </w:r>
      <w:bookmarkStart w:id="402" w:name="_Hlt520355938"/>
      <w:bookmarkEnd w:id="402"/>
      <w:bookmarkStart w:id="403" w:name="_Hlt520356243"/>
      <w:bookmarkEnd w:id="403"/>
    </w:p>
    <w:p w14:paraId="6D3A2897">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p>
    <w:p w14:paraId="4D44339A">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1080" w:leftChars="257" w:hanging="54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投标人名称（全称）</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1B68D76C">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1080"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投标人开户银行（全称）</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14A1719D">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1080"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w:t>
      </w:r>
      <w:r>
        <w:rPr>
          <w:rFonts w:hint="eastAsia" w:ascii="微软雅黑" w:hAnsi="微软雅黑" w:eastAsia="微软雅黑" w:cs="微软雅黑"/>
          <w:color w:val="auto"/>
          <w:sz w:val="24"/>
          <w:szCs w:val="24"/>
          <w:highlight w:val="none"/>
          <w:lang w:eastAsia="zh-CN"/>
        </w:rPr>
        <w:t>银行账号：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none"/>
          <w:lang w:val="en-US" w:eastAsia="zh-CN"/>
        </w:rPr>
        <w:t>开户行行号:</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　　　　　　　　 　　</w:t>
      </w:r>
    </w:p>
    <w:p w14:paraId="1DACC61D">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1080" w:leftChars="257" w:hanging="54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投标人单位</w:t>
      </w:r>
      <w:r>
        <w:rPr>
          <w:rFonts w:hint="eastAsia" w:ascii="微软雅黑" w:hAnsi="微软雅黑" w:eastAsia="微软雅黑" w:cs="微软雅黑"/>
          <w:color w:val="auto"/>
          <w:sz w:val="24"/>
          <w:szCs w:val="24"/>
          <w:highlight w:val="none"/>
          <w:lang w:eastAsia="zh-CN"/>
        </w:rPr>
        <w:t>盖公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u w:val="single"/>
        </w:rPr>
        <w:t xml:space="preserve">                         </w:t>
      </w:r>
    </w:p>
    <w:p w14:paraId="43822BA8">
      <w:pPr>
        <w:pStyle w:val="16"/>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1080" w:leftChars="257" w:hanging="540"/>
        <w:textAlignment w:val="auto"/>
        <w:rPr>
          <w:rFonts w:hint="eastAsia" w:ascii="微软雅黑" w:hAnsi="微软雅黑" w:eastAsia="微软雅黑" w:cs="微软雅黑"/>
          <w:color w:val="auto"/>
          <w:sz w:val="24"/>
          <w:szCs w:val="24"/>
          <w:highlight w:val="none"/>
        </w:rPr>
        <w:sectPr>
          <w:pgSz w:w="11907" w:h="16840"/>
          <w:pgMar w:top="1361" w:right="1253" w:bottom="1361" w:left="1194" w:header="851" w:footer="850" w:gutter="0"/>
          <w:pgNumType w:fmt="decimal"/>
          <w:cols w:space="720" w:num="1"/>
          <w:rtlGutter w:val="0"/>
          <w:docGrid w:linePitch="462" w:charSpace="0"/>
        </w:sect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55CA630A">
      <w:pPr>
        <w:pStyle w:val="3"/>
        <w:spacing w:before="0" w:line="240" w:lineRule="atLeast"/>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2</w:t>
      </w:r>
      <w:bookmarkEnd w:id="398"/>
      <w:bookmarkStart w:id="404" w:name="_Toc518923118"/>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投标分项报价表</w:t>
      </w:r>
      <w:bookmarkEnd w:id="399"/>
      <w:bookmarkEnd w:id="400"/>
      <w:bookmarkEnd w:id="404"/>
    </w:p>
    <w:p w14:paraId="494C0D23">
      <w:pPr>
        <w:pStyle w:val="16"/>
        <w:spacing w:line="360" w:lineRule="auto"/>
        <w:rPr>
          <w:rFonts w:hint="eastAsia" w:ascii="微软雅黑" w:hAnsi="微软雅黑" w:eastAsia="微软雅黑" w:cs="微软雅黑"/>
          <w:color w:val="auto"/>
          <w:sz w:val="24"/>
          <w:szCs w:val="24"/>
          <w:highlight w:val="none"/>
        </w:rPr>
      </w:pPr>
    </w:p>
    <w:p w14:paraId="09C5A777">
      <w:pPr>
        <w:pStyle w:val="16"/>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项目编号:                   </w:t>
      </w:r>
    </w:p>
    <w:p w14:paraId="355073A0">
      <w:pPr>
        <w:pStyle w:val="16"/>
        <w:spacing w:line="360" w:lineRule="auto"/>
        <w:ind w:firstLine="6960" w:firstLineChars="29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报价单位：人民币/元</w:t>
      </w:r>
    </w:p>
    <w:tbl>
      <w:tblPr>
        <w:tblStyle w:val="103"/>
        <w:tblW w:w="9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100"/>
        <w:gridCol w:w="651"/>
        <w:gridCol w:w="628"/>
        <w:gridCol w:w="628"/>
        <w:gridCol w:w="1087"/>
        <w:gridCol w:w="923"/>
        <w:gridCol w:w="856"/>
        <w:gridCol w:w="829"/>
        <w:gridCol w:w="747"/>
        <w:gridCol w:w="788"/>
        <w:gridCol w:w="788"/>
      </w:tblGrid>
      <w:tr w14:paraId="04498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55" w:type="dxa"/>
            <w:noWrap w:val="0"/>
            <w:textDirection w:val="tbRlV"/>
            <w:vAlign w:val="center"/>
          </w:tcPr>
          <w:p w14:paraId="24366560">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编 号</w:t>
            </w:r>
          </w:p>
        </w:tc>
        <w:tc>
          <w:tcPr>
            <w:tcW w:w="1100" w:type="dxa"/>
            <w:noWrap w:val="0"/>
            <w:vAlign w:val="center"/>
          </w:tcPr>
          <w:p w14:paraId="3B57C48A">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p>
          <w:p w14:paraId="7F02B245">
            <w:pPr>
              <w:pStyle w:val="102"/>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货物名称</w:t>
            </w:r>
          </w:p>
        </w:tc>
        <w:tc>
          <w:tcPr>
            <w:tcW w:w="651" w:type="dxa"/>
            <w:noWrap w:val="0"/>
            <w:textDirection w:val="tbRlV"/>
            <w:vAlign w:val="center"/>
          </w:tcPr>
          <w:p w14:paraId="3BFABAB1">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品 牌</w:t>
            </w:r>
          </w:p>
        </w:tc>
        <w:tc>
          <w:tcPr>
            <w:tcW w:w="628" w:type="dxa"/>
            <w:noWrap w:val="0"/>
            <w:vAlign w:val="center"/>
          </w:tcPr>
          <w:p w14:paraId="2562F24F">
            <w:pPr>
              <w:pStyle w:val="102"/>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规格</w:t>
            </w:r>
          </w:p>
        </w:tc>
        <w:tc>
          <w:tcPr>
            <w:tcW w:w="628" w:type="dxa"/>
            <w:noWrap w:val="0"/>
            <w:vAlign w:val="center"/>
          </w:tcPr>
          <w:p w14:paraId="77108E6E">
            <w:pPr>
              <w:pStyle w:val="102"/>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型号</w:t>
            </w:r>
          </w:p>
        </w:tc>
        <w:tc>
          <w:tcPr>
            <w:tcW w:w="1087" w:type="dxa"/>
            <w:noWrap w:val="0"/>
            <w:vAlign w:val="center"/>
          </w:tcPr>
          <w:p w14:paraId="5ECF401A">
            <w:pPr>
              <w:pStyle w:val="102"/>
              <w:spacing w:before="78" w:line="466" w:lineRule="exact"/>
              <w:jc w:val="center"/>
              <w:rPr>
                <w:rFonts w:hint="eastAsia" w:ascii="微软雅黑" w:hAnsi="微软雅黑" w:eastAsia="微软雅黑" w:cs="微软雅黑"/>
                <w:color w:val="auto"/>
                <w:spacing w:val="-6"/>
                <w:position w:val="17"/>
                <w:sz w:val="24"/>
                <w:szCs w:val="24"/>
                <w:highlight w:val="none"/>
                <w:lang w:val="en-US" w:eastAsia="zh-CN"/>
              </w:rPr>
            </w:pPr>
            <w:r>
              <w:rPr>
                <w:rFonts w:hint="eastAsia" w:ascii="微软雅黑" w:hAnsi="微软雅黑" w:eastAsia="微软雅黑" w:cs="微软雅黑"/>
                <w:color w:val="auto"/>
                <w:spacing w:val="-6"/>
                <w:position w:val="17"/>
                <w:sz w:val="24"/>
                <w:szCs w:val="24"/>
                <w:highlight w:val="none"/>
                <w:lang w:val="en-US" w:eastAsia="zh-CN"/>
              </w:rPr>
              <w:t>制造商名称</w:t>
            </w:r>
          </w:p>
        </w:tc>
        <w:tc>
          <w:tcPr>
            <w:tcW w:w="923" w:type="dxa"/>
            <w:noWrap w:val="0"/>
            <w:textDirection w:val="tbRlV"/>
            <w:vAlign w:val="center"/>
          </w:tcPr>
          <w:p w14:paraId="5B44165F">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产 地</w:t>
            </w:r>
          </w:p>
        </w:tc>
        <w:tc>
          <w:tcPr>
            <w:tcW w:w="856" w:type="dxa"/>
            <w:noWrap w:val="0"/>
            <w:textDirection w:val="tbRlV"/>
            <w:vAlign w:val="center"/>
          </w:tcPr>
          <w:p w14:paraId="0D8281B2">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数 量</w:t>
            </w:r>
          </w:p>
        </w:tc>
        <w:tc>
          <w:tcPr>
            <w:tcW w:w="829" w:type="dxa"/>
            <w:noWrap w:val="0"/>
            <w:textDirection w:val="tbRlV"/>
            <w:vAlign w:val="center"/>
          </w:tcPr>
          <w:p w14:paraId="7AF68A49">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单 位</w:t>
            </w:r>
          </w:p>
        </w:tc>
        <w:tc>
          <w:tcPr>
            <w:tcW w:w="747" w:type="dxa"/>
            <w:noWrap w:val="0"/>
            <w:textDirection w:val="tbRlV"/>
            <w:vAlign w:val="center"/>
          </w:tcPr>
          <w:p w14:paraId="11C43E8A">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单 价</w:t>
            </w:r>
          </w:p>
        </w:tc>
        <w:tc>
          <w:tcPr>
            <w:tcW w:w="788" w:type="dxa"/>
            <w:noWrap w:val="0"/>
            <w:textDirection w:val="tbRlV"/>
            <w:vAlign w:val="center"/>
          </w:tcPr>
          <w:p w14:paraId="6C9F5842">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合 价</w:t>
            </w:r>
          </w:p>
        </w:tc>
        <w:tc>
          <w:tcPr>
            <w:tcW w:w="788" w:type="dxa"/>
            <w:noWrap w:val="0"/>
            <w:textDirection w:val="tbRlV"/>
            <w:vAlign w:val="center"/>
          </w:tcPr>
          <w:p w14:paraId="67EEE5A4">
            <w:pPr>
              <w:pStyle w:val="102"/>
              <w:spacing w:before="78" w:line="466" w:lineRule="exact"/>
              <w:ind w:left="199"/>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备 注</w:t>
            </w:r>
          </w:p>
        </w:tc>
      </w:tr>
      <w:tr w14:paraId="07243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55" w:type="dxa"/>
            <w:noWrap w:val="0"/>
            <w:vAlign w:val="top"/>
          </w:tcPr>
          <w:p w14:paraId="07F6F6E0">
            <w:pPr>
              <w:pStyle w:val="102"/>
              <w:spacing w:before="74" w:line="184" w:lineRule="auto"/>
              <w:ind w:left="29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100" w:type="dxa"/>
            <w:noWrap w:val="0"/>
            <w:vAlign w:val="top"/>
          </w:tcPr>
          <w:p w14:paraId="3CBD096F">
            <w:pPr>
              <w:rPr>
                <w:rFonts w:hint="eastAsia" w:ascii="微软雅黑" w:hAnsi="微软雅黑" w:eastAsia="微软雅黑" w:cs="微软雅黑"/>
                <w:color w:val="auto"/>
                <w:sz w:val="24"/>
                <w:szCs w:val="24"/>
                <w:highlight w:val="none"/>
              </w:rPr>
            </w:pPr>
          </w:p>
        </w:tc>
        <w:tc>
          <w:tcPr>
            <w:tcW w:w="651" w:type="dxa"/>
            <w:noWrap w:val="0"/>
            <w:vAlign w:val="top"/>
          </w:tcPr>
          <w:p w14:paraId="38A37F68">
            <w:pPr>
              <w:rPr>
                <w:rFonts w:hint="eastAsia" w:ascii="微软雅黑" w:hAnsi="微软雅黑" w:eastAsia="微软雅黑" w:cs="微软雅黑"/>
                <w:color w:val="auto"/>
                <w:sz w:val="24"/>
                <w:szCs w:val="24"/>
                <w:highlight w:val="none"/>
              </w:rPr>
            </w:pPr>
          </w:p>
        </w:tc>
        <w:tc>
          <w:tcPr>
            <w:tcW w:w="628" w:type="dxa"/>
            <w:noWrap w:val="0"/>
            <w:vAlign w:val="top"/>
          </w:tcPr>
          <w:p w14:paraId="1CC9C6C4">
            <w:pPr>
              <w:rPr>
                <w:rFonts w:hint="eastAsia" w:ascii="微软雅黑" w:hAnsi="微软雅黑" w:eastAsia="微软雅黑" w:cs="微软雅黑"/>
                <w:color w:val="auto"/>
                <w:sz w:val="24"/>
                <w:szCs w:val="24"/>
                <w:highlight w:val="none"/>
              </w:rPr>
            </w:pPr>
          </w:p>
        </w:tc>
        <w:tc>
          <w:tcPr>
            <w:tcW w:w="628" w:type="dxa"/>
            <w:noWrap w:val="0"/>
            <w:vAlign w:val="top"/>
          </w:tcPr>
          <w:p w14:paraId="6BCDA38D">
            <w:pPr>
              <w:rPr>
                <w:rFonts w:hint="eastAsia" w:ascii="微软雅黑" w:hAnsi="微软雅黑" w:eastAsia="微软雅黑" w:cs="微软雅黑"/>
                <w:color w:val="auto"/>
                <w:sz w:val="24"/>
                <w:szCs w:val="24"/>
                <w:highlight w:val="none"/>
              </w:rPr>
            </w:pPr>
          </w:p>
        </w:tc>
        <w:tc>
          <w:tcPr>
            <w:tcW w:w="1087" w:type="dxa"/>
            <w:noWrap w:val="0"/>
            <w:vAlign w:val="top"/>
          </w:tcPr>
          <w:p w14:paraId="56FE2B57">
            <w:pPr>
              <w:rPr>
                <w:rFonts w:hint="eastAsia" w:ascii="微软雅黑" w:hAnsi="微软雅黑" w:eastAsia="微软雅黑" w:cs="微软雅黑"/>
                <w:color w:val="auto"/>
                <w:sz w:val="24"/>
                <w:szCs w:val="24"/>
                <w:highlight w:val="none"/>
              </w:rPr>
            </w:pPr>
          </w:p>
        </w:tc>
        <w:tc>
          <w:tcPr>
            <w:tcW w:w="923" w:type="dxa"/>
            <w:noWrap w:val="0"/>
            <w:vAlign w:val="top"/>
          </w:tcPr>
          <w:p w14:paraId="5EE8121F">
            <w:pPr>
              <w:rPr>
                <w:rFonts w:hint="eastAsia" w:ascii="微软雅黑" w:hAnsi="微软雅黑" w:eastAsia="微软雅黑" w:cs="微软雅黑"/>
                <w:color w:val="auto"/>
                <w:sz w:val="24"/>
                <w:szCs w:val="24"/>
                <w:highlight w:val="none"/>
              </w:rPr>
            </w:pPr>
          </w:p>
        </w:tc>
        <w:tc>
          <w:tcPr>
            <w:tcW w:w="856" w:type="dxa"/>
            <w:noWrap w:val="0"/>
            <w:vAlign w:val="top"/>
          </w:tcPr>
          <w:p w14:paraId="23D9AFFF">
            <w:pPr>
              <w:rPr>
                <w:rFonts w:hint="eastAsia" w:ascii="微软雅黑" w:hAnsi="微软雅黑" w:eastAsia="微软雅黑" w:cs="微软雅黑"/>
                <w:color w:val="auto"/>
                <w:sz w:val="24"/>
                <w:szCs w:val="24"/>
                <w:highlight w:val="none"/>
              </w:rPr>
            </w:pPr>
          </w:p>
        </w:tc>
        <w:tc>
          <w:tcPr>
            <w:tcW w:w="829" w:type="dxa"/>
            <w:noWrap w:val="0"/>
            <w:vAlign w:val="top"/>
          </w:tcPr>
          <w:p w14:paraId="724C3F34">
            <w:pPr>
              <w:rPr>
                <w:rFonts w:hint="eastAsia" w:ascii="微软雅黑" w:hAnsi="微软雅黑" w:eastAsia="微软雅黑" w:cs="微软雅黑"/>
                <w:color w:val="auto"/>
                <w:sz w:val="24"/>
                <w:szCs w:val="24"/>
                <w:highlight w:val="none"/>
              </w:rPr>
            </w:pPr>
          </w:p>
        </w:tc>
        <w:tc>
          <w:tcPr>
            <w:tcW w:w="747" w:type="dxa"/>
            <w:noWrap w:val="0"/>
            <w:vAlign w:val="top"/>
          </w:tcPr>
          <w:p w14:paraId="34C19502">
            <w:pPr>
              <w:rPr>
                <w:rFonts w:hint="eastAsia" w:ascii="微软雅黑" w:hAnsi="微软雅黑" w:eastAsia="微软雅黑" w:cs="微软雅黑"/>
                <w:color w:val="auto"/>
                <w:sz w:val="24"/>
                <w:szCs w:val="24"/>
                <w:highlight w:val="none"/>
              </w:rPr>
            </w:pPr>
          </w:p>
        </w:tc>
        <w:tc>
          <w:tcPr>
            <w:tcW w:w="788" w:type="dxa"/>
            <w:noWrap w:val="0"/>
            <w:vAlign w:val="top"/>
          </w:tcPr>
          <w:p w14:paraId="35F51EAB">
            <w:pPr>
              <w:rPr>
                <w:rFonts w:hint="eastAsia" w:ascii="微软雅黑" w:hAnsi="微软雅黑" w:eastAsia="微软雅黑" w:cs="微软雅黑"/>
                <w:color w:val="auto"/>
                <w:sz w:val="24"/>
                <w:szCs w:val="24"/>
                <w:highlight w:val="none"/>
              </w:rPr>
            </w:pPr>
          </w:p>
        </w:tc>
        <w:tc>
          <w:tcPr>
            <w:tcW w:w="788" w:type="dxa"/>
            <w:noWrap w:val="0"/>
            <w:vAlign w:val="top"/>
          </w:tcPr>
          <w:p w14:paraId="52E00372">
            <w:pPr>
              <w:rPr>
                <w:rFonts w:hint="eastAsia" w:ascii="微软雅黑" w:hAnsi="微软雅黑" w:eastAsia="微软雅黑" w:cs="微软雅黑"/>
                <w:color w:val="auto"/>
                <w:sz w:val="24"/>
                <w:szCs w:val="24"/>
                <w:highlight w:val="none"/>
              </w:rPr>
            </w:pPr>
          </w:p>
        </w:tc>
      </w:tr>
      <w:tr w14:paraId="44D4A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55" w:type="dxa"/>
            <w:noWrap w:val="0"/>
            <w:vAlign w:val="top"/>
          </w:tcPr>
          <w:p w14:paraId="73C0F8C8">
            <w:pPr>
              <w:pStyle w:val="102"/>
              <w:spacing w:before="74" w:line="183" w:lineRule="auto"/>
              <w:ind w:left="27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p>
        </w:tc>
        <w:tc>
          <w:tcPr>
            <w:tcW w:w="1100" w:type="dxa"/>
            <w:noWrap w:val="0"/>
            <w:vAlign w:val="top"/>
          </w:tcPr>
          <w:p w14:paraId="3BD101C0">
            <w:pPr>
              <w:rPr>
                <w:rFonts w:hint="eastAsia" w:ascii="微软雅黑" w:hAnsi="微软雅黑" w:eastAsia="微软雅黑" w:cs="微软雅黑"/>
                <w:color w:val="auto"/>
                <w:sz w:val="24"/>
                <w:szCs w:val="24"/>
                <w:highlight w:val="none"/>
              </w:rPr>
            </w:pPr>
          </w:p>
        </w:tc>
        <w:tc>
          <w:tcPr>
            <w:tcW w:w="651" w:type="dxa"/>
            <w:noWrap w:val="0"/>
            <w:vAlign w:val="top"/>
          </w:tcPr>
          <w:p w14:paraId="537EEEFE">
            <w:pPr>
              <w:rPr>
                <w:rFonts w:hint="eastAsia" w:ascii="微软雅黑" w:hAnsi="微软雅黑" w:eastAsia="微软雅黑" w:cs="微软雅黑"/>
                <w:color w:val="auto"/>
                <w:sz w:val="24"/>
                <w:szCs w:val="24"/>
                <w:highlight w:val="none"/>
              </w:rPr>
            </w:pPr>
          </w:p>
        </w:tc>
        <w:tc>
          <w:tcPr>
            <w:tcW w:w="628" w:type="dxa"/>
            <w:noWrap w:val="0"/>
            <w:vAlign w:val="top"/>
          </w:tcPr>
          <w:p w14:paraId="5F19A5D7">
            <w:pPr>
              <w:rPr>
                <w:rFonts w:hint="eastAsia" w:ascii="微软雅黑" w:hAnsi="微软雅黑" w:eastAsia="微软雅黑" w:cs="微软雅黑"/>
                <w:color w:val="auto"/>
                <w:sz w:val="24"/>
                <w:szCs w:val="24"/>
                <w:highlight w:val="none"/>
              </w:rPr>
            </w:pPr>
          </w:p>
        </w:tc>
        <w:tc>
          <w:tcPr>
            <w:tcW w:w="628" w:type="dxa"/>
            <w:noWrap w:val="0"/>
            <w:vAlign w:val="top"/>
          </w:tcPr>
          <w:p w14:paraId="376B5558">
            <w:pPr>
              <w:rPr>
                <w:rFonts w:hint="eastAsia" w:ascii="微软雅黑" w:hAnsi="微软雅黑" w:eastAsia="微软雅黑" w:cs="微软雅黑"/>
                <w:color w:val="auto"/>
                <w:sz w:val="24"/>
                <w:szCs w:val="24"/>
                <w:highlight w:val="none"/>
              </w:rPr>
            </w:pPr>
          </w:p>
        </w:tc>
        <w:tc>
          <w:tcPr>
            <w:tcW w:w="1087" w:type="dxa"/>
            <w:noWrap w:val="0"/>
            <w:vAlign w:val="top"/>
          </w:tcPr>
          <w:p w14:paraId="402F54B8">
            <w:pPr>
              <w:rPr>
                <w:rFonts w:hint="eastAsia" w:ascii="微软雅黑" w:hAnsi="微软雅黑" w:eastAsia="微软雅黑" w:cs="微软雅黑"/>
                <w:color w:val="auto"/>
                <w:sz w:val="24"/>
                <w:szCs w:val="24"/>
                <w:highlight w:val="none"/>
              </w:rPr>
            </w:pPr>
          </w:p>
        </w:tc>
        <w:tc>
          <w:tcPr>
            <w:tcW w:w="923" w:type="dxa"/>
            <w:noWrap w:val="0"/>
            <w:vAlign w:val="top"/>
          </w:tcPr>
          <w:p w14:paraId="5ACFDE09">
            <w:pPr>
              <w:rPr>
                <w:rFonts w:hint="eastAsia" w:ascii="微软雅黑" w:hAnsi="微软雅黑" w:eastAsia="微软雅黑" w:cs="微软雅黑"/>
                <w:color w:val="auto"/>
                <w:sz w:val="24"/>
                <w:szCs w:val="24"/>
                <w:highlight w:val="none"/>
              </w:rPr>
            </w:pPr>
          </w:p>
        </w:tc>
        <w:tc>
          <w:tcPr>
            <w:tcW w:w="856" w:type="dxa"/>
            <w:noWrap w:val="0"/>
            <w:vAlign w:val="top"/>
          </w:tcPr>
          <w:p w14:paraId="77C82A2E">
            <w:pPr>
              <w:rPr>
                <w:rFonts w:hint="eastAsia" w:ascii="微软雅黑" w:hAnsi="微软雅黑" w:eastAsia="微软雅黑" w:cs="微软雅黑"/>
                <w:color w:val="auto"/>
                <w:sz w:val="24"/>
                <w:szCs w:val="24"/>
                <w:highlight w:val="none"/>
              </w:rPr>
            </w:pPr>
          </w:p>
        </w:tc>
        <w:tc>
          <w:tcPr>
            <w:tcW w:w="829" w:type="dxa"/>
            <w:noWrap w:val="0"/>
            <w:vAlign w:val="top"/>
          </w:tcPr>
          <w:p w14:paraId="3A3028F0">
            <w:pPr>
              <w:rPr>
                <w:rFonts w:hint="eastAsia" w:ascii="微软雅黑" w:hAnsi="微软雅黑" w:eastAsia="微软雅黑" w:cs="微软雅黑"/>
                <w:color w:val="auto"/>
                <w:sz w:val="24"/>
                <w:szCs w:val="24"/>
                <w:highlight w:val="none"/>
              </w:rPr>
            </w:pPr>
          </w:p>
        </w:tc>
        <w:tc>
          <w:tcPr>
            <w:tcW w:w="747" w:type="dxa"/>
            <w:noWrap w:val="0"/>
            <w:vAlign w:val="top"/>
          </w:tcPr>
          <w:p w14:paraId="24BBB3CC">
            <w:pPr>
              <w:rPr>
                <w:rFonts w:hint="eastAsia" w:ascii="微软雅黑" w:hAnsi="微软雅黑" w:eastAsia="微软雅黑" w:cs="微软雅黑"/>
                <w:color w:val="auto"/>
                <w:sz w:val="24"/>
                <w:szCs w:val="24"/>
                <w:highlight w:val="none"/>
              </w:rPr>
            </w:pPr>
          </w:p>
        </w:tc>
        <w:tc>
          <w:tcPr>
            <w:tcW w:w="788" w:type="dxa"/>
            <w:noWrap w:val="0"/>
            <w:vAlign w:val="top"/>
          </w:tcPr>
          <w:p w14:paraId="5699B862">
            <w:pPr>
              <w:rPr>
                <w:rFonts w:hint="eastAsia" w:ascii="微软雅黑" w:hAnsi="微软雅黑" w:eastAsia="微软雅黑" w:cs="微软雅黑"/>
                <w:color w:val="auto"/>
                <w:sz w:val="24"/>
                <w:szCs w:val="24"/>
                <w:highlight w:val="none"/>
              </w:rPr>
            </w:pPr>
          </w:p>
        </w:tc>
        <w:tc>
          <w:tcPr>
            <w:tcW w:w="788" w:type="dxa"/>
            <w:noWrap w:val="0"/>
            <w:vAlign w:val="top"/>
          </w:tcPr>
          <w:p w14:paraId="069BCD9C">
            <w:pPr>
              <w:rPr>
                <w:rFonts w:hint="eastAsia" w:ascii="微软雅黑" w:hAnsi="微软雅黑" w:eastAsia="微软雅黑" w:cs="微软雅黑"/>
                <w:color w:val="auto"/>
                <w:sz w:val="24"/>
                <w:szCs w:val="24"/>
                <w:highlight w:val="none"/>
              </w:rPr>
            </w:pPr>
          </w:p>
        </w:tc>
      </w:tr>
      <w:tr w14:paraId="64C8A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5" w:type="dxa"/>
            <w:noWrap w:val="0"/>
            <w:vAlign w:val="top"/>
          </w:tcPr>
          <w:p w14:paraId="4C615BD3">
            <w:pPr>
              <w:pStyle w:val="102"/>
              <w:spacing w:before="76" w:line="183" w:lineRule="auto"/>
              <w:ind w:left="27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p>
        </w:tc>
        <w:tc>
          <w:tcPr>
            <w:tcW w:w="1100" w:type="dxa"/>
            <w:noWrap w:val="0"/>
            <w:vAlign w:val="top"/>
          </w:tcPr>
          <w:p w14:paraId="3E12A0BA">
            <w:pPr>
              <w:rPr>
                <w:rFonts w:hint="eastAsia" w:ascii="微软雅黑" w:hAnsi="微软雅黑" w:eastAsia="微软雅黑" w:cs="微软雅黑"/>
                <w:color w:val="auto"/>
                <w:sz w:val="24"/>
                <w:szCs w:val="24"/>
                <w:highlight w:val="none"/>
              </w:rPr>
            </w:pPr>
          </w:p>
        </w:tc>
        <w:tc>
          <w:tcPr>
            <w:tcW w:w="651" w:type="dxa"/>
            <w:noWrap w:val="0"/>
            <w:vAlign w:val="top"/>
          </w:tcPr>
          <w:p w14:paraId="64B896AF">
            <w:pPr>
              <w:rPr>
                <w:rFonts w:hint="eastAsia" w:ascii="微软雅黑" w:hAnsi="微软雅黑" w:eastAsia="微软雅黑" w:cs="微软雅黑"/>
                <w:color w:val="auto"/>
                <w:sz w:val="24"/>
                <w:szCs w:val="24"/>
                <w:highlight w:val="none"/>
              </w:rPr>
            </w:pPr>
          </w:p>
        </w:tc>
        <w:tc>
          <w:tcPr>
            <w:tcW w:w="628" w:type="dxa"/>
            <w:noWrap w:val="0"/>
            <w:vAlign w:val="top"/>
          </w:tcPr>
          <w:p w14:paraId="0F4AD850">
            <w:pPr>
              <w:rPr>
                <w:rFonts w:hint="eastAsia" w:ascii="微软雅黑" w:hAnsi="微软雅黑" w:eastAsia="微软雅黑" w:cs="微软雅黑"/>
                <w:color w:val="auto"/>
                <w:sz w:val="24"/>
                <w:szCs w:val="24"/>
                <w:highlight w:val="none"/>
              </w:rPr>
            </w:pPr>
          </w:p>
        </w:tc>
        <w:tc>
          <w:tcPr>
            <w:tcW w:w="628" w:type="dxa"/>
            <w:noWrap w:val="0"/>
            <w:vAlign w:val="top"/>
          </w:tcPr>
          <w:p w14:paraId="51F08194">
            <w:pPr>
              <w:rPr>
                <w:rFonts w:hint="eastAsia" w:ascii="微软雅黑" w:hAnsi="微软雅黑" w:eastAsia="微软雅黑" w:cs="微软雅黑"/>
                <w:color w:val="auto"/>
                <w:sz w:val="24"/>
                <w:szCs w:val="24"/>
                <w:highlight w:val="none"/>
              </w:rPr>
            </w:pPr>
          </w:p>
        </w:tc>
        <w:tc>
          <w:tcPr>
            <w:tcW w:w="1087" w:type="dxa"/>
            <w:noWrap w:val="0"/>
            <w:vAlign w:val="top"/>
          </w:tcPr>
          <w:p w14:paraId="59057202">
            <w:pPr>
              <w:rPr>
                <w:rFonts w:hint="eastAsia" w:ascii="微软雅黑" w:hAnsi="微软雅黑" w:eastAsia="微软雅黑" w:cs="微软雅黑"/>
                <w:color w:val="auto"/>
                <w:sz w:val="24"/>
                <w:szCs w:val="24"/>
                <w:highlight w:val="none"/>
              </w:rPr>
            </w:pPr>
          </w:p>
        </w:tc>
        <w:tc>
          <w:tcPr>
            <w:tcW w:w="923" w:type="dxa"/>
            <w:noWrap w:val="0"/>
            <w:vAlign w:val="top"/>
          </w:tcPr>
          <w:p w14:paraId="52B0C6B8">
            <w:pPr>
              <w:rPr>
                <w:rFonts w:hint="eastAsia" w:ascii="微软雅黑" w:hAnsi="微软雅黑" w:eastAsia="微软雅黑" w:cs="微软雅黑"/>
                <w:color w:val="auto"/>
                <w:sz w:val="24"/>
                <w:szCs w:val="24"/>
                <w:highlight w:val="none"/>
              </w:rPr>
            </w:pPr>
          </w:p>
        </w:tc>
        <w:tc>
          <w:tcPr>
            <w:tcW w:w="856" w:type="dxa"/>
            <w:noWrap w:val="0"/>
            <w:vAlign w:val="top"/>
          </w:tcPr>
          <w:p w14:paraId="5C47C18A">
            <w:pPr>
              <w:rPr>
                <w:rFonts w:hint="eastAsia" w:ascii="微软雅黑" w:hAnsi="微软雅黑" w:eastAsia="微软雅黑" w:cs="微软雅黑"/>
                <w:color w:val="auto"/>
                <w:sz w:val="24"/>
                <w:szCs w:val="24"/>
                <w:highlight w:val="none"/>
              </w:rPr>
            </w:pPr>
          </w:p>
        </w:tc>
        <w:tc>
          <w:tcPr>
            <w:tcW w:w="829" w:type="dxa"/>
            <w:noWrap w:val="0"/>
            <w:vAlign w:val="top"/>
          </w:tcPr>
          <w:p w14:paraId="599D346F">
            <w:pPr>
              <w:rPr>
                <w:rFonts w:hint="eastAsia" w:ascii="微软雅黑" w:hAnsi="微软雅黑" w:eastAsia="微软雅黑" w:cs="微软雅黑"/>
                <w:color w:val="auto"/>
                <w:sz w:val="24"/>
                <w:szCs w:val="24"/>
                <w:highlight w:val="none"/>
              </w:rPr>
            </w:pPr>
          </w:p>
        </w:tc>
        <w:tc>
          <w:tcPr>
            <w:tcW w:w="747" w:type="dxa"/>
            <w:noWrap w:val="0"/>
            <w:vAlign w:val="top"/>
          </w:tcPr>
          <w:p w14:paraId="7BB8BD0A">
            <w:pPr>
              <w:rPr>
                <w:rFonts w:hint="eastAsia" w:ascii="微软雅黑" w:hAnsi="微软雅黑" w:eastAsia="微软雅黑" w:cs="微软雅黑"/>
                <w:color w:val="auto"/>
                <w:sz w:val="24"/>
                <w:szCs w:val="24"/>
                <w:highlight w:val="none"/>
              </w:rPr>
            </w:pPr>
          </w:p>
        </w:tc>
        <w:tc>
          <w:tcPr>
            <w:tcW w:w="788" w:type="dxa"/>
            <w:noWrap w:val="0"/>
            <w:vAlign w:val="top"/>
          </w:tcPr>
          <w:p w14:paraId="2F8D2D06">
            <w:pPr>
              <w:rPr>
                <w:rFonts w:hint="eastAsia" w:ascii="微软雅黑" w:hAnsi="微软雅黑" w:eastAsia="微软雅黑" w:cs="微软雅黑"/>
                <w:color w:val="auto"/>
                <w:sz w:val="24"/>
                <w:szCs w:val="24"/>
                <w:highlight w:val="none"/>
              </w:rPr>
            </w:pPr>
          </w:p>
        </w:tc>
        <w:tc>
          <w:tcPr>
            <w:tcW w:w="788" w:type="dxa"/>
            <w:noWrap w:val="0"/>
            <w:vAlign w:val="top"/>
          </w:tcPr>
          <w:p w14:paraId="2DBB22BC">
            <w:pPr>
              <w:rPr>
                <w:rFonts w:hint="eastAsia" w:ascii="微软雅黑" w:hAnsi="微软雅黑" w:eastAsia="微软雅黑" w:cs="微软雅黑"/>
                <w:color w:val="auto"/>
                <w:sz w:val="24"/>
                <w:szCs w:val="24"/>
                <w:highlight w:val="none"/>
              </w:rPr>
            </w:pPr>
          </w:p>
        </w:tc>
      </w:tr>
      <w:tr w14:paraId="18741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5" w:type="dxa"/>
            <w:noWrap w:val="0"/>
            <w:vAlign w:val="top"/>
          </w:tcPr>
          <w:p w14:paraId="3789E867">
            <w:pPr>
              <w:pStyle w:val="102"/>
              <w:spacing w:before="76" w:line="183" w:lineRule="auto"/>
              <w:ind w:left="27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w:t>
            </w:r>
          </w:p>
        </w:tc>
        <w:tc>
          <w:tcPr>
            <w:tcW w:w="1100" w:type="dxa"/>
            <w:noWrap w:val="0"/>
            <w:vAlign w:val="top"/>
          </w:tcPr>
          <w:p w14:paraId="55E43489">
            <w:pPr>
              <w:rPr>
                <w:rFonts w:hint="eastAsia" w:ascii="微软雅黑" w:hAnsi="微软雅黑" w:eastAsia="微软雅黑" w:cs="微软雅黑"/>
                <w:color w:val="auto"/>
                <w:sz w:val="24"/>
                <w:szCs w:val="24"/>
                <w:highlight w:val="none"/>
              </w:rPr>
            </w:pPr>
          </w:p>
        </w:tc>
        <w:tc>
          <w:tcPr>
            <w:tcW w:w="651" w:type="dxa"/>
            <w:noWrap w:val="0"/>
            <w:vAlign w:val="top"/>
          </w:tcPr>
          <w:p w14:paraId="5991D35C">
            <w:pPr>
              <w:rPr>
                <w:rFonts w:hint="eastAsia" w:ascii="微软雅黑" w:hAnsi="微软雅黑" w:eastAsia="微软雅黑" w:cs="微软雅黑"/>
                <w:color w:val="auto"/>
                <w:sz w:val="24"/>
                <w:szCs w:val="24"/>
                <w:highlight w:val="none"/>
              </w:rPr>
            </w:pPr>
          </w:p>
        </w:tc>
        <w:tc>
          <w:tcPr>
            <w:tcW w:w="628" w:type="dxa"/>
            <w:noWrap w:val="0"/>
            <w:vAlign w:val="top"/>
          </w:tcPr>
          <w:p w14:paraId="32A5EEAD">
            <w:pPr>
              <w:rPr>
                <w:rFonts w:hint="eastAsia" w:ascii="微软雅黑" w:hAnsi="微软雅黑" w:eastAsia="微软雅黑" w:cs="微软雅黑"/>
                <w:color w:val="auto"/>
                <w:sz w:val="24"/>
                <w:szCs w:val="24"/>
                <w:highlight w:val="none"/>
              </w:rPr>
            </w:pPr>
          </w:p>
        </w:tc>
        <w:tc>
          <w:tcPr>
            <w:tcW w:w="628" w:type="dxa"/>
            <w:noWrap w:val="0"/>
            <w:vAlign w:val="top"/>
          </w:tcPr>
          <w:p w14:paraId="3E34BB96">
            <w:pPr>
              <w:rPr>
                <w:rFonts w:hint="eastAsia" w:ascii="微软雅黑" w:hAnsi="微软雅黑" w:eastAsia="微软雅黑" w:cs="微软雅黑"/>
                <w:color w:val="auto"/>
                <w:sz w:val="24"/>
                <w:szCs w:val="24"/>
                <w:highlight w:val="none"/>
              </w:rPr>
            </w:pPr>
          </w:p>
        </w:tc>
        <w:tc>
          <w:tcPr>
            <w:tcW w:w="1087" w:type="dxa"/>
            <w:noWrap w:val="0"/>
            <w:vAlign w:val="top"/>
          </w:tcPr>
          <w:p w14:paraId="2D1BFD9C">
            <w:pPr>
              <w:rPr>
                <w:rFonts w:hint="eastAsia" w:ascii="微软雅黑" w:hAnsi="微软雅黑" w:eastAsia="微软雅黑" w:cs="微软雅黑"/>
                <w:color w:val="auto"/>
                <w:sz w:val="24"/>
                <w:szCs w:val="24"/>
                <w:highlight w:val="none"/>
              </w:rPr>
            </w:pPr>
          </w:p>
        </w:tc>
        <w:tc>
          <w:tcPr>
            <w:tcW w:w="923" w:type="dxa"/>
            <w:noWrap w:val="0"/>
            <w:vAlign w:val="top"/>
          </w:tcPr>
          <w:p w14:paraId="764D9DB4">
            <w:pPr>
              <w:rPr>
                <w:rFonts w:hint="eastAsia" w:ascii="微软雅黑" w:hAnsi="微软雅黑" w:eastAsia="微软雅黑" w:cs="微软雅黑"/>
                <w:color w:val="auto"/>
                <w:sz w:val="24"/>
                <w:szCs w:val="24"/>
                <w:highlight w:val="none"/>
              </w:rPr>
            </w:pPr>
          </w:p>
        </w:tc>
        <w:tc>
          <w:tcPr>
            <w:tcW w:w="856" w:type="dxa"/>
            <w:noWrap w:val="0"/>
            <w:vAlign w:val="top"/>
          </w:tcPr>
          <w:p w14:paraId="526BFC78">
            <w:pPr>
              <w:rPr>
                <w:rFonts w:hint="eastAsia" w:ascii="微软雅黑" w:hAnsi="微软雅黑" w:eastAsia="微软雅黑" w:cs="微软雅黑"/>
                <w:color w:val="auto"/>
                <w:sz w:val="24"/>
                <w:szCs w:val="24"/>
                <w:highlight w:val="none"/>
              </w:rPr>
            </w:pPr>
          </w:p>
        </w:tc>
        <w:tc>
          <w:tcPr>
            <w:tcW w:w="829" w:type="dxa"/>
            <w:noWrap w:val="0"/>
            <w:vAlign w:val="top"/>
          </w:tcPr>
          <w:p w14:paraId="4569CA9A">
            <w:pPr>
              <w:rPr>
                <w:rFonts w:hint="eastAsia" w:ascii="微软雅黑" w:hAnsi="微软雅黑" w:eastAsia="微软雅黑" w:cs="微软雅黑"/>
                <w:color w:val="auto"/>
                <w:sz w:val="24"/>
                <w:szCs w:val="24"/>
                <w:highlight w:val="none"/>
              </w:rPr>
            </w:pPr>
          </w:p>
        </w:tc>
        <w:tc>
          <w:tcPr>
            <w:tcW w:w="747" w:type="dxa"/>
            <w:noWrap w:val="0"/>
            <w:vAlign w:val="top"/>
          </w:tcPr>
          <w:p w14:paraId="48A9EAC1">
            <w:pPr>
              <w:rPr>
                <w:rFonts w:hint="eastAsia" w:ascii="微软雅黑" w:hAnsi="微软雅黑" w:eastAsia="微软雅黑" w:cs="微软雅黑"/>
                <w:color w:val="auto"/>
                <w:sz w:val="24"/>
                <w:szCs w:val="24"/>
                <w:highlight w:val="none"/>
              </w:rPr>
            </w:pPr>
          </w:p>
        </w:tc>
        <w:tc>
          <w:tcPr>
            <w:tcW w:w="788" w:type="dxa"/>
            <w:noWrap w:val="0"/>
            <w:vAlign w:val="top"/>
          </w:tcPr>
          <w:p w14:paraId="0568D01E">
            <w:pPr>
              <w:rPr>
                <w:rFonts w:hint="eastAsia" w:ascii="微软雅黑" w:hAnsi="微软雅黑" w:eastAsia="微软雅黑" w:cs="微软雅黑"/>
                <w:color w:val="auto"/>
                <w:sz w:val="24"/>
                <w:szCs w:val="24"/>
                <w:highlight w:val="none"/>
              </w:rPr>
            </w:pPr>
          </w:p>
        </w:tc>
        <w:tc>
          <w:tcPr>
            <w:tcW w:w="788" w:type="dxa"/>
            <w:noWrap w:val="0"/>
            <w:vAlign w:val="top"/>
          </w:tcPr>
          <w:p w14:paraId="7994CAAA">
            <w:pPr>
              <w:rPr>
                <w:rFonts w:hint="eastAsia" w:ascii="微软雅黑" w:hAnsi="微软雅黑" w:eastAsia="微软雅黑" w:cs="微软雅黑"/>
                <w:color w:val="auto"/>
                <w:sz w:val="24"/>
                <w:szCs w:val="24"/>
                <w:highlight w:val="none"/>
              </w:rPr>
            </w:pPr>
          </w:p>
        </w:tc>
      </w:tr>
      <w:tr w14:paraId="11C53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5" w:type="dxa"/>
            <w:noWrap w:val="0"/>
            <w:vAlign w:val="top"/>
          </w:tcPr>
          <w:p w14:paraId="458AD629">
            <w:pPr>
              <w:pStyle w:val="102"/>
              <w:spacing w:before="78" w:line="182" w:lineRule="auto"/>
              <w:ind w:left="27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w:t>
            </w:r>
          </w:p>
        </w:tc>
        <w:tc>
          <w:tcPr>
            <w:tcW w:w="1100" w:type="dxa"/>
            <w:noWrap w:val="0"/>
            <w:vAlign w:val="top"/>
          </w:tcPr>
          <w:p w14:paraId="3C7E4681">
            <w:pPr>
              <w:rPr>
                <w:rFonts w:hint="eastAsia" w:ascii="微软雅黑" w:hAnsi="微软雅黑" w:eastAsia="微软雅黑" w:cs="微软雅黑"/>
                <w:color w:val="auto"/>
                <w:sz w:val="24"/>
                <w:szCs w:val="24"/>
                <w:highlight w:val="none"/>
              </w:rPr>
            </w:pPr>
          </w:p>
        </w:tc>
        <w:tc>
          <w:tcPr>
            <w:tcW w:w="651" w:type="dxa"/>
            <w:noWrap w:val="0"/>
            <w:vAlign w:val="top"/>
          </w:tcPr>
          <w:p w14:paraId="03E6A95F">
            <w:pPr>
              <w:rPr>
                <w:rFonts w:hint="eastAsia" w:ascii="微软雅黑" w:hAnsi="微软雅黑" w:eastAsia="微软雅黑" w:cs="微软雅黑"/>
                <w:color w:val="auto"/>
                <w:sz w:val="24"/>
                <w:szCs w:val="24"/>
                <w:highlight w:val="none"/>
              </w:rPr>
            </w:pPr>
          </w:p>
        </w:tc>
        <w:tc>
          <w:tcPr>
            <w:tcW w:w="628" w:type="dxa"/>
            <w:noWrap w:val="0"/>
            <w:vAlign w:val="top"/>
          </w:tcPr>
          <w:p w14:paraId="55D1A943">
            <w:pPr>
              <w:rPr>
                <w:rFonts w:hint="eastAsia" w:ascii="微软雅黑" w:hAnsi="微软雅黑" w:eastAsia="微软雅黑" w:cs="微软雅黑"/>
                <w:color w:val="auto"/>
                <w:sz w:val="24"/>
                <w:szCs w:val="24"/>
                <w:highlight w:val="none"/>
              </w:rPr>
            </w:pPr>
          </w:p>
        </w:tc>
        <w:tc>
          <w:tcPr>
            <w:tcW w:w="628" w:type="dxa"/>
            <w:noWrap w:val="0"/>
            <w:vAlign w:val="top"/>
          </w:tcPr>
          <w:p w14:paraId="01CBB733">
            <w:pPr>
              <w:rPr>
                <w:rFonts w:hint="eastAsia" w:ascii="微软雅黑" w:hAnsi="微软雅黑" w:eastAsia="微软雅黑" w:cs="微软雅黑"/>
                <w:color w:val="auto"/>
                <w:sz w:val="24"/>
                <w:szCs w:val="24"/>
                <w:highlight w:val="none"/>
              </w:rPr>
            </w:pPr>
          </w:p>
        </w:tc>
        <w:tc>
          <w:tcPr>
            <w:tcW w:w="1087" w:type="dxa"/>
            <w:noWrap w:val="0"/>
            <w:vAlign w:val="top"/>
          </w:tcPr>
          <w:p w14:paraId="279F8D99">
            <w:pPr>
              <w:rPr>
                <w:rFonts w:hint="eastAsia" w:ascii="微软雅黑" w:hAnsi="微软雅黑" w:eastAsia="微软雅黑" w:cs="微软雅黑"/>
                <w:color w:val="auto"/>
                <w:sz w:val="24"/>
                <w:szCs w:val="24"/>
                <w:highlight w:val="none"/>
              </w:rPr>
            </w:pPr>
          </w:p>
        </w:tc>
        <w:tc>
          <w:tcPr>
            <w:tcW w:w="923" w:type="dxa"/>
            <w:noWrap w:val="0"/>
            <w:vAlign w:val="top"/>
          </w:tcPr>
          <w:p w14:paraId="52AEA0AA">
            <w:pPr>
              <w:rPr>
                <w:rFonts w:hint="eastAsia" w:ascii="微软雅黑" w:hAnsi="微软雅黑" w:eastAsia="微软雅黑" w:cs="微软雅黑"/>
                <w:color w:val="auto"/>
                <w:sz w:val="24"/>
                <w:szCs w:val="24"/>
                <w:highlight w:val="none"/>
              </w:rPr>
            </w:pPr>
          </w:p>
        </w:tc>
        <w:tc>
          <w:tcPr>
            <w:tcW w:w="856" w:type="dxa"/>
            <w:noWrap w:val="0"/>
            <w:vAlign w:val="top"/>
          </w:tcPr>
          <w:p w14:paraId="5F699749">
            <w:pPr>
              <w:rPr>
                <w:rFonts w:hint="eastAsia" w:ascii="微软雅黑" w:hAnsi="微软雅黑" w:eastAsia="微软雅黑" w:cs="微软雅黑"/>
                <w:color w:val="auto"/>
                <w:sz w:val="24"/>
                <w:szCs w:val="24"/>
                <w:highlight w:val="none"/>
              </w:rPr>
            </w:pPr>
          </w:p>
        </w:tc>
        <w:tc>
          <w:tcPr>
            <w:tcW w:w="829" w:type="dxa"/>
            <w:noWrap w:val="0"/>
            <w:vAlign w:val="top"/>
          </w:tcPr>
          <w:p w14:paraId="4678E29C">
            <w:pPr>
              <w:rPr>
                <w:rFonts w:hint="eastAsia" w:ascii="微软雅黑" w:hAnsi="微软雅黑" w:eastAsia="微软雅黑" w:cs="微软雅黑"/>
                <w:color w:val="auto"/>
                <w:sz w:val="24"/>
                <w:szCs w:val="24"/>
                <w:highlight w:val="none"/>
              </w:rPr>
            </w:pPr>
          </w:p>
        </w:tc>
        <w:tc>
          <w:tcPr>
            <w:tcW w:w="747" w:type="dxa"/>
            <w:noWrap w:val="0"/>
            <w:vAlign w:val="top"/>
          </w:tcPr>
          <w:p w14:paraId="31330526">
            <w:pPr>
              <w:rPr>
                <w:rFonts w:hint="eastAsia" w:ascii="微软雅黑" w:hAnsi="微软雅黑" w:eastAsia="微软雅黑" w:cs="微软雅黑"/>
                <w:color w:val="auto"/>
                <w:sz w:val="24"/>
                <w:szCs w:val="24"/>
                <w:highlight w:val="none"/>
              </w:rPr>
            </w:pPr>
          </w:p>
        </w:tc>
        <w:tc>
          <w:tcPr>
            <w:tcW w:w="788" w:type="dxa"/>
            <w:noWrap w:val="0"/>
            <w:vAlign w:val="top"/>
          </w:tcPr>
          <w:p w14:paraId="0CFBB02F">
            <w:pPr>
              <w:rPr>
                <w:rFonts w:hint="eastAsia" w:ascii="微软雅黑" w:hAnsi="微软雅黑" w:eastAsia="微软雅黑" w:cs="微软雅黑"/>
                <w:color w:val="auto"/>
                <w:sz w:val="24"/>
                <w:szCs w:val="24"/>
                <w:highlight w:val="none"/>
              </w:rPr>
            </w:pPr>
          </w:p>
        </w:tc>
        <w:tc>
          <w:tcPr>
            <w:tcW w:w="788" w:type="dxa"/>
            <w:noWrap w:val="0"/>
            <w:vAlign w:val="top"/>
          </w:tcPr>
          <w:p w14:paraId="763ADA6A">
            <w:pPr>
              <w:rPr>
                <w:rFonts w:hint="eastAsia" w:ascii="微软雅黑" w:hAnsi="微软雅黑" w:eastAsia="微软雅黑" w:cs="微软雅黑"/>
                <w:color w:val="auto"/>
                <w:sz w:val="24"/>
                <w:szCs w:val="24"/>
                <w:highlight w:val="none"/>
              </w:rPr>
            </w:pPr>
          </w:p>
        </w:tc>
      </w:tr>
      <w:tr w14:paraId="04D81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55" w:type="dxa"/>
            <w:noWrap w:val="0"/>
            <w:vAlign w:val="top"/>
          </w:tcPr>
          <w:p w14:paraId="30A64CFE">
            <w:pPr>
              <w:pStyle w:val="102"/>
              <w:spacing w:before="157" w:line="183" w:lineRule="auto"/>
              <w:ind w:left="2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w:t>
            </w:r>
          </w:p>
        </w:tc>
        <w:tc>
          <w:tcPr>
            <w:tcW w:w="1100" w:type="dxa"/>
            <w:noWrap w:val="0"/>
            <w:vAlign w:val="top"/>
          </w:tcPr>
          <w:p w14:paraId="6B5F1D6C">
            <w:pPr>
              <w:rPr>
                <w:rFonts w:hint="eastAsia" w:ascii="微软雅黑" w:hAnsi="微软雅黑" w:eastAsia="微软雅黑" w:cs="微软雅黑"/>
                <w:color w:val="auto"/>
                <w:sz w:val="24"/>
                <w:szCs w:val="24"/>
                <w:highlight w:val="none"/>
              </w:rPr>
            </w:pPr>
          </w:p>
        </w:tc>
        <w:tc>
          <w:tcPr>
            <w:tcW w:w="651" w:type="dxa"/>
            <w:noWrap w:val="0"/>
            <w:vAlign w:val="top"/>
          </w:tcPr>
          <w:p w14:paraId="2C9633F5">
            <w:pPr>
              <w:rPr>
                <w:rFonts w:hint="eastAsia" w:ascii="微软雅黑" w:hAnsi="微软雅黑" w:eastAsia="微软雅黑" w:cs="微软雅黑"/>
                <w:color w:val="auto"/>
                <w:sz w:val="24"/>
                <w:szCs w:val="24"/>
                <w:highlight w:val="none"/>
              </w:rPr>
            </w:pPr>
          </w:p>
        </w:tc>
        <w:tc>
          <w:tcPr>
            <w:tcW w:w="628" w:type="dxa"/>
            <w:noWrap w:val="0"/>
            <w:vAlign w:val="top"/>
          </w:tcPr>
          <w:p w14:paraId="37296829">
            <w:pPr>
              <w:rPr>
                <w:rFonts w:hint="eastAsia" w:ascii="微软雅黑" w:hAnsi="微软雅黑" w:eastAsia="微软雅黑" w:cs="微软雅黑"/>
                <w:color w:val="auto"/>
                <w:sz w:val="24"/>
                <w:szCs w:val="24"/>
                <w:highlight w:val="none"/>
              </w:rPr>
            </w:pPr>
          </w:p>
        </w:tc>
        <w:tc>
          <w:tcPr>
            <w:tcW w:w="628" w:type="dxa"/>
            <w:noWrap w:val="0"/>
            <w:vAlign w:val="top"/>
          </w:tcPr>
          <w:p w14:paraId="5FF4AC0D">
            <w:pPr>
              <w:rPr>
                <w:rFonts w:hint="eastAsia" w:ascii="微软雅黑" w:hAnsi="微软雅黑" w:eastAsia="微软雅黑" w:cs="微软雅黑"/>
                <w:color w:val="auto"/>
                <w:sz w:val="24"/>
                <w:szCs w:val="24"/>
                <w:highlight w:val="none"/>
              </w:rPr>
            </w:pPr>
          </w:p>
        </w:tc>
        <w:tc>
          <w:tcPr>
            <w:tcW w:w="1087" w:type="dxa"/>
            <w:noWrap w:val="0"/>
            <w:vAlign w:val="top"/>
          </w:tcPr>
          <w:p w14:paraId="4C50FA67">
            <w:pPr>
              <w:rPr>
                <w:rFonts w:hint="eastAsia" w:ascii="微软雅黑" w:hAnsi="微软雅黑" w:eastAsia="微软雅黑" w:cs="微软雅黑"/>
                <w:color w:val="auto"/>
                <w:sz w:val="24"/>
                <w:szCs w:val="24"/>
                <w:highlight w:val="none"/>
              </w:rPr>
            </w:pPr>
          </w:p>
        </w:tc>
        <w:tc>
          <w:tcPr>
            <w:tcW w:w="923" w:type="dxa"/>
            <w:noWrap w:val="0"/>
            <w:vAlign w:val="top"/>
          </w:tcPr>
          <w:p w14:paraId="166084B9">
            <w:pPr>
              <w:rPr>
                <w:rFonts w:hint="eastAsia" w:ascii="微软雅黑" w:hAnsi="微软雅黑" w:eastAsia="微软雅黑" w:cs="微软雅黑"/>
                <w:color w:val="auto"/>
                <w:sz w:val="24"/>
                <w:szCs w:val="24"/>
                <w:highlight w:val="none"/>
              </w:rPr>
            </w:pPr>
          </w:p>
        </w:tc>
        <w:tc>
          <w:tcPr>
            <w:tcW w:w="856" w:type="dxa"/>
            <w:noWrap w:val="0"/>
            <w:vAlign w:val="top"/>
          </w:tcPr>
          <w:p w14:paraId="746140D3">
            <w:pPr>
              <w:rPr>
                <w:rFonts w:hint="eastAsia" w:ascii="微软雅黑" w:hAnsi="微软雅黑" w:eastAsia="微软雅黑" w:cs="微软雅黑"/>
                <w:color w:val="auto"/>
                <w:sz w:val="24"/>
                <w:szCs w:val="24"/>
                <w:highlight w:val="none"/>
              </w:rPr>
            </w:pPr>
          </w:p>
        </w:tc>
        <w:tc>
          <w:tcPr>
            <w:tcW w:w="829" w:type="dxa"/>
            <w:noWrap w:val="0"/>
            <w:vAlign w:val="top"/>
          </w:tcPr>
          <w:p w14:paraId="2AB641B8">
            <w:pPr>
              <w:rPr>
                <w:rFonts w:hint="eastAsia" w:ascii="微软雅黑" w:hAnsi="微软雅黑" w:eastAsia="微软雅黑" w:cs="微软雅黑"/>
                <w:color w:val="auto"/>
                <w:sz w:val="24"/>
                <w:szCs w:val="24"/>
                <w:highlight w:val="none"/>
              </w:rPr>
            </w:pPr>
          </w:p>
        </w:tc>
        <w:tc>
          <w:tcPr>
            <w:tcW w:w="747" w:type="dxa"/>
            <w:noWrap w:val="0"/>
            <w:vAlign w:val="top"/>
          </w:tcPr>
          <w:p w14:paraId="685110E3">
            <w:pPr>
              <w:rPr>
                <w:rFonts w:hint="eastAsia" w:ascii="微软雅黑" w:hAnsi="微软雅黑" w:eastAsia="微软雅黑" w:cs="微软雅黑"/>
                <w:color w:val="auto"/>
                <w:sz w:val="24"/>
                <w:szCs w:val="24"/>
                <w:highlight w:val="none"/>
              </w:rPr>
            </w:pPr>
          </w:p>
        </w:tc>
        <w:tc>
          <w:tcPr>
            <w:tcW w:w="788" w:type="dxa"/>
            <w:noWrap w:val="0"/>
            <w:vAlign w:val="top"/>
          </w:tcPr>
          <w:p w14:paraId="0D41A4F7">
            <w:pPr>
              <w:rPr>
                <w:rFonts w:hint="eastAsia" w:ascii="微软雅黑" w:hAnsi="微软雅黑" w:eastAsia="微软雅黑" w:cs="微软雅黑"/>
                <w:color w:val="auto"/>
                <w:sz w:val="24"/>
                <w:szCs w:val="24"/>
                <w:highlight w:val="none"/>
              </w:rPr>
            </w:pPr>
          </w:p>
        </w:tc>
        <w:tc>
          <w:tcPr>
            <w:tcW w:w="788" w:type="dxa"/>
            <w:noWrap w:val="0"/>
            <w:vAlign w:val="top"/>
          </w:tcPr>
          <w:p w14:paraId="6A37540E">
            <w:pPr>
              <w:rPr>
                <w:rFonts w:hint="eastAsia" w:ascii="微软雅黑" w:hAnsi="微软雅黑" w:eastAsia="微软雅黑" w:cs="微软雅黑"/>
                <w:color w:val="auto"/>
                <w:sz w:val="24"/>
                <w:szCs w:val="24"/>
                <w:highlight w:val="none"/>
              </w:rPr>
            </w:pPr>
          </w:p>
        </w:tc>
      </w:tr>
      <w:tr w14:paraId="1E2D7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5" w:type="dxa"/>
            <w:noWrap w:val="0"/>
            <w:vAlign w:val="top"/>
          </w:tcPr>
          <w:p w14:paraId="6AAD9705">
            <w:pPr>
              <w:pStyle w:val="102"/>
              <w:spacing w:before="77" w:line="182" w:lineRule="auto"/>
              <w:ind w:left="27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p>
        </w:tc>
        <w:tc>
          <w:tcPr>
            <w:tcW w:w="1100" w:type="dxa"/>
            <w:noWrap w:val="0"/>
            <w:vAlign w:val="top"/>
          </w:tcPr>
          <w:p w14:paraId="17ADBA5C">
            <w:pPr>
              <w:rPr>
                <w:rFonts w:hint="eastAsia" w:ascii="微软雅黑" w:hAnsi="微软雅黑" w:eastAsia="微软雅黑" w:cs="微软雅黑"/>
                <w:color w:val="auto"/>
                <w:sz w:val="24"/>
                <w:szCs w:val="24"/>
                <w:highlight w:val="none"/>
              </w:rPr>
            </w:pPr>
          </w:p>
        </w:tc>
        <w:tc>
          <w:tcPr>
            <w:tcW w:w="651" w:type="dxa"/>
            <w:noWrap w:val="0"/>
            <w:vAlign w:val="top"/>
          </w:tcPr>
          <w:p w14:paraId="127315B9">
            <w:pPr>
              <w:rPr>
                <w:rFonts w:hint="eastAsia" w:ascii="微软雅黑" w:hAnsi="微软雅黑" w:eastAsia="微软雅黑" w:cs="微软雅黑"/>
                <w:color w:val="auto"/>
                <w:sz w:val="24"/>
                <w:szCs w:val="24"/>
                <w:highlight w:val="none"/>
              </w:rPr>
            </w:pPr>
          </w:p>
        </w:tc>
        <w:tc>
          <w:tcPr>
            <w:tcW w:w="628" w:type="dxa"/>
            <w:noWrap w:val="0"/>
            <w:vAlign w:val="top"/>
          </w:tcPr>
          <w:p w14:paraId="2AEB5D0B">
            <w:pPr>
              <w:rPr>
                <w:rFonts w:hint="eastAsia" w:ascii="微软雅黑" w:hAnsi="微软雅黑" w:eastAsia="微软雅黑" w:cs="微软雅黑"/>
                <w:color w:val="auto"/>
                <w:sz w:val="24"/>
                <w:szCs w:val="24"/>
                <w:highlight w:val="none"/>
              </w:rPr>
            </w:pPr>
          </w:p>
        </w:tc>
        <w:tc>
          <w:tcPr>
            <w:tcW w:w="628" w:type="dxa"/>
            <w:noWrap w:val="0"/>
            <w:vAlign w:val="top"/>
          </w:tcPr>
          <w:p w14:paraId="6E8BC88F">
            <w:pPr>
              <w:rPr>
                <w:rFonts w:hint="eastAsia" w:ascii="微软雅黑" w:hAnsi="微软雅黑" w:eastAsia="微软雅黑" w:cs="微软雅黑"/>
                <w:color w:val="auto"/>
                <w:sz w:val="24"/>
                <w:szCs w:val="24"/>
                <w:highlight w:val="none"/>
              </w:rPr>
            </w:pPr>
          </w:p>
        </w:tc>
        <w:tc>
          <w:tcPr>
            <w:tcW w:w="1087" w:type="dxa"/>
            <w:noWrap w:val="0"/>
            <w:vAlign w:val="top"/>
          </w:tcPr>
          <w:p w14:paraId="7785C6C9">
            <w:pPr>
              <w:rPr>
                <w:rFonts w:hint="eastAsia" w:ascii="微软雅黑" w:hAnsi="微软雅黑" w:eastAsia="微软雅黑" w:cs="微软雅黑"/>
                <w:color w:val="auto"/>
                <w:sz w:val="24"/>
                <w:szCs w:val="24"/>
                <w:highlight w:val="none"/>
              </w:rPr>
            </w:pPr>
          </w:p>
        </w:tc>
        <w:tc>
          <w:tcPr>
            <w:tcW w:w="923" w:type="dxa"/>
            <w:noWrap w:val="0"/>
            <w:vAlign w:val="top"/>
          </w:tcPr>
          <w:p w14:paraId="13B7F663">
            <w:pPr>
              <w:rPr>
                <w:rFonts w:hint="eastAsia" w:ascii="微软雅黑" w:hAnsi="微软雅黑" w:eastAsia="微软雅黑" w:cs="微软雅黑"/>
                <w:color w:val="auto"/>
                <w:sz w:val="24"/>
                <w:szCs w:val="24"/>
                <w:highlight w:val="none"/>
              </w:rPr>
            </w:pPr>
          </w:p>
        </w:tc>
        <w:tc>
          <w:tcPr>
            <w:tcW w:w="856" w:type="dxa"/>
            <w:noWrap w:val="0"/>
            <w:vAlign w:val="top"/>
          </w:tcPr>
          <w:p w14:paraId="6292722F">
            <w:pPr>
              <w:rPr>
                <w:rFonts w:hint="eastAsia" w:ascii="微软雅黑" w:hAnsi="微软雅黑" w:eastAsia="微软雅黑" w:cs="微软雅黑"/>
                <w:color w:val="auto"/>
                <w:sz w:val="24"/>
                <w:szCs w:val="24"/>
                <w:highlight w:val="none"/>
              </w:rPr>
            </w:pPr>
          </w:p>
        </w:tc>
        <w:tc>
          <w:tcPr>
            <w:tcW w:w="829" w:type="dxa"/>
            <w:noWrap w:val="0"/>
            <w:vAlign w:val="top"/>
          </w:tcPr>
          <w:p w14:paraId="49F74F97">
            <w:pPr>
              <w:rPr>
                <w:rFonts w:hint="eastAsia" w:ascii="微软雅黑" w:hAnsi="微软雅黑" w:eastAsia="微软雅黑" w:cs="微软雅黑"/>
                <w:color w:val="auto"/>
                <w:sz w:val="24"/>
                <w:szCs w:val="24"/>
                <w:highlight w:val="none"/>
              </w:rPr>
            </w:pPr>
          </w:p>
        </w:tc>
        <w:tc>
          <w:tcPr>
            <w:tcW w:w="747" w:type="dxa"/>
            <w:noWrap w:val="0"/>
            <w:vAlign w:val="top"/>
          </w:tcPr>
          <w:p w14:paraId="4C95ADCA">
            <w:pPr>
              <w:rPr>
                <w:rFonts w:hint="eastAsia" w:ascii="微软雅黑" w:hAnsi="微软雅黑" w:eastAsia="微软雅黑" w:cs="微软雅黑"/>
                <w:color w:val="auto"/>
                <w:sz w:val="24"/>
                <w:szCs w:val="24"/>
                <w:highlight w:val="none"/>
              </w:rPr>
            </w:pPr>
          </w:p>
        </w:tc>
        <w:tc>
          <w:tcPr>
            <w:tcW w:w="788" w:type="dxa"/>
            <w:noWrap w:val="0"/>
            <w:vAlign w:val="top"/>
          </w:tcPr>
          <w:p w14:paraId="4954CC73">
            <w:pPr>
              <w:rPr>
                <w:rFonts w:hint="eastAsia" w:ascii="微软雅黑" w:hAnsi="微软雅黑" w:eastAsia="微软雅黑" w:cs="微软雅黑"/>
                <w:color w:val="auto"/>
                <w:sz w:val="24"/>
                <w:szCs w:val="24"/>
                <w:highlight w:val="none"/>
              </w:rPr>
            </w:pPr>
          </w:p>
        </w:tc>
        <w:tc>
          <w:tcPr>
            <w:tcW w:w="788" w:type="dxa"/>
            <w:noWrap w:val="0"/>
            <w:vAlign w:val="top"/>
          </w:tcPr>
          <w:p w14:paraId="3264C82C">
            <w:pPr>
              <w:rPr>
                <w:rFonts w:hint="eastAsia" w:ascii="微软雅黑" w:hAnsi="微软雅黑" w:eastAsia="微软雅黑" w:cs="微软雅黑"/>
                <w:color w:val="auto"/>
                <w:sz w:val="24"/>
                <w:szCs w:val="24"/>
                <w:highlight w:val="none"/>
              </w:rPr>
            </w:pPr>
          </w:p>
        </w:tc>
      </w:tr>
      <w:tr w14:paraId="52C14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55" w:type="dxa"/>
            <w:noWrap w:val="0"/>
            <w:vAlign w:val="top"/>
          </w:tcPr>
          <w:p w14:paraId="10155EFE">
            <w:pPr>
              <w:pStyle w:val="102"/>
              <w:spacing w:before="77" w:line="183" w:lineRule="auto"/>
              <w:ind w:left="27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w:t>
            </w:r>
          </w:p>
        </w:tc>
        <w:tc>
          <w:tcPr>
            <w:tcW w:w="1100" w:type="dxa"/>
            <w:noWrap w:val="0"/>
            <w:vAlign w:val="top"/>
          </w:tcPr>
          <w:p w14:paraId="3000E5D9">
            <w:pPr>
              <w:rPr>
                <w:rFonts w:hint="eastAsia" w:ascii="微软雅黑" w:hAnsi="微软雅黑" w:eastAsia="微软雅黑" w:cs="微软雅黑"/>
                <w:color w:val="auto"/>
                <w:sz w:val="24"/>
                <w:szCs w:val="24"/>
                <w:highlight w:val="none"/>
              </w:rPr>
            </w:pPr>
          </w:p>
        </w:tc>
        <w:tc>
          <w:tcPr>
            <w:tcW w:w="651" w:type="dxa"/>
            <w:noWrap w:val="0"/>
            <w:vAlign w:val="top"/>
          </w:tcPr>
          <w:p w14:paraId="1E94232D">
            <w:pPr>
              <w:rPr>
                <w:rFonts w:hint="eastAsia" w:ascii="微软雅黑" w:hAnsi="微软雅黑" w:eastAsia="微软雅黑" w:cs="微软雅黑"/>
                <w:color w:val="auto"/>
                <w:sz w:val="24"/>
                <w:szCs w:val="24"/>
                <w:highlight w:val="none"/>
              </w:rPr>
            </w:pPr>
          </w:p>
        </w:tc>
        <w:tc>
          <w:tcPr>
            <w:tcW w:w="628" w:type="dxa"/>
            <w:noWrap w:val="0"/>
            <w:vAlign w:val="top"/>
          </w:tcPr>
          <w:p w14:paraId="17278EB6">
            <w:pPr>
              <w:rPr>
                <w:rFonts w:hint="eastAsia" w:ascii="微软雅黑" w:hAnsi="微软雅黑" w:eastAsia="微软雅黑" w:cs="微软雅黑"/>
                <w:color w:val="auto"/>
                <w:sz w:val="24"/>
                <w:szCs w:val="24"/>
                <w:highlight w:val="none"/>
              </w:rPr>
            </w:pPr>
          </w:p>
        </w:tc>
        <w:tc>
          <w:tcPr>
            <w:tcW w:w="628" w:type="dxa"/>
            <w:noWrap w:val="0"/>
            <w:vAlign w:val="top"/>
          </w:tcPr>
          <w:p w14:paraId="5254F443">
            <w:pPr>
              <w:rPr>
                <w:rFonts w:hint="eastAsia" w:ascii="微软雅黑" w:hAnsi="微软雅黑" w:eastAsia="微软雅黑" w:cs="微软雅黑"/>
                <w:color w:val="auto"/>
                <w:sz w:val="24"/>
                <w:szCs w:val="24"/>
                <w:highlight w:val="none"/>
              </w:rPr>
            </w:pPr>
          </w:p>
        </w:tc>
        <w:tc>
          <w:tcPr>
            <w:tcW w:w="1087" w:type="dxa"/>
            <w:noWrap w:val="0"/>
            <w:vAlign w:val="top"/>
          </w:tcPr>
          <w:p w14:paraId="372B3051">
            <w:pPr>
              <w:rPr>
                <w:rFonts w:hint="eastAsia" w:ascii="微软雅黑" w:hAnsi="微软雅黑" w:eastAsia="微软雅黑" w:cs="微软雅黑"/>
                <w:color w:val="auto"/>
                <w:sz w:val="24"/>
                <w:szCs w:val="24"/>
                <w:highlight w:val="none"/>
              </w:rPr>
            </w:pPr>
          </w:p>
        </w:tc>
        <w:tc>
          <w:tcPr>
            <w:tcW w:w="923" w:type="dxa"/>
            <w:noWrap w:val="0"/>
            <w:vAlign w:val="top"/>
          </w:tcPr>
          <w:p w14:paraId="2342B256">
            <w:pPr>
              <w:rPr>
                <w:rFonts w:hint="eastAsia" w:ascii="微软雅黑" w:hAnsi="微软雅黑" w:eastAsia="微软雅黑" w:cs="微软雅黑"/>
                <w:color w:val="auto"/>
                <w:sz w:val="24"/>
                <w:szCs w:val="24"/>
                <w:highlight w:val="none"/>
              </w:rPr>
            </w:pPr>
          </w:p>
        </w:tc>
        <w:tc>
          <w:tcPr>
            <w:tcW w:w="856" w:type="dxa"/>
            <w:noWrap w:val="0"/>
            <w:vAlign w:val="top"/>
          </w:tcPr>
          <w:p w14:paraId="4ED3BC43">
            <w:pPr>
              <w:rPr>
                <w:rFonts w:hint="eastAsia" w:ascii="微软雅黑" w:hAnsi="微软雅黑" w:eastAsia="微软雅黑" w:cs="微软雅黑"/>
                <w:color w:val="auto"/>
                <w:sz w:val="24"/>
                <w:szCs w:val="24"/>
                <w:highlight w:val="none"/>
              </w:rPr>
            </w:pPr>
          </w:p>
        </w:tc>
        <w:tc>
          <w:tcPr>
            <w:tcW w:w="829" w:type="dxa"/>
            <w:noWrap w:val="0"/>
            <w:vAlign w:val="top"/>
          </w:tcPr>
          <w:p w14:paraId="6F19E5EF">
            <w:pPr>
              <w:rPr>
                <w:rFonts w:hint="eastAsia" w:ascii="微软雅黑" w:hAnsi="微软雅黑" w:eastAsia="微软雅黑" w:cs="微软雅黑"/>
                <w:color w:val="auto"/>
                <w:sz w:val="24"/>
                <w:szCs w:val="24"/>
                <w:highlight w:val="none"/>
              </w:rPr>
            </w:pPr>
          </w:p>
        </w:tc>
        <w:tc>
          <w:tcPr>
            <w:tcW w:w="747" w:type="dxa"/>
            <w:noWrap w:val="0"/>
            <w:vAlign w:val="top"/>
          </w:tcPr>
          <w:p w14:paraId="14D42016">
            <w:pPr>
              <w:rPr>
                <w:rFonts w:hint="eastAsia" w:ascii="微软雅黑" w:hAnsi="微软雅黑" w:eastAsia="微软雅黑" w:cs="微软雅黑"/>
                <w:color w:val="auto"/>
                <w:sz w:val="24"/>
                <w:szCs w:val="24"/>
                <w:highlight w:val="none"/>
              </w:rPr>
            </w:pPr>
          </w:p>
        </w:tc>
        <w:tc>
          <w:tcPr>
            <w:tcW w:w="788" w:type="dxa"/>
            <w:noWrap w:val="0"/>
            <w:vAlign w:val="top"/>
          </w:tcPr>
          <w:p w14:paraId="7F3E6C1E">
            <w:pPr>
              <w:rPr>
                <w:rFonts w:hint="eastAsia" w:ascii="微软雅黑" w:hAnsi="微软雅黑" w:eastAsia="微软雅黑" w:cs="微软雅黑"/>
                <w:color w:val="auto"/>
                <w:sz w:val="24"/>
                <w:szCs w:val="24"/>
                <w:highlight w:val="none"/>
              </w:rPr>
            </w:pPr>
          </w:p>
        </w:tc>
        <w:tc>
          <w:tcPr>
            <w:tcW w:w="788" w:type="dxa"/>
            <w:noWrap w:val="0"/>
            <w:vAlign w:val="top"/>
          </w:tcPr>
          <w:p w14:paraId="4C87B29A">
            <w:pPr>
              <w:rPr>
                <w:rFonts w:hint="eastAsia" w:ascii="微软雅黑" w:hAnsi="微软雅黑" w:eastAsia="微软雅黑" w:cs="微软雅黑"/>
                <w:color w:val="auto"/>
                <w:sz w:val="24"/>
                <w:szCs w:val="24"/>
                <w:highlight w:val="none"/>
              </w:rPr>
            </w:pPr>
          </w:p>
        </w:tc>
      </w:tr>
      <w:tr w14:paraId="3B192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55" w:type="dxa"/>
            <w:noWrap w:val="0"/>
            <w:vAlign w:val="top"/>
          </w:tcPr>
          <w:p w14:paraId="3748EA78">
            <w:pPr>
              <w:pStyle w:val="102"/>
              <w:spacing w:before="77" w:line="183"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p>
        </w:tc>
        <w:tc>
          <w:tcPr>
            <w:tcW w:w="1100" w:type="dxa"/>
            <w:noWrap w:val="0"/>
            <w:vAlign w:val="top"/>
          </w:tcPr>
          <w:p w14:paraId="22310E0E">
            <w:pPr>
              <w:rPr>
                <w:rFonts w:hint="eastAsia" w:ascii="微软雅黑" w:hAnsi="微软雅黑" w:eastAsia="微软雅黑" w:cs="微软雅黑"/>
                <w:color w:val="auto"/>
                <w:sz w:val="24"/>
                <w:szCs w:val="24"/>
                <w:highlight w:val="none"/>
              </w:rPr>
            </w:pPr>
          </w:p>
        </w:tc>
        <w:tc>
          <w:tcPr>
            <w:tcW w:w="651" w:type="dxa"/>
            <w:noWrap w:val="0"/>
            <w:vAlign w:val="top"/>
          </w:tcPr>
          <w:p w14:paraId="4572F2F3">
            <w:pPr>
              <w:rPr>
                <w:rFonts w:hint="eastAsia" w:ascii="微软雅黑" w:hAnsi="微软雅黑" w:eastAsia="微软雅黑" w:cs="微软雅黑"/>
                <w:color w:val="auto"/>
                <w:sz w:val="24"/>
                <w:szCs w:val="24"/>
                <w:highlight w:val="none"/>
              </w:rPr>
            </w:pPr>
          </w:p>
        </w:tc>
        <w:tc>
          <w:tcPr>
            <w:tcW w:w="628" w:type="dxa"/>
            <w:noWrap w:val="0"/>
            <w:vAlign w:val="top"/>
          </w:tcPr>
          <w:p w14:paraId="45CFCA55">
            <w:pPr>
              <w:rPr>
                <w:rFonts w:hint="eastAsia" w:ascii="微软雅黑" w:hAnsi="微软雅黑" w:eastAsia="微软雅黑" w:cs="微软雅黑"/>
                <w:color w:val="auto"/>
                <w:sz w:val="24"/>
                <w:szCs w:val="24"/>
                <w:highlight w:val="none"/>
              </w:rPr>
            </w:pPr>
          </w:p>
        </w:tc>
        <w:tc>
          <w:tcPr>
            <w:tcW w:w="628" w:type="dxa"/>
            <w:noWrap w:val="0"/>
            <w:vAlign w:val="top"/>
          </w:tcPr>
          <w:p w14:paraId="499FF697">
            <w:pPr>
              <w:rPr>
                <w:rFonts w:hint="eastAsia" w:ascii="微软雅黑" w:hAnsi="微软雅黑" w:eastAsia="微软雅黑" w:cs="微软雅黑"/>
                <w:color w:val="auto"/>
                <w:sz w:val="24"/>
                <w:szCs w:val="24"/>
                <w:highlight w:val="none"/>
              </w:rPr>
            </w:pPr>
          </w:p>
        </w:tc>
        <w:tc>
          <w:tcPr>
            <w:tcW w:w="1087" w:type="dxa"/>
            <w:noWrap w:val="0"/>
            <w:vAlign w:val="top"/>
          </w:tcPr>
          <w:p w14:paraId="4A0A78F8">
            <w:pPr>
              <w:rPr>
                <w:rFonts w:hint="eastAsia" w:ascii="微软雅黑" w:hAnsi="微软雅黑" w:eastAsia="微软雅黑" w:cs="微软雅黑"/>
                <w:color w:val="auto"/>
                <w:sz w:val="24"/>
                <w:szCs w:val="24"/>
                <w:highlight w:val="none"/>
              </w:rPr>
            </w:pPr>
          </w:p>
        </w:tc>
        <w:tc>
          <w:tcPr>
            <w:tcW w:w="923" w:type="dxa"/>
            <w:noWrap w:val="0"/>
            <w:vAlign w:val="top"/>
          </w:tcPr>
          <w:p w14:paraId="3A1C37A1">
            <w:pPr>
              <w:rPr>
                <w:rFonts w:hint="eastAsia" w:ascii="微软雅黑" w:hAnsi="微软雅黑" w:eastAsia="微软雅黑" w:cs="微软雅黑"/>
                <w:color w:val="auto"/>
                <w:sz w:val="24"/>
                <w:szCs w:val="24"/>
                <w:highlight w:val="none"/>
              </w:rPr>
            </w:pPr>
          </w:p>
        </w:tc>
        <w:tc>
          <w:tcPr>
            <w:tcW w:w="856" w:type="dxa"/>
            <w:noWrap w:val="0"/>
            <w:vAlign w:val="top"/>
          </w:tcPr>
          <w:p w14:paraId="303118A4">
            <w:pPr>
              <w:rPr>
                <w:rFonts w:hint="eastAsia" w:ascii="微软雅黑" w:hAnsi="微软雅黑" w:eastAsia="微软雅黑" w:cs="微软雅黑"/>
                <w:color w:val="auto"/>
                <w:sz w:val="24"/>
                <w:szCs w:val="24"/>
                <w:highlight w:val="none"/>
              </w:rPr>
            </w:pPr>
          </w:p>
        </w:tc>
        <w:tc>
          <w:tcPr>
            <w:tcW w:w="829" w:type="dxa"/>
            <w:noWrap w:val="0"/>
            <w:vAlign w:val="top"/>
          </w:tcPr>
          <w:p w14:paraId="3B9227B4">
            <w:pPr>
              <w:rPr>
                <w:rFonts w:hint="eastAsia" w:ascii="微软雅黑" w:hAnsi="微软雅黑" w:eastAsia="微软雅黑" w:cs="微软雅黑"/>
                <w:color w:val="auto"/>
                <w:sz w:val="24"/>
                <w:szCs w:val="24"/>
                <w:highlight w:val="none"/>
              </w:rPr>
            </w:pPr>
          </w:p>
        </w:tc>
        <w:tc>
          <w:tcPr>
            <w:tcW w:w="747" w:type="dxa"/>
            <w:noWrap w:val="0"/>
            <w:vAlign w:val="top"/>
          </w:tcPr>
          <w:p w14:paraId="274CCE05">
            <w:pPr>
              <w:rPr>
                <w:rFonts w:hint="eastAsia" w:ascii="微软雅黑" w:hAnsi="微软雅黑" w:eastAsia="微软雅黑" w:cs="微软雅黑"/>
                <w:color w:val="auto"/>
                <w:sz w:val="24"/>
                <w:szCs w:val="24"/>
                <w:highlight w:val="none"/>
              </w:rPr>
            </w:pPr>
          </w:p>
        </w:tc>
        <w:tc>
          <w:tcPr>
            <w:tcW w:w="788" w:type="dxa"/>
            <w:noWrap w:val="0"/>
            <w:vAlign w:val="top"/>
          </w:tcPr>
          <w:p w14:paraId="2F21993C">
            <w:pPr>
              <w:rPr>
                <w:rFonts w:hint="eastAsia" w:ascii="微软雅黑" w:hAnsi="微软雅黑" w:eastAsia="微软雅黑" w:cs="微软雅黑"/>
                <w:color w:val="auto"/>
                <w:sz w:val="24"/>
                <w:szCs w:val="24"/>
                <w:highlight w:val="none"/>
              </w:rPr>
            </w:pPr>
          </w:p>
        </w:tc>
        <w:tc>
          <w:tcPr>
            <w:tcW w:w="788" w:type="dxa"/>
            <w:noWrap w:val="0"/>
            <w:vAlign w:val="top"/>
          </w:tcPr>
          <w:p w14:paraId="3C494FAF">
            <w:pPr>
              <w:rPr>
                <w:rFonts w:hint="eastAsia" w:ascii="微软雅黑" w:hAnsi="微软雅黑" w:eastAsia="微软雅黑" w:cs="微软雅黑"/>
                <w:color w:val="auto"/>
                <w:sz w:val="24"/>
                <w:szCs w:val="24"/>
                <w:highlight w:val="none"/>
              </w:rPr>
            </w:pPr>
          </w:p>
        </w:tc>
      </w:tr>
      <w:tr w14:paraId="4E84F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892" w:type="dxa"/>
            <w:gridSpan w:val="11"/>
            <w:noWrap w:val="0"/>
            <w:vAlign w:val="top"/>
          </w:tcPr>
          <w:p w14:paraId="647180D9">
            <w:pPr>
              <w:pStyle w:val="102"/>
              <w:spacing w:before="40" w:line="218" w:lineRule="auto"/>
              <w:ind w:left="334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总价（元）</w:t>
            </w:r>
          </w:p>
        </w:tc>
        <w:tc>
          <w:tcPr>
            <w:tcW w:w="788" w:type="dxa"/>
            <w:noWrap w:val="0"/>
            <w:vAlign w:val="top"/>
          </w:tcPr>
          <w:p w14:paraId="50792BA4">
            <w:pPr>
              <w:rPr>
                <w:rFonts w:hint="eastAsia" w:ascii="微软雅黑" w:hAnsi="微软雅黑" w:eastAsia="微软雅黑" w:cs="微软雅黑"/>
                <w:color w:val="auto"/>
                <w:sz w:val="24"/>
                <w:szCs w:val="24"/>
                <w:highlight w:val="none"/>
              </w:rPr>
            </w:pPr>
          </w:p>
        </w:tc>
      </w:tr>
    </w:tbl>
    <w:p w14:paraId="55AB0284">
      <w:pPr>
        <w:pStyle w:val="16"/>
        <w:tabs>
          <w:tab w:val="left" w:pos="5580"/>
        </w:tabs>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投标人名称（单位盖章）：</w:t>
      </w:r>
      <w:r>
        <w:rPr>
          <w:rFonts w:hint="eastAsia" w:ascii="微软雅黑" w:hAnsi="微软雅黑" w:eastAsia="微软雅黑" w:cs="微软雅黑"/>
          <w:color w:val="auto"/>
          <w:sz w:val="24"/>
          <w:szCs w:val="24"/>
          <w:highlight w:val="none"/>
          <w:u w:val="single"/>
        </w:rPr>
        <w:t xml:space="preserve">                       </w:t>
      </w:r>
    </w:p>
    <w:p w14:paraId="66D4E260">
      <w:pPr>
        <w:pStyle w:val="16"/>
        <w:tabs>
          <w:tab w:val="left" w:pos="5580"/>
        </w:tabs>
        <w:spacing w:line="360" w:lineRule="auto"/>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(签字或盖章):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p>
    <w:p w14:paraId="4032506F">
      <w:pPr>
        <w:pStyle w:val="16"/>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75C4F42F">
      <w:pPr>
        <w:spacing w:line="240" w:lineRule="auto"/>
        <w:ind w:firstLine="240" w:firstLineChars="100"/>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注:1.如果供应商认为需要，每种货物填写一份该表。</w:t>
      </w:r>
    </w:p>
    <w:p w14:paraId="220E45D4">
      <w:pPr>
        <w:spacing w:line="240" w:lineRule="auto"/>
        <w:ind w:firstLine="240" w:firstLineChars="100"/>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lang w:val="en-US" w:eastAsia="zh-CN"/>
        </w:rPr>
        <w:t>2.</w:t>
      </w:r>
      <w:r>
        <w:rPr>
          <w:rFonts w:hint="eastAsia" w:ascii="微软雅黑" w:hAnsi="微软雅黑" w:eastAsia="微软雅黑" w:cs="微软雅黑"/>
          <w:color w:val="auto"/>
          <w:sz w:val="24"/>
          <w:szCs w:val="32"/>
          <w:highlight w:val="none"/>
        </w:rPr>
        <w:t xml:space="preserve">如果按单价计算的结果与总价不一致,以单价为准修正总价。 </w:t>
      </w:r>
    </w:p>
    <w:p w14:paraId="150A44C7">
      <w:pPr>
        <w:spacing w:line="240" w:lineRule="auto"/>
        <w:ind w:firstLine="240" w:firstLineChars="100"/>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3.如果不提供详细分项报价将视为没有实质性响应招标文件。</w:t>
      </w:r>
    </w:p>
    <w:p w14:paraId="56C340E4">
      <w:pPr>
        <w:spacing w:line="240" w:lineRule="auto"/>
        <w:ind w:firstLine="240" w:firstLineChars="100"/>
        <w:rPr>
          <w:rFonts w:hint="eastAsia" w:ascii="微软雅黑" w:hAnsi="微软雅黑" w:eastAsia="微软雅黑" w:cs="微软雅黑"/>
          <w:color w:val="auto"/>
          <w:sz w:val="24"/>
          <w:szCs w:val="32"/>
          <w:highlight w:val="none"/>
          <w:lang w:eastAsia="zh-CN"/>
        </w:rPr>
        <w:sectPr>
          <w:headerReference r:id="rId13" w:type="default"/>
          <w:footerReference r:id="rId14" w:type="default"/>
          <w:pgSz w:w="11906" w:h="16838"/>
          <w:pgMar w:top="1440" w:right="1080" w:bottom="1440" w:left="1080" w:header="851" w:footer="992" w:gutter="0"/>
          <w:pgNumType w:fmt="decimal"/>
          <w:cols w:space="720" w:num="1"/>
          <w:docGrid w:linePitch="312" w:charSpace="0"/>
        </w:sectPr>
      </w:pPr>
      <w:r>
        <w:rPr>
          <w:rFonts w:hint="eastAsia" w:ascii="微软雅黑" w:hAnsi="微软雅黑" w:eastAsia="微软雅黑" w:cs="微软雅黑"/>
          <w:color w:val="auto"/>
          <w:sz w:val="24"/>
          <w:szCs w:val="32"/>
          <w:highlight w:val="none"/>
          <w:lang w:val="en-US" w:eastAsia="zh-CN"/>
        </w:rPr>
        <w:t>4</w:t>
      </w:r>
      <w:r>
        <w:rPr>
          <w:rFonts w:hint="eastAsia" w:ascii="微软雅黑" w:hAnsi="微软雅黑" w:eastAsia="微软雅黑" w:cs="微软雅黑"/>
          <w:color w:val="auto"/>
          <w:sz w:val="24"/>
          <w:szCs w:val="32"/>
          <w:highlight w:val="none"/>
        </w:rPr>
        <w:t>.如果开标一览表（报价表）内容与投标文件中明细表内容不一致的，以开标一览表（报价表）内容为准</w:t>
      </w:r>
      <w:r>
        <w:rPr>
          <w:rFonts w:hint="eastAsia" w:ascii="微软雅黑" w:hAnsi="微软雅黑" w:eastAsia="微软雅黑" w:cs="微软雅黑"/>
          <w:color w:val="auto"/>
          <w:sz w:val="24"/>
          <w:szCs w:val="32"/>
          <w:highlight w:val="none"/>
          <w:lang w:eastAsia="zh-CN"/>
        </w:rPr>
        <w:t>。</w:t>
      </w:r>
    </w:p>
    <w:p w14:paraId="1DAA786E">
      <w:pPr>
        <w:pStyle w:val="12"/>
        <w:spacing w:before="245" w:line="218" w:lineRule="auto"/>
        <w:jc w:val="center"/>
        <w:rPr>
          <w:color w:val="auto"/>
          <w:highlight w:val="none"/>
        </w:rPr>
      </w:pPr>
      <w:r>
        <w:rPr>
          <w:rFonts w:hint="eastAsia" w:ascii="微软雅黑" w:hAnsi="微软雅黑" w:eastAsia="微软雅黑" w:cs="微软雅黑"/>
          <w:color w:val="auto"/>
          <w:spacing w:val="-1"/>
          <w:sz w:val="28"/>
          <w:szCs w:val="28"/>
          <w:highlight w:val="none"/>
        </w:rPr>
        <w:t>备品备件设备分项报价表</w:t>
      </w:r>
    </w:p>
    <w:tbl>
      <w:tblPr>
        <w:tblStyle w:val="103"/>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6"/>
        <w:gridCol w:w="691"/>
        <w:gridCol w:w="971"/>
        <w:gridCol w:w="748"/>
        <w:gridCol w:w="692"/>
        <w:gridCol w:w="856"/>
        <w:gridCol w:w="938"/>
        <w:gridCol w:w="693"/>
        <w:gridCol w:w="652"/>
        <w:gridCol w:w="706"/>
        <w:gridCol w:w="625"/>
        <w:gridCol w:w="666"/>
        <w:gridCol w:w="584"/>
      </w:tblGrid>
      <w:tr w14:paraId="66CBE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5" w:hRule="atLeast"/>
        </w:trPr>
        <w:tc>
          <w:tcPr>
            <w:tcW w:w="966" w:type="dxa"/>
            <w:noWrap w:val="0"/>
            <w:vAlign w:val="top"/>
          </w:tcPr>
          <w:p w14:paraId="0E584477">
            <w:pPr>
              <w:pStyle w:val="102"/>
              <w:rPr>
                <w:rFonts w:hint="eastAsia" w:ascii="微软雅黑" w:hAnsi="微软雅黑" w:eastAsia="微软雅黑" w:cs="微软雅黑"/>
                <w:color w:val="auto"/>
                <w:highlight w:val="none"/>
              </w:rPr>
            </w:pPr>
          </w:p>
        </w:tc>
        <w:tc>
          <w:tcPr>
            <w:tcW w:w="691" w:type="dxa"/>
            <w:noWrap w:val="0"/>
            <w:textDirection w:val="tbRlV"/>
            <w:vAlign w:val="top"/>
          </w:tcPr>
          <w:p w14:paraId="6B3774DA">
            <w:pPr>
              <w:spacing w:before="225" w:line="184" w:lineRule="auto"/>
              <w:ind w:left="474"/>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11"/>
                <w:sz w:val="23"/>
                <w:szCs w:val="23"/>
                <w:highlight w:val="none"/>
              </w:rPr>
              <w:t>编</w:t>
            </w:r>
            <w:r>
              <w:rPr>
                <w:rFonts w:hint="eastAsia" w:ascii="微软雅黑" w:hAnsi="微软雅黑" w:eastAsia="微软雅黑" w:cs="微软雅黑"/>
                <w:color w:val="auto"/>
                <w:spacing w:val="10"/>
                <w:sz w:val="23"/>
                <w:szCs w:val="23"/>
                <w:highlight w:val="none"/>
              </w:rPr>
              <w:t xml:space="preserve">  </w:t>
            </w:r>
            <w:r>
              <w:rPr>
                <w:rFonts w:hint="eastAsia" w:ascii="微软雅黑" w:hAnsi="微软雅黑" w:eastAsia="微软雅黑" w:cs="微软雅黑"/>
                <w:color w:val="auto"/>
                <w:spacing w:val="11"/>
                <w:sz w:val="23"/>
                <w:szCs w:val="23"/>
                <w:highlight w:val="none"/>
              </w:rPr>
              <w:t>号</w:t>
            </w:r>
          </w:p>
        </w:tc>
        <w:tc>
          <w:tcPr>
            <w:tcW w:w="971" w:type="dxa"/>
            <w:noWrap w:val="0"/>
            <w:vAlign w:val="top"/>
          </w:tcPr>
          <w:p w14:paraId="36F7C69B">
            <w:pPr>
              <w:pStyle w:val="102"/>
              <w:spacing w:line="285" w:lineRule="auto"/>
              <w:jc w:val="center"/>
              <w:rPr>
                <w:rFonts w:hint="eastAsia" w:ascii="微软雅黑" w:hAnsi="微软雅黑" w:eastAsia="微软雅黑" w:cs="微软雅黑"/>
                <w:color w:val="auto"/>
                <w:highlight w:val="none"/>
              </w:rPr>
            </w:pPr>
          </w:p>
          <w:p w14:paraId="629E0203">
            <w:pPr>
              <w:spacing w:before="99" w:line="192" w:lineRule="auto"/>
              <w:ind w:left="125"/>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8"/>
                <w:sz w:val="23"/>
                <w:szCs w:val="23"/>
                <w:highlight w:val="none"/>
                <w:lang w:val="en-US" w:eastAsia="zh-CN"/>
              </w:rPr>
              <w:t>标的</w:t>
            </w:r>
            <w:r>
              <w:rPr>
                <w:rFonts w:hint="eastAsia" w:ascii="微软雅黑" w:hAnsi="微软雅黑" w:eastAsia="微软雅黑" w:cs="微软雅黑"/>
                <w:color w:val="auto"/>
                <w:spacing w:val="8"/>
                <w:sz w:val="23"/>
                <w:szCs w:val="23"/>
                <w:highlight w:val="none"/>
              </w:rPr>
              <w:t>名称</w:t>
            </w:r>
          </w:p>
        </w:tc>
        <w:tc>
          <w:tcPr>
            <w:tcW w:w="748" w:type="dxa"/>
            <w:noWrap w:val="0"/>
            <w:vAlign w:val="top"/>
          </w:tcPr>
          <w:p w14:paraId="47E3D4C6">
            <w:pPr>
              <w:pStyle w:val="102"/>
              <w:spacing w:line="286" w:lineRule="auto"/>
              <w:jc w:val="center"/>
              <w:rPr>
                <w:rFonts w:hint="eastAsia" w:ascii="微软雅黑" w:hAnsi="微软雅黑" w:eastAsia="微软雅黑" w:cs="微软雅黑"/>
                <w:color w:val="auto"/>
                <w:highlight w:val="none"/>
              </w:rPr>
            </w:pPr>
          </w:p>
          <w:p w14:paraId="0CCF9E5E">
            <w:pPr>
              <w:spacing w:before="99" w:line="192" w:lineRule="auto"/>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2"/>
                <w:sz w:val="23"/>
                <w:szCs w:val="23"/>
                <w:highlight w:val="none"/>
              </w:rPr>
              <w:t>品牌</w:t>
            </w:r>
          </w:p>
        </w:tc>
        <w:tc>
          <w:tcPr>
            <w:tcW w:w="692" w:type="dxa"/>
            <w:noWrap w:val="0"/>
            <w:vAlign w:val="center"/>
          </w:tcPr>
          <w:p w14:paraId="115BAD08">
            <w:pPr>
              <w:spacing w:before="98" w:line="242" w:lineRule="auto"/>
              <w:ind w:right="156"/>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7"/>
                <w:sz w:val="23"/>
                <w:szCs w:val="23"/>
                <w:highlight w:val="none"/>
              </w:rPr>
              <w:t>型</w:t>
            </w:r>
            <w:r>
              <w:rPr>
                <w:rFonts w:hint="eastAsia" w:ascii="微软雅黑" w:hAnsi="微软雅黑" w:eastAsia="微软雅黑" w:cs="微软雅黑"/>
                <w:color w:val="auto"/>
                <w:spacing w:val="2"/>
                <w:sz w:val="23"/>
                <w:szCs w:val="23"/>
                <w:highlight w:val="none"/>
              </w:rPr>
              <w:t>号</w:t>
            </w:r>
          </w:p>
        </w:tc>
        <w:tc>
          <w:tcPr>
            <w:tcW w:w="856" w:type="dxa"/>
            <w:noWrap w:val="0"/>
            <w:vAlign w:val="center"/>
          </w:tcPr>
          <w:p w14:paraId="3BFD0CFB">
            <w:pPr>
              <w:spacing w:before="99" w:line="241" w:lineRule="auto"/>
              <w:ind w:right="153"/>
              <w:jc w:val="center"/>
              <w:rPr>
                <w:rFonts w:hint="eastAsia" w:ascii="微软雅黑" w:hAnsi="微软雅黑" w:eastAsia="微软雅黑" w:cs="微软雅黑"/>
                <w:color w:val="auto"/>
                <w:sz w:val="23"/>
                <w:szCs w:val="23"/>
                <w:highlight w:val="none"/>
                <w:lang w:val="en-US" w:eastAsia="zh-CN"/>
              </w:rPr>
            </w:pPr>
            <w:r>
              <w:rPr>
                <w:rFonts w:hint="eastAsia" w:ascii="微软雅黑" w:hAnsi="微软雅黑" w:eastAsia="微软雅黑" w:cs="微软雅黑"/>
                <w:color w:val="auto"/>
                <w:spacing w:val="7"/>
                <w:sz w:val="23"/>
                <w:szCs w:val="23"/>
                <w:highlight w:val="none"/>
              </w:rPr>
              <w:t>规格</w:t>
            </w:r>
          </w:p>
        </w:tc>
        <w:tc>
          <w:tcPr>
            <w:tcW w:w="938" w:type="dxa"/>
            <w:noWrap w:val="0"/>
            <w:vAlign w:val="center"/>
          </w:tcPr>
          <w:p w14:paraId="0DD1FBF0">
            <w:pPr>
              <w:spacing w:before="99" w:line="241" w:lineRule="auto"/>
              <w:ind w:right="153"/>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lang w:val="en-US" w:eastAsia="zh-CN"/>
              </w:rPr>
              <w:t>制造商名称</w:t>
            </w:r>
          </w:p>
        </w:tc>
        <w:tc>
          <w:tcPr>
            <w:tcW w:w="693" w:type="dxa"/>
            <w:noWrap w:val="0"/>
            <w:vAlign w:val="center"/>
          </w:tcPr>
          <w:p w14:paraId="54D48061">
            <w:pPr>
              <w:spacing w:before="99" w:line="192" w:lineRule="auto"/>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6"/>
                <w:sz w:val="23"/>
                <w:szCs w:val="23"/>
                <w:highlight w:val="none"/>
              </w:rPr>
              <w:t>产地</w:t>
            </w:r>
          </w:p>
        </w:tc>
        <w:tc>
          <w:tcPr>
            <w:tcW w:w="652" w:type="dxa"/>
            <w:noWrap w:val="0"/>
            <w:textDirection w:val="tbRlV"/>
            <w:vAlign w:val="top"/>
          </w:tcPr>
          <w:p w14:paraId="7913E517">
            <w:pPr>
              <w:spacing w:before="202" w:line="182" w:lineRule="auto"/>
              <w:ind w:left="474" w:leftChars="0" w:right="113"/>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11"/>
                <w:sz w:val="23"/>
                <w:szCs w:val="23"/>
                <w:highlight w:val="none"/>
              </w:rPr>
              <w:t>数量</w:t>
            </w:r>
          </w:p>
        </w:tc>
        <w:tc>
          <w:tcPr>
            <w:tcW w:w="706" w:type="dxa"/>
            <w:noWrap w:val="0"/>
            <w:textDirection w:val="tbRlV"/>
            <w:vAlign w:val="center"/>
          </w:tcPr>
          <w:p w14:paraId="0B1CECC6">
            <w:pPr>
              <w:spacing w:before="99" w:line="192" w:lineRule="auto"/>
              <w:ind w:left="156" w:leftChars="0" w:right="113"/>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5"/>
                <w:sz w:val="23"/>
                <w:szCs w:val="23"/>
                <w:highlight w:val="none"/>
              </w:rPr>
              <w:t>单位</w:t>
            </w:r>
          </w:p>
        </w:tc>
        <w:tc>
          <w:tcPr>
            <w:tcW w:w="625" w:type="dxa"/>
            <w:noWrap w:val="0"/>
            <w:textDirection w:val="tbRlV"/>
            <w:vAlign w:val="center"/>
          </w:tcPr>
          <w:p w14:paraId="2E6E8AF4">
            <w:pPr>
              <w:spacing w:before="98" w:line="192" w:lineRule="auto"/>
              <w:ind w:left="113" w:right="113"/>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5"/>
                <w:sz w:val="23"/>
                <w:szCs w:val="23"/>
                <w:highlight w:val="none"/>
              </w:rPr>
              <w:t>单价</w:t>
            </w:r>
          </w:p>
        </w:tc>
        <w:tc>
          <w:tcPr>
            <w:tcW w:w="666" w:type="dxa"/>
            <w:noWrap w:val="0"/>
            <w:textDirection w:val="tbRlV"/>
            <w:vAlign w:val="center"/>
          </w:tcPr>
          <w:p w14:paraId="50E08770">
            <w:pPr>
              <w:spacing w:before="98" w:line="192" w:lineRule="auto"/>
              <w:ind w:left="113" w:right="113"/>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7"/>
                <w:sz w:val="23"/>
                <w:szCs w:val="23"/>
                <w:highlight w:val="none"/>
              </w:rPr>
              <w:t>合价</w:t>
            </w:r>
          </w:p>
        </w:tc>
        <w:tc>
          <w:tcPr>
            <w:tcW w:w="584" w:type="dxa"/>
            <w:noWrap w:val="0"/>
            <w:textDirection w:val="tbRlV"/>
            <w:vAlign w:val="center"/>
          </w:tcPr>
          <w:p w14:paraId="3E833240">
            <w:pPr>
              <w:spacing w:before="98" w:line="193" w:lineRule="auto"/>
              <w:ind w:left="113" w:right="113"/>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4"/>
                <w:sz w:val="23"/>
                <w:szCs w:val="23"/>
                <w:highlight w:val="none"/>
              </w:rPr>
              <w:t>备注</w:t>
            </w:r>
          </w:p>
        </w:tc>
      </w:tr>
      <w:tr w14:paraId="3DC14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66" w:type="dxa"/>
            <w:vMerge w:val="restart"/>
            <w:tcBorders>
              <w:bottom w:val="nil"/>
            </w:tcBorders>
            <w:noWrap w:val="0"/>
            <w:vAlign w:val="top"/>
          </w:tcPr>
          <w:p w14:paraId="4C3C2E83">
            <w:pPr>
              <w:pStyle w:val="102"/>
              <w:spacing w:line="320" w:lineRule="auto"/>
              <w:rPr>
                <w:rFonts w:hint="eastAsia" w:ascii="微软雅黑" w:hAnsi="微软雅黑" w:eastAsia="微软雅黑" w:cs="微软雅黑"/>
                <w:color w:val="auto"/>
                <w:highlight w:val="none"/>
              </w:rPr>
            </w:pPr>
          </w:p>
          <w:p w14:paraId="540BB769">
            <w:pPr>
              <w:spacing w:before="99" w:line="191" w:lineRule="auto"/>
              <w:ind w:left="128"/>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7"/>
                <w:sz w:val="23"/>
                <w:szCs w:val="23"/>
                <w:highlight w:val="none"/>
              </w:rPr>
              <w:t>质保期</w:t>
            </w:r>
          </w:p>
          <w:p w14:paraId="7DD81D26">
            <w:pPr>
              <w:spacing w:before="86" w:line="192" w:lineRule="auto"/>
              <w:ind w:left="127"/>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7"/>
                <w:sz w:val="23"/>
                <w:szCs w:val="23"/>
                <w:highlight w:val="none"/>
              </w:rPr>
              <w:t>外设备</w:t>
            </w:r>
          </w:p>
          <w:p w14:paraId="50D912A0">
            <w:pPr>
              <w:spacing w:before="84" w:line="192" w:lineRule="auto"/>
              <w:ind w:left="247"/>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6"/>
                <w:sz w:val="23"/>
                <w:szCs w:val="23"/>
                <w:highlight w:val="none"/>
              </w:rPr>
              <w:t>报价</w:t>
            </w:r>
          </w:p>
        </w:tc>
        <w:tc>
          <w:tcPr>
            <w:tcW w:w="691" w:type="dxa"/>
            <w:noWrap w:val="0"/>
            <w:vAlign w:val="top"/>
          </w:tcPr>
          <w:p w14:paraId="224A5132">
            <w:pPr>
              <w:spacing w:before="192" w:line="189" w:lineRule="auto"/>
              <w:ind w:left="307"/>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1</w:t>
            </w:r>
          </w:p>
        </w:tc>
        <w:tc>
          <w:tcPr>
            <w:tcW w:w="971" w:type="dxa"/>
            <w:noWrap w:val="0"/>
            <w:vAlign w:val="top"/>
          </w:tcPr>
          <w:p w14:paraId="59A108C1">
            <w:pPr>
              <w:pStyle w:val="102"/>
              <w:rPr>
                <w:rFonts w:hint="eastAsia" w:ascii="微软雅黑" w:hAnsi="微软雅黑" w:eastAsia="微软雅黑" w:cs="微软雅黑"/>
                <w:color w:val="auto"/>
                <w:highlight w:val="none"/>
              </w:rPr>
            </w:pPr>
          </w:p>
        </w:tc>
        <w:tc>
          <w:tcPr>
            <w:tcW w:w="748" w:type="dxa"/>
            <w:noWrap w:val="0"/>
            <w:vAlign w:val="top"/>
          </w:tcPr>
          <w:p w14:paraId="6AECC536">
            <w:pPr>
              <w:pStyle w:val="102"/>
              <w:rPr>
                <w:rFonts w:hint="eastAsia" w:ascii="微软雅黑" w:hAnsi="微软雅黑" w:eastAsia="微软雅黑" w:cs="微软雅黑"/>
                <w:color w:val="auto"/>
                <w:highlight w:val="none"/>
              </w:rPr>
            </w:pPr>
          </w:p>
        </w:tc>
        <w:tc>
          <w:tcPr>
            <w:tcW w:w="692" w:type="dxa"/>
            <w:noWrap w:val="0"/>
            <w:vAlign w:val="top"/>
          </w:tcPr>
          <w:p w14:paraId="05B94356">
            <w:pPr>
              <w:pStyle w:val="102"/>
              <w:rPr>
                <w:rFonts w:hint="eastAsia" w:ascii="微软雅黑" w:hAnsi="微软雅黑" w:eastAsia="微软雅黑" w:cs="微软雅黑"/>
                <w:color w:val="auto"/>
                <w:highlight w:val="none"/>
              </w:rPr>
            </w:pPr>
          </w:p>
        </w:tc>
        <w:tc>
          <w:tcPr>
            <w:tcW w:w="856" w:type="dxa"/>
            <w:noWrap w:val="0"/>
            <w:vAlign w:val="top"/>
          </w:tcPr>
          <w:p w14:paraId="59C03BA5">
            <w:pPr>
              <w:pStyle w:val="102"/>
              <w:rPr>
                <w:rFonts w:hint="eastAsia" w:ascii="微软雅黑" w:hAnsi="微软雅黑" w:eastAsia="微软雅黑" w:cs="微软雅黑"/>
                <w:color w:val="auto"/>
                <w:highlight w:val="none"/>
              </w:rPr>
            </w:pPr>
          </w:p>
        </w:tc>
        <w:tc>
          <w:tcPr>
            <w:tcW w:w="938" w:type="dxa"/>
            <w:noWrap w:val="0"/>
            <w:vAlign w:val="top"/>
          </w:tcPr>
          <w:p w14:paraId="16542FF4">
            <w:pPr>
              <w:pStyle w:val="102"/>
              <w:rPr>
                <w:rFonts w:hint="eastAsia" w:ascii="微软雅黑" w:hAnsi="微软雅黑" w:eastAsia="微软雅黑" w:cs="微软雅黑"/>
                <w:color w:val="auto"/>
                <w:highlight w:val="none"/>
              </w:rPr>
            </w:pPr>
          </w:p>
        </w:tc>
        <w:tc>
          <w:tcPr>
            <w:tcW w:w="693" w:type="dxa"/>
            <w:noWrap w:val="0"/>
            <w:vAlign w:val="top"/>
          </w:tcPr>
          <w:p w14:paraId="45D082FF">
            <w:pPr>
              <w:pStyle w:val="102"/>
              <w:rPr>
                <w:rFonts w:hint="eastAsia" w:ascii="微软雅黑" w:hAnsi="微软雅黑" w:eastAsia="微软雅黑" w:cs="微软雅黑"/>
                <w:color w:val="auto"/>
                <w:highlight w:val="none"/>
              </w:rPr>
            </w:pPr>
          </w:p>
        </w:tc>
        <w:tc>
          <w:tcPr>
            <w:tcW w:w="652" w:type="dxa"/>
            <w:noWrap w:val="0"/>
            <w:vAlign w:val="top"/>
          </w:tcPr>
          <w:p w14:paraId="22AC0B55">
            <w:pPr>
              <w:pStyle w:val="102"/>
              <w:rPr>
                <w:rFonts w:hint="eastAsia" w:ascii="微软雅黑" w:hAnsi="微软雅黑" w:eastAsia="微软雅黑" w:cs="微软雅黑"/>
                <w:color w:val="auto"/>
                <w:highlight w:val="none"/>
              </w:rPr>
            </w:pPr>
          </w:p>
        </w:tc>
        <w:tc>
          <w:tcPr>
            <w:tcW w:w="706" w:type="dxa"/>
            <w:noWrap w:val="0"/>
            <w:vAlign w:val="top"/>
          </w:tcPr>
          <w:p w14:paraId="1CEDD9BA">
            <w:pPr>
              <w:pStyle w:val="102"/>
              <w:rPr>
                <w:rFonts w:hint="eastAsia" w:ascii="微软雅黑" w:hAnsi="微软雅黑" w:eastAsia="微软雅黑" w:cs="微软雅黑"/>
                <w:color w:val="auto"/>
                <w:highlight w:val="none"/>
              </w:rPr>
            </w:pPr>
          </w:p>
        </w:tc>
        <w:tc>
          <w:tcPr>
            <w:tcW w:w="625" w:type="dxa"/>
            <w:noWrap w:val="0"/>
            <w:vAlign w:val="top"/>
          </w:tcPr>
          <w:p w14:paraId="2F7AB884">
            <w:pPr>
              <w:pStyle w:val="102"/>
              <w:rPr>
                <w:rFonts w:hint="eastAsia" w:ascii="微软雅黑" w:hAnsi="微软雅黑" w:eastAsia="微软雅黑" w:cs="微软雅黑"/>
                <w:color w:val="auto"/>
                <w:highlight w:val="none"/>
              </w:rPr>
            </w:pPr>
          </w:p>
        </w:tc>
        <w:tc>
          <w:tcPr>
            <w:tcW w:w="666" w:type="dxa"/>
            <w:noWrap w:val="0"/>
            <w:vAlign w:val="top"/>
          </w:tcPr>
          <w:p w14:paraId="40389D39">
            <w:pPr>
              <w:pStyle w:val="102"/>
              <w:rPr>
                <w:rFonts w:hint="eastAsia" w:ascii="微软雅黑" w:hAnsi="微软雅黑" w:eastAsia="微软雅黑" w:cs="微软雅黑"/>
                <w:color w:val="auto"/>
                <w:highlight w:val="none"/>
              </w:rPr>
            </w:pPr>
          </w:p>
        </w:tc>
        <w:tc>
          <w:tcPr>
            <w:tcW w:w="584" w:type="dxa"/>
            <w:noWrap w:val="0"/>
            <w:vAlign w:val="top"/>
          </w:tcPr>
          <w:p w14:paraId="10D773E0">
            <w:pPr>
              <w:pStyle w:val="102"/>
              <w:rPr>
                <w:rFonts w:hint="eastAsia" w:ascii="微软雅黑" w:hAnsi="微软雅黑" w:eastAsia="微软雅黑" w:cs="微软雅黑"/>
                <w:color w:val="auto"/>
                <w:highlight w:val="none"/>
              </w:rPr>
            </w:pPr>
          </w:p>
        </w:tc>
      </w:tr>
      <w:tr w14:paraId="578EE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66" w:type="dxa"/>
            <w:vMerge w:val="continue"/>
            <w:tcBorders>
              <w:top w:val="nil"/>
              <w:bottom w:val="nil"/>
            </w:tcBorders>
            <w:noWrap w:val="0"/>
            <w:vAlign w:val="top"/>
          </w:tcPr>
          <w:p w14:paraId="6062276D">
            <w:pPr>
              <w:pStyle w:val="102"/>
              <w:rPr>
                <w:rFonts w:hint="eastAsia" w:ascii="微软雅黑" w:hAnsi="微软雅黑" w:eastAsia="微软雅黑" w:cs="微软雅黑"/>
                <w:color w:val="auto"/>
                <w:highlight w:val="none"/>
              </w:rPr>
            </w:pPr>
          </w:p>
        </w:tc>
        <w:tc>
          <w:tcPr>
            <w:tcW w:w="691" w:type="dxa"/>
            <w:noWrap w:val="0"/>
            <w:vAlign w:val="top"/>
          </w:tcPr>
          <w:p w14:paraId="1A841F9A">
            <w:pPr>
              <w:spacing w:before="195" w:line="188" w:lineRule="auto"/>
              <w:ind w:left="292"/>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2</w:t>
            </w:r>
          </w:p>
        </w:tc>
        <w:tc>
          <w:tcPr>
            <w:tcW w:w="971" w:type="dxa"/>
            <w:noWrap w:val="0"/>
            <w:vAlign w:val="top"/>
          </w:tcPr>
          <w:p w14:paraId="67C365B3">
            <w:pPr>
              <w:pStyle w:val="102"/>
              <w:rPr>
                <w:rFonts w:hint="eastAsia" w:ascii="微软雅黑" w:hAnsi="微软雅黑" w:eastAsia="微软雅黑" w:cs="微软雅黑"/>
                <w:color w:val="auto"/>
                <w:highlight w:val="none"/>
              </w:rPr>
            </w:pPr>
          </w:p>
        </w:tc>
        <w:tc>
          <w:tcPr>
            <w:tcW w:w="748" w:type="dxa"/>
            <w:noWrap w:val="0"/>
            <w:vAlign w:val="top"/>
          </w:tcPr>
          <w:p w14:paraId="050FA822">
            <w:pPr>
              <w:pStyle w:val="102"/>
              <w:rPr>
                <w:rFonts w:hint="eastAsia" w:ascii="微软雅黑" w:hAnsi="微软雅黑" w:eastAsia="微软雅黑" w:cs="微软雅黑"/>
                <w:color w:val="auto"/>
                <w:highlight w:val="none"/>
              </w:rPr>
            </w:pPr>
          </w:p>
        </w:tc>
        <w:tc>
          <w:tcPr>
            <w:tcW w:w="692" w:type="dxa"/>
            <w:noWrap w:val="0"/>
            <w:vAlign w:val="top"/>
          </w:tcPr>
          <w:p w14:paraId="3408627B">
            <w:pPr>
              <w:pStyle w:val="102"/>
              <w:rPr>
                <w:rFonts w:hint="eastAsia" w:ascii="微软雅黑" w:hAnsi="微软雅黑" w:eastAsia="微软雅黑" w:cs="微软雅黑"/>
                <w:color w:val="auto"/>
                <w:highlight w:val="none"/>
              </w:rPr>
            </w:pPr>
          </w:p>
        </w:tc>
        <w:tc>
          <w:tcPr>
            <w:tcW w:w="856" w:type="dxa"/>
            <w:noWrap w:val="0"/>
            <w:vAlign w:val="top"/>
          </w:tcPr>
          <w:p w14:paraId="00127E93">
            <w:pPr>
              <w:pStyle w:val="102"/>
              <w:rPr>
                <w:rFonts w:hint="eastAsia" w:ascii="微软雅黑" w:hAnsi="微软雅黑" w:eastAsia="微软雅黑" w:cs="微软雅黑"/>
                <w:color w:val="auto"/>
                <w:highlight w:val="none"/>
              </w:rPr>
            </w:pPr>
          </w:p>
        </w:tc>
        <w:tc>
          <w:tcPr>
            <w:tcW w:w="938" w:type="dxa"/>
            <w:noWrap w:val="0"/>
            <w:vAlign w:val="top"/>
          </w:tcPr>
          <w:p w14:paraId="3B822D81">
            <w:pPr>
              <w:pStyle w:val="102"/>
              <w:rPr>
                <w:rFonts w:hint="eastAsia" w:ascii="微软雅黑" w:hAnsi="微软雅黑" w:eastAsia="微软雅黑" w:cs="微软雅黑"/>
                <w:color w:val="auto"/>
                <w:highlight w:val="none"/>
              </w:rPr>
            </w:pPr>
          </w:p>
        </w:tc>
        <w:tc>
          <w:tcPr>
            <w:tcW w:w="693" w:type="dxa"/>
            <w:noWrap w:val="0"/>
            <w:vAlign w:val="top"/>
          </w:tcPr>
          <w:p w14:paraId="4AA0D0CD">
            <w:pPr>
              <w:pStyle w:val="102"/>
              <w:rPr>
                <w:rFonts w:hint="eastAsia" w:ascii="微软雅黑" w:hAnsi="微软雅黑" w:eastAsia="微软雅黑" w:cs="微软雅黑"/>
                <w:color w:val="auto"/>
                <w:highlight w:val="none"/>
              </w:rPr>
            </w:pPr>
          </w:p>
        </w:tc>
        <w:tc>
          <w:tcPr>
            <w:tcW w:w="652" w:type="dxa"/>
            <w:noWrap w:val="0"/>
            <w:vAlign w:val="top"/>
          </w:tcPr>
          <w:p w14:paraId="14E0AF94">
            <w:pPr>
              <w:pStyle w:val="102"/>
              <w:rPr>
                <w:rFonts w:hint="eastAsia" w:ascii="微软雅黑" w:hAnsi="微软雅黑" w:eastAsia="微软雅黑" w:cs="微软雅黑"/>
                <w:color w:val="auto"/>
                <w:highlight w:val="none"/>
              </w:rPr>
            </w:pPr>
          </w:p>
        </w:tc>
        <w:tc>
          <w:tcPr>
            <w:tcW w:w="706" w:type="dxa"/>
            <w:noWrap w:val="0"/>
            <w:vAlign w:val="top"/>
          </w:tcPr>
          <w:p w14:paraId="3CD0A927">
            <w:pPr>
              <w:pStyle w:val="102"/>
              <w:rPr>
                <w:rFonts w:hint="eastAsia" w:ascii="微软雅黑" w:hAnsi="微软雅黑" w:eastAsia="微软雅黑" w:cs="微软雅黑"/>
                <w:color w:val="auto"/>
                <w:highlight w:val="none"/>
              </w:rPr>
            </w:pPr>
          </w:p>
        </w:tc>
        <w:tc>
          <w:tcPr>
            <w:tcW w:w="625" w:type="dxa"/>
            <w:noWrap w:val="0"/>
            <w:vAlign w:val="top"/>
          </w:tcPr>
          <w:p w14:paraId="7AF89CE6">
            <w:pPr>
              <w:pStyle w:val="102"/>
              <w:rPr>
                <w:rFonts w:hint="eastAsia" w:ascii="微软雅黑" w:hAnsi="微软雅黑" w:eastAsia="微软雅黑" w:cs="微软雅黑"/>
                <w:color w:val="auto"/>
                <w:highlight w:val="none"/>
              </w:rPr>
            </w:pPr>
          </w:p>
        </w:tc>
        <w:tc>
          <w:tcPr>
            <w:tcW w:w="666" w:type="dxa"/>
            <w:noWrap w:val="0"/>
            <w:vAlign w:val="top"/>
          </w:tcPr>
          <w:p w14:paraId="1D4085BF">
            <w:pPr>
              <w:pStyle w:val="102"/>
              <w:rPr>
                <w:rFonts w:hint="eastAsia" w:ascii="微软雅黑" w:hAnsi="微软雅黑" w:eastAsia="微软雅黑" w:cs="微软雅黑"/>
                <w:color w:val="auto"/>
                <w:highlight w:val="none"/>
              </w:rPr>
            </w:pPr>
          </w:p>
        </w:tc>
        <w:tc>
          <w:tcPr>
            <w:tcW w:w="584" w:type="dxa"/>
            <w:noWrap w:val="0"/>
            <w:vAlign w:val="top"/>
          </w:tcPr>
          <w:p w14:paraId="507A7FA8">
            <w:pPr>
              <w:pStyle w:val="102"/>
              <w:rPr>
                <w:rFonts w:hint="eastAsia" w:ascii="微软雅黑" w:hAnsi="微软雅黑" w:eastAsia="微软雅黑" w:cs="微软雅黑"/>
                <w:color w:val="auto"/>
                <w:highlight w:val="none"/>
              </w:rPr>
            </w:pPr>
          </w:p>
        </w:tc>
      </w:tr>
      <w:tr w14:paraId="7DC56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66" w:type="dxa"/>
            <w:vMerge w:val="continue"/>
            <w:tcBorders>
              <w:top w:val="nil"/>
              <w:bottom w:val="nil"/>
            </w:tcBorders>
            <w:noWrap w:val="0"/>
            <w:vAlign w:val="top"/>
          </w:tcPr>
          <w:p w14:paraId="2A0EBDCD">
            <w:pPr>
              <w:pStyle w:val="102"/>
              <w:rPr>
                <w:rFonts w:hint="eastAsia" w:ascii="微软雅黑" w:hAnsi="微软雅黑" w:eastAsia="微软雅黑" w:cs="微软雅黑"/>
                <w:color w:val="auto"/>
                <w:highlight w:val="none"/>
              </w:rPr>
            </w:pPr>
          </w:p>
        </w:tc>
        <w:tc>
          <w:tcPr>
            <w:tcW w:w="691" w:type="dxa"/>
            <w:noWrap w:val="0"/>
            <w:vAlign w:val="top"/>
          </w:tcPr>
          <w:p w14:paraId="06D87CCA">
            <w:pPr>
              <w:spacing w:before="195" w:line="188" w:lineRule="auto"/>
              <w:ind w:left="292"/>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3</w:t>
            </w:r>
          </w:p>
        </w:tc>
        <w:tc>
          <w:tcPr>
            <w:tcW w:w="971" w:type="dxa"/>
            <w:noWrap w:val="0"/>
            <w:vAlign w:val="top"/>
          </w:tcPr>
          <w:p w14:paraId="21CBD425">
            <w:pPr>
              <w:pStyle w:val="102"/>
              <w:rPr>
                <w:rFonts w:hint="eastAsia" w:ascii="微软雅黑" w:hAnsi="微软雅黑" w:eastAsia="微软雅黑" w:cs="微软雅黑"/>
                <w:color w:val="auto"/>
                <w:highlight w:val="none"/>
              </w:rPr>
            </w:pPr>
          </w:p>
        </w:tc>
        <w:tc>
          <w:tcPr>
            <w:tcW w:w="748" w:type="dxa"/>
            <w:noWrap w:val="0"/>
            <w:vAlign w:val="top"/>
          </w:tcPr>
          <w:p w14:paraId="06324EC1">
            <w:pPr>
              <w:pStyle w:val="102"/>
              <w:rPr>
                <w:rFonts w:hint="eastAsia" w:ascii="微软雅黑" w:hAnsi="微软雅黑" w:eastAsia="微软雅黑" w:cs="微软雅黑"/>
                <w:color w:val="auto"/>
                <w:highlight w:val="none"/>
              </w:rPr>
            </w:pPr>
          </w:p>
        </w:tc>
        <w:tc>
          <w:tcPr>
            <w:tcW w:w="692" w:type="dxa"/>
            <w:noWrap w:val="0"/>
            <w:vAlign w:val="top"/>
          </w:tcPr>
          <w:p w14:paraId="43BE0E0D">
            <w:pPr>
              <w:pStyle w:val="102"/>
              <w:rPr>
                <w:rFonts w:hint="eastAsia" w:ascii="微软雅黑" w:hAnsi="微软雅黑" w:eastAsia="微软雅黑" w:cs="微软雅黑"/>
                <w:color w:val="auto"/>
                <w:highlight w:val="none"/>
              </w:rPr>
            </w:pPr>
          </w:p>
        </w:tc>
        <w:tc>
          <w:tcPr>
            <w:tcW w:w="856" w:type="dxa"/>
            <w:noWrap w:val="0"/>
            <w:vAlign w:val="top"/>
          </w:tcPr>
          <w:p w14:paraId="4D077286">
            <w:pPr>
              <w:pStyle w:val="102"/>
              <w:rPr>
                <w:rFonts w:hint="eastAsia" w:ascii="微软雅黑" w:hAnsi="微软雅黑" w:eastAsia="微软雅黑" w:cs="微软雅黑"/>
                <w:color w:val="auto"/>
                <w:highlight w:val="none"/>
              </w:rPr>
            </w:pPr>
          </w:p>
        </w:tc>
        <w:tc>
          <w:tcPr>
            <w:tcW w:w="938" w:type="dxa"/>
            <w:noWrap w:val="0"/>
            <w:vAlign w:val="top"/>
          </w:tcPr>
          <w:p w14:paraId="0449F9CF">
            <w:pPr>
              <w:pStyle w:val="102"/>
              <w:rPr>
                <w:rFonts w:hint="eastAsia" w:ascii="微软雅黑" w:hAnsi="微软雅黑" w:eastAsia="微软雅黑" w:cs="微软雅黑"/>
                <w:color w:val="auto"/>
                <w:highlight w:val="none"/>
              </w:rPr>
            </w:pPr>
          </w:p>
        </w:tc>
        <w:tc>
          <w:tcPr>
            <w:tcW w:w="693" w:type="dxa"/>
            <w:noWrap w:val="0"/>
            <w:vAlign w:val="top"/>
          </w:tcPr>
          <w:p w14:paraId="22F67E9C">
            <w:pPr>
              <w:pStyle w:val="102"/>
              <w:rPr>
                <w:rFonts w:hint="eastAsia" w:ascii="微软雅黑" w:hAnsi="微软雅黑" w:eastAsia="微软雅黑" w:cs="微软雅黑"/>
                <w:color w:val="auto"/>
                <w:highlight w:val="none"/>
              </w:rPr>
            </w:pPr>
          </w:p>
        </w:tc>
        <w:tc>
          <w:tcPr>
            <w:tcW w:w="652" w:type="dxa"/>
            <w:noWrap w:val="0"/>
            <w:vAlign w:val="top"/>
          </w:tcPr>
          <w:p w14:paraId="5094B12C">
            <w:pPr>
              <w:pStyle w:val="102"/>
              <w:rPr>
                <w:rFonts w:hint="eastAsia" w:ascii="微软雅黑" w:hAnsi="微软雅黑" w:eastAsia="微软雅黑" w:cs="微软雅黑"/>
                <w:color w:val="auto"/>
                <w:highlight w:val="none"/>
              </w:rPr>
            </w:pPr>
          </w:p>
        </w:tc>
        <w:tc>
          <w:tcPr>
            <w:tcW w:w="706" w:type="dxa"/>
            <w:noWrap w:val="0"/>
            <w:vAlign w:val="top"/>
          </w:tcPr>
          <w:p w14:paraId="0EACAD92">
            <w:pPr>
              <w:pStyle w:val="102"/>
              <w:rPr>
                <w:rFonts w:hint="eastAsia" w:ascii="微软雅黑" w:hAnsi="微软雅黑" w:eastAsia="微软雅黑" w:cs="微软雅黑"/>
                <w:color w:val="auto"/>
                <w:highlight w:val="none"/>
              </w:rPr>
            </w:pPr>
          </w:p>
        </w:tc>
        <w:tc>
          <w:tcPr>
            <w:tcW w:w="625" w:type="dxa"/>
            <w:noWrap w:val="0"/>
            <w:vAlign w:val="top"/>
          </w:tcPr>
          <w:p w14:paraId="50917163">
            <w:pPr>
              <w:pStyle w:val="102"/>
              <w:rPr>
                <w:rFonts w:hint="eastAsia" w:ascii="微软雅黑" w:hAnsi="微软雅黑" w:eastAsia="微软雅黑" w:cs="微软雅黑"/>
                <w:color w:val="auto"/>
                <w:highlight w:val="none"/>
              </w:rPr>
            </w:pPr>
          </w:p>
        </w:tc>
        <w:tc>
          <w:tcPr>
            <w:tcW w:w="666" w:type="dxa"/>
            <w:noWrap w:val="0"/>
            <w:vAlign w:val="top"/>
          </w:tcPr>
          <w:p w14:paraId="67F7B278">
            <w:pPr>
              <w:pStyle w:val="102"/>
              <w:rPr>
                <w:rFonts w:hint="eastAsia" w:ascii="微软雅黑" w:hAnsi="微软雅黑" w:eastAsia="微软雅黑" w:cs="微软雅黑"/>
                <w:color w:val="auto"/>
                <w:highlight w:val="none"/>
              </w:rPr>
            </w:pPr>
          </w:p>
        </w:tc>
        <w:tc>
          <w:tcPr>
            <w:tcW w:w="584" w:type="dxa"/>
            <w:noWrap w:val="0"/>
            <w:vAlign w:val="top"/>
          </w:tcPr>
          <w:p w14:paraId="491B1759">
            <w:pPr>
              <w:pStyle w:val="102"/>
              <w:rPr>
                <w:rFonts w:hint="eastAsia" w:ascii="微软雅黑" w:hAnsi="微软雅黑" w:eastAsia="微软雅黑" w:cs="微软雅黑"/>
                <w:color w:val="auto"/>
                <w:highlight w:val="none"/>
              </w:rPr>
            </w:pPr>
          </w:p>
        </w:tc>
      </w:tr>
      <w:tr w14:paraId="5FAAE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66" w:type="dxa"/>
            <w:vMerge w:val="continue"/>
            <w:tcBorders>
              <w:top w:val="nil"/>
            </w:tcBorders>
            <w:noWrap w:val="0"/>
            <w:vAlign w:val="top"/>
          </w:tcPr>
          <w:p w14:paraId="63623FCC">
            <w:pPr>
              <w:pStyle w:val="102"/>
              <w:rPr>
                <w:rFonts w:hint="eastAsia" w:ascii="微软雅黑" w:hAnsi="微软雅黑" w:eastAsia="微软雅黑" w:cs="微软雅黑"/>
                <w:color w:val="auto"/>
                <w:highlight w:val="none"/>
              </w:rPr>
            </w:pPr>
          </w:p>
        </w:tc>
        <w:tc>
          <w:tcPr>
            <w:tcW w:w="691" w:type="dxa"/>
            <w:noWrap w:val="0"/>
            <w:vAlign w:val="top"/>
          </w:tcPr>
          <w:p w14:paraId="6B26BFEB">
            <w:pPr>
              <w:spacing w:before="195" w:line="188" w:lineRule="auto"/>
              <w:ind w:left="292"/>
              <w:rPr>
                <w:rFonts w:hint="eastAsia" w:ascii="微软雅黑" w:hAnsi="微软雅黑" w:eastAsia="微软雅黑" w:cs="微软雅黑"/>
                <w:color w:val="auto"/>
                <w:sz w:val="23"/>
                <w:szCs w:val="23"/>
                <w:highlight w:val="none"/>
                <w:lang w:val="en-US" w:eastAsia="zh-CN"/>
              </w:rPr>
            </w:pPr>
            <w:r>
              <w:rPr>
                <w:rFonts w:hint="eastAsia" w:ascii="微软雅黑" w:hAnsi="微软雅黑" w:eastAsia="微软雅黑" w:cs="微软雅黑"/>
                <w:color w:val="auto"/>
                <w:sz w:val="23"/>
                <w:szCs w:val="23"/>
                <w:highlight w:val="none"/>
                <w:lang w:val="en-US" w:eastAsia="zh-CN"/>
              </w:rPr>
              <w:t>4</w:t>
            </w:r>
          </w:p>
        </w:tc>
        <w:tc>
          <w:tcPr>
            <w:tcW w:w="971" w:type="dxa"/>
            <w:noWrap w:val="0"/>
            <w:vAlign w:val="center"/>
          </w:tcPr>
          <w:p w14:paraId="053EE8F1">
            <w:pPr>
              <w:pStyle w:val="102"/>
              <w:spacing w:before="66" w:line="73" w:lineRule="exact"/>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position w:val="1"/>
                <w:sz w:val="23"/>
                <w:szCs w:val="23"/>
                <w:highlight w:val="none"/>
              </w:rPr>
              <w:t>…</w:t>
            </w:r>
          </w:p>
        </w:tc>
        <w:tc>
          <w:tcPr>
            <w:tcW w:w="748" w:type="dxa"/>
            <w:noWrap w:val="0"/>
            <w:vAlign w:val="top"/>
          </w:tcPr>
          <w:p w14:paraId="518BA379">
            <w:pPr>
              <w:pStyle w:val="102"/>
              <w:rPr>
                <w:rFonts w:hint="eastAsia" w:ascii="微软雅黑" w:hAnsi="微软雅黑" w:eastAsia="微软雅黑" w:cs="微软雅黑"/>
                <w:color w:val="auto"/>
                <w:highlight w:val="none"/>
              </w:rPr>
            </w:pPr>
          </w:p>
        </w:tc>
        <w:tc>
          <w:tcPr>
            <w:tcW w:w="692" w:type="dxa"/>
            <w:noWrap w:val="0"/>
            <w:vAlign w:val="top"/>
          </w:tcPr>
          <w:p w14:paraId="3097B91D">
            <w:pPr>
              <w:pStyle w:val="102"/>
              <w:rPr>
                <w:rFonts w:hint="eastAsia" w:ascii="微软雅黑" w:hAnsi="微软雅黑" w:eastAsia="微软雅黑" w:cs="微软雅黑"/>
                <w:color w:val="auto"/>
                <w:highlight w:val="none"/>
              </w:rPr>
            </w:pPr>
          </w:p>
        </w:tc>
        <w:tc>
          <w:tcPr>
            <w:tcW w:w="856" w:type="dxa"/>
            <w:noWrap w:val="0"/>
            <w:vAlign w:val="top"/>
          </w:tcPr>
          <w:p w14:paraId="23EEA84E">
            <w:pPr>
              <w:pStyle w:val="102"/>
              <w:rPr>
                <w:rFonts w:hint="eastAsia" w:ascii="微软雅黑" w:hAnsi="微软雅黑" w:eastAsia="微软雅黑" w:cs="微软雅黑"/>
                <w:color w:val="auto"/>
                <w:highlight w:val="none"/>
              </w:rPr>
            </w:pPr>
          </w:p>
        </w:tc>
        <w:tc>
          <w:tcPr>
            <w:tcW w:w="938" w:type="dxa"/>
            <w:noWrap w:val="0"/>
            <w:vAlign w:val="top"/>
          </w:tcPr>
          <w:p w14:paraId="3FB05CE4">
            <w:pPr>
              <w:pStyle w:val="102"/>
              <w:rPr>
                <w:rFonts w:hint="eastAsia" w:ascii="微软雅黑" w:hAnsi="微软雅黑" w:eastAsia="微软雅黑" w:cs="微软雅黑"/>
                <w:color w:val="auto"/>
                <w:highlight w:val="none"/>
              </w:rPr>
            </w:pPr>
          </w:p>
        </w:tc>
        <w:tc>
          <w:tcPr>
            <w:tcW w:w="693" w:type="dxa"/>
            <w:noWrap w:val="0"/>
            <w:vAlign w:val="top"/>
          </w:tcPr>
          <w:p w14:paraId="377F666F">
            <w:pPr>
              <w:pStyle w:val="102"/>
              <w:rPr>
                <w:rFonts w:hint="eastAsia" w:ascii="微软雅黑" w:hAnsi="微软雅黑" w:eastAsia="微软雅黑" w:cs="微软雅黑"/>
                <w:color w:val="auto"/>
                <w:highlight w:val="none"/>
              </w:rPr>
            </w:pPr>
          </w:p>
        </w:tc>
        <w:tc>
          <w:tcPr>
            <w:tcW w:w="652" w:type="dxa"/>
            <w:noWrap w:val="0"/>
            <w:vAlign w:val="top"/>
          </w:tcPr>
          <w:p w14:paraId="7AF66655">
            <w:pPr>
              <w:pStyle w:val="102"/>
              <w:rPr>
                <w:rFonts w:hint="eastAsia" w:ascii="微软雅黑" w:hAnsi="微软雅黑" w:eastAsia="微软雅黑" w:cs="微软雅黑"/>
                <w:color w:val="auto"/>
                <w:highlight w:val="none"/>
              </w:rPr>
            </w:pPr>
          </w:p>
        </w:tc>
        <w:tc>
          <w:tcPr>
            <w:tcW w:w="706" w:type="dxa"/>
            <w:noWrap w:val="0"/>
            <w:vAlign w:val="top"/>
          </w:tcPr>
          <w:p w14:paraId="560B63E6">
            <w:pPr>
              <w:pStyle w:val="102"/>
              <w:rPr>
                <w:rFonts w:hint="eastAsia" w:ascii="微软雅黑" w:hAnsi="微软雅黑" w:eastAsia="微软雅黑" w:cs="微软雅黑"/>
                <w:color w:val="auto"/>
                <w:highlight w:val="none"/>
              </w:rPr>
            </w:pPr>
          </w:p>
        </w:tc>
        <w:tc>
          <w:tcPr>
            <w:tcW w:w="625" w:type="dxa"/>
            <w:noWrap w:val="0"/>
            <w:vAlign w:val="top"/>
          </w:tcPr>
          <w:p w14:paraId="01C5ED6A">
            <w:pPr>
              <w:pStyle w:val="102"/>
              <w:rPr>
                <w:rFonts w:hint="eastAsia" w:ascii="微软雅黑" w:hAnsi="微软雅黑" w:eastAsia="微软雅黑" w:cs="微软雅黑"/>
                <w:color w:val="auto"/>
                <w:highlight w:val="none"/>
              </w:rPr>
            </w:pPr>
          </w:p>
        </w:tc>
        <w:tc>
          <w:tcPr>
            <w:tcW w:w="666" w:type="dxa"/>
            <w:noWrap w:val="0"/>
            <w:vAlign w:val="top"/>
          </w:tcPr>
          <w:p w14:paraId="4D9E2BC3">
            <w:pPr>
              <w:pStyle w:val="102"/>
              <w:rPr>
                <w:rFonts w:hint="eastAsia" w:ascii="微软雅黑" w:hAnsi="微软雅黑" w:eastAsia="微软雅黑" w:cs="微软雅黑"/>
                <w:color w:val="auto"/>
                <w:highlight w:val="none"/>
              </w:rPr>
            </w:pPr>
          </w:p>
        </w:tc>
        <w:tc>
          <w:tcPr>
            <w:tcW w:w="584" w:type="dxa"/>
            <w:noWrap w:val="0"/>
            <w:vAlign w:val="top"/>
          </w:tcPr>
          <w:p w14:paraId="20109CEA">
            <w:pPr>
              <w:pStyle w:val="102"/>
              <w:rPr>
                <w:rFonts w:hint="eastAsia" w:ascii="微软雅黑" w:hAnsi="微软雅黑" w:eastAsia="微软雅黑" w:cs="微软雅黑"/>
                <w:color w:val="auto"/>
                <w:highlight w:val="none"/>
              </w:rPr>
            </w:pPr>
          </w:p>
        </w:tc>
      </w:tr>
      <w:tr w14:paraId="34B98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66" w:type="dxa"/>
            <w:vMerge w:val="restart"/>
            <w:tcBorders>
              <w:bottom w:val="nil"/>
            </w:tcBorders>
            <w:noWrap w:val="0"/>
            <w:vAlign w:val="top"/>
          </w:tcPr>
          <w:p w14:paraId="52B51CA6">
            <w:pPr>
              <w:spacing w:before="99" w:line="242" w:lineRule="auto"/>
              <w:ind w:right="120"/>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7"/>
                <w:sz w:val="23"/>
                <w:szCs w:val="23"/>
                <w:highlight w:val="none"/>
              </w:rPr>
              <w:t>质保期内免费 设备</w:t>
            </w:r>
          </w:p>
        </w:tc>
        <w:tc>
          <w:tcPr>
            <w:tcW w:w="691" w:type="dxa"/>
            <w:noWrap w:val="0"/>
            <w:vAlign w:val="top"/>
          </w:tcPr>
          <w:p w14:paraId="5F923914">
            <w:pPr>
              <w:spacing w:before="198" w:line="187" w:lineRule="auto"/>
              <w:ind w:left="294"/>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5</w:t>
            </w:r>
          </w:p>
        </w:tc>
        <w:tc>
          <w:tcPr>
            <w:tcW w:w="971" w:type="dxa"/>
            <w:noWrap w:val="0"/>
            <w:vAlign w:val="top"/>
          </w:tcPr>
          <w:p w14:paraId="4B46BD95">
            <w:pPr>
              <w:pStyle w:val="102"/>
              <w:rPr>
                <w:rFonts w:hint="eastAsia" w:ascii="微软雅黑" w:hAnsi="微软雅黑" w:eastAsia="微软雅黑" w:cs="微软雅黑"/>
                <w:color w:val="auto"/>
                <w:highlight w:val="none"/>
              </w:rPr>
            </w:pPr>
          </w:p>
        </w:tc>
        <w:tc>
          <w:tcPr>
            <w:tcW w:w="748" w:type="dxa"/>
            <w:noWrap w:val="0"/>
            <w:vAlign w:val="top"/>
          </w:tcPr>
          <w:p w14:paraId="0E0112C6">
            <w:pPr>
              <w:pStyle w:val="102"/>
              <w:rPr>
                <w:rFonts w:hint="eastAsia" w:ascii="微软雅黑" w:hAnsi="微软雅黑" w:eastAsia="微软雅黑" w:cs="微软雅黑"/>
                <w:color w:val="auto"/>
                <w:highlight w:val="none"/>
              </w:rPr>
            </w:pPr>
          </w:p>
        </w:tc>
        <w:tc>
          <w:tcPr>
            <w:tcW w:w="692" w:type="dxa"/>
            <w:noWrap w:val="0"/>
            <w:vAlign w:val="top"/>
          </w:tcPr>
          <w:p w14:paraId="4B001A23">
            <w:pPr>
              <w:pStyle w:val="102"/>
              <w:rPr>
                <w:rFonts w:hint="eastAsia" w:ascii="微软雅黑" w:hAnsi="微软雅黑" w:eastAsia="微软雅黑" w:cs="微软雅黑"/>
                <w:color w:val="auto"/>
                <w:highlight w:val="none"/>
              </w:rPr>
            </w:pPr>
          </w:p>
        </w:tc>
        <w:tc>
          <w:tcPr>
            <w:tcW w:w="856" w:type="dxa"/>
            <w:noWrap w:val="0"/>
            <w:vAlign w:val="top"/>
          </w:tcPr>
          <w:p w14:paraId="5E832558">
            <w:pPr>
              <w:pStyle w:val="102"/>
              <w:rPr>
                <w:rFonts w:hint="eastAsia" w:ascii="微软雅黑" w:hAnsi="微软雅黑" w:eastAsia="微软雅黑" w:cs="微软雅黑"/>
                <w:color w:val="auto"/>
                <w:highlight w:val="none"/>
              </w:rPr>
            </w:pPr>
          </w:p>
        </w:tc>
        <w:tc>
          <w:tcPr>
            <w:tcW w:w="938" w:type="dxa"/>
            <w:noWrap w:val="0"/>
            <w:vAlign w:val="top"/>
          </w:tcPr>
          <w:p w14:paraId="3FA5720D">
            <w:pPr>
              <w:pStyle w:val="102"/>
              <w:rPr>
                <w:rFonts w:hint="eastAsia" w:ascii="微软雅黑" w:hAnsi="微软雅黑" w:eastAsia="微软雅黑" w:cs="微软雅黑"/>
                <w:color w:val="auto"/>
                <w:highlight w:val="none"/>
              </w:rPr>
            </w:pPr>
          </w:p>
        </w:tc>
        <w:tc>
          <w:tcPr>
            <w:tcW w:w="693" w:type="dxa"/>
            <w:noWrap w:val="0"/>
            <w:vAlign w:val="top"/>
          </w:tcPr>
          <w:p w14:paraId="7F1DE751">
            <w:pPr>
              <w:pStyle w:val="102"/>
              <w:rPr>
                <w:rFonts w:hint="eastAsia" w:ascii="微软雅黑" w:hAnsi="微软雅黑" w:eastAsia="微软雅黑" w:cs="微软雅黑"/>
                <w:color w:val="auto"/>
                <w:highlight w:val="none"/>
              </w:rPr>
            </w:pPr>
          </w:p>
        </w:tc>
        <w:tc>
          <w:tcPr>
            <w:tcW w:w="652" w:type="dxa"/>
            <w:noWrap w:val="0"/>
            <w:vAlign w:val="top"/>
          </w:tcPr>
          <w:p w14:paraId="52273E52">
            <w:pPr>
              <w:pStyle w:val="102"/>
              <w:rPr>
                <w:rFonts w:hint="eastAsia" w:ascii="微软雅黑" w:hAnsi="微软雅黑" w:eastAsia="微软雅黑" w:cs="微软雅黑"/>
                <w:color w:val="auto"/>
                <w:highlight w:val="none"/>
              </w:rPr>
            </w:pPr>
          </w:p>
        </w:tc>
        <w:tc>
          <w:tcPr>
            <w:tcW w:w="706" w:type="dxa"/>
            <w:noWrap w:val="0"/>
            <w:vAlign w:val="top"/>
          </w:tcPr>
          <w:p w14:paraId="795994D5">
            <w:pPr>
              <w:pStyle w:val="102"/>
              <w:rPr>
                <w:rFonts w:hint="eastAsia" w:ascii="微软雅黑" w:hAnsi="微软雅黑" w:eastAsia="微软雅黑" w:cs="微软雅黑"/>
                <w:color w:val="auto"/>
                <w:highlight w:val="none"/>
              </w:rPr>
            </w:pPr>
          </w:p>
        </w:tc>
        <w:tc>
          <w:tcPr>
            <w:tcW w:w="625" w:type="dxa"/>
            <w:noWrap w:val="0"/>
            <w:vAlign w:val="top"/>
          </w:tcPr>
          <w:p w14:paraId="7904D28B">
            <w:pPr>
              <w:pStyle w:val="102"/>
              <w:rPr>
                <w:rFonts w:hint="eastAsia" w:ascii="微软雅黑" w:hAnsi="微软雅黑" w:eastAsia="微软雅黑" w:cs="微软雅黑"/>
                <w:color w:val="auto"/>
                <w:highlight w:val="none"/>
              </w:rPr>
            </w:pPr>
          </w:p>
        </w:tc>
        <w:tc>
          <w:tcPr>
            <w:tcW w:w="666" w:type="dxa"/>
            <w:noWrap w:val="0"/>
            <w:vAlign w:val="top"/>
          </w:tcPr>
          <w:p w14:paraId="56AA3A5E">
            <w:pPr>
              <w:pStyle w:val="102"/>
              <w:rPr>
                <w:rFonts w:hint="eastAsia" w:ascii="微软雅黑" w:hAnsi="微软雅黑" w:eastAsia="微软雅黑" w:cs="微软雅黑"/>
                <w:color w:val="auto"/>
                <w:highlight w:val="none"/>
              </w:rPr>
            </w:pPr>
          </w:p>
        </w:tc>
        <w:tc>
          <w:tcPr>
            <w:tcW w:w="584" w:type="dxa"/>
            <w:noWrap w:val="0"/>
            <w:vAlign w:val="top"/>
          </w:tcPr>
          <w:p w14:paraId="776B4161">
            <w:pPr>
              <w:pStyle w:val="102"/>
              <w:rPr>
                <w:rFonts w:hint="eastAsia" w:ascii="微软雅黑" w:hAnsi="微软雅黑" w:eastAsia="微软雅黑" w:cs="微软雅黑"/>
                <w:color w:val="auto"/>
                <w:highlight w:val="none"/>
              </w:rPr>
            </w:pPr>
          </w:p>
        </w:tc>
      </w:tr>
      <w:tr w14:paraId="74E81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66" w:type="dxa"/>
            <w:vMerge w:val="continue"/>
            <w:tcBorders>
              <w:top w:val="nil"/>
              <w:bottom w:val="nil"/>
            </w:tcBorders>
            <w:noWrap w:val="0"/>
            <w:vAlign w:val="top"/>
          </w:tcPr>
          <w:p w14:paraId="1D8A4004">
            <w:pPr>
              <w:pStyle w:val="102"/>
              <w:rPr>
                <w:rFonts w:hint="eastAsia" w:ascii="微软雅黑" w:hAnsi="微软雅黑" w:eastAsia="微软雅黑" w:cs="微软雅黑"/>
                <w:color w:val="auto"/>
                <w:highlight w:val="none"/>
              </w:rPr>
            </w:pPr>
          </w:p>
        </w:tc>
        <w:tc>
          <w:tcPr>
            <w:tcW w:w="691" w:type="dxa"/>
            <w:noWrap w:val="0"/>
            <w:vAlign w:val="top"/>
          </w:tcPr>
          <w:p w14:paraId="49561012">
            <w:pPr>
              <w:spacing w:before="195" w:line="189" w:lineRule="auto"/>
              <w:ind w:left="291"/>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6</w:t>
            </w:r>
          </w:p>
        </w:tc>
        <w:tc>
          <w:tcPr>
            <w:tcW w:w="971" w:type="dxa"/>
            <w:noWrap w:val="0"/>
            <w:vAlign w:val="top"/>
          </w:tcPr>
          <w:p w14:paraId="33BF91AF">
            <w:pPr>
              <w:pStyle w:val="102"/>
              <w:rPr>
                <w:rFonts w:hint="eastAsia" w:ascii="微软雅黑" w:hAnsi="微软雅黑" w:eastAsia="微软雅黑" w:cs="微软雅黑"/>
                <w:color w:val="auto"/>
                <w:highlight w:val="none"/>
              </w:rPr>
            </w:pPr>
          </w:p>
        </w:tc>
        <w:tc>
          <w:tcPr>
            <w:tcW w:w="748" w:type="dxa"/>
            <w:noWrap w:val="0"/>
            <w:vAlign w:val="top"/>
          </w:tcPr>
          <w:p w14:paraId="1B076E67">
            <w:pPr>
              <w:pStyle w:val="102"/>
              <w:rPr>
                <w:rFonts w:hint="eastAsia" w:ascii="微软雅黑" w:hAnsi="微软雅黑" w:eastAsia="微软雅黑" w:cs="微软雅黑"/>
                <w:color w:val="auto"/>
                <w:highlight w:val="none"/>
              </w:rPr>
            </w:pPr>
          </w:p>
        </w:tc>
        <w:tc>
          <w:tcPr>
            <w:tcW w:w="692" w:type="dxa"/>
            <w:noWrap w:val="0"/>
            <w:vAlign w:val="top"/>
          </w:tcPr>
          <w:p w14:paraId="379B99B5">
            <w:pPr>
              <w:pStyle w:val="102"/>
              <w:rPr>
                <w:rFonts w:hint="eastAsia" w:ascii="微软雅黑" w:hAnsi="微软雅黑" w:eastAsia="微软雅黑" w:cs="微软雅黑"/>
                <w:color w:val="auto"/>
                <w:highlight w:val="none"/>
              </w:rPr>
            </w:pPr>
          </w:p>
        </w:tc>
        <w:tc>
          <w:tcPr>
            <w:tcW w:w="856" w:type="dxa"/>
            <w:noWrap w:val="0"/>
            <w:vAlign w:val="top"/>
          </w:tcPr>
          <w:p w14:paraId="0CEA38E9">
            <w:pPr>
              <w:pStyle w:val="102"/>
              <w:rPr>
                <w:rFonts w:hint="eastAsia" w:ascii="微软雅黑" w:hAnsi="微软雅黑" w:eastAsia="微软雅黑" w:cs="微软雅黑"/>
                <w:color w:val="auto"/>
                <w:highlight w:val="none"/>
              </w:rPr>
            </w:pPr>
          </w:p>
        </w:tc>
        <w:tc>
          <w:tcPr>
            <w:tcW w:w="938" w:type="dxa"/>
            <w:noWrap w:val="0"/>
            <w:vAlign w:val="top"/>
          </w:tcPr>
          <w:p w14:paraId="0F36C3AE">
            <w:pPr>
              <w:pStyle w:val="102"/>
              <w:rPr>
                <w:rFonts w:hint="eastAsia" w:ascii="微软雅黑" w:hAnsi="微软雅黑" w:eastAsia="微软雅黑" w:cs="微软雅黑"/>
                <w:color w:val="auto"/>
                <w:highlight w:val="none"/>
              </w:rPr>
            </w:pPr>
          </w:p>
        </w:tc>
        <w:tc>
          <w:tcPr>
            <w:tcW w:w="693" w:type="dxa"/>
            <w:noWrap w:val="0"/>
            <w:vAlign w:val="top"/>
          </w:tcPr>
          <w:p w14:paraId="6D620BB0">
            <w:pPr>
              <w:pStyle w:val="102"/>
              <w:rPr>
                <w:rFonts w:hint="eastAsia" w:ascii="微软雅黑" w:hAnsi="微软雅黑" w:eastAsia="微软雅黑" w:cs="微软雅黑"/>
                <w:color w:val="auto"/>
                <w:highlight w:val="none"/>
              </w:rPr>
            </w:pPr>
          </w:p>
        </w:tc>
        <w:tc>
          <w:tcPr>
            <w:tcW w:w="652" w:type="dxa"/>
            <w:noWrap w:val="0"/>
            <w:vAlign w:val="top"/>
          </w:tcPr>
          <w:p w14:paraId="5AADF2FE">
            <w:pPr>
              <w:pStyle w:val="102"/>
              <w:rPr>
                <w:rFonts w:hint="eastAsia" w:ascii="微软雅黑" w:hAnsi="微软雅黑" w:eastAsia="微软雅黑" w:cs="微软雅黑"/>
                <w:color w:val="auto"/>
                <w:highlight w:val="none"/>
              </w:rPr>
            </w:pPr>
          </w:p>
        </w:tc>
        <w:tc>
          <w:tcPr>
            <w:tcW w:w="706" w:type="dxa"/>
            <w:noWrap w:val="0"/>
            <w:vAlign w:val="top"/>
          </w:tcPr>
          <w:p w14:paraId="645BACE9">
            <w:pPr>
              <w:pStyle w:val="102"/>
              <w:rPr>
                <w:rFonts w:hint="eastAsia" w:ascii="微软雅黑" w:hAnsi="微软雅黑" w:eastAsia="微软雅黑" w:cs="微软雅黑"/>
                <w:color w:val="auto"/>
                <w:highlight w:val="none"/>
              </w:rPr>
            </w:pPr>
          </w:p>
        </w:tc>
        <w:tc>
          <w:tcPr>
            <w:tcW w:w="625" w:type="dxa"/>
            <w:noWrap w:val="0"/>
            <w:vAlign w:val="top"/>
          </w:tcPr>
          <w:p w14:paraId="4555397D">
            <w:pPr>
              <w:pStyle w:val="102"/>
              <w:rPr>
                <w:rFonts w:hint="eastAsia" w:ascii="微软雅黑" w:hAnsi="微软雅黑" w:eastAsia="微软雅黑" w:cs="微软雅黑"/>
                <w:color w:val="auto"/>
                <w:highlight w:val="none"/>
              </w:rPr>
            </w:pPr>
          </w:p>
        </w:tc>
        <w:tc>
          <w:tcPr>
            <w:tcW w:w="666" w:type="dxa"/>
            <w:noWrap w:val="0"/>
            <w:vAlign w:val="top"/>
          </w:tcPr>
          <w:p w14:paraId="0D64500D">
            <w:pPr>
              <w:pStyle w:val="102"/>
              <w:rPr>
                <w:rFonts w:hint="eastAsia" w:ascii="微软雅黑" w:hAnsi="微软雅黑" w:eastAsia="微软雅黑" w:cs="微软雅黑"/>
                <w:color w:val="auto"/>
                <w:highlight w:val="none"/>
              </w:rPr>
            </w:pPr>
          </w:p>
        </w:tc>
        <w:tc>
          <w:tcPr>
            <w:tcW w:w="584" w:type="dxa"/>
            <w:noWrap w:val="0"/>
            <w:vAlign w:val="top"/>
          </w:tcPr>
          <w:p w14:paraId="1EDFEC40">
            <w:pPr>
              <w:pStyle w:val="102"/>
              <w:rPr>
                <w:rFonts w:hint="eastAsia" w:ascii="微软雅黑" w:hAnsi="微软雅黑" w:eastAsia="微软雅黑" w:cs="微软雅黑"/>
                <w:color w:val="auto"/>
                <w:highlight w:val="none"/>
              </w:rPr>
            </w:pPr>
          </w:p>
        </w:tc>
      </w:tr>
      <w:tr w14:paraId="237DB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66" w:type="dxa"/>
            <w:vMerge w:val="continue"/>
            <w:tcBorders>
              <w:top w:val="nil"/>
              <w:bottom w:val="nil"/>
            </w:tcBorders>
            <w:noWrap w:val="0"/>
            <w:vAlign w:val="top"/>
          </w:tcPr>
          <w:p w14:paraId="06A6341E">
            <w:pPr>
              <w:pStyle w:val="102"/>
              <w:rPr>
                <w:rFonts w:hint="eastAsia" w:ascii="微软雅黑" w:hAnsi="微软雅黑" w:eastAsia="微软雅黑" w:cs="微软雅黑"/>
                <w:color w:val="auto"/>
                <w:highlight w:val="none"/>
              </w:rPr>
            </w:pPr>
          </w:p>
        </w:tc>
        <w:tc>
          <w:tcPr>
            <w:tcW w:w="691" w:type="dxa"/>
            <w:noWrap w:val="0"/>
            <w:vAlign w:val="top"/>
          </w:tcPr>
          <w:p w14:paraId="214CE17A">
            <w:pPr>
              <w:spacing w:before="195" w:line="189" w:lineRule="auto"/>
              <w:ind w:left="291"/>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7</w:t>
            </w:r>
          </w:p>
        </w:tc>
        <w:tc>
          <w:tcPr>
            <w:tcW w:w="971" w:type="dxa"/>
            <w:noWrap w:val="0"/>
            <w:vAlign w:val="top"/>
          </w:tcPr>
          <w:p w14:paraId="42A6E2D9">
            <w:pPr>
              <w:pStyle w:val="102"/>
              <w:rPr>
                <w:rFonts w:hint="eastAsia" w:ascii="微软雅黑" w:hAnsi="微软雅黑" w:eastAsia="微软雅黑" w:cs="微软雅黑"/>
                <w:color w:val="auto"/>
                <w:highlight w:val="none"/>
              </w:rPr>
            </w:pPr>
          </w:p>
        </w:tc>
        <w:tc>
          <w:tcPr>
            <w:tcW w:w="748" w:type="dxa"/>
            <w:noWrap w:val="0"/>
            <w:vAlign w:val="top"/>
          </w:tcPr>
          <w:p w14:paraId="0C570CCF">
            <w:pPr>
              <w:pStyle w:val="102"/>
              <w:rPr>
                <w:rFonts w:hint="eastAsia" w:ascii="微软雅黑" w:hAnsi="微软雅黑" w:eastAsia="微软雅黑" w:cs="微软雅黑"/>
                <w:color w:val="auto"/>
                <w:highlight w:val="none"/>
              </w:rPr>
            </w:pPr>
          </w:p>
        </w:tc>
        <w:tc>
          <w:tcPr>
            <w:tcW w:w="692" w:type="dxa"/>
            <w:noWrap w:val="0"/>
            <w:vAlign w:val="top"/>
          </w:tcPr>
          <w:p w14:paraId="751BE7B1">
            <w:pPr>
              <w:pStyle w:val="102"/>
              <w:rPr>
                <w:rFonts w:hint="eastAsia" w:ascii="微软雅黑" w:hAnsi="微软雅黑" w:eastAsia="微软雅黑" w:cs="微软雅黑"/>
                <w:color w:val="auto"/>
                <w:highlight w:val="none"/>
              </w:rPr>
            </w:pPr>
          </w:p>
        </w:tc>
        <w:tc>
          <w:tcPr>
            <w:tcW w:w="856" w:type="dxa"/>
            <w:noWrap w:val="0"/>
            <w:vAlign w:val="top"/>
          </w:tcPr>
          <w:p w14:paraId="585F5E1E">
            <w:pPr>
              <w:pStyle w:val="102"/>
              <w:rPr>
                <w:rFonts w:hint="eastAsia" w:ascii="微软雅黑" w:hAnsi="微软雅黑" w:eastAsia="微软雅黑" w:cs="微软雅黑"/>
                <w:color w:val="auto"/>
                <w:highlight w:val="none"/>
              </w:rPr>
            </w:pPr>
          </w:p>
        </w:tc>
        <w:tc>
          <w:tcPr>
            <w:tcW w:w="938" w:type="dxa"/>
            <w:noWrap w:val="0"/>
            <w:vAlign w:val="top"/>
          </w:tcPr>
          <w:p w14:paraId="076218B5">
            <w:pPr>
              <w:pStyle w:val="102"/>
              <w:rPr>
                <w:rFonts w:hint="eastAsia" w:ascii="微软雅黑" w:hAnsi="微软雅黑" w:eastAsia="微软雅黑" w:cs="微软雅黑"/>
                <w:color w:val="auto"/>
                <w:highlight w:val="none"/>
              </w:rPr>
            </w:pPr>
          </w:p>
        </w:tc>
        <w:tc>
          <w:tcPr>
            <w:tcW w:w="693" w:type="dxa"/>
            <w:noWrap w:val="0"/>
            <w:vAlign w:val="top"/>
          </w:tcPr>
          <w:p w14:paraId="325B9CCB">
            <w:pPr>
              <w:pStyle w:val="102"/>
              <w:rPr>
                <w:rFonts w:hint="eastAsia" w:ascii="微软雅黑" w:hAnsi="微软雅黑" w:eastAsia="微软雅黑" w:cs="微软雅黑"/>
                <w:color w:val="auto"/>
                <w:highlight w:val="none"/>
              </w:rPr>
            </w:pPr>
          </w:p>
        </w:tc>
        <w:tc>
          <w:tcPr>
            <w:tcW w:w="652" w:type="dxa"/>
            <w:noWrap w:val="0"/>
            <w:vAlign w:val="top"/>
          </w:tcPr>
          <w:p w14:paraId="79FDCADF">
            <w:pPr>
              <w:pStyle w:val="102"/>
              <w:rPr>
                <w:rFonts w:hint="eastAsia" w:ascii="微软雅黑" w:hAnsi="微软雅黑" w:eastAsia="微软雅黑" w:cs="微软雅黑"/>
                <w:color w:val="auto"/>
                <w:highlight w:val="none"/>
              </w:rPr>
            </w:pPr>
          </w:p>
        </w:tc>
        <w:tc>
          <w:tcPr>
            <w:tcW w:w="706" w:type="dxa"/>
            <w:noWrap w:val="0"/>
            <w:vAlign w:val="top"/>
          </w:tcPr>
          <w:p w14:paraId="057E672A">
            <w:pPr>
              <w:pStyle w:val="102"/>
              <w:rPr>
                <w:rFonts w:hint="eastAsia" w:ascii="微软雅黑" w:hAnsi="微软雅黑" w:eastAsia="微软雅黑" w:cs="微软雅黑"/>
                <w:color w:val="auto"/>
                <w:highlight w:val="none"/>
              </w:rPr>
            </w:pPr>
          </w:p>
        </w:tc>
        <w:tc>
          <w:tcPr>
            <w:tcW w:w="625" w:type="dxa"/>
            <w:noWrap w:val="0"/>
            <w:vAlign w:val="top"/>
          </w:tcPr>
          <w:p w14:paraId="5F64D4F1">
            <w:pPr>
              <w:pStyle w:val="102"/>
              <w:rPr>
                <w:rFonts w:hint="eastAsia" w:ascii="微软雅黑" w:hAnsi="微软雅黑" w:eastAsia="微软雅黑" w:cs="微软雅黑"/>
                <w:color w:val="auto"/>
                <w:highlight w:val="none"/>
              </w:rPr>
            </w:pPr>
          </w:p>
        </w:tc>
        <w:tc>
          <w:tcPr>
            <w:tcW w:w="666" w:type="dxa"/>
            <w:noWrap w:val="0"/>
            <w:vAlign w:val="top"/>
          </w:tcPr>
          <w:p w14:paraId="7ED87F18">
            <w:pPr>
              <w:pStyle w:val="102"/>
              <w:rPr>
                <w:rFonts w:hint="eastAsia" w:ascii="微软雅黑" w:hAnsi="微软雅黑" w:eastAsia="微软雅黑" w:cs="微软雅黑"/>
                <w:color w:val="auto"/>
                <w:highlight w:val="none"/>
              </w:rPr>
            </w:pPr>
          </w:p>
        </w:tc>
        <w:tc>
          <w:tcPr>
            <w:tcW w:w="584" w:type="dxa"/>
            <w:noWrap w:val="0"/>
            <w:vAlign w:val="top"/>
          </w:tcPr>
          <w:p w14:paraId="3F060A9E">
            <w:pPr>
              <w:pStyle w:val="102"/>
              <w:rPr>
                <w:rFonts w:hint="eastAsia" w:ascii="微软雅黑" w:hAnsi="微软雅黑" w:eastAsia="微软雅黑" w:cs="微软雅黑"/>
                <w:color w:val="auto"/>
                <w:highlight w:val="none"/>
              </w:rPr>
            </w:pPr>
          </w:p>
        </w:tc>
      </w:tr>
      <w:tr w14:paraId="0F9F5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66" w:type="dxa"/>
            <w:vMerge w:val="continue"/>
            <w:tcBorders>
              <w:top w:val="nil"/>
            </w:tcBorders>
            <w:noWrap w:val="0"/>
            <w:vAlign w:val="top"/>
          </w:tcPr>
          <w:p w14:paraId="502A05B0">
            <w:pPr>
              <w:pStyle w:val="102"/>
              <w:rPr>
                <w:rFonts w:hint="eastAsia" w:ascii="微软雅黑" w:hAnsi="微软雅黑" w:eastAsia="微软雅黑" w:cs="微软雅黑"/>
                <w:color w:val="auto"/>
                <w:highlight w:val="none"/>
              </w:rPr>
            </w:pPr>
          </w:p>
        </w:tc>
        <w:tc>
          <w:tcPr>
            <w:tcW w:w="691" w:type="dxa"/>
            <w:noWrap w:val="0"/>
            <w:vAlign w:val="top"/>
          </w:tcPr>
          <w:p w14:paraId="0A074408">
            <w:pPr>
              <w:spacing w:before="195" w:line="189" w:lineRule="auto"/>
              <w:ind w:left="291"/>
              <w:rPr>
                <w:rFonts w:hint="eastAsia" w:ascii="微软雅黑" w:hAnsi="微软雅黑" w:eastAsia="微软雅黑" w:cs="微软雅黑"/>
                <w:color w:val="auto"/>
                <w:sz w:val="23"/>
                <w:szCs w:val="23"/>
                <w:highlight w:val="none"/>
                <w:lang w:val="en-US" w:eastAsia="zh-CN"/>
              </w:rPr>
            </w:pPr>
            <w:r>
              <w:rPr>
                <w:rFonts w:hint="eastAsia" w:ascii="微软雅黑" w:hAnsi="微软雅黑" w:eastAsia="微软雅黑" w:cs="微软雅黑"/>
                <w:color w:val="auto"/>
                <w:sz w:val="23"/>
                <w:szCs w:val="23"/>
                <w:highlight w:val="none"/>
                <w:lang w:val="en-US" w:eastAsia="zh-CN"/>
              </w:rPr>
              <w:t>8</w:t>
            </w:r>
          </w:p>
        </w:tc>
        <w:tc>
          <w:tcPr>
            <w:tcW w:w="971" w:type="dxa"/>
            <w:noWrap w:val="0"/>
            <w:vAlign w:val="top"/>
          </w:tcPr>
          <w:p w14:paraId="70346AF6">
            <w:pPr>
              <w:pStyle w:val="102"/>
              <w:spacing w:before="66" w:line="73" w:lineRule="exact"/>
              <w:jc w:val="center"/>
              <w:rPr>
                <w:rFonts w:hint="eastAsia" w:ascii="微软雅黑" w:hAnsi="微软雅黑" w:eastAsia="微软雅黑" w:cs="微软雅黑"/>
                <w:color w:val="auto"/>
                <w:position w:val="1"/>
                <w:sz w:val="23"/>
                <w:szCs w:val="23"/>
                <w:highlight w:val="none"/>
              </w:rPr>
            </w:pPr>
          </w:p>
          <w:p w14:paraId="2448C2A4">
            <w:pPr>
              <w:pStyle w:val="102"/>
              <w:spacing w:before="66" w:line="73" w:lineRule="exact"/>
              <w:jc w:val="center"/>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position w:val="1"/>
                <w:sz w:val="23"/>
                <w:szCs w:val="23"/>
                <w:highlight w:val="none"/>
              </w:rPr>
              <w:t>…</w:t>
            </w:r>
          </w:p>
        </w:tc>
        <w:tc>
          <w:tcPr>
            <w:tcW w:w="748" w:type="dxa"/>
            <w:noWrap w:val="0"/>
            <w:vAlign w:val="top"/>
          </w:tcPr>
          <w:p w14:paraId="70E1382C">
            <w:pPr>
              <w:pStyle w:val="102"/>
              <w:rPr>
                <w:rFonts w:hint="eastAsia" w:ascii="微软雅黑" w:hAnsi="微软雅黑" w:eastAsia="微软雅黑" w:cs="微软雅黑"/>
                <w:color w:val="auto"/>
                <w:highlight w:val="none"/>
              </w:rPr>
            </w:pPr>
          </w:p>
        </w:tc>
        <w:tc>
          <w:tcPr>
            <w:tcW w:w="692" w:type="dxa"/>
            <w:noWrap w:val="0"/>
            <w:vAlign w:val="top"/>
          </w:tcPr>
          <w:p w14:paraId="098D675A">
            <w:pPr>
              <w:pStyle w:val="102"/>
              <w:rPr>
                <w:rFonts w:hint="eastAsia" w:ascii="微软雅黑" w:hAnsi="微软雅黑" w:eastAsia="微软雅黑" w:cs="微软雅黑"/>
                <w:color w:val="auto"/>
                <w:highlight w:val="none"/>
              </w:rPr>
            </w:pPr>
          </w:p>
        </w:tc>
        <w:tc>
          <w:tcPr>
            <w:tcW w:w="856" w:type="dxa"/>
            <w:noWrap w:val="0"/>
            <w:vAlign w:val="top"/>
          </w:tcPr>
          <w:p w14:paraId="39188DA8">
            <w:pPr>
              <w:pStyle w:val="102"/>
              <w:rPr>
                <w:rFonts w:hint="eastAsia" w:ascii="微软雅黑" w:hAnsi="微软雅黑" w:eastAsia="微软雅黑" w:cs="微软雅黑"/>
                <w:color w:val="auto"/>
                <w:highlight w:val="none"/>
              </w:rPr>
            </w:pPr>
          </w:p>
        </w:tc>
        <w:tc>
          <w:tcPr>
            <w:tcW w:w="938" w:type="dxa"/>
            <w:noWrap w:val="0"/>
            <w:vAlign w:val="top"/>
          </w:tcPr>
          <w:p w14:paraId="2E0D7A0C">
            <w:pPr>
              <w:pStyle w:val="102"/>
              <w:rPr>
                <w:rFonts w:hint="eastAsia" w:ascii="微软雅黑" w:hAnsi="微软雅黑" w:eastAsia="微软雅黑" w:cs="微软雅黑"/>
                <w:color w:val="auto"/>
                <w:highlight w:val="none"/>
              </w:rPr>
            </w:pPr>
          </w:p>
        </w:tc>
        <w:tc>
          <w:tcPr>
            <w:tcW w:w="693" w:type="dxa"/>
            <w:noWrap w:val="0"/>
            <w:vAlign w:val="top"/>
          </w:tcPr>
          <w:p w14:paraId="063B3642">
            <w:pPr>
              <w:pStyle w:val="102"/>
              <w:rPr>
                <w:rFonts w:hint="eastAsia" w:ascii="微软雅黑" w:hAnsi="微软雅黑" w:eastAsia="微软雅黑" w:cs="微软雅黑"/>
                <w:color w:val="auto"/>
                <w:highlight w:val="none"/>
              </w:rPr>
            </w:pPr>
          </w:p>
        </w:tc>
        <w:tc>
          <w:tcPr>
            <w:tcW w:w="652" w:type="dxa"/>
            <w:noWrap w:val="0"/>
            <w:vAlign w:val="top"/>
          </w:tcPr>
          <w:p w14:paraId="2335044E">
            <w:pPr>
              <w:pStyle w:val="102"/>
              <w:rPr>
                <w:rFonts w:hint="eastAsia" w:ascii="微软雅黑" w:hAnsi="微软雅黑" w:eastAsia="微软雅黑" w:cs="微软雅黑"/>
                <w:color w:val="auto"/>
                <w:highlight w:val="none"/>
              </w:rPr>
            </w:pPr>
          </w:p>
        </w:tc>
        <w:tc>
          <w:tcPr>
            <w:tcW w:w="706" w:type="dxa"/>
            <w:noWrap w:val="0"/>
            <w:vAlign w:val="top"/>
          </w:tcPr>
          <w:p w14:paraId="5BA62520">
            <w:pPr>
              <w:pStyle w:val="102"/>
              <w:rPr>
                <w:rFonts w:hint="eastAsia" w:ascii="微软雅黑" w:hAnsi="微软雅黑" w:eastAsia="微软雅黑" w:cs="微软雅黑"/>
                <w:color w:val="auto"/>
                <w:highlight w:val="none"/>
              </w:rPr>
            </w:pPr>
          </w:p>
        </w:tc>
        <w:tc>
          <w:tcPr>
            <w:tcW w:w="625" w:type="dxa"/>
            <w:noWrap w:val="0"/>
            <w:vAlign w:val="top"/>
          </w:tcPr>
          <w:p w14:paraId="1DB2115D">
            <w:pPr>
              <w:pStyle w:val="102"/>
              <w:rPr>
                <w:rFonts w:hint="eastAsia" w:ascii="微软雅黑" w:hAnsi="微软雅黑" w:eastAsia="微软雅黑" w:cs="微软雅黑"/>
                <w:color w:val="auto"/>
                <w:highlight w:val="none"/>
              </w:rPr>
            </w:pPr>
          </w:p>
        </w:tc>
        <w:tc>
          <w:tcPr>
            <w:tcW w:w="666" w:type="dxa"/>
            <w:noWrap w:val="0"/>
            <w:vAlign w:val="top"/>
          </w:tcPr>
          <w:p w14:paraId="6E46359E">
            <w:pPr>
              <w:pStyle w:val="102"/>
              <w:rPr>
                <w:rFonts w:hint="eastAsia" w:ascii="微软雅黑" w:hAnsi="微软雅黑" w:eastAsia="微软雅黑" w:cs="微软雅黑"/>
                <w:color w:val="auto"/>
                <w:highlight w:val="none"/>
              </w:rPr>
            </w:pPr>
          </w:p>
        </w:tc>
        <w:tc>
          <w:tcPr>
            <w:tcW w:w="584" w:type="dxa"/>
            <w:noWrap w:val="0"/>
            <w:vAlign w:val="top"/>
          </w:tcPr>
          <w:p w14:paraId="0EB07861">
            <w:pPr>
              <w:pStyle w:val="102"/>
              <w:rPr>
                <w:rFonts w:hint="eastAsia" w:ascii="微软雅黑" w:hAnsi="微软雅黑" w:eastAsia="微软雅黑" w:cs="微软雅黑"/>
                <w:color w:val="auto"/>
                <w:highlight w:val="none"/>
              </w:rPr>
            </w:pPr>
          </w:p>
        </w:tc>
      </w:tr>
    </w:tbl>
    <w:p w14:paraId="0AC45F6A">
      <w:pPr>
        <w:spacing w:line="365" w:lineRule="auto"/>
        <w:rPr>
          <w:rFonts w:ascii="Arial"/>
          <w:color w:val="auto"/>
          <w:sz w:val="21"/>
          <w:highlight w:val="none"/>
        </w:rPr>
      </w:pPr>
    </w:p>
    <w:p w14:paraId="4EECBDAF">
      <w:pPr>
        <w:pStyle w:val="16"/>
        <w:tabs>
          <w:tab w:val="left" w:pos="5580"/>
        </w:tabs>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投标人名称（单位盖章）：</w:t>
      </w:r>
      <w:r>
        <w:rPr>
          <w:rFonts w:hint="eastAsia" w:ascii="微软雅黑" w:hAnsi="微软雅黑" w:eastAsia="微软雅黑" w:cs="微软雅黑"/>
          <w:color w:val="auto"/>
          <w:sz w:val="24"/>
          <w:szCs w:val="24"/>
          <w:highlight w:val="none"/>
          <w:u w:val="single"/>
        </w:rPr>
        <w:t xml:space="preserve">                       </w:t>
      </w:r>
    </w:p>
    <w:p w14:paraId="0BBC9F55">
      <w:pPr>
        <w:pStyle w:val="16"/>
        <w:tabs>
          <w:tab w:val="left" w:pos="5580"/>
        </w:tabs>
        <w:spacing w:line="360" w:lineRule="auto"/>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(签字或盖章):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p>
    <w:p w14:paraId="089F6C06">
      <w:pPr>
        <w:pStyle w:val="12"/>
        <w:spacing w:before="76" w:line="275" w:lineRule="auto"/>
        <w:ind w:right="3712"/>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2ED33E44">
      <w:pPr>
        <w:pStyle w:val="12"/>
        <w:keepNext w:val="0"/>
        <w:keepLines w:val="0"/>
        <w:pageBreakBefore w:val="0"/>
        <w:widowControl w:val="0"/>
        <w:kinsoku/>
        <w:wordWrap/>
        <w:overflowPunct/>
        <w:topLinePunct w:val="0"/>
        <w:autoSpaceDE/>
        <w:autoSpaceDN/>
        <w:bidi w:val="0"/>
        <w:adjustRightInd w:val="0"/>
        <w:snapToGrid w:val="0"/>
        <w:spacing w:before="0" w:line="240" w:lineRule="auto"/>
        <w:ind w:left="0"/>
        <w:textAlignment w:val="auto"/>
        <w:rPr>
          <w:rFonts w:hint="eastAsia" w:ascii="微软雅黑" w:hAnsi="微软雅黑" w:eastAsia="微软雅黑" w:cs="微软雅黑"/>
          <w:color w:val="auto"/>
          <w:spacing w:val="8"/>
          <w:sz w:val="22"/>
          <w:szCs w:val="22"/>
          <w:highlight w:val="none"/>
        </w:rPr>
      </w:pPr>
    </w:p>
    <w:p w14:paraId="1425659C">
      <w:pPr>
        <w:pStyle w:val="12"/>
        <w:keepNext w:val="0"/>
        <w:keepLines w:val="0"/>
        <w:pageBreakBefore w:val="0"/>
        <w:widowControl w:val="0"/>
        <w:kinsoku/>
        <w:wordWrap/>
        <w:overflowPunct/>
        <w:topLinePunct w:val="0"/>
        <w:autoSpaceDE/>
        <w:autoSpaceDN/>
        <w:bidi w:val="0"/>
        <w:adjustRightInd w:val="0"/>
        <w:snapToGrid w:val="0"/>
        <w:spacing w:before="0" w:line="240" w:lineRule="auto"/>
        <w:ind w:left="0"/>
        <w:textAlignment w:val="auto"/>
        <w:rPr>
          <w:rFonts w:hint="eastAsia" w:ascii="微软雅黑" w:hAnsi="微软雅黑" w:eastAsia="微软雅黑" w:cs="微软雅黑"/>
          <w:color w:val="auto"/>
          <w:spacing w:val="8"/>
          <w:sz w:val="22"/>
          <w:szCs w:val="22"/>
          <w:highlight w:val="none"/>
        </w:rPr>
      </w:pPr>
      <w:r>
        <w:rPr>
          <w:rFonts w:hint="eastAsia" w:ascii="微软雅黑" w:hAnsi="微软雅黑" w:eastAsia="微软雅黑" w:cs="微软雅黑"/>
          <w:color w:val="auto"/>
          <w:spacing w:val="8"/>
          <w:sz w:val="22"/>
          <w:szCs w:val="22"/>
          <w:highlight w:val="none"/>
        </w:rPr>
        <w:t>注：1</w:t>
      </w:r>
      <w:r>
        <w:rPr>
          <w:rFonts w:hint="eastAsia" w:ascii="微软雅黑" w:hAnsi="微软雅黑" w:eastAsia="微软雅黑" w:cs="微软雅黑"/>
          <w:color w:val="auto"/>
          <w:spacing w:val="8"/>
          <w:sz w:val="22"/>
          <w:szCs w:val="22"/>
          <w:highlight w:val="none"/>
          <w:lang w:val="en-US" w:eastAsia="zh-CN"/>
        </w:rPr>
        <w:t>.</w:t>
      </w:r>
      <w:r>
        <w:rPr>
          <w:rFonts w:hint="eastAsia" w:ascii="微软雅黑" w:hAnsi="微软雅黑" w:eastAsia="微软雅黑" w:cs="微软雅黑"/>
          <w:color w:val="auto"/>
          <w:spacing w:val="8"/>
          <w:sz w:val="22"/>
          <w:szCs w:val="22"/>
          <w:highlight w:val="none"/>
        </w:rPr>
        <w:t>表格长度方向可做扩展根据需求可补充相关资料。</w:t>
      </w:r>
    </w:p>
    <w:p w14:paraId="453152D1">
      <w:pPr>
        <w:pStyle w:val="12"/>
        <w:keepNext w:val="0"/>
        <w:keepLines w:val="0"/>
        <w:pageBreakBefore w:val="0"/>
        <w:widowControl w:val="0"/>
        <w:kinsoku/>
        <w:wordWrap/>
        <w:overflowPunct/>
        <w:topLinePunct w:val="0"/>
        <w:autoSpaceDE/>
        <w:autoSpaceDN/>
        <w:bidi w:val="0"/>
        <w:adjustRightInd w:val="0"/>
        <w:snapToGrid w:val="0"/>
        <w:spacing w:before="0" w:line="240" w:lineRule="auto"/>
        <w:ind w:left="0"/>
        <w:textAlignment w:val="auto"/>
        <w:rPr>
          <w:rFonts w:hint="eastAsia" w:ascii="微软雅黑" w:hAnsi="微软雅黑" w:eastAsia="微软雅黑" w:cs="微软雅黑"/>
          <w:color w:val="auto"/>
          <w:spacing w:val="8"/>
          <w:sz w:val="22"/>
          <w:szCs w:val="22"/>
          <w:highlight w:val="none"/>
        </w:rPr>
      </w:pPr>
      <w:r>
        <w:rPr>
          <w:rFonts w:hint="eastAsia" w:ascii="微软雅黑" w:hAnsi="微软雅黑" w:eastAsia="微软雅黑" w:cs="微软雅黑"/>
          <w:color w:val="auto"/>
          <w:spacing w:val="8"/>
          <w:sz w:val="22"/>
          <w:szCs w:val="22"/>
          <w:highlight w:val="none"/>
        </w:rPr>
        <w:t>2</w:t>
      </w:r>
      <w:r>
        <w:rPr>
          <w:rFonts w:hint="eastAsia" w:ascii="微软雅黑" w:hAnsi="微软雅黑" w:eastAsia="微软雅黑" w:cs="微软雅黑"/>
          <w:color w:val="auto"/>
          <w:spacing w:val="8"/>
          <w:sz w:val="22"/>
          <w:szCs w:val="22"/>
          <w:highlight w:val="none"/>
          <w:lang w:val="en-US" w:eastAsia="zh-CN"/>
        </w:rPr>
        <w:t>.</w:t>
      </w:r>
      <w:r>
        <w:rPr>
          <w:rFonts w:hint="eastAsia" w:ascii="微软雅黑" w:hAnsi="微软雅黑" w:eastAsia="微软雅黑" w:cs="微软雅黑"/>
          <w:color w:val="auto"/>
          <w:spacing w:val="8"/>
          <w:sz w:val="22"/>
          <w:szCs w:val="22"/>
          <w:highlight w:val="none"/>
        </w:rPr>
        <w:t>备品备件设备分项报价仅供采购人在设备发生故障情况下采用此报价，填写此表时请谨慎。备品备件分为两部分（质保期内免费的备品备件</w:t>
      </w:r>
      <w:r>
        <w:rPr>
          <w:rFonts w:hint="eastAsia" w:ascii="微软雅黑" w:hAnsi="微软雅黑" w:eastAsia="微软雅黑" w:cs="微软雅黑"/>
          <w:color w:val="auto"/>
          <w:spacing w:val="8"/>
          <w:sz w:val="22"/>
          <w:szCs w:val="22"/>
          <w:highlight w:val="none"/>
          <w:lang w:eastAsia="zh-CN"/>
        </w:rPr>
        <w:t>，</w:t>
      </w:r>
      <w:r>
        <w:rPr>
          <w:rFonts w:hint="eastAsia" w:ascii="微软雅黑" w:hAnsi="微软雅黑" w:eastAsia="微软雅黑" w:cs="微软雅黑"/>
          <w:color w:val="auto"/>
          <w:spacing w:val="8"/>
          <w:sz w:val="22"/>
          <w:szCs w:val="22"/>
          <w:highlight w:val="none"/>
        </w:rPr>
        <w:t>质保期外备品备件报价）</w:t>
      </w:r>
    </w:p>
    <w:p w14:paraId="550ACE72">
      <w:pPr>
        <w:pStyle w:val="12"/>
        <w:keepNext w:val="0"/>
        <w:keepLines w:val="0"/>
        <w:pageBreakBefore w:val="0"/>
        <w:widowControl w:val="0"/>
        <w:kinsoku/>
        <w:wordWrap/>
        <w:overflowPunct/>
        <w:topLinePunct w:val="0"/>
        <w:autoSpaceDE/>
        <w:autoSpaceDN/>
        <w:bidi w:val="0"/>
        <w:adjustRightInd w:val="0"/>
        <w:snapToGrid w:val="0"/>
        <w:spacing w:before="0" w:line="240" w:lineRule="auto"/>
        <w:ind w:left="0"/>
        <w:textAlignment w:val="auto"/>
        <w:rPr>
          <w:rFonts w:hint="eastAsia" w:ascii="微软雅黑" w:hAnsi="微软雅黑" w:eastAsia="微软雅黑" w:cs="微软雅黑"/>
          <w:color w:val="auto"/>
          <w:spacing w:val="8"/>
          <w:sz w:val="22"/>
          <w:szCs w:val="22"/>
          <w:highlight w:val="none"/>
        </w:rPr>
      </w:pPr>
      <w:r>
        <w:rPr>
          <w:rFonts w:hint="eastAsia" w:ascii="微软雅黑" w:hAnsi="微软雅黑" w:eastAsia="微软雅黑" w:cs="微软雅黑"/>
          <w:color w:val="auto"/>
          <w:spacing w:val="8"/>
          <w:sz w:val="22"/>
          <w:szCs w:val="22"/>
          <w:highlight w:val="none"/>
        </w:rPr>
        <w:t>3</w:t>
      </w:r>
      <w:r>
        <w:rPr>
          <w:rFonts w:hint="eastAsia" w:ascii="微软雅黑" w:hAnsi="微软雅黑" w:eastAsia="微软雅黑" w:cs="微软雅黑"/>
          <w:color w:val="auto"/>
          <w:spacing w:val="8"/>
          <w:sz w:val="22"/>
          <w:szCs w:val="22"/>
          <w:highlight w:val="none"/>
          <w:lang w:val="en-US" w:eastAsia="zh-CN"/>
        </w:rPr>
        <w:t>.</w:t>
      </w:r>
      <w:r>
        <w:rPr>
          <w:rFonts w:hint="eastAsia" w:ascii="微软雅黑" w:hAnsi="微软雅黑" w:eastAsia="微软雅黑" w:cs="微软雅黑"/>
          <w:color w:val="auto"/>
          <w:spacing w:val="8"/>
          <w:sz w:val="22"/>
          <w:szCs w:val="22"/>
          <w:highlight w:val="none"/>
        </w:rPr>
        <w:t>备品备件设备分项报价不合计于投标报价表总价，</w:t>
      </w:r>
      <w:r>
        <w:rPr>
          <w:rFonts w:hint="eastAsia" w:ascii="微软雅黑" w:hAnsi="微软雅黑" w:eastAsia="微软雅黑" w:cs="微软雅黑"/>
          <w:color w:val="auto"/>
          <w:spacing w:val="8"/>
          <w:sz w:val="22"/>
          <w:szCs w:val="22"/>
          <w:highlight w:val="none"/>
          <w:lang w:eastAsia="zh-CN"/>
        </w:rPr>
        <w:t>单独明</w:t>
      </w:r>
      <w:r>
        <w:rPr>
          <w:rFonts w:hint="eastAsia" w:ascii="微软雅黑" w:hAnsi="微软雅黑" w:eastAsia="微软雅黑" w:cs="微软雅黑"/>
          <w:color w:val="auto"/>
          <w:spacing w:val="8"/>
          <w:sz w:val="22"/>
          <w:szCs w:val="22"/>
          <w:highlight w:val="none"/>
        </w:rPr>
        <w:t>列即可。</w:t>
      </w:r>
    </w:p>
    <w:p w14:paraId="7100E3F8">
      <w:pPr>
        <w:pStyle w:val="3"/>
        <w:spacing w:before="0" w:line="240" w:lineRule="atLeast"/>
        <w:jc w:val="center"/>
        <w:rPr>
          <w:rFonts w:hint="eastAsia" w:ascii="微软雅黑" w:hAnsi="微软雅黑" w:eastAsia="微软雅黑" w:cs="微软雅黑"/>
          <w:color w:val="auto"/>
          <w:sz w:val="28"/>
          <w:szCs w:val="21"/>
          <w:highlight w:val="none"/>
        </w:rPr>
        <w:sectPr>
          <w:pgSz w:w="11906" w:h="16838"/>
          <w:pgMar w:top="1440" w:right="1080" w:bottom="1440" w:left="1080" w:header="851" w:footer="992" w:gutter="0"/>
          <w:pgNumType w:fmt="decimal"/>
          <w:cols w:space="720" w:num="1"/>
          <w:docGrid w:linePitch="312" w:charSpace="0"/>
        </w:sectPr>
      </w:pPr>
      <w:bookmarkStart w:id="405" w:name="_Hlt520274407"/>
      <w:bookmarkEnd w:id="405"/>
      <w:bookmarkStart w:id="406" w:name="_Hlt520350957"/>
      <w:bookmarkEnd w:id="406"/>
      <w:bookmarkStart w:id="407" w:name="_Hlt520271212"/>
      <w:bookmarkEnd w:id="407"/>
      <w:bookmarkStart w:id="408" w:name="_Hlt520343000"/>
      <w:bookmarkEnd w:id="408"/>
      <w:bookmarkStart w:id="409" w:name="_Hlt520273711"/>
      <w:bookmarkEnd w:id="409"/>
      <w:bookmarkStart w:id="410" w:name="_Hlt520350918"/>
      <w:bookmarkEnd w:id="410"/>
      <w:bookmarkStart w:id="411" w:name="_Hlt520274393"/>
      <w:bookmarkEnd w:id="411"/>
      <w:bookmarkStart w:id="412" w:name="_Hlt520274911"/>
      <w:bookmarkEnd w:id="412"/>
      <w:bookmarkStart w:id="413" w:name="_Hlt520273973"/>
      <w:bookmarkEnd w:id="413"/>
      <w:bookmarkStart w:id="414" w:name="_Hlt520274065"/>
      <w:bookmarkEnd w:id="414"/>
      <w:bookmarkStart w:id="415" w:name="_Hlt520343392"/>
      <w:bookmarkEnd w:id="415"/>
      <w:bookmarkStart w:id="416" w:name="_Toc22702"/>
      <w:bookmarkStart w:id="417" w:name="_Toc5508"/>
      <w:bookmarkStart w:id="418" w:name="_Toc518923120"/>
    </w:p>
    <w:p w14:paraId="24ED104C">
      <w:pPr>
        <w:pStyle w:val="3"/>
        <w:spacing w:before="0" w:line="240" w:lineRule="atLeast"/>
        <w:jc w:val="center"/>
        <w:rPr>
          <w:rFonts w:hint="eastAsia" w:ascii="微软雅黑" w:hAnsi="微软雅黑" w:eastAsia="微软雅黑" w:cs="微软雅黑"/>
          <w:color w:val="auto"/>
          <w:sz w:val="28"/>
          <w:szCs w:val="21"/>
          <w:highlight w:val="none"/>
        </w:rPr>
      </w:pPr>
      <w:r>
        <w:rPr>
          <w:rFonts w:hint="eastAsia" w:ascii="微软雅黑" w:hAnsi="微软雅黑" w:eastAsia="微软雅黑" w:cs="微软雅黑"/>
          <w:color w:val="auto"/>
          <w:sz w:val="28"/>
          <w:szCs w:val="21"/>
          <w:highlight w:val="none"/>
        </w:rPr>
        <w:t>3</w:t>
      </w:r>
      <w:r>
        <w:rPr>
          <w:rFonts w:hint="eastAsia" w:ascii="微软雅黑" w:hAnsi="微软雅黑" w:eastAsia="微软雅黑" w:cs="微软雅黑"/>
          <w:color w:val="auto"/>
          <w:sz w:val="28"/>
          <w:szCs w:val="21"/>
          <w:highlight w:val="none"/>
          <w:lang w:val="en-US" w:eastAsia="zh-CN"/>
        </w:rPr>
        <w:t>.</w:t>
      </w:r>
      <w:r>
        <w:rPr>
          <w:rFonts w:hint="eastAsia" w:ascii="微软雅黑" w:hAnsi="微软雅黑" w:eastAsia="微软雅黑" w:cs="微软雅黑"/>
          <w:color w:val="auto"/>
          <w:sz w:val="28"/>
          <w:szCs w:val="21"/>
          <w:highlight w:val="none"/>
        </w:rPr>
        <w:t>货物说明一览表</w:t>
      </w:r>
      <w:bookmarkEnd w:id="416"/>
    </w:p>
    <w:p w14:paraId="66B01D25">
      <w:pPr>
        <w:pStyle w:val="12"/>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项目名称：                                                 项目编号：                </w:t>
      </w:r>
      <w:r>
        <w:rPr>
          <w:rFonts w:hint="eastAsia" w:ascii="微软雅黑" w:hAnsi="微软雅黑" w:eastAsia="微软雅黑" w:cs="微软雅黑"/>
          <w:color w:val="auto"/>
          <w:sz w:val="24"/>
          <w:szCs w:val="24"/>
          <w:highlight w:val="none"/>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34"/>
        <w:gridCol w:w="1302"/>
        <w:gridCol w:w="984"/>
        <w:gridCol w:w="1506"/>
        <w:gridCol w:w="1793"/>
        <w:gridCol w:w="2228"/>
      </w:tblGrid>
      <w:tr w14:paraId="7566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38" w:type="dxa"/>
            <w:noWrap w:val="0"/>
            <w:vAlign w:val="center"/>
          </w:tcPr>
          <w:p w14:paraId="48E35372">
            <w:pPr>
              <w:pStyle w:val="16"/>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334" w:type="dxa"/>
            <w:noWrap w:val="0"/>
            <w:vAlign w:val="center"/>
          </w:tcPr>
          <w:p w14:paraId="4B1E7BEE">
            <w:pPr>
              <w:pStyle w:val="16"/>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标的</w:t>
            </w:r>
            <w:r>
              <w:rPr>
                <w:rFonts w:hint="eastAsia" w:ascii="微软雅黑" w:hAnsi="微软雅黑" w:eastAsia="微软雅黑" w:cs="微软雅黑"/>
                <w:color w:val="auto"/>
                <w:sz w:val="24"/>
                <w:szCs w:val="24"/>
                <w:highlight w:val="none"/>
              </w:rPr>
              <w:t>名称</w:t>
            </w:r>
          </w:p>
        </w:tc>
        <w:tc>
          <w:tcPr>
            <w:tcW w:w="1302" w:type="dxa"/>
            <w:noWrap w:val="0"/>
            <w:vAlign w:val="center"/>
          </w:tcPr>
          <w:p w14:paraId="5D43226D">
            <w:pPr>
              <w:pStyle w:val="16"/>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主要</w:t>
            </w:r>
            <w:r>
              <w:rPr>
                <w:rFonts w:hint="eastAsia" w:ascii="微软雅黑" w:hAnsi="微软雅黑" w:eastAsia="微软雅黑" w:cs="微软雅黑"/>
                <w:color w:val="auto"/>
                <w:sz w:val="24"/>
                <w:szCs w:val="24"/>
                <w:highlight w:val="none"/>
              </w:rPr>
              <w:t>规格</w:t>
            </w:r>
          </w:p>
        </w:tc>
        <w:tc>
          <w:tcPr>
            <w:tcW w:w="984" w:type="dxa"/>
            <w:noWrap w:val="0"/>
            <w:vAlign w:val="center"/>
          </w:tcPr>
          <w:p w14:paraId="08B5782F">
            <w:pPr>
              <w:pStyle w:val="16"/>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1506" w:type="dxa"/>
            <w:noWrap w:val="0"/>
            <w:vAlign w:val="center"/>
          </w:tcPr>
          <w:p w14:paraId="26D304A0">
            <w:pPr>
              <w:pStyle w:val="16"/>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交货期限</w:t>
            </w:r>
          </w:p>
        </w:tc>
        <w:tc>
          <w:tcPr>
            <w:tcW w:w="1793" w:type="dxa"/>
            <w:noWrap w:val="0"/>
            <w:vAlign w:val="center"/>
          </w:tcPr>
          <w:p w14:paraId="5CCBD53D">
            <w:pPr>
              <w:pStyle w:val="16"/>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交货</w:t>
            </w:r>
            <w:r>
              <w:rPr>
                <w:rFonts w:hint="eastAsia" w:ascii="微软雅黑" w:hAnsi="微软雅黑" w:eastAsia="微软雅黑" w:cs="微软雅黑"/>
                <w:color w:val="auto"/>
                <w:sz w:val="24"/>
                <w:szCs w:val="24"/>
                <w:highlight w:val="none"/>
              </w:rPr>
              <w:t>地点</w:t>
            </w:r>
          </w:p>
        </w:tc>
        <w:tc>
          <w:tcPr>
            <w:tcW w:w="2228" w:type="dxa"/>
            <w:noWrap w:val="0"/>
            <w:vAlign w:val="center"/>
          </w:tcPr>
          <w:p w14:paraId="1F3D54CB">
            <w:pPr>
              <w:pStyle w:val="16"/>
              <w:spacing w:line="240" w:lineRule="atLeast"/>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备注</w:t>
            </w:r>
          </w:p>
        </w:tc>
      </w:tr>
      <w:tr w14:paraId="71C1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38" w:type="dxa"/>
            <w:noWrap w:val="0"/>
            <w:vAlign w:val="top"/>
          </w:tcPr>
          <w:p w14:paraId="01994D02">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34" w:type="dxa"/>
            <w:noWrap w:val="0"/>
            <w:vAlign w:val="top"/>
          </w:tcPr>
          <w:p w14:paraId="5BE1BEF3">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02" w:type="dxa"/>
            <w:noWrap w:val="0"/>
            <w:vAlign w:val="top"/>
          </w:tcPr>
          <w:p w14:paraId="185B1476">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984" w:type="dxa"/>
            <w:noWrap w:val="0"/>
            <w:vAlign w:val="top"/>
          </w:tcPr>
          <w:p w14:paraId="33A05A3D">
            <w:pPr>
              <w:pStyle w:val="16"/>
              <w:spacing w:line="240" w:lineRule="atLeast"/>
              <w:rPr>
                <w:rFonts w:hint="eastAsia" w:ascii="微软雅黑" w:hAnsi="微软雅黑" w:eastAsia="微软雅黑" w:cs="微软雅黑"/>
                <w:color w:val="auto"/>
                <w:sz w:val="24"/>
                <w:szCs w:val="24"/>
                <w:highlight w:val="none"/>
              </w:rPr>
            </w:pPr>
          </w:p>
        </w:tc>
        <w:tc>
          <w:tcPr>
            <w:tcW w:w="1506" w:type="dxa"/>
            <w:noWrap w:val="0"/>
            <w:vAlign w:val="top"/>
          </w:tcPr>
          <w:p w14:paraId="5F60E49F">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065FD6F6">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2228" w:type="dxa"/>
            <w:noWrap w:val="0"/>
            <w:vAlign w:val="top"/>
          </w:tcPr>
          <w:p w14:paraId="68B4F33E">
            <w:pPr>
              <w:pStyle w:val="16"/>
              <w:spacing w:line="240" w:lineRule="atLeast"/>
              <w:ind w:left="1080" w:leftChars="257" w:hanging="540"/>
              <w:rPr>
                <w:rFonts w:hint="eastAsia" w:ascii="微软雅黑" w:hAnsi="微软雅黑" w:eastAsia="微软雅黑" w:cs="微软雅黑"/>
                <w:color w:val="auto"/>
                <w:sz w:val="24"/>
                <w:szCs w:val="24"/>
                <w:highlight w:val="none"/>
              </w:rPr>
            </w:pPr>
          </w:p>
        </w:tc>
      </w:tr>
      <w:tr w14:paraId="0AA2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8" w:type="dxa"/>
            <w:noWrap w:val="0"/>
            <w:vAlign w:val="top"/>
          </w:tcPr>
          <w:p w14:paraId="6EAC7219">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34" w:type="dxa"/>
            <w:noWrap w:val="0"/>
            <w:vAlign w:val="top"/>
          </w:tcPr>
          <w:p w14:paraId="7F6A3277">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02" w:type="dxa"/>
            <w:noWrap w:val="0"/>
            <w:vAlign w:val="top"/>
          </w:tcPr>
          <w:p w14:paraId="6C765AB2">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984" w:type="dxa"/>
            <w:noWrap w:val="0"/>
            <w:vAlign w:val="top"/>
          </w:tcPr>
          <w:p w14:paraId="7EF1A977">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506" w:type="dxa"/>
            <w:noWrap w:val="0"/>
            <w:vAlign w:val="top"/>
          </w:tcPr>
          <w:p w14:paraId="5CB76670">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49900D19">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2228" w:type="dxa"/>
            <w:noWrap w:val="0"/>
            <w:vAlign w:val="top"/>
          </w:tcPr>
          <w:p w14:paraId="348D39F7">
            <w:pPr>
              <w:pStyle w:val="16"/>
              <w:spacing w:line="240" w:lineRule="atLeast"/>
              <w:ind w:left="1080" w:leftChars="257" w:hanging="540"/>
              <w:rPr>
                <w:rFonts w:hint="eastAsia" w:ascii="微软雅黑" w:hAnsi="微软雅黑" w:eastAsia="微软雅黑" w:cs="微软雅黑"/>
                <w:color w:val="auto"/>
                <w:sz w:val="24"/>
                <w:szCs w:val="24"/>
                <w:highlight w:val="none"/>
              </w:rPr>
            </w:pPr>
          </w:p>
        </w:tc>
      </w:tr>
      <w:tr w14:paraId="15F9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8" w:type="dxa"/>
            <w:noWrap w:val="0"/>
            <w:vAlign w:val="top"/>
          </w:tcPr>
          <w:p w14:paraId="1334162C">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34" w:type="dxa"/>
            <w:noWrap w:val="0"/>
            <w:vAlign w:val="top"/>
          </w:tcPr>
          <w:p w14:paraId="40F59A16">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02" w:type="dxa"/>
            <w:noWrap w:val="0"/>
            <w:vAlign w:val="top"/>
          </w:tcPr>
          <w:p w14:paraId="57073D94">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984" w:type="dxa"/>
            <w:noWrap w:val="0"/>
            <w:vAlign w:val="top"/>
          </w:tcPr>
          <w:p w14:paraId="53D4438C">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506" w:type="dxa"/>
            <w:noWrap w:val="0"/>
            <w:vAlign w:val="top"/>
          </w:tcPr>
          <w:p w14:paraId="4440F155">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365C53E4">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2228" w:type="dxa"/>
            <w:noWrap w:val="0"/>
            <w:vAlign w:val="top"/>
          </w:tcPr>
          <w:p w14:paraId="4E40FC9E">
            <w:pPr>
              <w:pStyle w:val="16"/>
              <w:spacing w:line="240" w:lineRule="atLeast"/>
              <w:ind w:left="1080" w:leftChars="257" w:hanging="540"/>
              <w:rPr>
                <w:rFonts w:hint="eastAsia" w:ascii="微软雅黑" w:hAnsi="微软雅黑" w:eastAsia="微软雅黑" w:cs="微软雅黑"/>
                <w:color w:val="auto"/>
                <w:sz w:val="24"/>
                <w:szCs w:val="24"/>
                <w:highlight w:val="none"/>
              </w:rPr>
            </w:pPr>
          </w:p>
        </w:tc>
      </w:tr>
      <w:tr w14:paraId="703D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8" w:type="dxa"/>
            <w:noWrap w:val="0"/>
            <w:vAlign w:val="top"/>
          </w:tcPr>
          <w:p w14:paraId="346674B2">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34" w:type="dxa"/>
            <w:noWrap w:val="0"/>
            <w:vAlign w:val="top"/>
          </w:tcPr>
          <w:p w14:paraId="758CEBFA">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02" w:type="dxa"/>
            <w:noWrap w:val="0"/>
            <w:vAlign w:val="top"/>
          </w:tcPr>
          <w:p w14:paraId="5C41EB90">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984" w:type="dxa"/>
            <w:noWrap w:val="0"/>
            <w:vAlign w:val="top"/>
          </w:tcPr>
          <w:p w14:paraId="03D448E6">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506" w:type="dxa"/>
            <w:noWrap w:val="0"/>
            <w:vAlign w:val="top"/>
          </w:tcPr>
          <w:p w14:paraId="46A9B534">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54F49788">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2228" w:type="dxa"/>
            <w:noWrap w:val="0"/>
            <w:vAlign w:val="top"/>
          </w:tcPr>
          <w:p w14:paraId="65FF16FD">
            <w:pPr>
              <w:pStyle w:val="16"/>
              <w:spacing w:line="240" w:lineRule="atLeast"/>
              <w:ind w:left="1080" w:leftChars="257" w:hanging="540"/>
              <w:rPr>
                <w:rFonts w:hint="eastAsia" w:ascii="微软雅黑" w:hAnsi="微软雅黑" w:eastAsia="微软雅黑" w:cs="微软雅黑"/>
                <w:color w:val="auto"/>
                <w:sz w:val="24"/>
                <w:szCs w:val="24"/>
                <w:highlight w:val="none"/>
              </w:rPr>
            </w:pPr>
          </w:p>
        </w:tc>
      </w:tr>
      <w:tr w14:paraId="6EE0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8" w:type="dxa"/>
            <w:noWrap w:val="0"/>
            <w:vAlign w:val="top"/>
          </w:tcPr>
          <w:p w14:paraId="2BEF2946">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34" w:type="dxa"/>
            <w:noWrap w:val="0"/>
            <w:vAlign w:val="top"/>
          </w:tcPr>
          <w:p w14:paraId="29A21435">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02" w:type="dxa"/>
            <w:noWrap w:val="0"/>
            <w:vAlign w:val="top"/>
          </w:tcPr>
          <w:p w14:paraId="3599580D">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984" w:type="dxa"/>
            <w:noWrap w:val="0"/>
            <w:vAlign w:val="top"/>
          </w:tcPr>
          <w:p w14:paraId="792B236F">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506" w:type="dxa"/>
            <w:noWrap w:val="0"/>
            <w:vAlign w:val="top"/>
          </w:tcPr>
          <w:p w14:paraId="5E4B9A31">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011B2B5B">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2228" w:type="dxa"/>
            <w:noWrap w:val="0"/>
            <w:vAlign w:val="top"/>
          </w:tcPr>
          <w:p w14:paraId="51EDEEC6">
            <w:pPr>
              <w:pStyle w:val="16"/>
              <w:spacing w:line="240" w:lineRule="atLeast"/>
              <w:ind w:left="1080" w:leftChars="257" w:hanging="540"/>
              <w:rPr>
                <w:rFonts w:hint="eastAsia" w:ascii="微软雅黑" w:hAnsi="微软雅黑" w:eastAsia="微软雅黑" w:cs="微软雅黑"/>
                <w:color w:val="auto"/>
                <w:sz w:val="24"/>
                <w:szCs w:val="24"/>
                <w:highlight w:val="none"/>
              </w:rPr>
            </w:pPr>
          </w:p>
        </w:tc>
      </w:tr>
      <w:tr w14:paraId="1EEB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8" w:type="dxa"/>
            <w:noWrap w:val="0"/>
            <w:vAlign w:val="top"/>
          </w:tcPr>
          <w:p w14:paraId="6D52B1CA">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34" w:type="dxa"/>
            <w:noWrap w:val="0"/>
            <w:vAlign w:val="top"/>
          </w:tcPr>
          <w:p w14:paraId="6DA1277A">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02" w:type="dxa"/>
            <w:noWrap w:val="0"/>
            <w:vAlign w:val="top"/>
          </w:tcPr>
          <w:p w14:paraId="2D4130D8">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984" w:type="dxa"/>
            <w:noWrap w:val="0"/>
            <w:vAlign w:val="top"/>
          </w:tcPr>
          <w:p w14:paraId="6CA2AE15">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506" w:type="dxa"/>
            <w:noWrap w:val="0"/>
            <w:vAlign w:val="top"/>
          </w:tcPr>
          <w:p w14:paraId="5B381319">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767C98BE">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2228" w:type="dxa"/>
            <w:noWrap w:val="0"/>
            <w:vAlign w:val="top"/>
          </w:tcPr>
          <w:p w14:paraId="4A1EF246">
            <w:pPr>
              <w:pStyle w:val="16"/>
              <w:spacing w:line="240" w:lineRule="atLeast"/>
              <w:ind w:left="1080" w:leftChars="257" w:hanging="540"/>
              <w:rPr>
                <w:rFonts w:hint="eastAsia" w:ascii="微软雅黑" w:hAnsi="微软雅黑" w:eastAsia="微软雅黑" w:cs="微软雅黑"/>
                <w:color w:val="auto"/>
                <w:sz w:val="24"/>
                <w:szCs w:val="24"/>
                <w:highlight w:val="none"/>
              </w:rPr>
            </w:pPr>
          </w:p>
        </w:tc>
      </w:tr>
      <w:tr w14:paraId="15C7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8" w:type="dxa"/>
            <w:noWrap w:val="0"/>
            <w:vAlign w:val="top"/>
          </w:tcPr>
          <w:p w14:paraId="56218708">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34" w:type="dxa"/>
            <w:noWrap w:val="0"/>
            <w:vAlign w:val="top"/>
          </w:tcPr>
          <w:p w14:paraId="64A46EDC">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02" w:type="dxa"/>
            <w:noWrap w:val="0"/>
            <w:vAlign w:val="top"/>
          </w:tcPr>
          <w:p w14:paraId="7601FE0A">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984" w:type="dxa"/>
            <w:noWrap w:val="0"/>
            <w:vAlign w:val="top"/>
          </w:tcPr>
          <w:p w14:paraId="4732CA23">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506" w:type="dxa"/>
            <w:noWrap w:val="0"/>
            <w:vAlign w:val="top"/>
          </w:tcPr>
          <w:p w14:paraId="16B7A6BB">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573DF495">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2228" w:type="dxa"/>
            <w:noWrap w:val="0"/>
            <w:vAlign w:val="top"/>
          </w:tcPr>
          <w:p w14:paraId="0D8E0020">
            <w:pPr>
              <w:pStyle w:val="16"/>
              <w:spacing w:line="240" w:lineRule="atLeast"/>
              <w:ind w:left="1080" w:leftChars="257" w:hanging="540"/>
              <w:rPr>
                <w:rFonts w:hint="eastAsia" w:ascii="微软雅黑" w:hAnsi="微软雅黑" w:eastAsia="微软雅黑" w:cs="微软雅黑"/>
                <w:color w:val="auto"/>
                <w:sz w:val="24"/>
                <w:szCs w:val="24"/>
                <w:highlight w:val="none"/>
              </w:rPr>
            </w:pPr>
          </w:p>
        </w:tc>
      </w:tr>
      <w:tr w14:paraId="5BEF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8" w:type="dxa"/>
            <w:noWrap w:val="0"/>
            <w:vAlign w:val="top"/>
          </w:tcPr>
          <w:p w14:paraId="23B7C9AE">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34" w:type="dxa"/>
            <w:noWrap w:val="0"/>
            <w:vAlign w:val="top"/>
          </w:tcPr>
          <w:p w14:paraId="5D30B713">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302" w:type="dxa"/>
            <w:noWrap w:val="0"/>
            <w:vAlign w:val="top"/>
          </w:tcPr>
          <w:p w14:paraId="1D1D2918">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984" w:type="dxa"/>
            <w:noWrap w:val="0"/>
            <w:vAlign w:val="top"/>
          </w:tcPr>
          <w:p w14:paraId="6DE6449F">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506" w:type="dxa"/>
            <w:noWrap w:val="0"/>
            <w:vAlign w:val="top"/>
          </w:tcPr>
          <w:p w14:paraId="4D1AAC23">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44D10EAD">
            <w:pPr>
              <w:pStyle w:val="16"/>
              <w:spacing w:line="240" w:lineRule="atLeast"/>
              <w:ind w:left="1080" w:leftChars="257" w:hanging="540"/>
              <w:rPr>
                <w:rFonts w:hint="eastAsia" w:ascii="微软雅黑" w:hAnsi="微软雅黑" w:eastAsia="微软雅黑" w:cs="微软雅黑"/>
                <w:color w:val="auto"/>
                <w:sz w:val="24"/>
                <w:szCs w:val="24"/>
                <w:highlight w:val="none"/>
              </w:rPr>
            </w:pPr>
          </w:p>
        </w:tc>
        <w:tc>
          <w:tcPr>
            <w:tcW w:w="2228" w:type="dxa"/>
            <w:noWrap w:val="0"/>
            <w:vAlign w:val="top"/>
          </w:tcPr>
          <w:p w14:paraId="71B52868">
            <w:pPr>
              <w:pStyle w:val="16"/>
              <w:spacing w:line="240" w:lineRule="atLeast"/>
              <w:ind w:left="1080" w:leftChars="257" w:hanging="540"/>
              <w:rPr>
                <w:rFonts w:hint="eastAsia" w:ascii="微软雅黑" w:hAnsi="微软雅黑" w:eastAsia="微软雅黑" w:cs="微软雅黑"/>
                <w:color w:val="auto"/>
                <w:sz w:val="24"/>
                <w:szCs w:val="24"/>
                <w:highlight w:val="none"/>
              </w:rPr>
            </w:pPr>
          </w:p>
        </w:tc>
      </w:tr>
    </w:tbl>
    <w:p w14:paraId="5F8F208D">
      <w:pPr>
        <w:pStyle w:val="16"/>
        <w:spacing w:line="240" w:lineRule="atLeast"/>
        <w:ind w:left="1080" w:leftChars="257" w:hanging="540"/>
        <w:rPr>
          <w:rFonts w:hint="eastAsia" w:ascii="微软雅黑" w:hAnsi="微软雅黑" w:eastAsia="微软雅黑" w:cs="微软雅黑"/>
          <w:color w:val="auto"/>
          <w:sz w:val="24"/>
          <w:szCs w:val="24"/>
          <w:highlight w:val="none"/>
        </w:rPr>
      </w:pPr>
    </w:p>
    <w:p w14:paraId="6FA12021">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名称</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单位盖公章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2E3722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法定代表人或委托代理人(签字</w:t>
      </w:r>
      <w:r>
        <w:rPr>
          <w:rFonts w:hint="eastAsia" w:ascii="微软雅黑" w:hAnsi="微软雅黑" w:eastAsia="微软雅黑" w:cs="微软雅黑"/>
          <w:color w:val="auto"/>
          <w:sz w:val="24"/>
          <w:szCs w:val="24"/>
          <w:highlight w:val="none"/>
          <w:lang w:eastAsia="zh-CN"/>
        </w:rPr>
        <w:t>或盖章</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4D47DC53">
      <w:pPr>
        <w:pStyle w:val="16"/>
        <w:keepNext w:val="0"/>
        <w:keepLines w:val="0"/>
        <w:pageBreakBefore w:val="0"/>
        <w:widowControl w:val="0"/>
        <w:kinsoku/>
        <w:wordWrap/>
        <w:overflowPunct/>
        <w:topLinePunct w:val="0"/>
        <w:autoSpaceDE/>
        <w:autoSpaceDN/>
        <w:bidi w:val="0"/>
        <w:snapToGrid w:val="0"/>
        <w:spacing w:line="36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日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期：</w:t>
      </w:r>
      <w:r>
        <w:rPr>
          <w:rFonts w:hint="eastAsia" w:ascii="微软雅黑" w:hAnsi="微软雅黑" w:eastAsia="微软雅黑" w:cs="微软雅黑"/>
          <w:color w:val="auto"/>
          <w:sz w:val="24"/>
          <w:szCs w:val="24"/>
          <w:highlight w:val="none"/>
          <w:u w:val="single"/>
        </w:rPr>
        <w:t xml:space="preserve">                   </w:t>
      </w:r>
    </w:p>
    <w:p w14:paraId="259B2287">
      <w:pPr>
        <w:pStyle w:val="16"/>
        <w:spacing w:line="240" w:lineRule="atLeast"/>
        <w:ind w:left="1080" w:leftChars="257" w:hanging="540"/>
        <w:rPr>
          <w:rFonts w:hint="eastAsia" w:ascii="微软雅黑" w:hAnsi="微软雅黑" w:eastAsia="微软雅黑" w:cs="微软雅黑"/>
          <w:color w:val="auto"/>
          <w:sz w:val="24"/>
          <w:szCs w:val="24"/>
          <w:highlight w:val="none"/>
        </w:rPr>
      </w:pPr>
    </w:p>
    <w:p w14:paraId="46EFC099">
      <w:pPr>
        <w:pStyle w:val="12"/>
        <w:keepNext w:val="0"/>
        <w:keepLines w:val="0"/>
        <w:pageBreakBefore w:val="0"/>
        <w:widowControl w:val="0"/>
        <w:kinsoku/>
        <w:wordWrap/>
        <w:overflowPunct/>
        <w:topLinePunct w:val="0"/>
        <w:autoSpaceDE/>
        <w:autoSpaceDN/>
        <w:bidi w:val="0"/>
        <w:adjustRightInd w:val="0"/>
        <w:snapToGrid w:val="0"/>
        <w:spacing w:before="0" w:line="240" w:lineRule="auto"/>
        <w:ind w:left="0"/>
        <w:textAlignment w:val="auto"/>
        <w:rPr>
          <w:rFonts w:hint="eastAsia" w:ascii="微软雅黑" w:hAnsi="微软雅黑" w:eastAsia="微软雅黑" w:cs="微软雅黑"/>
          <w:color w:val="auto"/>
          <w:spacing w:val="8"/>
          <w:sz w:val="23"/>
          <w:szCs w:val="23"/>
          <w:highlight w:val="none"/>
          <w:lang w:eastAsia="zh-CN"/>
        </w:rPr>
      </w:pPr>
      <w:r>
        <w:rPr>
          <w:rFonts w:hint="eastAsia" w:ascii="微软雅黑" w:hAnsi="微软雅黑" w:eastAsia="微软雅黑" w:cs="微软雅黑"/>
          <w:color w:val="auto"/>
          <w:spacing w:val="8"/>
          <w:sz w:val="23"/>
          <w:szCs w:val="23"/>
          <w:highlight w:val="none"/>
          <w:lang w:eastAsia="zh-CN"/>
        </w:rPr>
        <w:t>货物说明：各项货物详细技术性能</w:t>
      </w:r>
      <w:r>
        <w:rPr>
          <w:rFonts w:hint="eastAsia" w:ascii="微软雅黑" w:hAnsi="微软雅黑" w:eastAsia="微软雅黑" w:cs="微软雅黑"/>
          <w:color w:val="auto"/>
          <w:spacing w:val="8"/>
          <w:sz w:val="23"/>
          <w:szCs w:val="23"/>
          <w:highlight w:val="none"/>
          <w:lang w:val="en-US" w:eastAsia="zh-CN"/>
        </w:rPr>
        <w:t>可</w:t>
      </w:r>
      <w:r>
        <w:rPr>
          <w:rFonts w:hint="eastAsia" w:ascii="微软雅黑" w:hAnsi="微软雅黑" w:eastAsia="微软雅黑" w:cs="微软雅黑"/>
          <w:color w:val="auto"/>
          <w:spacing w:val="8"/>
          <w:sz w:val="23"/>
          <w:szCs w:val="23"/>
          <w:highlight w:val="none"/>
          <w:lang w:eastAsia="zh-CN"/>
        </w:rPr>
        <w:t>另页描述。</w:t>
      </w:r>
    </w:p>
    <w:p w14:paraId="4A4CD84A">
      <w:pPr>
        <w:pStyle w:val="3"/>
        <w:spacing w:before="0" w:line="240" w:lineRule="atLeast"/>
        <w:ind w:firstLine="482" w:firstLineChars="200"/>
        <w:jc w:val="both"/>
        <w:rPr>
          <w:rFonts w:hint="eastAsia" w:ascii="宋体" w:hAnsi="宋体" w:eastAsia="宋体" w:cs="宋体"/>
          <w:b/>
          <w:bCs/>
          <w:color w:val="auto"/>
          <w:sz w:val="24"/>
          <w:szCs w:val="24"/>
          <w:highlight w:val="none"/>
          <w:lang w:eastAsia="zh-CN"/>
        </w:rPr>
        <w:sectPr>
          <w:pgSz w:w="11906" w:h="16838"/>
          <w:pgMar w:top="1440" w:right="1080" w:bottom="1440" w:left="1080" w:header="851" w:footer="992" w:gutter="0"/>
          <w:pgNumType w:fmt="decimal"/>
          <w:cols w:space="720" w:num="1"/>
          <w:docGrid w:linePitch="312" w:charSpace="0"/>
        </w:sectPr>
      </w:pPr>
    </w:p>
    <w:p w14:paraId="5A681CBA">
      <w:pPr>
        <w:pStyle w:val="3"/>
        <w:spacing w:before="0" w:line="240" w:lineRule="atLeast"/>
        <w:jc w:val="center"/>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4、技术规格偏离表</w:t>
      </w:r>
    </w:p>
    <w:p w14:paraId="3FED03B5">
      <w:pPr>
        <w:pStyle w:val="12"/>
        <w:spacing w:line="36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项目名称：                                                项目编号：                </w:t>
      </w:r>
    </w:p>
    <w:p w14:paraId="686B68B1">
      <w:pPr>
        <w:rPr>
          <w:rFonts w:hint="eastAsia"/>
          <w:color w:val="auto"/>
          <w:highlight w:val="none"/>
          <w:lang w:val="en-US" w:eastAsia="zh-CN"/>
        </w:rPr>
      </w:pPr>
    </w:p>
    <w:tbl>
      <w:tblPr>
        <w:tblStyle w:val="41"/>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250"/>
        <w:gridCol w:w="2149"/>
        <w:gridCol w:w="1204"/>
        <w:gridCol w:w="1280"/>
        <w:gridCol w:w="1213"/>
        <w:gridCol w:w="1626"/>
      </w:tblGrid>
      <w:tr w14:paraId="0FAD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80" w:type="dxa"/>
            <w:noWrap w:val="0"/>
            <w:vAlign w:val="center"/>
          </w:tcPr>
          <w:p w14:paraId="3D70A3D9">
            <w:pPr>
              <w:spacing w:line="276"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250" w:type="dxa"/>
            <w:noWrap w:val="0"/>
            <w:vAlign w:val="center"/>
          </w:tcPr>
          <w:p w14:paraId="26C38F94">
            <w:pPr>
              <w:spacing w:line="276"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标的</w:t>
            </w:r>
            <w:r>
              <w:rPr>
                <w:rFonts w:hint="eastAsia" w:ascii="微软雅黑" w:hAnsi="微软雅黑" w:eastAsia="微软雅黑" w:cs="微软雅黑"/>
                <w:color w:val="auto"/>
                <w:sz w:val="24"/>
                <w:szCs w:val="24"/>
                <w:highlight w:val="none"/>
              </w:rPr>
              <w:t>名称</w:t>
            </w:r>
          </w:p>
        </w:tc>
        <w:tc>
          <w:tcPr>
            <w:tcW w:w="2149" w:type="dxa"/>
            <w:noWrap w:val="0"/>
            <w:vAlign w:val="center"/>
          </w:tcPr>
          <w:p w14:paraId="3F67632E">
            <w:pPr>
              <w:tabs>
                <w:tab w:val="left" w:pos="444"/>
              </w:tabs>
              <w:spacing w:line="276" w:lineRule="auto"/>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招标文件条款号</w:t>
            </w:r>
          </w:p>
        </w:tc>
        <w:tc>
          <w:tcPr>
            <w:tcW w:w="1204" w:type="dxa"/>
            <w:noWrap w:val="0"/>
            <w:vAlign w:val="center"/>
          </w:tcPr>
          <w:p w14:paraId="7F2AA6AC">
            <w:pPr>
              <w:spacing w:line="276"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招标规格</w:t>
            </w:r>
          </w:p>
        </w:tc>
        <w:tc>
          <w:tcPr>
            <w:tcW w:w="1280" w:type="dxa"/>
            <w:noWrap w:val="0"/>
            <w:vAlign w:val="center"/>
          </w:tcPr>
          <w:p w14:paraId="5F5732FB">
            <w:pPr>
              <w:spacing w:line="276"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投标规格</w:t>
            </w:r>
          </w:p>
        </w:tc>
        <w:tc>
          <w:tcPr>
            <w:tcW w:w="1213" w:type="dxa"/>
            <w:noWrap w:val="0"/>
            <w:vAlign w:val="center"/>
          </w:tcPr>
          <w:p w14:paraId="73E69139">
            <w:pPr>
              <w:spacing w:line="276" w:lineRule="auto"/>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偏离情况</w:t>
            </w:r>
          </w:p>
        </w:tc>
        <w:tc>
          <w:tcPr>
            <w:tcW w:w="1626" w:type="dxa"/>
            <w:noWrap w:val="0"/>
            <w:vAlign w:val="center"/>
          </w:tcPr>
          <w:p w14:paraId="54A9273A">
            <w:pPr>
              <w:spacing w:line="276" w:lineRule="auto"/>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说明</w:t>
            </w:r>
          </w:p>
        </w:tc>
      </w:tr>
      <w:tr w14:paraId="2D5D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80" w:type="dxa"/>
            <w:noWrap w:val="0"/>
            <w:vAlign w:val="top"/>
          </w:tcPr>
          <w:p w14:paraId="0F5B32F5">
            <w:pPr>
              <w:spacing w:line="276" w:lineRule="auto"/>
              <w:rPr>
                <w:rFonts w:hint="eastAsia" w:ascii="宋体" w:hAnsi="宋体" w:eastAsia="宋体" w:cs="宋体"/>
                <w:color w:val="auto"/>
                <w:sz w:val="28"/>
                <w:szCs w:val="28"/>
                <w:highlight w:val="none"/>
              </w:rPr>
            </w:pPr>
          </w:p>
        </w:tc>
        <w:tc>
          <w:tcPr>
            <w:tcW w:w="1250" w:type="dxa"/>
            <w:noWrap w:val="0"/>
            <w:vAlign w:val="top"/>
          </w:tcPr>
          <w:p w14:paraId="2DD0E027">
            <w:pPr>
              <w:spacing w:line="276" w:lineRule="auto"/>
              <w:rPr>
                <w:rFonts w:hint="eastAsia" w:ascii="宋体" w:hAnsi="宋体" w:eastAsia="宋体" w:cs="宋体"/>
                <w:color w:val="auto"/>
                <w:sz w:val="28"/>
                <w:szCs w:val="28"/>
                <w:highlight w:val="none"/>
              </w:rPr>
            </w:pPr>
          </w:p>
        </w:tc>
        <w:tc>
          <w:tcPr>
            <w:tcW w:w="2149" w:type="dxa"/>
            <w:noWrap w:val="0"/>
            <w:vAlign w:val="top"/>
          </w:tcPr>
          <w:p w14:paraId="643158B5">
            <w:pPr>
              <w:spacing w:line="276" w:lineRule="auto"/>
              <w:rPr>
                <w:rFonts w:hint="eastAsia" w:ascii="宋体" w:hAnsi="宋体" w:eastAsia="宋体" w:cs="宋体"/>
                <w:color w:val="auto"/>
                <w:sz w:val="28"/>
                <w:szCs w:val="28"/>
                <w:highlight w:val="none"/>
              </w:rPr>
            </w:pPr>
          </w:p>
        </w:tc>
        <w:tc>
          <w:tcPr>
            <w:tcW w:w="1204" w:type="dxa"/>
            <w:noWrap w:val="0"/>
            <w:vAlign w:val="top"/>
          </w:tcPr>
          <w:p w14:paraId="6DDC848E">
            <w:pPr>
              <w:spacing w:line="276" w:lineRule="auto"/>
              <w:rPr>
                <w:rFonts w:hint="eastAsia" w:ascii="宋体" w:hAnsi="宋体" w:eastAsia="宋体" w:cs="宋体"/>
                <w:color w:val="auto"/>
                <w:sz w:val="28"/>
                <w:szCs w:val="28"/>
                <w:highlight w:val="none"/>
              </w:rPr>
            </w:pPr>
          </w:p>
        </w:tc>
        <w:tc>
          <w:tcPr>
            <w:tcW w:w="1280" w:type="dxa"/>
            <w:noWrap w:val="0"/>
            <w:vAlign w:val="top"/>
          </w:tcPr>
          <w:p w14:paraId="48E27AA6">
            <w:pPr>
              <w:spacing w:line="276" w:lineRule="auto"/>
              <w:rPr>
                <w:rFonts w:hint="eastAsia" w:ascii="宋体" w:hAnsi="宋体" w:eastAsia="宋体" w:cs="宋体"/>
                <w:color w:val="auto"/>
                <w:sz w:val="28"/>
                <w:szCs w:val="28"/>
                <w:highlight w:val="none"/>
              </w:rPr>
            </w:pPr>
          </w:p>
        </w:tc>
        <w:tc>
          <w:tcPr>
            <w:tcW w:w="1213" w:type="dxa"/>
            <w:noWrap w:val="0"/>
            <w:vAlign w:val="top"/>
          </w:tcPr>
          <w:p w14:paraId="012A5F60">
            <w:pPr>
              <w:spacing w:line="276" w:lineRule="auto"/>
              <w:rPr>
                <w:rFonts w:hint="eastAsia" w:ascii="宋体" w:hAnsi="宋体" w:eastAsia="宋体" w:cs="宋体"/>
                <w:color w:val="auto"/>
                <w:sz w:val="28"/>
                <w:szCs w:val="28"/>
                <w:highlight w:val="none"/>
              </w:rPr>
            </w:pPr>
          </w:p>
        </w:tc>
        <w:tc>
          <w:tcPr>
            <w:tcW w:w="1626" w:type="dxa"/>
            <w:noWrap w:val="0"/>
            <w:vAlign w:val="top"/>
          </w:tcPr>
          <w:p w14:paraId="0E8B0345">
            <w:pPr>
              <w:spacing w:line="276" w:lineRule="auto"/>
              <w:rPr>
                <w:rFonts w:hint="eastAsia" w:ascii="宋体" w:hAnsi="宋体" w:eastAsia="宋体" w:cs="宋体"/>
                <w:color w:val="auto"/>
                <w:sz w:val="28"/>
                <w:szCs w:val="28"/>
                <w:highlight w:val="none"/>
              </w:rPr>
            </w:pPr>
          </w:p>
        </w:tc>
      </w:tr>
      <w:tr w14:paraId="48A4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80" w:type="dxa"/>
            <w:noWrap w:val="0"/>
            <w:vAlign w:val="top"/>
          </w:tcPr>
          <w:p w14:paraId="2E0F702C">
            <w:pPr>
              <w:spacing w:line="276" w:lineRule="auto"/>
              <w:rPr>
                <w:rFonts w:hint="eastAsia" w:ascii="宋体" w:hAnsi="宋体" w:eastAsia="宋体" w:cs="宋体"/>
                <w:color w:val="auto"/>
                <w:sz w:val="28"/>
                <w:szCs w:val="28"/>
                <w:highlight w:val="none"/>
              </w:rPr>
            </w:pPr>
          </w:p>
        </w:tc>
        <w:tc>
          <w:tcPr>
            <w:tcW w:w="1250" w:type="dxa"/>
            <w:noWrap w:val="0"/>
            <w:vAlign w:val="top"/>
          </w:tcPr>
          <w:p w14:paraId="5C5677FA">
            <w:pPr>
              <w:spacing w:line="276" w:lineRule="auto"/>
              <w:rPr>
                <w:rFonts w:hint="eastAsia" w:ascii="宋体" w:hAnsi="宋体" w:eastAsia="宋体" w:cs="宋体"/>
                <w:color w:val="auto"/>
                <w:sz w:val="28"/>
                <w:szCs w:val="28"/>
                <w:highlight w:val="none"/>
              </w:rPr>
            </w:pPr>
          </w:p>
        </w:tc>
        <w:tc>
          <w:tcPr>
            <w:tcW w:w="2149" w:type="dxa"/>
            <w:noWrap w:val="0"/>
            <w:vAlign w:val="top"/>
          </w:tcPr>
          <w:p w14:paraId="73B43942">
            <w:pPr>
              <w:spacing w:line="276" w:lineRule="auto"/>
              <w:rPr>
                <w:rFonts w:hint="eastAsia" w:ascii="宋体" w:hAnsi="宋体" w:eastAsia="宋体" w:cs="宋体"/>
                <w:color w:val="auto"/>
                <w:sz w:val="28"/>
                <w:szCs w:val="28"/>
                <w:highlight w:val="none"/>
              </w:rPr>
            </w:pPr>
          </w:p>
        </w:tc>
        <w:tc>
          <w:tcPr>
            <w:tcW w:w="1204" w:type="dxa"/>
            <w:noWrap w:val="0"/>
            <w:vAlign w:val="top"/>
          </w:tcPr>
          <w:p w14:paraId="409467B1">
            <w:pPr>
              <w:spacing w:line="276" w:lineRule="auto"/>
              <w:rPr>
                <w:rFonts w:hint="eastAsia" w:ascii="宋体" w:hAnsi="宋体" w:eastAsia="宋体" w:cs="宋体"/>
                <w:color w:val="auto"/>
                <w:sz w:val="28"/>
                <w:szCs w:val="28"/>
                <w:highlight w:val="none"/>
              </w:rPr>
            </w:pPr>
          </w:p>
        </w:tc>
        <w:tc>
          <w:tcPr>
            <w:tcW w:w="1280" w:type="dxa"/>
            <w:noWrap w:val="0"/>
            <w:vAlign w:val="top"/>
          </w:tcPr>
          <w:p w14:paraId="3B61D5CF">
            <w:pPr>
              <w:spacing w:line="276" w:lineRule="auto"/>
              <w:rPr>
                <w:rFonts w:hint="eastAsia" w:ascii="宋体" w:hAnsi="宋体" w:eastAsia="宋体" w:cs="宋体"/>
                <w:color w:val="auto"/>
                <w:sz w:val="28"/>
                <w:szCs w:val="28"/>
                <w:highlight w:val="none"/>
              </w:rPr>
            </w:pPr>
          </w:p>
        </w:tc>
        <w:tc>
          <w:tcPr>
            <w:tcW w:w="1213" w:type="dxa"/>
            <w:noWrap w:val="0"/>
            <w:vAlign w:val="top"/>
          </w:tcPr>
          <w:p w14:paraId="47F62B20">
            <w:pPr>
              <w:spacing w:line="276" w:lineRule="auto"/>
              <w:rPr>
                <w:rFonts w:hint="eastAsia" w:ascii="宋体" w:hAnsi="宋体" w:eastAsia="宋体" w:cs="宋体"/>
                <w:color w:val="auto"/>
                <w:sz w:val="28"/>
                <w:szCs w:val="28"/>
                <w:highlight w:val="none"/>
              </w:rPr>
            </w:pPr>
          </w:p>
        </w:tc>
        <w:tc>
          <w:tcPr>
            <w:tcW w:w="1626" w:type="dxa"/>
            <w:noWrap w:val="0"/>
            <w:vAlign w:val="top"/>
          </w:tcPr>
          <w:p w14:paraId="6DA7C652">
            <w:pPr>
              <w:spacing w:line="276" w:lineRule="auto"/>
              <w:rPr>
                <w:rFonts w:hint="eastAsia" w:ascii="宋体" w:hAnsi="宋体" w:eastAsia="宋体" w:cs="宋体"/>
                <w:color w:val="auto"/>
                <w:sz w:val="28"/>
                <w:szCs w:val="28"/>
                <w:highlight w:val="none"/>
              </w:rPr>
            </w:pPr>
          </w:p>
        </w:tc>
      </w:tr>
      <w:tr w14:paraId="7C32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80" w:type="dxa"/>
            <w:noWrap w:val="0"/>
            <w:vAlign w:val="top"/>
          </w:tcPr>
          <w:p w14:paraId="070B72E7">
            <w:pPr>
              <w:spacing w:line="276" w:lineRule="auto"/>
              <w:rPr>
                <w:rFonts w:hint="eastAsia" w:ascii="宋体" w:hAnsi="宋体" w:eastAsia="宋体" w:cs="宋体"/>
                <w:color w:val="auto"/>
                <w:sz w:val="28"/>
                <w:szCs w:val="28"/>
                <w:highlight w:val="none"/>
              </w:rPr>
            </w:pPr>
          </w:p>
        </w:tc>
        <w:tc>
          <w:tcPr>
            <w:tcW w:w="1250" w:type="dxa"/>
            <w:noWrap w:val="0"/>
            <w:vAlign w:val="top"/>
          </w:tcPr>
          <w:p w14:paraId="5F97F51C">
            <w:pPr>
              <w:spacing w:line="276" w:lineRule="auto"/>
              <w:rPr>
                <w:rFonts w:hint="eastAsia" w:ascii="宋体" w:hAnsi="宋体" w:eastAsia="宋体" w:cs="宋体"/>
                <w:color w:val="auto"/>
                <w:sz w:val="28"/>
                <w:szCs w:val="28"/>
                <w:highlight w:val="none"/>
              </w:rPr>
            </w:pPr>
          </w:p>
        </w:tc>
        <w:tc>
          <w:tcPr>
            <w:tcW w:w="2149" w:type="dxa"/>
            <w:noWrap w:val="0"/>
            <w:vAlign w:val="top"/>
          </w:tcPr>
          <w:p w14:paraId="79B08B48">
            <w:pPr>
              <w:spacing w:line="276" w:lineRule="auto"/>
              <w:rPr>
                <w:rFonts w:hint="eastAsia" w:ascii="宋体" w:hAnsi="宋体" w:eastAsia="宋体" w:cs="宋体"/>
                <w:color w:val="auto"/>
                <w:sz w:val="28"/>
                <w:szCs w:val="28"/>
                <w:highlight w:val="none"/>
              </w:rPr>
            </w:pPr>
          </w:p>
        </w:tc>
        <w:tc>
          <w:tcPr>
            <w:tcW w:w="1204" w:type="dxa"/>
            <w:noWrap w:val="0"/>
            <w:vAlign w:val="top"/>
          </w:tcPr>
          <w:p w14:paraId="4D9C457B">
            <w:pPr>
              <w:spacing w:line="276" w:lineRule="auto"/>
              <w:rPr>
                <w:rFonts w:hint="eastAsia" w:ascii="宋体" w:hAnsi="宋体" w:eastAsia="宋体" w:cs="宋体"/>
                <w:color w:val="auto"/>
                <w:sz w:val="28"/>
                <w:szCs w:val="28"/>
                <w:highlight w:val="none"/>
              </w:rPr>
            </w:pPr>
          </w:p>
        </w:tc>
        <w:tc>
          <w:tcPr>
            <w:tcW w:w="1280" w:type="dxa"/>
            <w:noWrap w:val="0"/>
            <w:vAlign w:val="top"/>
          </w:tcPr>
          <w:p w14:paraId="70AD3CB0">
            <w:pPr>
              <w:spacing w:line="276" w:lineRule="auto"/>
              <w:rPr>
                <w:rFonts w:hint="eastAsia" w:ascii="宋体" w:hAnsi="宋体" w:eastAsia="宋体" w:cs="宋体"/>
                <w:color w:val="auto"/>
                <w:sz w:val="28"/>
                <w:szCs w:val="28"/>
                <w:highlight w:val="none"/>
              </w:rPr>
            </w:pPr>
          </w:p>
        </w:tc>
        <w:tc>
          <w:tcPr>
            <w:tcW w:w="1213" w:type="dxa"/>
            <w:noWrap w:val="0"/>
            <w:vAlign w:val="top"/>
          </w:tcPr>
          <w:p w14:paraId="207BC0FC">
            <w:pPr>
              <w:spacing w:line="276" w:lineRule="auto"/>
              <w:rPr>
                <w:rFonts w:hint="eastAsia" w:ascii="宋体" w:hAnsi="宋体" w:eastAsia="宋体" w:cs="宋体"/>
                <w:color w:val="auto"/>
                <w:sz w:val="28"/>
                <w:szCs w:val="28"/>
                <w:highlight w:val="none"/>
              </w:rPr>
            </w:pPr>
          </w:p>
        </w:tc>
        <w:tc>
          <w:tcPr>
            <w:tcW w:w="1626" w:type="dxa"/>
            <w:noWrap w:val="0"/>
            <w:vAlign w:val="top"/>
          </w:tcPr>
          <w:p w14:paraId="0F2A24A5">
            <w:pPr>
              <w:spacing w:line="276" w:lineRule="auto"/>
              <w:rPr>
                <w:rFonts w:hint="eastAsia" w:ascii="宋体" w:hAnsi="宋体" w:eastAsia="宋体" w:cs="宋体"/>
                <w:color w:val="auto"/>
                <w:sz w:val="28"/>
                <w:szCs w:val="28"/>
                <w:highlight w:val="none"/>
              </w:rPr>
            </w:pPr>
          </w:p>
        </w:tc>
      </w:tr>
      <w:tr w14:paraId="7BE2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80" w:type="dxa"/>
            <w:noWrap w:val="0"/>
            <w:vAlign w:val="top"/>
          </w:tcPr>
          <w:p w14:paraId="02F99DC1">
            <w:pPr>
              <w:spacing w:line="276" w:lineRule="auto"/>
              <w:rPr>
                <w:rFonts w:hint="eastAsia" w:ascii="宋体" w:hAnsi="宋体" w:eastAsia="宋体" w:cs="宋体"/>
                <w:color w:val="auto"/>
                <w:sz w:val="28"/>
                <w:szCs w:val="28"/>
                <w:highlight w:val="none"/>
              </w:rPr>
            </w:pPr>
          </w:p>
        </w:tc>
        <w:tc>
          <w:tcPr>
            <w:tcW w:w="1250" w:type="dxa"/>
            <w:noWrap w:val="0"/>
            <w:vAlign w:val="top"/>
          </w:tcPr>
          <w:p w14:paraId="6A5E4F6E">
            <w:pPr>
              <w:spacing w:line="276" w:lineRule="auto"/>
              <w:rPr>
                <w:rFonts w:hint="eastAsia" w:ascii="宋体" w:hAnsi="宋体" w:eastAsia="宋体" w:cs="宋体"/>
                <w:color w:val="auto"/>
                <w:sz w:val="28"/>
                <w:szCs w:val="28"/>
                <w:highlight w:val="none"/>
              </w:rPr>
            </w:pPr>
          </w:p>
        </w:tc>
        <w:tc>
          <w:tcPr>
            <w:tcW w:w="2149" w:type="dxa"/>
            <w:noWrap w:val="0"/>
            <w:vAlign w:val="top"/>
          </w:tcPr>
          <w:p w14:paraId="14C6D8FF">
            <w:pPr>
              <w:spacing w:line="276" w:lineRule="auto"/>
              <w:rPr>
                <w:rFonts w:hint="eastAsia" w:ascii="宋体" w:hAnsi="宋体" w:eastAsia="宋体" w:cs="宋体"/>
                <w:color w:val="auto"/>
                <w:sz w:val="28"/>
                <w:szCs w:val="28"/>
                <w:highlight w:val="none"/>
              </w:rPr>
            </w:pPr>
          </w:p>
        </w:tc>
        <w:tc>
          <w:tcPr>
            <w:tcW w:w="1204" w:type="dxa"/>
            <w:noWrap w:val="0"/>
            <w:vAlign w:val="top"/>
          </w:tcPr>
          <w:p w14:paraId="21EEBDD9">
            <w:pPr>
              <w:spacing w:line="276" w:lineRule="auto"/>
              <w:rPr>
                <w:rFonts w:hint="eastAsia" w:ascii="宋体" w:hAnsi="宋体" w:eastAsia="宋体" w:cs="宋体"/>
                <w:color w:val="auto"/>
                <w:sz w:val="28"/>
                <w:szCs w:val="28"/>
                <w:highlight w:val="none"/>
              </w:rPr>
            </w:pPr>
          </w:p>
        </w:tc>
        <w:tc>
          <w:tcPr>
            <w:tcW w:w="1280" w:type="dxa"/>
            <w:noWrap w:val="0"/>
            <w:vAlign w:val="top"/>
          </w:tcPr>
          <w:p w14:paraId="4E1B95C1">
            <w:pPr>
              <w:spacing w:line="276" w:lineRule="auto"/>
              <w:rPr>
                <w:rFonts w:hint="eastAsia" w:ascii="宋体" w:hAnsi="宋体" w:eastAsia="宋体" w:cs="宋体"/>
                <w:color w:val="auto"/>
                <w:sz w:val="28"/>
                <w:szCs w:val="28"/>
                <w:highlight w:val="none"/>
              </w:rPr>
            </w:pPr>
          </w:p>
        </w:tc>
        <w:tc>
          <w:tcPr>
            <w:tcW w:w="1213" w:type="dxa"/>
            <w:noWrap w:val="0"/>
            <w:vAlign w:val="top"/>
          </w:tcPr>
          <w:p w14:paraId="7F57CD63">
            <w:pPr>
              <w:spacing w:line="276" w:lineRule="auto"/>
              <w:rPr>
                <w:rFonts w:hint="eastAsia" w:ascii="宋体" w:hAnsi="宋体" w:eastAsia="宋体" w:cs="宋体"/>
                <w:color w:val="auto"/>
                <w:sz w:val="28"/>
                <w:szCs w:val="28"/>
                <w:highlight w:val="none"/>
              </w:rPr>
            </w:pPr>
          </w:p>
        </w:tc>
        <w:tc>
          <w:tcPr>
            <w:tcW w:w="1626" w:type="dxa"/>
            <w:noWrap w:val="0"/>
            <w:vAlign w:val="top"/>
          </w:tcPr>
          <w:p w14:paraId="5433EF06">
            <w:pPr>
              <w:spacing w:line="276" w:lineRule="auto"/>
              <w:rPr>
                <w:rFonts w:hint="eastAsia" w:ascii="宋体" w:hAnsi="宋体" w:eastAsia="宋体" w:cs="宋体"/>
                <w:color w:val="auto"/>
                <w:sz w:val="28"/>
                <w:szCs w:val="28"/>
                <w:highlight w:val="none"/>
              </w:rPr>
            </w:pPr>
          </w:p>
        </w:tc>
      </w:tr>
    </w:tbl>
    <w:p w14:paraId="01E5542B">
      <w:pPr>
        <w:pStyle w:val="16"/>
        <w:spacing w:line="360" w:lineRule="exact"/>
        <w:ind w:left="1080" w:leftChars="257" w:hanging="540"/>
        <w:rPr>
          <w:rFonts w:hint="eastAsia" w:ascii="微软雅黑" w:hAnsi="微软雅黑" w:eastAsia="微软雅黑" w:cs="微软雅黑"/>
          <w:color w:val="auto"/>
          <w:sz w:val="24"/>
          <w:szCs w:val="24"/>
          <w:highlight w:val="none"/>
        </w:rPr>
      </w:pPr>
    </w:p>
    <w:p w14:paraId="17ECCCD2">
      <w:pPr>
        <w:pStyle w:val="12"/>
        <w:keepNext w:val="0"/>
        <w:keepLines w:val="0"/>
        <w:pageBreakBefore w:val="0"/>
        <w:widowControl w:val="0"/>
        <w:kinsoku/>
        <w:wordWrap/>
        <w:overflowPunct/>
        <w:topLinePunct w:val="0"/>
        <w:autoSpaceDE/>
        <w:autoSpaceDN/>
        <w:bidi w:val="0"/>
        <w:adjustRightInd w:val="0"/>
        <w:snapToGrid w:val="0"/>
        <w:spacing w:before="0" w:line="240" w:lineRule="auto"/>
        <w:ind w:left="0"/>
        <w:textAlignment w:val="auto"/>
        <w:rPr>
          <w:rFonts w:hint="default"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pacing w:val="8"/>
          <w:sz w:val="23"/>
          <w:szCs w:val="23"/>
          <w:highlight w:val="none"/>
          <w:lang w:val="en-US" w:eastAsia="zh-CN"/>
        </w:rPr>
        <w:t>注：</w:t>
      </w:r>
      <w:r>
        <w:rPr>
          <w:rFonts w:hint="eastAsia" w:ascii="微软雅黑" w:hAnsi="微软雅黑" w:eastAsia="微软雅黑" w:cs="微软雅黑"/>
          <w:color w:val="auto"/>
          <w:spacing w:val="8"/>
          <w:sz w:val="23"/>
          <w:szCs w:val="23"/>
          <w:highlight w:val="none"/>
          <w:lang w:eastAsia="zh-CN"/>
        </w:rPr>
        <w:t>(1)投标人要将投标文件和招标文件技术参数及功能要求汇集成表，并根据</w:t>
      </w:r>
      <w:r>
        <w:rPr>
          <w:rFonts w:hint="eastAsia" w:ascii="微软雅黑" w:hAnsi="微软雅黑" w:eastAsia="微软雅黑" w:cs="微软雅黑"/>
          <w:color w:val="auto"/>
          <w:spacing w:val="8"/>
          <w:sz w:val="23"/>
          <w:szCs w:val="23"/>
          <w:highlight w:val="none"/>
          <w:lang w:val="en-US" w:eastAsia="zh-CN"/>
        </w:rPr>
        <w:t>投标设备的性能指标对照招标文件要求在“偏离情况”栏注明“正偏离”、“负偏离”或“无偏离”。</w:t>
      </w:r>
      <w:r>
        <w:rPr>
          <w:rFonts w:hint="eastAsia" w:ascii="微软雅黑" w:hAnsi="微软雅黑" w:eastAsia="微软雅黑" w:cs="微软雅黑"/>
          <w:color w:val="auto"/>
          <w:spacing w:val="8"/>
          <w:sz w:val="23"/>
          <w:szCs w:val="23"/>
          <w:highlight w:val="none"/>
          <w:lang w:eastAsia="zh-CN"/>
        </w:rPr>
        <w:t>(2)供应商认为有必要提供的其他说明材料。</w:t>
      </w:r>
    </w:p>
    <w:p w14:paraId="708FCDCA">
      <w:pPr>
        <w:pStyle w:val="16"/>
        <w:spacing w:line="480" w:lineRule="auto"/>
        <w:rPr>
          <w:rFonts w:hint="eastAsia" w:ascii="微软雅黑" w:hAnsi="微软雅黑" w:eastAsia="微软雅黑" w:cs="微软雅黑"/>
          <w:color w:val="auto"/>
          <w:sz w:val="24"/>
          <w:szCs w:val="24"/>
          <w:highlight w:val="none"/>
        </w:rPr>
      </w:pPr>
    </w:p>
    <w:p w14:paraId="7960B0F3">
      <w:pPr>
        <w:pStyle w:val="16"/>
        <w:spacing w:line="48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投标人名称（单位盖</w:t>
      </w:r>
      <w:r>
        <w:rPr>
          <w:rFonts w:hint="eastAsia" w:ascii="微软雅黑" w:hAnsi="微软雅黑" w:eastAsia="微软雅黑" w:cs="微软雅黑"/>
          <w:color w:val="auto"/>
          <w:sz w:val="24"/>
          <w:szCs w:val="24"/>
          <w:highlight w:val="none"/>
          <w:lang w:eastAsia="zh-CN"/>
        </w:rPr>
        <w:t>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p>
    <w:p w14:paraId="23E6AF9D">
      <w:pPr>
        <w:pStyle w:val="16"/>
        <w:spacing w:line="48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(签字或盖章):</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p>
    <w:p w14:paraId="6AA9E384">
      <w:pPr>
        <w:pStyle w:val="12"/>
        <w:keepNext w:val="0"/>
        <w:keepLines w:val="0"/>
        <w:pageBreakBefore w:val="0"/>
        <w:tabs>
          <w:tab w:val="left" w:pos="2119"/>
          <w:tab w:val="left" w:pos="2748"/>
          <w:tab w:val="left" w:pos="3379"/>
          <w:tab w:val="left" w:pos="5881"/>
          <w:tab w:val="clear" w:pos="567"/>
        </w:tabs>
        <w:kinsoku/>
        <w:wordWrap/>
        <w:overflowPunct/>
        <w:topLinePunct w:val="0"/>
        <w:bidi w:val="0"/>
        <w:spacing w:line="360" w:lineRule="auto"/>
        <w:ind w:right="3782"/>
        <w:rPr>
          <w:rFonts w:hint="eastAsia" w:ascii="微软雅黑" w:hAnsi="微软雅黑" w:eastAsia="微软雅黑" w:cs="微软雅黑"/>
          <w:color w:val="auto"/>
          <w:sz w:val="24"/>
          <w:szCs w:val="24"/>
          <w:highlight w:val="none"/>
          <w:lang w:val="en-US" w:eastAsia="zh-CN"/>
        </w:rPr>
        <w:sectPr>
          <w:pgSz w:w="11906" w:h="16838"/>
          <w:pgMar w:top="1440" w:right="1080" w:bottom="1440" w:left="1080" w:header="851" w:footer="992" w:gutter="0"/>
          <w:pgNumType w:fmt="decimal"/>
          <w:cols w:space="720" w:num="1"/>
          <w:docGrid w:linePitch="312" w:charSpace="0"/>
        </w:sect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739671EA">
      <w:pPr>
        <w:pStyle w:val="3"/>
        <w:numPr>
          <w:ilvl w:val="0"/>
          <w:numId w:val="0"/>
        </w:numPr>
        <w:spacing w:before="0" w:line="240" w:lineRule="atLeas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5、</w:t>
      </w:r>
      <w:r>
        <w:rPr>
          <w:rFonts w:hint="eastAsia" w:ascii="微软雅黑" w:hAnsi="微软雅黑" w:eastAsia="微软雅黑" w:cs="微软雅黑"/>
          <w:color w:val="auto"/>
          <w:sz w:val="28"/>
          <w:szCs w:val="28"/>
          <w:highlight w:val="none"/>
        </w:rPr>
        <w:t>商务条款偏离表</w:t>
      </w:r>
    </w:p>
    <w:p w14:paraId="50E07945">
      <w:pPr>
        <w:pStyle w:val="12"/>
        <w:spacing w:line="36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项目名称：                                                 项目编号：  </w:t>
      </w:r>
    </w:p>
    <w:p w14:paraId="3369DFDE">
      <w:pPr>
        <w:pStyle w:val="12"/>
        <w:spacing w:line="360" w:lineRule="auto"/>
        <w:rPr>
          <w:rFonts w:hint="default" w:ascii="微软雅黑" w:hAnsi="微软雅黑" w:eastAsia="微软雅黑" w:cs="微软雅黑"/>
          <w:color w:val="auto"/>
          <w:sz w:val="4"/>
          <w:szCs w:val="4"/>
          <w:highlight w:val="none"/>
          <w:lang w:val="en-US"/>
        </w:rPr>
      </w:pPr>
      <w:r>
        <w:rPr>
          <w:rFonts w:hint="eastAsia" w:ascii="微软雅黑" w:hAnsi="微软雅黑" w:eastAsia="微软雅黑" w:cs="微软雅黑"/>
          <w:color w:val="auto"/>
          <w:sz w:val="24"/>
          <w:szCs w:val="24"/>
          <w:highlight w:val="none"/>
          <w:lang w:val="en-US" w:eastAsia="zh-CN"/>
        </w:rPr>
        <w:t xml:space="preserve">               </w:t>
      </w:r>
    </w:p>
    <w:tbl>
      <w:tblPr>
        <w:tblStyle w:val="41"/>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324"/>
        <w:gridCol w:w="2066"/>
        <w:gridCol w:w="2267"/>
        <w:gridCol w:w="1417"/>
        <w:gridCol w:w="1403"/>
      </w:tblGrid>
      <w:tr w14:paraId="4907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14" w:type="dxa"/>
            <w:vMerge w:val="restart"/>
            <w:noWrap w:val="0"/>
            <w:vAlign w:val="center"/>
          </w:tcPr>
          <w:p w14:paraId="714AE47F">
            <w:pPr>
              <w:spacing w:line="276"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序号</w:t>
            </w:r>
          </w:p>
        </w:tc>
        <w:tc>
          <w:tcPr>
            <w:tcW w:w="3390" w:type="dxa"/>
            <w:gridSpan w:val="2"/>
            <w:noWrap w:val="0"/>
            <w:vAlign w:val="center"/>
          </w:tcPr>
          <w:p w14:paraId="1347B20A">
            <w:pPr>
              <w:spacing w:line="276"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招标文件</w:t>
            </w:r>
          </w:p>
        </w:tc>
        <w:tc>
          <w:tcPr>
            <w:tcW w:w="2267" w:type="dxa"/>
            <w:noWrap w:val="0"/>
            <w:vAlign w:val="center"/>
          </w:tcPr>
          <w:p w14:paraId="421C5CB6">
            <w:pPr>
              <w:spacing w:line="276"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投标文件</w:t>
            </w:r>
          </w:p>
        </w:tc>
        <w:tc>
          <w:tcPr>
            <w:tcW w:w="1417" w:type="dxa"/>
            <w:vMerge w:val="restart"/>
            <w:noWrap w:val="0"/>
            <w:vAlign w:val="center"/>
          </w:tcPr>
          <w:p w14:paraId="7D4BD9BC">
            <w:pPr>
              <w:spacing w:line="276"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偏离情况</w:t>
            </w:r>
          </w:p>
        </w:tc>
        <w:tc>
          <w:tcPr>
            <w:tcW w:w="1403" w:type="dxa"/>
            <w:vMerge w:val="restart"/>
            <w:noWrap w:val="0"/>
            <w:vAlign w:val="center"/>
          </w:tcPr>
          <w:p w14:paraId="1F4A1617">
            <w:pPr>
              <w:spacing w:line="276"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说明</w:t>
            </w:r>
          </w:p>
        </w:tc>
      </w:tr>
      <w:tr w14:paraId="50C1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14" w:type="dxa"/>
            <w:vMerge w:val="continue"/>
            <w:noWrap w:val="0"/>
            <w:vAlign w:val="center"/>
          </w:tcPr>
          <w:p w14:paraId="70F6D977">
            <w:pPr>
              <w:spacing w:line="276" w:lineRule="auto"/>
              <w:jc w:val="center"/>
              <w:rPr>
                <w:rFonts w:hint="eastAsia" w:ascii="微软雅黑" w:hAnsi="微软雅黑" w:eastAsia="微软雅黑" w:cs="微软雅黑"/>
                <w:color w:val="auto"/>
                <w:sz w:val="24"/>
                <w:szCs w:val="24"/>
                <w:highlight w:val="none"/>
              </w:rPr>
            </w:pPr>
          </w:p>
        </w:tc>
        <w:tc>
          <w:tcPr>
            <w:tcW w:w="1324" w:type="dxa"/>
            <w:noWrap w:val="0"/>
            <w:vAlign w:val="center"/>
          </w:tcPr>
          <w:p w14:paraId="34B56CB6">
            <w:pPr>
              <w:spacing w:line="276"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条款号</w:t>
            </w:r>
          </w:p>
        </w:tc>
        <w:tc>
          <w:tcPr>
            <w:tcW w:w="2066" w:type="dxa"/>
            <w:noWrap w:val="0"/>
            <w:vAlign w:val="center"/>
          </w:tcPr>
          <w:p w14:paraId="52963FCB">
            <w:pPr>
              <w:spacing w:line="276"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招标文件条款</w:t>
            </w:r>
          </w:p>
        </w:tc>
        <w:tc>
          <w:tcPr>
            <w:tcW w:w="2267" w:type="dxa"/>
            <w:noWrap w:val="0"/>
            <w:vAlign w:val="center"/>
          </w:tcPr>
          <w:p w14:paraId="0D7EE355">
            <w:pPr>
              <w:spacing w:line="276"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投标文件条款</w:t>
            </w:r>
          </w:p>
        </w:tc>
        <w:tc>
          <w:tcPr>
            <w:tcW w:w="1417" w:type="dxa"/>
            <w:vMerge w:val="continue"/>
            <w:noWrap w:val="0"/>
            <w:vAlign w:val="center"/>
          </w:tcPr>
          <w:p w14:paraId="08DE84FE">
            <w:pPr>
              <w:spacing w:line="276" w:lineRule="auto"/>
              <w:jc w:val="center"/>
              <w:rPr>
                <w:rFonts w:hint="eastAsia" w:ascii="微软雅黑" w:hAnsi="微软雅黑" w:eastAsia="微软雅黑" w:cs="微软雅黑"/>
                <w:color w:val="auto"/>
                <w:kern w:val="2"/>
                <w:sz w:val="24"/>
                <w:szCs w:val="24"/>
                <w:highlight w:val="none"/>
                <w:lang w:val="en-US" w:eastAsia="zh-CN" w:bidi="ar-SA"/>
              </w:rPr>
            </w:pPr>
          </w:p>
        </w:tc>
        <w:tc>
          <w:tcPr>
            <w:tcW w:w="1403" w:type="dxa"/>
            <w:vMerge w:val="continue"/>
            <w:noWrap w:val="0"/>
            <w:vAlign w:val="center"/>
          </w:tcPr>
          <w:p w14:paraId="0DC5E39B">
            <w:pPr>
              <w:spacing w:line="276" w:lineRule="auto"/>
              <w:jc w:val="center"/>
              <w:rPr>
                <w:rFonts w:hint="eastAsia" w:ascii="微软雅黑" w:hAnsi="微软雅黑" w:eastAsia="微软雅黑" w:cs="微软雅黑"/>
                <w:color w:val="auto"/>
                <w:kern w:val="2"/>
                <w:sz w:val="24"/>
                <w:szCs w:val="24"/>
                <w:highlight w:val="none"/>
                <w:lang w:val="en-US" w:eastAsia="zh-CN" w:bidi="ar-SA"/>
              </w:rPr>
            </w:pPr>
          </w:p>
        </w:tc>
      </w:tr>
      <w:tr w14:paraId="6A19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4" w:type="dxa"/>
            <w:noWrap w:val="0"/>
            <w:vAlign w:val="center"/>
          </w:tcPr>
          <w:p w14:paraId="3FAF158F">
            <w:pPr>
              <w:spacing w:line="276" w:lineRule="auto"/>
              <w:rPr>
                <w:rFonts w:hint="eastAsia" w:ascii="微软雅黑" w:hAnsi="微软雅黑" w:eastAsia="微软雅黑" w:cs="微软雅黑"/>
                <w:color w:val="auto"/>
                <w:sz w:val="24"/>
                <w:szCs w:val="24"/>
                <w:highlight w:val="none"/>
              </w:rPr>
            </w:pPr>
          </w:p>
        </w:tc>
        <w:tc>
          <w:tcPr>
            <w:tcW w:w="1324" w:type="dxa"/>
            <w:noWrap w:val="0"/>
            <w:vAlign w:val="center"/>
          </w:tcPr>
          <w:p w14:paraId="22EE48CE">
            <w:pPr>
              <w:spacing w:line="276" w:lineRule="auto"/>
              <w:rPr>
                <w:rFonts w:hint="eastAsia" w:ascii="微软雅黑" w:hAnsi="微软雅黑" w:eastAsia="微软雅黑" w:cs="微软雅黑"/>
                <w:color w:val="auto"/>
                <w:sz w:val="24"/>
                <w:szCs w:val="24"/>
                <w:highlight w:val="none"/>
              </w:rPr>
            </w:pPr>
          </w:p>
        </w:tc>
        <w:tc>
          <w:tcPr>
            <w:tcW w:w="2066" w:type="dxa"/>
            <w:noWrap w:val="0"/>
            <w:vAlign w:val="center"/>
          </w:tcPr>
          <w:p w14:paraId="69FB99F1">
            <w:pPr>
              <w:spacing w:line="276" w:lineRule="auto"/>
              <w:rPr>
                <w:rFonts w:hint="eastAsia" w:ascii="微软雅黑" w:hAnsi="微软雅黑" w:eastAsia="微软雅黑" w:cs="微软雅黑"/>
                <w:color w:val="auto"/>
                <w:sz w:val="24"/>
                <w:szCs w:val="24"/>
                <w:highlight w:val="none"/>
              </w:rPr>
            </w:pPr>
          </w:p>
        </w:tc>
        <w:tc>
          <w:tcPr>
            <w:tcW w:w="2267" w:type="dxa"/>
            <w:noWrap w:val="0"/>
            <w:vAlign w:val="center"/>
          </w:tcPr>
          <w:p w14:paraId="07611779">
            <w:pPr>
              <w:spacing w:line="276" w:lineRule="auto"/>
              <w:jc w:val="center"/>
              <w:rPr>
                <w:rFonts w:hint="eastAsia" w:ascii="微软雅黑" w:hAnsi="微软雅黑" w:eastAsia="微软雅黑" w:cs="微软雅黑"/>
                <w:color w:val="auto"/>
                <w:sz w:val="24"/>
                <w:szCs w:val="24"/>
                <w:highlight w:val="none"/>
              </w:rPr>
            </w:pPr>
          </w:p>
        </w:tc>
        <w:tc>
          <w:tcPr>
            <w:tcW w:w="1417" w:type="dxa"/>
            <w:noWrap w:val="0"/>
            <w:vAlign w:val="center"/>
          </w:tcPr>
          <w:p w14:paraId="21A9888D">
            <w:pPr>
              <w:spacing w:line="276" w:lineRule="auto"/>
              <w:jc w:val="center"/>
              <w:rPr>
                <w:rFonts w:hint="eastAsia" w:ascii="微软雅黑" w:hAnsi="微软雅黑" w:eastAsia="微软雅黑" w:cs="微软雅黑"/>
                <w:color w:val="auto"/>
                <w:sz w:val="24"/>
                <w:szCs w:val="24"/>
                <w:highlight w:val="none"/>
              </w:rPr>
            </w:pPr>
          </w:p>
        </w:tc>
        <w:tc>
          <w:tcPr>
            <w:tcW w:w="1403" w:type="dxa"/>
            <w:noWrap w:val="0"/>
            <w:vAlign w:val="center"/>
          </w:tcPr>
          <w:p w14:paraId="0FCB7574">
            <w:pPr>
              <w:spacing w:line="276" w:lineRule="auto"/>
              <w:jc w:val="center"/>
              <w:rPr>
                <w:rFonts w:hint="eastAsia" w:ascii="微软雅黑" w:hAnsi="微软雅黑" w:eastAsia="微软雅黑" w:cs="微软雅黑"/>
                <w:color w:val="auto"/>
                <w:sz w:val="24"/>
                <w:szCs w:val="24"/>
                <w:highlight w:val="none"/>
              </w:rPr>
            </w:pPr>
          </w:p>
        </w:tc>
      </w:tr>
      <w:tr w14:paraId="255A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14" w:type="dxa"/>
            <w:noWrap w:val="0"/>
            <w:vAlign w:val="center"/>
          </w:tcPr>
          <w:p w14:paraId="6B198B3F">
            <w:pPr>
              <w:spacing w:line="276" w:lineRule="auto"/>
              <w:rPr>
                <w:rFonts w:hint="eastAsia" w:ascii="微软雅黑" w:hAnsi="微软雅黑" w:eastAsia="微软雅黑" w:cs="微软雅黑"/>
                <w:color w:val="auto"/>
                <w:sz w:val="24"/>
                <w:szCs w:val="24"/>
                <w:highlight w:val="none"/>
              </w:rPr>
            </w:pPr>
          </w:p>
        </w:tc>
        <w:tc>
          <w:tcPr>
            <w:tcW w:w="1324" w:type="dxa"/>
            <w:noWrap w:val="0"/>
            <w:vAlign w:val="center"/>
          </w:tcPr>
          <w:p w14:paraId="751E7BEC">
            <w:pPr>
              <w:spacing w:line="276" w:lineRule="auto"/>
              <w:rPr>
                <w:rFonts w:hint="eastAsia" w:ascii="微软雅黑" w:hAnsi="微软雅黑" w:eastAsia="微软雅黑" w:cs="微软雅黑"/>
                <w:color w:val="auto"/>
                <w:sz w:val="24"/>
                <w:szCs w:val="24"/>
                <w:highlight w:val="none"/>
              </w:rPr>
            </w:pPr>
          </w:p>
        </w:tc>
        <w:tc>
          <w:tcPr>
            <w:tcW w:w="2066" w:type="dxa"/>
            <w:noWrap w:val="0"/>
            <w:vAlign w:val="center"/>
          </w:tcPr>
          <w:p w14:paraId="3777136E">
            <w:pPr>
              <w:spacing w:line="276" w:lineRule="auto"/>
              <w:rPr>
                <w:rFonts w:hint="eastAsia" w:ascii="微软雅黑" w:hAnsi="微软雅黑" w:eastAsia="微软雅黑" w:cs="微软雅黑"/>
                <w:color w:val="auto"/>
                <w:sz w:val="24"/>
                <w:szCs w:val="24"/>
                <w:highlight w:val="none"/>
              </w:rPr>
            </w:pPr>
          </w:p>
        </w:tc>
        <w:tc>
          <w:tcPr>
            <w:tcW w:w="2267" w:type="dxa"/>
            <w:noWrap w:val="0"/>
            <w:vAlign w:val="center"/>
          </w:tcPr>
          <w:p w14:paraId="544C4AD4">
            <w:pPr>
              <w:spacing w:line="276" w:lineRule="auto"/>
              <w:jc w:val="center"/>
              <w:rPr>
                <w:rFonts w:hint="eastAsia" w:ascii="微软雅黑" w:hAnsi="微软雅黑" w:eastAsia="微软雅黑" w:cs="微软雅黑"/>
                <w:color w:val="auto"/>
                <w:sz w:val="24"/>
                <w:szCs w:val="24"/>
                <w:highlight w:val="none"/>
              </w:rPr>
            </w:pPr>
          </w:p>
        </w:tc>
        <w:tc>
          <w:tcPr>
            <w:tcW w:w="1417" w:type="dxa"/>
            <w:noWrap w:val="0"/>
            <w:vAlign w:val="center"/>
          </w:tcPr>
          <w:p w14:paraId="73296B25">
            <w:pPr>
              <w:spacing w:line="276" w:lineRule="auto"/>
              <w:jc w:val="center"/>
              <w:rPr>
                <w:rFonts w:hint="eastAsia" w:ascii="微软雅黑" w:hAnsi="微软雅黑" w:eastAsia="微软雅黑" w:cs="微软雅黑"/>
                <w:color w:val="auto"/>
                <w:sz w:val="24"/>
                <w:szCs w:val="24"/>
                <w:highlight w:val="none"/>
              </w:rPr>
            </w:pPr>
          </w:p>
        </w:tc>
        <w:tc>
          <w:tcPr>
            <w:tcW w:w="1403" w:type="dxa"/>
            <w:noWrap w:val="0"/>
            <w:vAlign w:val="center"/>
          </w:tcPr>
          <w:p w14:paraId="1718E16C">
            <w:pPr>
              <w:spacing w:line="276" w:lineRule="auto"/>
              <w:jc w:val="center"/>
              <w:rPr>
                <w:rFonts w:hint="eastAsia" w:ascii="微软雅黑" w:hAnsi="微软雅黑" w:eastAsia="微软雅黑" w:cs="微软雅黑"/>
                <w:color w:val="auto"/>
                <w:sz w:val="24"/>
                <w:szCs w:val="24"/>
                <w:highlight w:val="none"/>
              </w:rPr>
            </w:pPr>
          </w:p>
        </w:tc>
      </w:tr>
      <w:tr w14:paraId="6FE2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14" w:type="dxa"/>
            <w:noWrap w:val="0"/>
            <w:vAlign w:val="center"/>
          </w:tcPr>
          <w:p w14:paraId="23D29A3A">
            <w:pPr>
              <w:spacing w:line="276" w:lineRule="auto"/>
              <w:rPr>
                <w:rFonts w:hint="eastAsia" w:ascii="微软雅黑" w:hAnsi="微软雅黑" w:eastAsia="微软雅黑" w:cs="微软雅黑"/>
                <w:color w:val="auto"/>
                <w:sz w:val="24"/>
                <w:szCs w:val="24"/>
                <w:highlight w:val="none"/>
              </w:rPr>
            </w:pPr>
          </w:p>
        </w:tc>
        <w:tc>
          <w:tcPr>
            <w:tcW w:w="1324" w:type="dxa"/>
            <w:noWrap w:val="0"/>
            <w:vAlign w:val="center"/>
          </w:tcPr>
          <w:p w14:paraId="08902373">
            <w:pPr>
              <w:spacing w:line="276" w:lineRule="auto"/>
              <w:rPr>
                <w:rFonts w:hint="eastAsia" w:ascii="微软雅黑" w:hAnsi="微软雅黑" w:eastAsia="微软雅黑" w:cs="微软雅黑"/>
                <w:color w:val="auto"/>
                <w:sz w:val="24"/>
                <w:szCs w:val="24"/>
                <w:highlight w:val="none"/>
              </w:rPr>
            </w:pPr>
          </w:p>
        </w:tc>
        <w:tc>
          <w:tcPr>
            <w:tcW w:w="2066" w:type="dxa"/>
            <w:noWrap w:val="0"/>
            <w:vAlign w:val="center"/>
          </w:tcPr>
          <w:p w14:paraId="754BB2E9">
            <w:pPr>
              <w:spacing w:line="276" w:lineRule="auto"/>
              <w:rPr>
                <w:rFonts w:hint="eastAsia" w:ascii="微软雅黑" w:hAnsi="微软雅黑" w:eastAsia="微软雅黑" w:cs="微软雅黑"/>
                <w:color w:val="auto"/>
                <w:sz w:val="24"/>
                <w:szCs w:val="24"/>
                <w:highlight w:val="none"/>
              </w:rPr>
            </w:pPr>
          </w:p>
        </w:tc>
        <w:tc>
          <w:tcPr>
            <w:tcW w:w="2267" w:type="dxa"/>
            <w:noWrap w:val="0"/>
            <w:vAlign w:val="center"/>
          </w:tcPr>
          <w:p w14:paraId="41DF00FF">
            <w:pPr>
              <w:spacing w:line="276" w:lineRule="auto"/>
              <w:jc w:val="center"/>
              <w:rPr>
                <w:rFonts w:hint="eastAsia" w:ascii="微软雅黑" w:hAnsi="微软雅黑" w:eastAsia="微软雅黑" w:cs="微软雅黑"/>
                <w:color w:val="auto"/>
                <w:sz w:val="24"/>
                <w:szCs w:val="24"/>
                <w:highlight w:val="none"/>
              </w:rPr>
            </w:pPr>
          </w:p>
        </w:tc>
        <w:tc>
          <w:tcPr>
            <w:tcW w:w="1417" w:type="dxa"/>
            <w:noWrap w:val="0"/>
            <w:vAlign w:val="center"/>
          </w:tcPr>
          <w:p w14:paraId="10513E93">
            <w:pPr>
              <w:spacing w:line="276" w:lineRule="auto"/>
              <w:jc w:val="center"/>
              <w:rPr>
                <w:rFonts w:hint="eastAsia" w:ascii="微软雅黑" w:hAnsi="微软雅黑" w:eastAsia="微软雅黑" w:cs="微软雅黑"/>
                <w:color w:val="auto"/>
                <w:sz w:val="24"/>
                <w:szCs w:val="24"/>
                <w:highlight w:val="none"/>
              </w:rPr>
            </w:pPr>
          </w:p>
        </w:tc>
        <w:tc>
          <w:tcPr>
            <w:tcW w:w="1403" w:type="dxa"/>
            <w:noWrap w:val="0"/>
            <w:vAlign w:val="center"/>
          </w:tcPr>
          <w:p w14:paraId="48DE0162">
            <w:pPr>
              <w:spacing w:line="276" w:lineRule="auto"/>
              <w:jc w:val="center"/>
              <w:rPr>
                <w:rFonts w:hint="eastAsia" w:ascii="微软雅黑" w:hAnsi="微软雅黑" w:eastAsia="微软雅黑" w:cs="微软雅黑"/>
                <w:color w:val="auto"/>
                <w:sz w:val="24"/>
                <w:szCs w:val="24"/>
                <w:highlight w:val="none"/>
              </w:rPr>
            </w:pPr>
          </w:p>
        </w:tc>
      </w:tr>
      <w:tr w14:paraId="7567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14" w:type="dxa"/>
            <w:noWrap w:val="0"/>
            <w:vAlign w:val="center"/>
          </w:tcPr>
          <w:p w14:paraId="45992759">
            <w:pPr>
              <w:spacing w:line="276" w:lineRule="auto"/>
              <w:rPr>
                <w:rFonts w:hint="eastAsia" w:ascii="微软雅黑" w:hAnsi="微软雅黑" w:eastAsia="微软雅黑" w:cs="微软雅黑"/>
                <w:color w:val="auto"/>
                <w:sz w:val="24"/>
                <w:szCs w:val="24"/>
                <w:highlight w:val="none"/>
              </w:rPr>
            </w:pPr>
          </w:p>
        </w:tc>
        <w:tc>
          <w:tcPr>
            <w:tcW w:w="1324" w:type="dxa"/>
            <w:noWrap w:val="0"/>
            <w:vAlign w:val="center"/>
          </w:tcPr>
          <w:p w14:paraId="5F482747">
            <w:pPr>
              <w:spacing w:line="276" w:lineRule="auto"/>
              <w:rPr>
                <w:rFonts w:hint="eastAsia" w:ascii="微软雅黑" w:hAnsi="微软雅黑" w:eastAsia="微软雅黑" w:cs="微软雅黑"/>
                <w:color w:val="auto"/>
                <w:sz w:val="24"/>
                <w:szCs w:val="24"/>
                <w:highlight w:val="none"/>
              </w:rPr>
            </w:pPr>
          </w:p>
        </w:tc>
        <w:tc>
          <w:tcPr>
            <w:tcW w:w="2066" w:type="dxa"/>
            <w:noWrap w:val="0"/>
            <w:vAlign w:val="center"/>
          </w:tcPr>
          <w:p w14:paraId="4E754A89">
            <w:pPr>
              <w:spacing w:line="276" w:lineRule="auto"/>
              <w:rPr>
                <w:rFonts w:hint="eastAsia" w:ascii="微软雅黑" w:hAnsi="微软雅黑" w:eastAsia="微软雅黑" w:cs="微软雅黑"/>
                <w:color w:val="auto"/>
                <w:sz w:val="24"/>
                <w:szCs w:val="24"/>
                <w:highlight w:val="none"/>
              </w:rPr>
            </w:pPr>
          </w:p>
        </w:tc>
        <w:tc>
          <w:tcPr>
            <w:tcW w:w="2267" w:type="dxa"/>
            <w:noWrap w:val="0"/>
            <w:vAlign w:val="center"/>
          </w:tcPr>
          <w:p w14:paraId="59BE8951">
            <w:pPr>
              <w:spacing w:line="276" w:lineRule="auto"/>
              <w:jc w:val="center"/>
              <w:rPr>
                <w:rFonts w:hint="eastAsia" w:ascii="微软雅黑" w:hAnsi="微软雅黑" w:eastAsia="微软雅黑" w:cs="微软雅黑"/>
                <w:color w:val="auto"/>
                <w:sz w:val="24"/>
                <w:szCs w:val="24"/>
                <w:highlight w:val="none"/>
              </w:rPr>
            </w:pPr>
          </w:p>
        </w:tc>
        <w:tc>
          <w:tcPr>
            <w:tcW w:w="1417" w:type="dxa"/>
            <w:noWrap w:val="0"/>
            <w:vAlign w:val="center"/>
          </w:tcPr>
          <w:p w14:paraId="2937C941">
            <w:pPr>
              <w:spacing w:line="276" w:lineRule="auto"/>
              <w:jc w:val="center"/>
              <w:rPr>
                <w:rFonts w:hint="eastAsia" w:ascii="微软雅黑" w:hAnsi="微软雅黑" w:eastAsia="微软雅黑" w:cs="微软雅黑"/>
                <w:color w:val="auto"/>
                <w:sz w:val="24"/>
                <w:szCs w:val="24"/>
                <w:highlight w:val="none"/>
              </w:rPr>
            </w:pPr>
          </w:p>
        </w:tc>
        <w:tc>
          <w:tcPr>
            <w:tcW w:w="1403" w:type="dxa"/>
            <w:noWrap w:val="0"/>
            <w:vAlign w:val="center"/>
          </w:tcPr>
          <w:p w14:paraId="223315C3">
            <w:pPr>
              <w:spacing w:line="276" w:lineRule="auto"/>
              <w:jc w:val="center"/>
              <w:rPr>
                <w:rFonts w:hint="eastAsia" w:ascii="微软雅黑" w:hAnsi="微软雅黑" w:eastAsia="微软雅黑" w:cs="微软雅黑"/>
                <w:color w:val="auto"/>
                <w:sz w:val="24"/>
                <w:szCs w:val="24"/>
                <w:highlight w:val="none"/>
              </w:rPr>
            </w:pPr>
          </w:p>
        </w:tc>
      </w:tr>
      <w:tr w14:paraId="7DCA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14" w:type="dxa"/>
            <w:noWrap w:val="0"/>
            <w:vAlign w:val="center"/>
          </w:tcPr>
          <w:p w14:paraId="0978A8A3">
            <w:pPr>
              <w:spacing w:line="276" w:lineRule="auto"/>
              <w:rPr>
                <w:rFonts w:hint="eastAsia" w:ascii="微软雅黑" w:hAnsi="微软雅黑" w:eastAsia="微软雅黑" w:cs="微软雅黑"/>
                <w:color w:val="auto"/>
                <w:sz w:val="24"/>
                <w:szCs w:val="24"/>
                <w:highlight w:val="none"/>
              </w:rPr>
            </w:pPr>
          </w:p>
        </w:tc>
        <w:tc>
          <w:tcPr>
            <w:tcW w:w="1324" w:type="dxa"/>
            <w:noWrap w:val="0"/>
            <w:vAlign w:val="center"/>
          </w:tcPr>
          <w:p w14:paraId="41EE9FC9">
            <w:pPr>
              <w:spacing w:line="276" w:lineRule="auto"/>
              <w:rPr>
                <w:rFonts w:hint="eastAsia" w:ascii="微软雅黑" w:hAnsi="微软雅黑" w:eastAsia="微软雅黑" w:cs="微软雅黑"/>
                <w:color w:val="auto"/>
                <w:sz w:val="24"/>
                <w:szCs w:val="24"/>
                <w:highlight w:val="none"/>
              </w:rPr>
            </w:pPr>
          </w:p>
        </w:tc>
        <w:tc>
          <w:tcPr>
            <w:tcW w:w="2066" w:type="dxa"/>
            <w:noWrap w:val="0"/>
            <w:vAlign w:val="center"/>
          </w:tcPr>
          <w:p w14:paraId="545150CA">
            <w:pPr>
              <w:spacing w:line="276" w:lineRule="auto"/>
              <w:rPr>
                <w:rFonts w:hint="eastAsia" w:ascii="微软雅黑" w:hAnsi="微软雅黑" w:eastAsia="微软雅黑" w:cs="微软雅黑"/>
                <w:color w:val="auto"/>
                <w:sz w:val="24"/>
                <w:szCs w:val="24"/>
                <w:highlight w:val="none"/>
              </w:rPr>
            </w:pPr>
          </w:p>
        </w:tc>
        <w:tc>
          <w:tcPr>
            <w:tcW w:w="2267" w:type="dxa"/>
            <w:noWrap w:val="0"/>
            <w:vAlign w:val="center"/>
          </w:tcPr>
          <w:p w14:paraId="2350B0B1">
            <w:pPr>
              <w:spacing w:line="276" w:lineRule="auto"/>
              <w:jc w:val="center"/>
              <w:rPr>
                <w:rFonts w:hint="eastAsia" w:ascii="微软雅黑" w:hAnsi="微软雅黑" w:eastAsia="微软雅黑" w:cs="微软雅黑"/>
                <w:color w:val="auto"/>
                <w:sz w:val="24"/>
                <w:szCs w:val="24"/>
                <w:highlight w:val="none"/>
              </w:rPr>
            </w:pPr>
          </w:p>
        </w:tc>
        <w:tc>
          <w:tcPr>
            <w:tcW w:w="1417" w:type="dxa"/>
            <w:noWrap w:val="0"/>
            <w:vAlign w:val="center"/>
          </w:tcPr>
          <w:p w14:paraId="4FF78455">
            <w:pPr>
              <w:spacing w:line="276" w:lineRule="auto"/>
              <w:jc w:val="center"/>
              <w:rPr>
                <w:rFonts w:hint="eastAsia" w:ascii="微软雅黑" w:hAnsi="微软雅黑" w:eastAsia="微软雅黑" w:cs="微软雅黑"/>
                <w:color w:val="auto"/>
                <w:sz w:val="24"/>
                <w:szCs w:val="24"/>
                <w:highlight w:val="none"/>
              </w:rPr>
            </w:pPr>
          </w:p>
        </w:tc>
        <w:tc>
          <w:tcPr>
            <w:tcW w:w="1403" w:type="dxa"/>
            <w:noWrap w:val="0"/>
            <w:vAlign w:val="center"/>
          </w:tcPr>
          <w:p w14:paraId="5ACD7C1D">
            <w:pPr>
              <w:spacing w:line="276" w:lineRule="auto"/>
              <w:jc w:val="center"/>
              <w:rPr>
                <w:rFonts w:hint="eastAsia" w:ascii="微软雅黑" w:hAnsi="微软雅黑" w:eastAsia="微软雅黑" w:cs="微软雅黑"/>
                <w:color w:val="auto"/>
                <w:sz w:val="24"/>
                <w:szCs w:val="24"/>
                <w:highlight w:val="none"/>
              </w:rPr>
            </w:pPr>
          </w:p>
        </w:tc>
      </w:tr>
      <w:tr w14:paraId="1569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14" w:type="dxa"/>
            <w:noWrap w:val="0"/>
            <w:vAlign w:val="center"/>
          </w:tcPr>
          <w:p w14:paraId="2F5CBAF6">
            <w:pPr>
              <w:spacing w:line="276" w:lineRule="auto"/>
              <w:rPr>
                <w:rFonts w:hint="eastAsia" w:ascii="微软雅黑" w:hAnsi="微软雅黑" w:eastAsia="微软雅黑" w:cs="微软雅黑"/>
                <w:color w:val="auto"/>
                <w:sz w:val="24"/>
                <w:szCs w:val="24"/>
                <w:highlight w:val="none"/>
              </w:rPr>
            </w:pPr>
          </w:p>
        </w:tc>
        <w:tc>
          <w:tcPr>
            <w:tcW w:w="1324" w:type="dxa"/>
            <w:noWrap w:val="0"/>
            <w:vAlign w:val="center"/>
          </w:tcPr>
          <w:p w14:paraId="4C69ABF8">
            <w:pPr>
              <w:spacing w:line="276" w:lineRule="auto"/>
              <w:rPr>
                <w:rFonts w:hint="eastAsia" w:ascii="微软雅黑" w:hAnsi="微软雅黑" w:eastAsia="微软雅黑" w:cs="微软雅黑"/>
                <w:color w:val="auto"/>
                <w:sz w:val="24"/>
                <w:szCs w:val="24"/>
                <w:highlight w:val="none"/>
              </w:rPr>
            </w:pPr>
          </w:p>
        </w:tc>
        <w:tc>
          <w:tcPr>
            <w:tcW w:w="2066" w:type="dxa"/>
            <w:noWrap w:val="0"/>
            <w:vAlign w:val="center"/>
          </w:tcPr>
          <w:p w14:paraId="78F37F5C">
            <w:pPr>
              <w:spacing w:line="276" w:lineRule="auto"/>
              <w:rPr>
                <w:rFonts w:hint="eastAsia" w:ascii="微软雅黑" w:hAnsi="微软雅黑" w:eastAsia="微软雅黑" w:cs="微软雅黑"/>
                <w:color w:val="auto"/>
                <w:sz w:val="24"/>
                <w:szCs w:val="24"/>
                <w:highlight w:val="none"/>
              </w:rPr>
            </w:pPr>
          </w:p>
        </w:tc>
        <w:tc>
          <w:tcPr>
            <w:tcW w:w="2267" w:type="dxa"/>
            <w:noWrap w:val="0"/>
            <w:vAlign w:val="center"/>
          </w:tcPr>
          <w:p w14:paraId="51158083">
            <w:pPr>
              <w:spacing w:line="276" w:lineRule="auto"/>
              <w:jc w:val="center"/>
              <w:rPr>
                <w:rFonts w:hint="eastAsia" w:ascii="微软雅黑" w:hAnsi="微软雅黑" w:eastAsia="微软雅黑" w:cs="微软雅黑"/>
                <w:color w:val="auto"/>
                <w:sz w:val="24"/>
                <w:szCs w:val="24"/>
                <w:highlight w:val="none"/>
              </w:rPr>
            </w:pPr>
          </w:p>
        </w:tc>
        <w:tc>
          <w:tcPr>
            <w:tcW w:w="1417" w:type="dxa"/>
            <w:noWrap w:val="0"/>
            <w:vAlign w:val="center"/>
          </w:tcPr>
          <w:p w14:paraId="210B4EF0">
            <w:pPr>
              <w:spacing w:line="276" w:lineRule="auto"/>
              <w:jc w:val="center"/>
              <w:rPr>
                <w:rFonts w:hint="eastAsia" w:ascii="微软雅黑" w:hAnsi="微软雅黑" w:eastAsia="微软雅黑" w:cs="微软雅黑"/>
                <w:color w:val="auto"/>
                <w:sz w:val="24"/>
                <w:szCs w:val="24"/>
                <w:highlight w:val="none"/>
              </w:rPr>
            </w:pPr>
          </w:p>
        </w:tc>
        <w:tc>
          <w:tcPr>
            <w:tcW w:w="1403" w:type="dxa"/>
            <w:noWrap w:val="0"/>
            <w:vAlign w:val="center"/>
          </w:tcPr>
          <w:p w14:paraId="20E41358">
            <w:pPr>
              <w:spacing w:line="276" w:lineRule="auto"/>
              <w:jc w:val="center"/>
              <w:rPr>
                <w:rFonts w:hint="eastAsia" w:ascii="微软雅黑" w:hAnsi="微软雅黑" w:eastAsia="微软雅黑" w:cs="微软雅黑"/>
                <w:color w:val="auto"/>
                <w:sz w:val="24"/>
                <w:szCs w:val="24"/>
                <w:highlight w:val="none"/>
              </w:rPr>
            </w:pPr>
          </w:p>
        </w:tc>
      </w:tr>
      <w:tr w14:paraId="49E6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4" w:type="dxa"/>
            <w:noWrap w:val="0"/>
            <w:vAlign w:val="center"/>
          </w:tcPr>
          <w:p w14:paraId="253B56CB">
            <w:pPr>
              <w:spacing w:line="276" w:lineRule="auto"/>
              <w:rPr>
                <w:rFonts w:hint="eastAsia" w:ascii="微软雅黑" w:hAnsi="微软雅黑" w:eastAsia="微软雅黑" w:cs="微软雅黑"/>
                <w:color w:val="auto"/>
                <w:sz w:val="24"/>
                <w:szCs w:val="24"/>
                <w:highlight w:val="none"/>
              </w:rPr>
            </w:pPr>
          </w:p>
        </w:tc>
        <w:tc>
          <w:tcPr>
            <w:tcW w:w="1324" w:type="dxa"/>
            <w:noWrap w:val="0"/>
            <w:vAlign w:val="center"/>
          </w:tcPr>
          <w:p w14:paraId="4F27C809">
            <w:pPr>
              <w:spacing w:line="276" w:lineRule="auto"/>
              <w:rPr>
                <w:rFonts w:hint="eastAsia" w:ascii="微软雅黑" w:hAnsi="微软雅黑" w:eastAsia="微软雅黑" w:cs="微软雅黑"/>
                <w:color w:val="auto"/>
                <w:sz w:val="24"/>
                <w:szCs w:val="24"/>
                <w:highlight w:val="none"/>
              </w:rPr>
            </w:pPr>
          </w:p>
        </w:tc>
        <w:tc>
          <w:tcPr>
            <w:tcW w:w="2066" w:type="dxa"/>
            <w:noWrap w:val="0"/>
            <w:vAlign w:val="center"/>
          </w:tcPr>
          <w:p w14:paraId="1FF47D57">
            <w:pPr>
              <w:spacing w:line="276" w:lineRule="auto"/>
              <w:rPr>
                <w:rFonts w:hint="eastAsia" w:ascii="微软雅黑" w:hAnsi="微软雅黑" w:eastAsia="微软雅黑" w:cs="微软雅黑"/>
                <w:color w:val="auto"/>
                <w:sz w:val="24"/>
                <w:szCs w:val="24"/>
                <w:highlight w:val="none"/>
              </w:rPr>
            </w:pPr>
          </w:p>
        </w:tc>
        <w:tc>
          <w:tcPr>
            <w:tcW w:w="2267" w:type="dxa"/>
            <w:noWrap w:val="0"/>
            <w:vAlign w:val="center"/>
          </w:tcPr>
          <w:p w14:paraId="75F23FEB">
            <w:pPr>
              <w:spacing w:line="276" w:lineRule="auto"/>
              <w:jc w:val="center"/>
              <w:rPr>
                <w:rFonts w:hint="eastAsia" w:ascii="微软雅黑" w:hAnsi="微软雅黑" w:eastAsia="微软雅黑" w:cs="微软雅黑"/>
                <w:color w:val="auto"/>
                <w:sz w:val="24"/>
                <w:szCs w:val="24"/>
                <w:highlight w:val="none"/>
              </w:rPr>
            </w:pPr>
          </w:p>
        </w:tc>
        <w:tc>
          <w:tcPr>
            <w:tcW w:w="1417" w:type="dxa"/>
            <w:noWrap w:val="0"/>
            <w:vAlign w:val="center"/>
          </w:tcPr>
          <w:p w14:paraId="05C22EE3">
            <w:pPr>
              <w:spacing w:line="276" w:lineRule="auto"/>
              <w:jc w:val="center"/>
              <w:rPr>
                <w:rFonts w:hint="eastAsia" w:ascii="微软雅黑" w:hAnsi="微软雅黑" w:eastAsia="微软雅黑" w:cs="微软雅黑"/>
                <w:color w:val="auto"/>
                <w:sz w:val="24"/>
                <w:szCs w:val="24"/>
                <w:highlight w:val="none"/>
              </w:rPr>
            </w:pPr>
          </w:p>
        </w:tc>
        <w:tc>
          <w:tcPr>
            <w:tcW w:w="1403" w:type="dxa"/>
            <w:noWrap w:val="0"/>
            <w:vAlign w:val="center"/>
          </w:tcPr>
          <w:p w14:paraId="4456656A">
            <w:pPr>
              <w:spacing w:line="276" w:lineRule="auto"/>
              <w:jc w:val="center"/>
              <w:rPr>
                <w:rFonts w:hint="eastAsia" w:ascii="微软雅黑" w:hAnsi="微软雅黑" w:eastAsia="微软雅黑" w:cs="微软雅黑"/>
                <w:color w:val="auto"/>
                <w:sz w:val="24"/>
                <w:szCs w:val="24"/>
                <w:highlight w:val="none"/>
              </w:rPr>
            </w:pPr>
          </w:p>
        </w:tc>
      </w:tr>
    </w:tbl>
    <w:p w14:paraId="1105B536">
      <w:pPr>
        <w:adjustRightInd w:val="0"/>
        <w:snapToGrid w:val="0"/>
        <w:spacing w:line="276" w:lineRule="auto"/>
        <w:ind w:right="480"/>
        <w:rPr>
          <w:rFonts w:hint="eastAsia" w:ascii="微软雅黑" w:hAnsi="微软雅黑" w:eastAsia="微软雅黑" w:cs="微软雅黑"/>
          <w:color w:val="auto"/>
          <w:spacing w:val="8"/>
          <w:kern w:val="2"/>
          <w:sz w:val="23"/>
          <w:szCs w:val="23"/>
          <w:highlight w:val="none"/>
          <w:lang w:val="en-US" w:eastAsia="zh-CN" w:bidi="ar-SA"/>
        </w:rPr>
      </w:pPr>
    </w:p>
    <w:p w14:paraId="29B3F94A">
      <w:pPr>
        <w:adjustRightInd w:val="0"/>
        <w:snapToGrid w:val="0"/>
        <w:spacing w:line="240" w:lineRule="auto"/>
        <w:ind w:right="0"/>
        <w:rPr>
          <w:rFonts w:hint="eastAsia" w:ascii="微软雅黑" w:hAnsi="微软雅黑" w:eastAsia="微软雅黑" w:cs="微软雅黑"/>
          <w:color w:val="auto"/>
          <w:spacing w:val="8"/>
          <w:kern w:val="2"/>
          <w:sz w:val="23"/>
          <w:szCs w:val="23"/>
          <w:highlight w:val="none"/>
          <w:lang w:val="en-US" w:eastAsia="zh-CN" w:bidi="ar-SA"/>
        </w:rPr>
      </w:pPr>
      <w:r>
        <w:rPr>
          <w:rFonts w:hint="eastAsia" w:ascii="微软雅黑" w:hAnsi="微软雅黑" w:eastAsia="微软雅黑" w:cs="微软雅黑"/>
          <w:color w:val="auto"/>
          <w:spacing w:val="8"/>
          <w:kern w:val="2"/>
          <w:sz w:val="23"/>
          <w:szCs w:val="23"/>
          <w:highlight w:val="none"/>
          <w:lang w:val="en-US" w:eastAsia="zh-CN" w:bidi="ar-SA"/>
        </w:rPr>
        <w:t>注：商务要求不限于交付（实施）的时间（期限）和地点（范围），付款条件（进度和方式），运输，售后服务，保险等；投标人要将投标文件和招标文件在商务部分汇集成表。</w:t>
      </w:r>
    </w:p>
    <w:p w14:paraId="4659E236">
      <w:pPr>
        <w:pStyle w:val="16"/>
        <w:spacing w:line="360" w:lineRule="auto"/>
        <w:rPr>
          <w:rFonts w:hint="eastAsia" w:ascii="微软雅黑" w:hAnsi="微软雅黑" w:eastAsia="微软雅黑" w:cs="微软雅黑"/>
          <w:color w:val="auto"/>
          <w:sz w:val="24"/>
          <w:szCs w:val="24"/>
          <w:highlight w:val="none"/>
        </w:rPr>
      </w:pPr>
    </w:p>
    <w:p w14:paraId="6788C31B">
      <w:pPr>
        <w:pStyle w:val="16"/>
        <w:spacing w:line="36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投标人名称（单位盖</w:t>
      </w:r>
      <w:r>
        <w:rPr>
          <w:rFonts w:hint="eastAsia" w:ascii="微软雅黑" w:hAnsi="微软雅黑" w:eastAsia="微软雅黑" w:cs="微软雅黑"/>
          <w:color w:val="auto"/>
          <w:sz w:val="24"/>
          <w:szCs w:val="24"/>
          <w:highlight w:val="none"/>
          <w:lang w:eastAsia="zh-CN"/>
        </w:rPr>
        <w:t>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p>
    <w:p w14:paraId="167F14A6">
      <w:pPr>
        <w:pStyle w:val="16"/>
        <w:spacing w:line="36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法定代表人或委托代</w:t>
      </w:r>
      <w:r>
        <w:rPr>
          <w:rFonts w:hint="eastAsia" w:ascii="微软雅黑" w:hAnsi="微软雅黑" w:eastAsia="微软雅黑" w:cs="微软雅黑"/>
          <w:color w:val="auto"/>
          <w:sz w:val="24"/>
          <w:szCs w:val="24"/>
          <w:highlight w:val="none"/>
          <w:lang w:eastAsia="zh-CN"/>
        </w:rPr>
        <w:t>理人</w:t>
      </w:r>
      <w:r>
        <w:rPr>
          <w:rFonts w:hint="eastAsia" w:ascii="微软雅黑" w:hAnsi="微软雅黑" w:eastAsia="微软雅黑" w:cs="微软雅黑"/>
          <w:color w:val="auto"/>
          <w:sz w:val="24"/>
          <w:szCs w:val="24"/>
          <w:highlight w:val="none"/>
        </w:rPr>
        <w:t>(签字或盖章):</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p>
    <w:p w14:paraId="1D11437D">
      <w:pPr>
        <w:pStyle w:val="12"/>
        <w:keepNext w:val="0"/>
        <w:keepLines w:val="0"/>
        <w:pageBreakBefore w:val="0"/>
        <w:tabs>
          <w:tab w:val="left" w:pos="2119"/>
          <w:tab w:val="left" w:pos="2748"/>
          <w:tab w:val="left" w:pos="3379"/>
          <w:tab w:val="left" w:pos="5881"/>
          <w:tab w:val="clear" w:pos="567"/>
        </w:tabs>
        <w:kinsoku/>
        <w:wordWrap/>
        <w:overflowPunct/>
        <w:topLinePunct w:val="0"/>
        <w:bidi w:val="0"/>
        <w:spacing w:line="360" w:lineRule="auto"/>
        <w:ind w:right="3782"/>
        <w:rPr>
          <w:rFonts w:hint="eastAsia" w:ascii="微软雅黑" w:hAnsi="微软雅黑" w:eastAsia="微软雅黑" w:cs="微软雅黑"/>
          <w:color w:val="auto"/>
          <w:sz w:val="24"/>
          <w:szCs w:val="24"/>
          <w:highlight w:val="none"/>
          <w:lang w:val="en-US" w:eastAsia="zh-CN"/>
        </w:rPr>
        <w:sectPr>
          <w:pgSz w:w="11906" w:h="16838"/>
          <w:pgMar w:top="1440" w:right="1080" w:bottom="1440" w:left="1080" w:header="851" w:footer="992" w:gutter="0"/>
          <w:pgNumType w:fmt="decimal"/>
          <w:cols w:space="720" w:num="1"/>
          <w:docGrid w:linePitch="312" w:charSpace="0"/>
        </w:sect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4F5B2219">
      <w:pPr>
        <w:widowControl/>
        <w:shd w:val="clear" w:color="auto" w:fill="auto"/>
        <w:spacing w:before="100" w:beforeAutospacing="1" w:after="100" w:afterAutospacing="1" w:line="330" w:lineRule="atLeast"/>
        <w:jc w:val="center"/>
        <w:rPr>
          <w:rFonts w:hint="eastAsia" w:ascii="微软雅黑" w:hAnsi="微软雅黑" w:eastAsia="微软雅黑" w:cs="微软雅黑"/>
          <w:b/>
          <w:color w:val="auto"/>
          <w:kern w:val="0"/>
          <w:sz w:val="24"/>
          <w:szCs w:val="20"/>
          <w:highlight w:val="none"/>
        </w:rPr>
      </w:pPr>
      <w:r>
        <w:rPr>
          <w:rFonts w:hint="eastAsia" w:ascii="微软雅黑" w:hAnsi="微软雅黑" w:eastAsia="微软雅黑" w:cs="微软雅黑"/>
          <w:b/>
          <w:color w:val="auto"/>
          <w:kern w:val="0"/>
          <w:sz w:val="28"/>
          <w:szCs w:val="28"/>
          <w:highlight w:val="none"/>
          <w:lang w:val="en-US" w:eastAsia="zh-CN" w:bidi="ar-SA"/>
        </w:rPr>
        <w:t>6-1、《中小企业声明函》（货物）</w:t>
      </w:r>
    </w:p>
    <w:p w14:paraId="5E5E642F">
      <w:pPr>
        <w:shd w:val="clear" w:color="auto" w:fill="auto"/>
        <w:snapToGrid w:val="0"/>
        <w:spacing w:line="240" w:lineRule="auto"/>
        <w:ind w:firstLine="480" w:firstLineChars="20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本公司（联合体）郑重声明，根据《政府采购促进中小企业发展管理办法》（财库﹝2020﹞46 号）的规定，本公司（联合体）参加 </w:t>
      </w:r>
      <w:r>
        <w:rPr>
          <w:rFonts w:hint="eastAsia" w:ascii="微软雅黑" w:hAnsi="微软雅黑" w:eastAsia="微软雅黑" w:cs="微软雅黑"/>
          <w:color w:val="auto"/>
          <w:kern w:val="0"/>
          <w:sz w:val="24"/>
          <w:szCs w:val="24"/>
          <w:highlight w:val="none"/>
          <w:u w:val="single"/>
        </w:rPr>
        <w:t>（</w:t>
      </w:r>
      <w:r>
        <w:rPr>
          <w:rFonts w:hint="eastAsia" w:ascii="微软雅黑" w:hAnsi="微软雅黑" w:eastAsia="微软雅黑" w:cs="微软雅黑"/>
          <w:color w:val="auto"/>
          <w:kern w:val="0"/>
          <w:sz w:val="24"/>
          <w:szCs w:val="24"/>
          <w:highlight w:val="none"/>
          <w:u w:val="single"/>
          <w:lang w:eastAsia="zh-CN"/>
        </w:rPr>
        <w:t>采购</w:t>
      </w:r>
      <w:r>
        <w:rPr>
          <w:rFonts w:hint="eastAsia" w:ascii="微软雅黑" w:hAnsi="微软雅黑" w:eastAsia="微软雅黑" w:cs="微软雅黑"/>
          <w:color w:val="auto"/>
          <w:kern w:val="0"/>
          <w:sz w:val="24"/>
          <w:szCs w:val="24"/>
          <w:highlight w:val="none"/>
          <w:u w:val="single"/>
        </w:rPr>
        <w:t xml:space="preserve">单位名称） </w:t>
      </w:r>
      <w:r>
        <w:rPr>
          <w:rFonts w:hint="eastAsia" w:ascii="微软雅黑" w:hAnsi="微软雅黑" w:eastAsia="微软雅黑" w:cs="微软雅黑"/>
          <w:color w:val="auto"/>
          <w:kern w:val="0"/>
          <w:sz w:val="24"/>
          <w:szCs w:val="24"/>
          <w:highlight w:val="none"/>
        </w:rPr>
        <w:t xml:space="preserve">的 </w:t>
      </w:r>
      <w:r>
        <w:rPr>
          <w:rFonts w:hint="eastAsia" w:ascii="微软雅黑" w:hAnsi="微软雅黑" w:eastAsia="微软雅黑" w:cs="微软雅黑"/>
          <w:color w:val="auto"/>
          <w:kern w:val="0"/>
          <w:sz w:val="24"/>
          <w:szCs w:val="24"/>
          <w:highlight w:val="none"/>
          <w:u w:val="single"/>
        </w:rPr>
        <w:t>（</w:t>
      </w:r>
      <w:r>
        <w:rPr>
          <w:rFonts w:hint="eastAsia" w:ascii="微软雅黑" w:hAnsi="微软雅黑" w:eastAsia="微软雅黑" w:cs="微软雅黑"/>
          <w:color w:val="auto"/>
          <w:kern w:val="0"/>
          <w:sz w:val="24"/>
          <w:szCs w:val="24"/>
          <w:highlight w:val="none"/>
          <w:u w:val="single"/>
          <w:lang w:eastAsia="zh-CN"/>
        </w:rPr>
        <w:t>项目</w:t>
      </w:r>
      <w:r>
        <w:rPr>
          <w:rFonts w:hint="eastAsia" w:ascii="微软雅黑" w:hAnsi="微软雅黑" w:eastAsia="微软雅黑" w:cs="微软雅黑"/>
          <w:color w:val="auto"/>
          <w:kern w:val="0"/>
          <w:sz w:val="24"/>
          <w:szCs w:val="24"/>
          <w:highlight w:val="none"/>
          <w:u w:val="single"/>
        </w:rPr>
        <w:t>名称）</w:t>
      </w:r>
      <w:r>
        <w:rPr>
          <w:rFonts w:hint="eastAsia" w:ascii="微软雅黑" w:hAnsi="微软雅黑" w:eastAsia="微软雅黑" w:cs="微软雅黑"/>
          <w:color w:val="auto"/>
          <w:kern w:val="0"/>
          <w:sz w:val="24"/>
          <w:szCs w:val="24"/>
          <w:highlight w:val="none"/>
        </w:rPr>
        <w:t xml:space="preserve"> 采购活动，提供的货物全部由符合政策要求的中小企业制造。相关企业（含联合体中的中小企业、签订分包意向协议的中小企业）的具体情况如下：</w:t>
      </w:r>
    </w:p>
    <w:p w14:paraId="229D1A26">
      <w:pPr>
        <w:shd w:val="clear" w:color="auto" w:fill="auto"/>
        <w:snapToGrid w:val="0"/>
        <w:spacing w:line="240" w:lineRule="auto"/>
        <w:ind w:firstLine="480" w:firstLineChars="20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1. </w:t>
      </w:r>
      <w:r>
        <w:rPr>
          <w:rFonts w:hint="eastAsia" w:ascii="微软雅黑" w:hAnsi="微软雅黑" w:eastAsia="微软雅黑" w:cs="微软雅黑"/>
          <w:color w:val="auto"/>
          <w:kern w:val="0"/>
          <w:sz w:val="24"/>
          <w:szCs w:val="24"/>
          <w:highlight w:val="none"/>
          <w:u w:val="single"/>
        </w:rPr>
        <w:t>（标的名称）</w:t>
      </w:r>
      <w:r>
        <w:rPr>
          <w:rFonts w:hint="eastAsia" w:ascii="微软雅黑" w:hAnsi="微软雅黑" w:eastAsia="微软雅黑" w:cs="微软雅黑"/>
          <w:color w:val="auto"/>
          <w:kern w:val="0"/>
          <w:sz w:val="24"/>
          <w:szCs w:val="24"/>
          <w:highlight w:val="none"/>
        </w:rPr>
        <w:t xml:space="preserve"> ，属于</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kern w:val="0"/>
          <w:sz w:val="24"/>
          <w:szCs w:val="24"/>
          <w:highlight w:val="none"/>
          <w:lang w:eastAsia="zh-CN"/>
        </w:rPr>
        <w:t>招标文件</w:t>
      </w:r>
      <w:r>
        <w:rPr>
          <w:rFonts w:hint="eastAsia" w:ascii="微软雅黑" w:hAnsi="微软雅黑" w:eastAsia="微软雅黑" w:cs="微软雅黑"/>
          <w:color w:val="auto"/>
          <w:kern w:val="0"/>
          <w:sz w:val="24"/>
          <w:szCs w:val="24"/>
          <w:highlight w:val="none"/>
        </w:rPr>
        <w:t xml:space="preserve">中明确的所属行业）行业 ；制造商为 </w:t>
      </w:r>
      <w:r>
        <w:rPr>
          <w:rFonts w:hint="eastAsia" w:ascii="微软雅黑" w:hAnsi="微软雅黑" w:eastAsia="微软雅黑" w:cs="微软雅黑"/>
          <w:color w:val="auto"/>
          <w:kern w:val="0"/>
          <w:sz w:val="24"/>
          <w:szCs w:val="24"/>
          <w:highlight w:val="none"/>
          <w:u w:val="single"/>
        </w:rPr>
        <w:t>（企业名称）</w:t>
      </w:r>
      <w:r>
        <w:rPr>
          <w:rFonts w:hint="eastAsia" w:ascii="微软雅黑" w:hAnsi="微软雅黑" w:eastAsia="微软雅黑" w:cs="微软雅黑"/>
          <w:color w:val="auto"/>
          <w:kern w:val="0"/>
          <w:sz w:val="24"/>
          <w:szCs w:val="24"/>
          <w:highlight w:val="none"/>
        </w:rPr>
        <w:t xml:space="preserve"> ，从业人员</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人，营业收入为</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万元，资产总额为</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万元，属于</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（中型企业、小型企业、微型企业）；</w:t>
      </w:r>
    </w:p>
    <w:p w14:paraId="034C1578">
      <w:pPr>
        <w:keepNext w:val="0"/>
        <w:keepLines w:val="0"/>
        <w:pageBreakBefore w:val="0"/>
        <w:shd w:val="clear" w:color="auto" w:fill="auto"/>
        <w:kinsoku/>
        <w:wordWrap/>
        <w:overflowPunct/>
        <w:topLinePunct w:val="0"/>
        <w:autoSpaceDE/>
        <w:autoSpaceDN/>
        <w:bidi w:val="0"/>
        <w:adjustRightInd w:val="0"/>
        <w:snapToGrid w:val="0"/>
        <w:spacing w:beforeAutospacing="0" w:afterAutospacing="0" w:line="240" w:lineRule="auto"/>
        <w:ind w:firstLine="480" w:firstLineChars="20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2. </w:t>
      </w:r>
      <w:r>
        <w:rPr>
          <w:rFonts w:hint="eastAsia" w:ascii="微软雅黑" w:hAnsi="微软雅黑" w:eastAsia="微软雅黑" w:cs="微软雅黑"/>
          <w:color w:val="auto"/>
          <w:kern w:val="0"/>
          <w:sz w:val="24"/>
          <w:szCs w:val="24"/>
          <w:highlight w:val="none"/>
          <w:u w:val="single"/>
        </w:rPr>
        <w:t>（标的名称）</w:t>
      </w:r>
      <w:r>
        <w:rPr>
          <w:rFonts w:hint="eastAsia" w:ascii="微软雅黑" w:hAnsi="微软雅黑" w:eastAsia="微软雅黑" w:cs="微软雅黑"/>
          <w:color w:val="auto"/>
          <w:kern w:val="0"/>
          <w:sz w:val="24"/>
          <w:szCs w:val="24"/>
          <w:highlight w:val="none"/>
        </w:rPr>
        <w:t xml:space="preserve"> ，属于</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kern w:val="0"/>
          <w:sz w:val="24"/>
          <w:szCs w:val="24"/>
          <w:highlight w:val="none"/>
          <w:lang w:eastAsia="zh-CN"/>
        </w:rPr>
        <w:t>招标文件</w:t>
      </w:r>
      <w:r>
        <w:rPr>
          <w:rFonts w:hint="eastAsia" w:ascii="微软雅黑" w:hAnsi="微软雅黑" w:eastAsia="微软雅黑" w:cs="微软雅黑"/>
          <w:color w:val="auto"/>
          <w:kern w:val="0"/>
          <w:sz w:val="24"/>
          <w:szCs w:val="24"/>
          <w:highlight w:val="none"/>
        </w:rPr>
        <w:t>中明确的所属行业）行业 ；制造商为</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u w:val="single"/>
        </w:rPr>
        <w:t>（企业名称）</w:t>
      </w:r>
      <w:r>
        <w:rPr>
          <w:rFonts w:hint="eastAsia" w:ascii="微软雅黑" w:hAnsi="微软雅黑" w:eastAsia="微软雅黑" w:cs="微软雅黑"/>
          <w:color w:val="auto"/>
          <w:kern w:val="0"/>
          <w:sz w:val="24"/>
          <w:szCs w:val="24"/>
          <w:highlight w:val="none"/>
        </w:rPr>
        <w:t xml:space="preserve"> ，从业人员</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人，营业收入为</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万元，资产总额为</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万元，属于</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（中型企业、小型企业、微型企业）；</w:t>
      </w:r>
    </w:p>
    <w:p w14:paraId="047E849C">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w:t>
      </w:r>
    </w:p>
    <w:p w14:paraId="71226AB4">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以上企业，不属于大企业的分支机构，不存在控股股东为大企业的情形，也不存在与大企业的负责人为同一人的情形。</w:t>
      </w:r>
    </w:p>
    <w:p w14:paraId="3B72342D">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p>
    <w:p w14:paraId="05CA360C">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本投标人已知悉《政府采购促进中小企业发展管理办法》（财库〔2020〕46 号）、《财政部关于进一步加大政府采购支持中小企业力度的通知》</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1BE02150">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rPr>
        <w:t>本企业对上述声明内容的真实性负责。如有虚假，将依法承担相应责任。</w:t>
      </w:r>
      <w:r>
        <w:rPr>
          <w:rFonts w:hint="eastAsia" w:ascii="微软雅黑" w:hAnsi="微软雅黑" w:eastAsia="微软雅黑" w:cs="微软雅黑"/>
          <w:b/>
          <w:color w:val="auto"/>
          <w:kern w:val="0"/>
          <w:sz w:val="24"/>
          <w:szCs w:val="24"/>
          <w:highlight w:val="none"/>
        </w:rPr>
        <w:t>　</w:t>
      </w:r>
    </w:p>
    <w:p w14:paraId="0708A438">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3840" w:firstLineChars="1600"/>
        <w:jc w:val="left"/>
        <w:textAlignment w:val="auto"/>
        <w:rPr>
          <w:rFonts w:hint="eastAsia" w:ascii="微软雅黑" w:hAnsi="微软雅黑" w:eastAsia="微软雅黑" w:cs="微软雅黑"/>
          <w:color w:val="auto"/>
          <w:kern w:val="0"/>
          <w:sz w:val="24"/>
          <w:szCs w:val="24"/>
          <w:highlight w:val="none"/>
          <w:lang w:eastAsia="zh-CN"/>
        </w:rPr>
      </w:pPr>
    </w:p>
    <w:p w14:paraId="2E4A1476">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3840" w:firstLineChars="16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投标人</w:t>
      </w:r>
      <w:r>
        <w:rPr>
          <w:rFonts w:hint="eastAsia" w:ascii="微软雅黑" w:hAnsi="微软雅黑" w:eastAsia="微软雅黑" w:cs="微软雅黑"/>
          <w:color w:val="auto"/>
          <w:kern w:val="0"/>
          <w:sz w:val="24"/>
          <w:szCs w:val="24"/>
          <w:highlight w:val="none"/>
        </w:rPr>
        <w:t>名称（单位盖章）：</w:t>
      </w:r>
      <w:r>
        <w:rPr>
          <w:rFonts w:hint="eastAsia" w:ascii="微软雅黑" w:hAnsi="微软雅黑" w:eastAsia="微软雅黑" w:cs="微软雅黑"/>
          <w:color w:val="auto"/>
          <w:kern w:val="0"/>
          <w:sz w:val="24"/>
          <w:szCs w:val="24"/>
          <w:highlight w:val="none"/>
          <w:u w:val="single"/>
        </w:rPr>
        <w:t xml:space="preserve">             </w:t>
      </w:r>
    </w:p>
    <w:p w14:paraId="3A00B689">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3840" w:firstLineChars="1600"/>
        <w:jc w:val="left"/>
        <w:textAlignment w:val="auto"/>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　日　期：</w:t>
      </w:r>
      <w:r>
        <w:rPr>
          <w:rFonts w:hint="eastAsia" w:ascii="微软雅黑" w:hAnsi="微软雅黑" w:eastAsia="微软雅黑" w:cs="微软雅黑"/>
          <w:color w:val="auto"/>
          <w:kern w:val="0"/>
          <w:sz w:val="24"/>
          <w:szCs w:val="24"/>
          <w:highlight w:val="none"/>
          <w:u w:val="single"/>
        </w:rPr>
        <w:t xml:space="preserve">             </w:t>
      </w:r>
    </w:p>
    <w:p w14:paraId="79C68EB1">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3840" w:firstLineChars="1600"/>
        <w:jc w:val="left"/>
        <w:textAlignment w:val="auto"/>
        <w:rPr>
          <w:rFonts w:hint="eastAsia" w:ascii="微软雅黑" w:hAnsi="微软雅黑" w:eastAsia="微软雅黑" w:cs="微软雅黑"/>
          <w:color w:val="auto"/>
          <w:kern w:val="0"/>
          <w:sz w:val="24"/>
          <w:szCs w:val="24"/>
          <w:highlight w:val="none"/>
          <w:u w:val="single"/>
        </w:rPr>
      </w:pPr>
    </w:p>
    <w:p w14:paraId="757DD021">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left="420" w:hanging="420" w:hangingChars="200"/>
        <w:jc w:val="left"/>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rPr>
        <w:t>说明</w:t>
      </w:r>
      <w:r>
        <w:rPr>
          <w:rFonts w:hint="eastAsia" w:ascii="微软雅黑" w:hAnsi="微软雅黑" w:eastAsia="微软雅黑" w:cs="微软雅黑"/>
          <w:b/>
          <w:bCs/>
          <w:color w:val="auto"/>
          <w:highlight w:val="none"/>
          <w:lang w:val="en-US" w:eastAsia="zh-CN"/>
        </w:rPr>
        <w:t>：1、投标人须据实填写标的制造商从业人员、营业收入、资产总额、企业类型（参考中小微企业划型标准），由于投标人填写错误可视为声明无效、不享受相关政府采购优惠政策等。</w:t>
      </w:r>
    </w:p>
    <w:p w14:paraId="10BCCFFF">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left="420" w:leftChars="200" w:firstLine="210" w:firstLineChars="100"/>
        <w:jc w:val="left"/>
        <w:textAlignment w:val="auto"/>
        <w:rPr>
          <w:rFonts w:hint="eastAsia" w:ascii="微软雅黑" w:hAnsi="微软雅黑" w:eastAsia="微软雅黑" w:cs="微软雅黑"/>
          <w:b/>
          <w:bCs/>
          <w:color w:val="auto"/>
          <w:highlight w:val="none"/>
        </w:rPr>
        <w:sectPr>
          <w:pgSz w:w="11907" w:h="16840"/>
          <w:pgMar w:top="1474" w:right="1253" w:bottom="1474" w:left="1194" w:header="851" w:footer="851" w:gutter="0"/>
          <w:pgNumType w:fmt="decimal"/>
          <w:cols w:space="720" w:num="1"/>
          <w:docGrid w:linePitch="462" w:charSpace="0"/>
        </w:sectPr>
      </w:pPr>
      <w:r>
        <w:rPr>
          <w:rFonts w:hint="eastAsia" w:ascii="微软雅黑" w:hAnsi="微软雅黑" w:eastAsia="微软雅黑" w:cs="微软雅黑"/>
          <w:b/>
          <w:bCs/>
          <w:color w:val="auto"/>
          <w:highlight w:val="none"/>
          <w:lang w:val="en-US" w:eastAsia="zh-CN"/>
        </w:rPr>
        <w:t>2、</w:t>
      </w:r>
      <w:r>
        <w:rPr>
          <w:rFonts w:hint="eastAsia" w:ascii="微软雅黑" w:hAnsi="微软雅黑" w:eastAsia="微软雅黑" w:cs="微软雅黑"/>
          <w:b/>
          <w:bCs/>
          <w:color w:val="auto"/>
          <w:highlight w:val="none"/>
        </w:rPr>
        <w:t>对中小企业的认定，由货物制造商或者工程、服务</w:t>
      </w:r>
      <w:r>
        <w:rPr>
          <w:rFonts w:hint="eastAsia" w:ascii="微软雅黑" w:hAnsi="微软雅黑" w:eastAsia="微软雅黑" w:cs="微软雅黑"/>
          <w:b/>
          <w:bCs/>
          <w:color w:val="auto"/>
          <w:highlight w:val="none"/>
          <w:lang w:eastAsia="zh-CN"/>
        </w:rPr>
        <w:t>投标人</w:t>
      </w:r>
      <w:r>
        <w:rPr>
          <w:rFonts w:hint="eastAsia" w:ascii="微软雅黑" w:hAnsi="微软雅黑" w:eastAsia="微软雅黑" w:cs="微软雅黑"/>
          <w:b/>
          <w:bCs/>
          <w:color w:val="auto"/>
          <w:highlight w:val="none"/>
        </w:rPr>
        <w:t>注册登记所在地的县级以上人民政府中小企业主管部门负责。如因</w:t>
      </w:r>
      <w:r>
        <w:rPr>
          <w:rFonts w:hint="eastAsia" w:ascii="微软雅黑" w:hAnsi="微软雅黑" w:eastAsia="微软雅黑" w:cs="微软雅黑"/>
          <w:b/>
          <w:bCs/>
          <w:color w:val="auto"/>
          <w:highlight w:val="none"/>
          <w:lang w:eastAsia="zh-CN"/>
        </w:rPr>
        <w:t>投标人</w:t>
      </w:r>
      <w:r>
        <w:rPr>
          <w:rFonts w:hint="eastAsia" w:ascii="微软雅黑" w:hAnsi="微软雅黑" w:eastAsia="微软雅黑" w:cs="微软雅黑"/>
          <w:b/>
          <w:bCs/>
          <w:color w:val="auto"/>
          <w:highlight w:val="none"/>
        </w:rPr>
        <w:t>提供的《中小企业声明函》引起的质疑、投诉、信访或其他方式情况反映等，</w:t>
      </w:r>
      <w:r>
        <w:rPr>
          <w:rFonts w:hint="eastAsia" w:ascii="微软雅黑" w:hAnsi="微软雅黑" w:eastAsia="微软雅黑" w:cs="微软雅黑"/>
          <w:b/>
          <w:bCs/>
          <w:color w:val="auto"/>
          <w:highlight w:val="none"/>
          <w:lang w:eastAsia="zh-CN"/>
        </w:rPr>
        <w:t>投标人</w:t>
      </w:r>
      <w:r>
        <w:rPr>
          <w:rFonts w:hint="eastAsia" w:ascii="微软雅黑" w:hAnsi="微软雅黑" w:eastAsia="微软雅黑" w:cs="微软雅黑"/>
          <w:b/>
          <w:bCs/>
          <w:color w:val="auto"/>
          <w:highlight w:val="none"/>
        </w:rPr>
        <w:t>须自行澄清，并提供由中小企业主管部门出具的企业划型证明。对于不能出具企业划型证明的</w:t>
      </w:r>
      <w:r>
        <w:rPr>
          <w:rFonts w:hint="eastAsia" w:ascii="微软雅黑" w:hAnsi="微软雅黑" w:eastAsia="微软雅黑" w:cs="微软雅黑"/>
          <w:b/>
          <w:bCs/>
          <w:color w:val="auto"/>
          <w:highlight w:val="none"/>
          <w:lang w:eastAsia="zh-CN"/>
        </w:rPr>
        <w:t>投标人</w:t>
      </w:r>
      <w:r>
        <w:rPr>
          <w:rFonts w:hint="eastAsia" w:ascii="微软雅黑" w:hAnsi="微软雅黑" w:eastAsia="微软雅黑" w:cs="微软雅黑"/>
          <w:b/>
          <w:bCs/>
          <w:color w:val="auto"/>
          <w:highlight w:val="none"/>
        </w:rPr>
        <w:t>，自行承担由此产生的一切后果，包括声明内容视为无效、不享受相关政府采购优惠政策等。</w:t>
      </w:r>
    </w:p>
    <w:p w14:paraId="462CDC51">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rPr>
          <w:rFonts w:hint="eastAsia" w:ascii="微软雅黑" w:hAnsi="微软雅黑" w:eastAsia="微软雅黑" w:cs="微软雅黑"/>
          <w:color w:val="auto"/>
          <w:sz w:val="24"/>
          <w:szCs w:val="24"/>
          <w:highlight w:val="none"/>
        </w:rPr>
      </w:pPr>
      <w:r>
        <w:rPr>
          <w:rStyle w:val="44"/>
          <w:rFonts w:hint="eastAsia" w:ascii="微软雅黑" w:hAnsi="微软雅黑" w:eastAsia="微软雅黑" w:cs="微软雅黑"/>
          <w:color w:val="auto"/>
          <w:sz w:val="24"/>
          <w:szCs w:val="24"/>
          <w:highlight w:val="none"/>
          <w:shd w:val="clear" w:color="auto" w:fill="FFFFFF"/>
        </w:rPr>
        <w:t>中小企业划型标准规定</w:t>
      </w:r>
    </w:p>
    <w:p w14:paraId="039795FA">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0" w:firstLineChars="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　　2011年6月18日，工业和信息化部、国家统计局、国家发展和改革委员会、财政部联合印发了《关于印发中小企业划型标准规定的通知》， 规定各行业划型标准为:</w:t>
      </w:r>
    </w:p>
    <w:p w14:paraId="0BAE3906">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(一)农、林、牧、渔业。营业收入20000万元以下的为中小微型企业。其中，营业收入500万元及以上的为中型企业，营业收入50万元及以上的为小型企业，营业收入50万元以下的为微型企业。</w:t>
      </w:r>
    </w:p>
    <w:p w14:paraId="3C68C7A3">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B4D9570">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71F142A">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FA00265">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五)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7726ABD">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rPr>
        <w:t>(六)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5262591">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七)住宿业和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274EF45">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(八)信息传输业。从业人员2000人以下或营业收入10000万元以下的为中小微型企业。</w:t>
      </w:r>
    </w:p>
    <w:p w14:paraId="48F35E19">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注:(六)、(七)(八)3条，从业人员10人及以上，且营业收入100万元及以上的为小型企业;从业人员10人以下或营业收入100万元以下的为微型企业。</w:t>
      </w:r>
    </w:p>
    <w:p w14:paraId="07D4EFA2">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九)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AD4A4E">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(十)仓储业。从业人员200人以下或营业收入3000万元以下的为中小微型企业。</w:t>
      </w:r>
    </w:p>
    <w:p w14:paraId="63FEB58B">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注:(八)(九)(十)3条，其中，从业人员100人及以上，且营业收入1000万元及以上的为中型企业</w:t>
      </w:r>
    </w:p>
    <w:p w14:paraId="00A3DE36">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(十一)邮政业。营业收入2000万元及以上的为中型企业;</w:t>
      </w:r>
    </w:p>
    <w:p w14:paraId="52751EC8">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注:(十)(十一)2条，从业人员20人及以上，且营业收入100万元及以上的为小型企业;从业人员20人以下或营业收入100万元以下的为微型企业。</w:t>
      </w:r>
    </w:p>
    <w:p w14:paraId="48D96F4B">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交通运输业和邮政业从业人员1000人以下或营业收入30000万元以下的为中小微型企业。其中，从业人员300人及以上。</w:t>
      </w:r>
    </w:p>
    <w:p w14:paraId="11C559A0">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二)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4BD7F6">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三)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732554">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四)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DA6CC78">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(十五)其他未列明行业。从业人员300人以下的为中小微型企业。其中，从业人员100人及以上的为中型企业;从业人员10人及以上的为小型企业;从业人员10人以下的为微型企业。</w:t>
      </w:r>
    </w:p>
    <w:p w14:paraId="6FC5A478">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说明：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D523257">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(1)在货物采购项目中，货物由中小企业制造，即货物由中小企业生产且使用该中小企业商号或者注册商标，不对其中涉及的工程承建商和服务的承接商作出要求；</w:t>
      </w:r>
    </w:p>
    <w:p w14:paraId="1DE1522C">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(2)在工程采购项目中，工程由中小企业承建，即工程施工单位为中小企业，不对其中涉及的货物的制造商和服务的承接商作出要求；</w:t>
      </w:r>
    </w:p>
    <w:p w14:paraId="6F1B36AA">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lang w:val="en-US" w:eastAsia="zh-CN"/>
        </w:rPr>
        <w:t>(3)在服务采购项目中，服务由中小企业承接，即提供服务的人员为中小企业依照《中华人民共和国劳动合同法》订立劳动合同的从业人员，不对其中涉及的货物的制造商和工程承建商作出要求。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依据本招标文件规定享受扶持政策获得政府采购合同的，小微企业不得将合同分包给大中型企业，中型企业不得将合同分包给大型企业。</w:t>
      </w:r>
    </w:p>
    <w:p w14:paraId="0AB6AF3E">
      <w:pPr>
        <w:widowControl/>
        <w:spacing w:before="100" w:beforeAutospacing="1" w:after="100" w:afterAutospacing="1" w:line="330" w:lineRule="atLeast"/>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4"/>
          <w:highlight w:val="none"/>
          <w:u w:val="single"/>
        </w:rPr>
        <w:br w:type="page"/>
      </w:r>
      <w:bookmarkStart w:id="419" w:name="_Toc14527"/>
      <w:bookmarkStart w:id="420" w:name="_Toc5757"/>
      <w:bookmarkStart w:id="421" w:name="_Toc22403"/>
      <w:bookmarkStart w:id="422" w:name="_Toc5832"/>
      <w:bookmarkStart w:id="423" w:name="_Toc4212"/>
      <w:bookmarkStart w:id="424" w:name="_Toc14769"/>
      <w:bookmarkStart w:id="425" w:name="_Toc11844"/>
      <w:bookmarkStart w:id="426" w:name="_Toc17523"/>
      <w:r>
        <w:rPr>
          <w:rFonts w:hint="eastAsia" w:ascii="微软雅黑" w:hAnsi="微软雅黑" w:eastAsia="微软雅黑" w:cs="微软雅黑"/>
          <w:b/>
          <w:color w:val="auto"/>
          <w:kern w:val="0"/>
          <w:sz w:val="28"/>
          <w:szCs w:val="28"/>
          <w:highlight w:val="none"/>
          <w:lang w:val="en-US" w:eastAsia="zh-CN" w:bidi="ar-SA"/>
        </w:rPr>
        <w:t>6-2、《残疾人福利性单位声明函》</w:t>
      </w:r>
      <w:bookmarkEnd w:id="419"/>
      <w:bookmarkEnd w:id="420"/>
      <w:bookmarkEnd w:id="421"/>
      <w:bookmarkEnd w:id="422"/>
      <w:bookmarkEnd w:id="423"/>
      <w:bookmarkEnd w:id="424"/>
      <w:bookmarkEnd w:id="425"/>
      <w:bookmarkEnd w:id="426"/>
    </w:p>
    <w:p w14:paraId="2693D570">
      <w:pPr>
        <w:snapToGrid w:val="0"/>
        <w:spacing w:line="360" w:lineRule="auto"/>
        <w:ind w:firstLine="567"/>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承担的工程或者服务（以下简称产品），或者提供其他残疾人福利性单位制造的货物（不包括使用非残疾人福利性单位注册商标的货物）。</w:t>
      </w:r>
    </w:p>
    <w:p w14:paraId="6C56EDBE">
      <w:pPr>
        <w:snapToGrid w:val="0"/>
        <w:spacing w:line="360" w:lineRule="auto"/>
        <w:ind w:left="1080" w:leftChars="257" w:hanging="54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本单位对上述声明的真实性负责。如有虚假，将依法承担相应责任。</w:t>
      </w:r>
    </w:p>
    <w:p w14:paraId="14071214">
      <w:pPr>
        <w:snapToGrid w:val="0"/>
        <w:spacing w:line="360" w:lineRule="auto"/>
        <w:jc w:val="both"/>
        <w:textAlignment w:val="baseline"/>
        <w:rPr>
          <w:rFonts w:hint="eastAsia" w:ascii="微软雅黑" w:hAnsi="微软雅黑" w:eastAsia="微软雅黑" w:cs="微软雅黑"/>
          <w:color w:val="auto"/>
          <w:kern w:val="0"/>
          <w:sz w:val="24"/>
          <w:szCs w:val="24"/>
          <w:highlight w:val="none"/>
          <w:lang w:val="en-US" w:eastAsia="zh-CN"/>
        </w:rPr>
      </w:pPr>
    </w:p>
    <w:p w14:paraId="106A9AE1">
      <w:pPr>
        <w:snapToGrid w:val="0"/>
        <w:spacing w:line="360" w:lineRule="auto"/>
        <w:ind w:left="1080" w:leftChars="257" w:hanging="540"/>
        <w:jc w:val="center"/>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残疾人福利性单位名称（</w:t>
      </w:r>
      <w:r>
        <w:rPr>
          <w:rFonts w:hint="eastAsia" w:ascii="微软雅黑" w:hAnsi="微软雅黑" w:eastAsia="微软雅黑" w:cs="微软雅黑"/>
          <w:color w:val="auto"/>
          <w:kern w:val="0"/>
          <w:sz w:val="24"/>
          <w:szCs w:val="24"/>
          <w:highlight w:val="none"/>
          <w:lang w:eastAsia="zh-CN"/>
        </w:rPr>
        <w:t>盖</w:t>
      </w:r>
      <w:r>
        <w:rPr>
          <w:rFonts w:hint="eastAsia" w:ascii="微软雅黑" w:hAnsi="微软雅黑" w:eastAsia="微软雅黑" w:cs="微软雅黑"/>
          <w:color w:val="auto"/>
          <w:kern w:val="0"/>
          <w:sz w:val="24"/>
          <w:szCs w:val="24"/>
          <w:highlight w:val="none"/>
        </w:rPr>
        <w:t>公章）：______________</w:t>
      </w:r>
    </w:p>
    <w:p w14:paraId="1F75FE4E">
      <w:pPr>
        <w:pStyle w:val="7"/>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rPr>
        <w:t>日  期：_____________________________________</w:t>
      </w:r>
    </w:p>
    <w:p w14:paraId="4099BF53">
      <w:pPr>
        <w:spacing w:after="60" w:afterLines="25" w:line="300" w:lineRule="auto"/>
        <w:rPr>
          <w:rFonts w:hint="eastAsia" w:ascii="微软雅黑" w:hAnsi="微软雅黑" w:eastAsia="微软雅黑" w:cs="微软雅黑"/>
          <w:b/>
          <w:color w:val="auto"/>
          <w:szCs w:val="21"/>
          <w:highlight w:val="none"/>
        </w:rPr>
      </w:pPr>
    </w:p>
    <w:p w14:paraId="7E1D2445">
      <w:pPr>
        <w:spacing w:after="60" w:afterLines="25" w:line="30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说明：</w:t>
      </w:r>
      <w:r>
        <w:rPr>
          <w:rFonts w:hint="eastAsia" w:ascii="微软雅黑" w:hAnsi="微软雅黑" w:eastAsia="微软雅黑" w:cs="微软雅黑"/>
          <w:color w:val="auto"/>
          <w:szCs w:val="21"/>
          <w:highlight w:val="none"/>
        </w:rPr>
        <w:t>根据财库〔2017〕141号文件的规定,享受政府采购支持政策的残疾人福利性单位应当同时满足以下条件：</w:t>
      </w:r>
    </w:p>
    <w:p w14:paraId="493F4320">
      <w:pPr>
        <w:spacing w:after="60" w:afterLines="25" w:line="30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w:t>
      </w:r>
      <w:r>
        <w:rPr>
          <w:rFonts w:hint="eastAsia" w:ascii="微软雅黑" w:hAnsi="微软雅黑" w:eastAsia="微软雅黑" w:cs="微软雅黑"/>
          <w:b/>
          <w:color w:val="auto"/>
          <w:szCs w:val="21"/>
          <w:highlight w:val="none"/>
        </w:rPr>
        <w:t>安置的残疾人占本单位在职职工人数的比例不低于25%（含25%），并且安置的残疾人人数不少于10人（含10人）</w:t>
      </w:r>
      <w:r>
        <w:rPr>
          <w:rFonts w:hint="eastAsia" w:ascii="微软雅黑" w:hAnsi="微软雅黑" w:eastAsia="微软雅黑" w:cs="微软雅黑"/>
          <w:color w:val="auto"/>
          <w:szCs w:val="21"/>
          <w:highlight w:val="none"/>
        </w:rPr>
        <w:t>；</w:t>
      </w:r>
    </w:p>
    <w:p w14:paraId="21E1D802">
      <w:pPr>
        <w:spacing w:after="60" w:afterLines="25" w:line="30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（二）依法与安置的每位残疾人签订了一年以上（含一年）的劳动合同或服务协议；</w:t>
      </w:r>
    </w:p>
    <w:p w14:paraId="52C2E433">
      <w:pPr>
        <w:spacing w:after="60" w:afterLines="25" w:line="30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（三）为安置的每位残疾人按月足额缴纳了基本养老保险、基本医疗保险、失业保险、工伤保险和生育保险等社会保险费；</w:t>
      </w:r>
    </w:p>
    <w:p w14:paraId="2E578E52">
      <w:pPr>
        <w:spacing w:after="60" w:afterLines="25" w:line="30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（四）通过银行等金融机构向安置的每位残疾人，按月支付了不低于单位所在区县适用的经省级人民政府批准的月最低工资标准的工资；</w:t>
      </w:r>
    </w:p>
    <w:p w14:paraId="3F05E0A1">
      <w:pPr>
        <w:spacing w:after="60" w:afterLines="25" w:line="300" w:lineRule="auto"/>
        <w:ind w:firstLine="420" w:firstLineChars="200"/>
        <w:rPr>
          <w:rFonts w:hint="eastAsia" w:ascii="微软雅黑" w:hAnsi="微软雅黑" w:eastAsia="微软雅黑" w:cs="微软雅黑"/>
          <w:color w:val="auto"/>
          <w:szCs w:val="21"/>
          <w:highlight w:val="none"/>
          <w:lang w:val="en-US" w:eastAsia="zh-CN"/>
        </w:rPr>
        <w:sectPr>
          <w:headerReference r:id="rId15" w:type="default"/>
          <w:footerReference r:id="rId16" w:type="default"/>
          <w:pgSz w:w="11907" w:h="16840"/>
          <w:pgMar w:top="1474" w:right="1253" w:bottom="1474" w:left="1194" w:header="851" w:footer="851" w:gutter="0"/>
          <w:pgNumType w:fmt="decimal"/>
          <w:cols w:space="720" w:num="1"/>
          <w:docGrid w:linePitch="462" w:charSpace="0"/>
        </w:sectPr>
      </w:pPr>
      <w:r>
        <w:rPr>
          <w:rFonts w:hint="eastAsia" w:ascii="微软雅黑" w:hAnsi="微软雅黑" w:eastAsia="微软雅黑" w:cs="微软雅黑"/>
          <w:color w:val="auto"/>
          <w:szCs w:val="21"/>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bookmarkEnd w:id="417"/>
    <w:bookmarkEnd w:id="418"/>
    <w:p w14:paraId="1BB10A39">
      <w:pPr>
        <w:widowControl/>
        <w:spacing w:before="100" w:beforeAutospacing="1" w:after="100" w:afterAutospacing="1" w:line="330" w:lineRule="atLeast"/>
        <w:jc w:val="center"/>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6-3、《监狱企业声明函》</w:t>
      </w:r>
    </w:p>
    <w:p w14:paraId="00AB17A7">
      <w:pPr>
        <w:snapToGrid w:val="0"/>
        <w:spacing w:line="360" w:lineRule="auto"/>
        <w:ind w:firstLine="567"/>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本单位郑重声明，根据《财政部司法部关于政府采购支持监狱企业发展有关问题的通知》（财库〔2014〕68号）的规定，本单位为符合条件的</w:t>
      </w:r>
      <w:r>
        <w:rPr>
          <w:rFonts w:hint="eastAsia" w:ascii="微软雅黑" w:hAnsi="微软雅黑" w:eastAsia="微软雅黑" w:cs="微软雅黑"/>
          <w:color w:val="auto"/>
          <w:kern w:val="0"/>
          <w:sz w:val="24"/>
          <w:szCs w:val="24"/>
          <w:highlight w:val="none"/>
          <w:lang w:eastAsia="zh-CN"/>
        </w:rPr>
        <w:t>监狱企业</w:t>
      </w:r>
      <w:r>
        <w:rPr>
          <w:rFonts w:hint="eastAsia" w:ascii="微软雅黑" w:hAnsi="微软雅黑" w:eastAsia="微软雅黑" w:cs="微软雅黑"/>
          <w:color w:val="auto"/>
          <w:kern w:val="0"/>
          <w:sz w:val="24"/>
          <w:szCs w:val="24"/>
          <w:highlight w:val="none"/>
        </w:rPr>
        <w:t>福利性单位，本单位参加______单位的______项目采购活动</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货物/施工/服务全部由符合政策要求的监狱企业承接。相关监狱企业的具体情况如下：</w:t>
      </w:r>
    </w:p>
    <w:p w14:paraId="4422E1B0">
      <w:pPr>
        <w:spacing w:after="60" w:afterLines="25" w:line="30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
          <w:bCs/>
          <w:color w:val="auto"/>
          <w:sz w:val="24"/>
          <w:szCs w:val="24"/>
          <w:highlight w:val="none"/>
          <w:u w:val="single"/>
        </w:rPr>
        <w:t>（标的名称）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承接单位</w:t>
      </w:r>
      <w:r>
        <w:rPr>
          <w:rFonts w:hint="eastAsia" w:ascii="微软雅黑" w:hAnsi="微软雅黑" w:eastAsia="微软雅黑" w:cs="微软雅黑"/>
          <w:color w:val="auto"/>
          <w:sz w:val="24"/>
          <w:szCs w:val="24"/>
          <w:highlight w:val="none"/>
        </w:rPr>
        <w:t>为</w:t>
      </w:r>
      <w:r>
        <w:rPr>
          <w:rFonts w:hint="eastAsia" w:ascii="微软雅黑" w:hAnsi="微软雅黑" w:eastAsia="微软雅黑" w:cs="微软雅黑"/>
          <w:b/>
          <w:bCs/>
          <w:color w:val="auto"/>
          <w:sz w:val="24"/>
          <w:szCs w:val="24"/>
          <w:highlight w:val="none"/>
          <w:u w:val="single"/>
        </w:rPr>
        <w:t>（企业名称）</w:t>
      </w:r>
      <w:r>
        <w:rPr>
          <w:rFonts w:hint="eastAsia" w:ascii="微软雅黑" w:hAnsi="微软雅黑" w:eastAsia="微软雅黑" w:cs="微软雅黑"/>
          <w:color w:val="auto"/>
          <w:sz w:val="24"/>
          <w:szCs w:val="24"/>
          <w:highlight w:val="none"/>
        </w:rPr>
        <w:t>，属于</w:t>
      </w:r>
      <w:r>
        <w:rPr>
          <w:rFonts w:hint="eastAsia" w:ascii="微软雅黑" w:hAnsi="微软雅黑" w:eastAsia="微软雅黑" w:cs="微软雅黑"/>
          <w:b/>
          <w:bCs/>
          <w:color w:val="auto"/>
          <w:sz w:val="24"/>
          <w:szCs w:val="24"/>
          <w:highlight w:val="none"/>
          <w:u w:val="single"/>
        </w:rPr>
        <w:t>监狱企业</w:t>
      </w:r>
      <w:r>
        <w:rPr>
          <w:rFonts w:hint="eastAsia" w:ascii="微软雅黑" w:hAnsi="微软雅黑" w:eastAsia="微软雅黑" w:cs="微软雅黑"/>
          <w:color w:val="auto"/>
          <w:sz w:val="24"/>
          <w:szCs w:val="24"/>
          <w:highlight w:val="none"/>
        </w:rPr>
        <w:t>；</w:t>
      </w:r>
    </w:p>
    <w:p w14:paraId="25E9EA03">
      <w:pPr>
        <w:spacing w:after="60" w:afterLines="25" w:line="30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b/>
          <w:bCs/>
          <w:color w:val="auto"/>
          <w:sz w:val="24"/>
          <w:szCs w:val="24"/>
          <w:highlight w:val="none"/>
          <w:u w:val="single"/>
        </w:rPr>
        <w:t>（标的名称）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承接单位</w:t>
      </w:r>
      <w:r>
        <w:rPr>
          <w:rFonts w:hint="eastAsia" w:ascii="微软雅黑" w:hAnsi="微软雅黑" w:eastAsia="微软雅黑" w:cs="微软雅黑"/>
          <w:color w:val="auto"/>
          <w:sz w:val="24"/>
          <w:szCs w:val="24"/>
          <w:highlight w:val="none"/>
        </w:rPr>
        <w:t>为</w:t>
      </w:r>
      <w:r>
        <w:rPr>
          <w:rFonts w:hint="eastAsia" w:ascii="微软雅黑" w:hAnsi="微软雅黑" w:eastAsia="微软雅黑" w:cs="微软雅黑"/>
          <w:b/>
          <w:bCs/>
          <w:color w:val="auto"/>
          <w:sz w:val="24"/>
          <w:szCs w:val="24"/>
          <w:highlight w:val="none"/>
          <w:u w:val="single"/>
        </w:rPr>
        <w:t>（企业名称）</w:t>
      </w:r>
      <w:r>
        <w:rPr>
          <w:rFonts w:hint="eastAsia" w:ascii="微软雅黑" w:hAnsi="微软雅黑" w:eastAsia="微软雅黑" w:cs="微软雅黑"/>
          <w:color w:val="auto"/>
          <w:sz w:val="24"/>
          <w:szCs w:val="24"/>
          <w:highlight w:val="none"/>
        </w:rPr>
        <w:t>，属于</w:t>
      </w:r>
      <w:r>
        <w:rPr>
          <w:rFonts w:hint="eastAsia" w:ascii="微软雅黑" w:hAnsi="微软雅黑" w:eastAsia="微软雅黑" w:cs="微软雅黑"/>
          <w:b/>
          <w:bCs/>
          <w:color w:val="auto"/>
          <w:sz w:val="24"/>
          <w:szCs w:val="24"/>
          <w:highlight w:val="none"/>
          <w:u w:val="single"/>
        </w:rPr>
        <w:t>监狱企业</w:t>
      </w:r>
      <w:r>
        <w:rPr>
          <w:rFonts w:hint="eastAsia" w:ascii="微软雅黑" w:hAnsi="微软雅黑" w:eastAsia="微软雅黑" w:cs="微软雅黑"/>
          <w:color w:val="auto"/>
          <w:sz w:val="24"/>
          <w:szCs w:val="24"/>
          <w:highlight w:val="none"/>
        </w:rPr>
        <w:t>。</w:t>
      </w:r>
    </w:p>
    <w:p w14:paraId="38AD43B7">
      <w:pPr>
        <w:spacing w:after="60" w:afterLines="25" w:line="30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 xml:space="preserve">…… </w:t>
      </w:r>
    </w:p>
    <w:p w14:paraId="449BF960">
      <w:pPr>
        <w:snapToGrid w:val="0"/>
        <w:spacing w:line="360" w:lineRule="auto"/>
        <w:ind w:left="1080" w:leftChars="257" w:hanging="54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本单位对上述声明的真实性负责。如有虚假，将依法承担相应责任。</w:t>
      </w:r>
    </w:p>
    <w:p w14:paraId="264765C4">
      <w:pPr>
        <w:snapToGrid w:val="0"/>
        <w:spacing w:line="360" w:lineRule="auto"/>
        <w:jc w:val="both"/>
        <w:textAlignment w:val="baseline"/>
        <w:rPr>
          <w:rFonts w:hint="eastAsia" w:ascii="微软雅黑" w:hAnsi="微软雅黑" w:eastAsia="微软雅黑" w:cs="微软雅黑"/>
          <w:color w:val="auto"/>
          <w:kern w:val="0"/>
          <w:sz w:val="24"/>
          <w:szCs w:val="24"/>
          <w:highlight w:val="none"/>
          <w:lang w:val="en-US" w:eastAsia="zh-CN"/>
        </w:rPr>
      </w:pPr>
    </w:p>
    <w:p w14:paraId="17D2C51B">
      <w:pPr>
        <w:snapToGrid w:val="0"/>
        <w:spacing w:line="360" w:lineRule="auto"/>
        <w:ind w:firstLine="480" w:firstLineChars="200"/>
        <w:jc w:val="both"/>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b/>
          <w:color w:val="auto"/>
          <w:sz w:val="24"/>
          <w:szCs w:val="24"/>
          <w:highlight w:val="none"/>
        </w:rPr>
        <w:t>附：省级以上监狱管理局、戒毒管理局（含新疆生产建设兵团）出具的监狱企业证明文件。</w:t>
      </w:r>
    </w:p>
    <w:p w14:paraId="1EC53319">
      <w:pPr>
        <w:snapToGrid w:val="0"/>
        <w:spacing w:line="360" w:lineRule="auto"/>
        <w:ind w:left="1080" w:leftChars="257" w:hanging="540"/>
        <w:jc w:val="both"/>
        <w:textAlignment w:val="baseline"/>
        <w:rPr>
          <w:rFonts w:hint="eastAsia" w:ascii="微软雅黑" w:hAnsi="微软雅黑" w:eastAsia="微软雅黑" w:cs="微软雅黑"/>
          <w:color w:val="auto"/>
          <w:kern w:val="0"/>
          <w:sz w:val="24"/>
          <w:szCs w:val="24"/>
          <w:highlight w:val="none"/>
        </w:rPr>
      </w:pPr>
    </w:p>
    <w:p w14:paraId="1B3E64B9">
      <w:pPr>
        <w:snapToGrid w:val="0"/>
        <w:spacing w:line="360" w:lineRule="auto"/>
        <w:ind w:left="1080" w:leftChars="257" w:hanging="540"/>
        <w:jc w:val="both"/>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投标人</w:t>
      </w:r>
      <w:r>
        <w:rPr>
          <w:rFonts w:hint="eastAsia" w:ascii="微软雅黑" w:hAnsi="微软雅黑" w:eastAsia="微软雅黑" w:cs="微软雅黑"/>
          <w:color w:val="auto"/>
          <w:kern w:val="0"/>
          <w:sz w:val="24"/>
          <w:szCs w:val="24"/>
          <w:highlight w:val="none"/>
        </w:rPr>
        <w:t>（单位盖</w:t>
      </w:r>
      <w:r>
        <w:rPr>
          <w:rFonts w:hint="eastAsia" w:ascii="微软雅黑" w:hAnsi="微软雅黑" w:eastAsia="微软雅黑" w:cs="微软雅黑"/>
          <w:color w:val="auto"/>
          <w:kern w:val="0"/>
          <w:sz w:val="24"/>
          <w:szCs w:val="24"/>
          <w:highlight w:val="none"/>
          <w:lang w:eastAsia="zh-CN"/>
        </w:rPr>
        <w:t>公</w:t>
      </w:r>
      <w:r>
        <w:rPr>
          <w:rFonts w:hint="eastAsia" w:ascii="微软雅黑" w:hAnsi="微软雅黑" w:eastAsia="微软雅黑" w:cs="微软雅黑"/>
          <w:color w:val="auto"/>
          <w:kern w:val="0"/>
          <w:sz w:val="24"/>
          <w:szCs w:val="24"/>
          <w:highlight w:val="none"/>
        </w:rPr>
        <w:t>章）：________</w:t>
      </w:r>
    </w:p>
    <w:p w14:paraId="3245F89D">
      <w:pPr>
        <w:snapToGrid w:val="0"/>
        <w:spacing w:line="360" w:lineRule="auto"/>
        <w:ind w:left="1080" w:leftChars="257" w:hanging="540"/>
        <w:jc w:val="both"/>
        <w:textAlignment w:val="baseline"/>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日  期：_______</w:t>
      </w:r>
    </w:p>
    <w:p w14:paraId="327ED863">
      <w:pPr>
        <w:widowControl/>
        <w:spacing w:before="100" w:beforeAutospacing="1" w:after="100" w:afterAutospacing="1" w:line="330" w:lineRule="atLeast"/>
        <w:ind w:firstLine="4340" w:firstLineChars="1550"/>
        <w:jc w:val="left"/>
        <w:rPr>
          <w:rFonts w:hint="eastAsia" w:ascii="微软雅黑" w:hAnsi="微软雅黑" w:eastAsia="微软雅黑" w:cs="微软雅黑"/>
          <w:color w:val="auto"/>
          <w:kern w:val="0"/>
          <w:sz w:val="28"/>
          <w:szCs w:val="28"/>
          <w:highlight w:val="none"/>
          <w:u w:val="single"/>
        </w:rPr>
      </w:pPr>
    </w:p>
    <w:p w14:paraId="3D793A47">
      <w:pPr>
        <w:spacing w:line="44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kern w:val="0"/>
          <w:sz w:val="28"/>
          <w:szCs w:val="28"/>
          <w:highlight w:val="none"/>
          <w:u w:val="single"/>
        </w:rPr>
        <w:br w:type="page"/>
      </w:r>
      <w:bookmarkStart w:id="427" w:name="_Toc5060"/>
      <w:bookmarkStart w:id="428" w:name="_Toc518923122"/>
      <w:r>
        <w:rPr>
          <w:rFonts w:hint="eastAsia" w:ascii="微软雅黑" w:hAnsi="微软雅黑" w:eastAsia="微软雅黑" w:cs="微软雅黑"/>
          <w:b/>
          <w:color w:val="auto"/>
          <w:kern w:val="0"/>
          <w:sz w:val="28"/>
          <w:szCs w:val="28"/>
          <w:highlight w:val="none"/>
          <w:lang w:val="en-US" w:eastAsia="zh-CN" w:bidi="ar-SA"/>
        </w:rPr>
        <w:t>7、投标人关联单位的说明</w:t>
      </w:r>
      <w:bookmarkEnd w:id="427"/>
      <w:bookmarkEnd w:id="428"/>
    </w:p>
    <w:p w14:paraId="5194EE7F">
      <w:pPr>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（采购人名称）</w:t>
      </w:r>
    </w:p>
    <w:p w14:paraId="22BBB7D9">
      <w:pPr>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我方参加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项目</w:t>
      </w:r>
      <w:r>
        <w:rPr>
          <w:rFonts w:hint="eastAsia" w:ascii="微软雅黑" w:hAnsi="微软雅黑" w:eastAsia="微软雅黑" w:cs="微软雅黑"/>
          <w:color w:val="auto"/>
          <w:sz w:val="24"/>
          <w:szCs w:val="24"/>
          <w:highlight w:val="none"/>
          <w:u w:val="single"/>
        </w:rPr>
        <w:t>名称）</w:t>
      </w:r>
      <w:r>
        <w:rPr>
          <w:rFonts w:hint="eastAsia" w:ascii="微软雅黑" w:hAnsi="微软雅黑" w:eastAsia="微软雅黑" w:cs="微软雅黑"/>
          <w:color w:val="auto"/>
          <w:sz w:val="24"/>
          <w:szCs w:val="24"/>
          <w:highlight w:val="none"/>
        </w:rPr>
        <w:t>的申请，根据法律法规维护投标公正性的相关规定，特就本单位控股及管理关系情况申报如下，并承担申报不实的责任。</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2673"/>
        <w:gridCol w:w="3586"/>
      </w:tblGrid>
      <w:tr w14:paraId="39E4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97" w:type="dxa"/>
            <w:noWrap w:val="0"/>
            <w:vAlign w:val="center"/>
          </w:tcPr>
          <w:p w14:paraId="210A66AC">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申报人名称</w:t>
            </w:r>
          </w:p>
        </w:tc>
        <w:tc>
          <w:tcPr>
            <w:tcW w:w="6259" w:type="dxa"/>
            <w:gridSpan w:val="2"/>
            <w:noWrap w:val="0"/>
            <w:vAlign w:val="center"/>
          </w:tcPr>
          <w:p w14:paraId="09F17588">
            <w:pPr>
              <w:spacing w:line="360" w:lineRule="auto"/>
              <w:jc w:val="center"/>
              <w:rPr>
                <w:rFonts w:hint="eastAsia" w:ascii="微软雅黑" w:hAnsi="微软雅黑" w:eastAsia="微软雅黑" w:cs="微软雅黑"/>
                <w:color w:val="auto"/>
                <w:sz w:val="24"/>
                <w:szCs w:val="24"/>
                <w:highlight w:val="none"/>
              </w:rPr>
            </w:pPr>
          </w:p>
        </w:tc>
      </w:tr>
      <w:tr w14:paraId="68E5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97" w:type="dxa"/>
            <w:vMerge w:val="restart"/>
            <w:noWrap w:val="0"/>
            <w:vAlign w:val="center"/>
          </w:tcPr>
          <w:p w14:paraId="2EB1082C">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法定代表人/单位负责人</w:t>
            </w:r>
          </w:p>
        </w:tc>
        <w:tc>
          <w:tcPr>
            <w:tcW w:w="2673" w:type="dxa"/>
            <w:noWrap w:val="0"/>
            <w:vAlign w:val="center"/>
          </w:tcPr>
          <w:p w14:paraId="193B59DC">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姓    名</w:t>
            </w:r>
          </w:p>
        </w:tc>
        <w:tc>
          <w:tcPr>
            <w:tcW w:w="3586" w:type="dxa"/>
            <w:noWrap w:val="0"/>
            <w:vAlign w:val="center"/>
          </w:tcPr>
          <w:p w14:paraId="68EF0699">
            <w:pPr>
              <w:spacing w:line="360" w:lineRule="auto"/>
              <w:jc w:val="center"/>
              <w:rPr>
                <w:rFonts w:hint="eastAsia" w:ascii="微软雅黑" w:hAnsi="微软雅黑" w:eastAsia="微软雅黑" w:cs="微软雅黑"/>
                <w:color w:val="auto"/>
                <w:sz w:val="24"/>
                <w:szCs w:val="24"/>
                <w:highlight w:val="none"/>
              </w:rPr>
            </w:pPr>
          </w:p>
        </w:tc>
      </w:tr>
      <w:tr w14:paraId="7136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397" w:type="dxa"/>
            <w:vMerge w:val="continue"/>
            <w:noWrap w:val="0"/>
            <w:vAlign w:val="center"/>
          </w:tcPr>
          <w:p w14:paraId="0B631682">
            <w:pPr>
              <w:spacing w:line="360" w:lineRule="auto"/>
              <w:jc w:val="center"/>
              <w:rPr>
                <w:rFonts w:hint="eastAsia" w:ascii="微软雅黑" w:hAnsi="微软雅黑" w:eastAsia="微软雅黑" w:cs="微软雅黑"/>
                <w:color w:val="auto"/>
                <w:sz w:val="24"/>
                <w:szCs w:val="24"/>
                <w:highlight w:val="none"/>
              </w:rPr>
            </w:pPr>
          </w:p>
        </w:tc>
        <w:tc>
          <w:tcPr>
            <w:tcW w:w="2673" w:type="dxa"/>
            <w:noWrap w:val="0"/>
            <w:vAlign w:val="center"/>
          </w:tcPr>
          <w:p w14:paraId="27E83F8C">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身份证号</w:t>
            </w:r>
          </w:p>
        </w:tc>
        <w:tc>
          <w:tcPr>
            <w:tcW w:w="3586" w:type="dxa"/>
            <w:noWrap w:val="0"/>
            <w:vAlign w:val="center"/>
          </w:tcPr>
          <w:p w14:paraId="230D8E5C">
            <w:pPr>
              <w:spacing w:line="360" w:lineRule="auto"/>
              <w:jc w:val="center"/>
              <w:rPr>
                <w:rFonts w:hint="eastAsia" w:ascii="微软雅黑" w:hAnsi="微软雅黑" w:eastAsia="微软雅黑" w:cs="微软雅黑"/>
                <w:color w:val="auto"/>
                <w:sz w:val="24"/>
                <w:szCs w:val="24"/>
                <w:highlight w:val="none"/>
              </w:rPr>
            </w:pPr>
          </w:p>
        </w:tc>
      </w:tr>
      <w:tr w14:paraId="5CD4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397" w:type="dxa"/>
            <w:noWrap w:val="0"/>
            <w:vAlign w:val="center"/>
          </w:tcPr>
          <w:p w14:paraId="4002815C">
            <w:pPr>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控股股东/投资人名称</w:t>
            </w:r>
          </w:p>
          <w:p w14:paraId="6699324D">
            <w:pPr>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及出资比例</w:t>
            </w:r>
          </w:p>
        </w:tc>
        <w:tc>
          <w:tcPr>
            <w:tcW w:w="6259" w:type="dxa"/>
            <w:gridSpan w:val="2"/>
            <w:noWrap w:val="0"/>
            <w:vAlign w:val="center"/>
          </w:tcPr>
          <w:p w14:paraId="20477027">
            <w:pPr>
              <w:spacing w:line="360" w:lineRule="auto"/>
              <w:jc w:val="center"/>
              <w:rPr>
                <w:rFonts w:hint="eastAsia" w:ascii="微软雅黑" w:hAnsi="微软雅黑" w:eastAsia="微软雅黑" w:cs="微软雅黑"/>
                <w:color w:val="auto"/>
                <w:sz w:val="24"/>
                <w:szCs w:val="24"/>
                <w:highlight w:val="none"/>
              </w:rPr>
            </w:pPr>
          </w:p>
        </w:tc>
      </w:tr>
      <w:tr w14:paraId="41D3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397" w:type="dxa"/>
            <w:noWrap w:val="0"/>
            <w:vAlign w:val="center"/>
          </w:tcPr>
          <w:p w14:paraId="161A0507">
            <w:pPr>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非控股股东/投资人名称</w:t>
            </w:r>
          </w:p>
          <w:p w14:paraId="43334F8B">
            <w:pPr>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及出资比例</w:t>
            </w:r>
          </w:p>
        </w:tc>
        <w:tc>
          <w:tcPr>
            <w:tcW w:w="6259" w:type="dxa"/>
            <w:gridSpan w:val="2"/>
            <w:noWrap w:val="0"/>
            <w:vAlign w:val="center"/>
          </w:tcPr>
          <w:p w14:paraId="4AD05B84">
            <w:pPr>
              <w:spacing w:line="360" w:lineRule="auto"/>
              <w:jc w:val="center"/>
              <w:rPr>
                <w:rFonts w:hint="eastAsia" w:ascii="微软雅黑" w:hAnsi="微软雅黑" w:eastAsia="微软雅黑" w:cs="微软雅黑"/>
                <w:color w:val="auto"/>
                <w:sz w:val="24"/>
                <w:szCs w:val="24"/>
                <w:highlight w:val="none"/>
              </w:rPr>
            </w:pPr>
          </w:p>
        </w:tc>
      </w:tr>
      <w:tr w14:paraId="0D33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397" w:type="dxa"/>
            <w:vMerge w:val="restart"/>
            <w:noWrap w:val="0"/>
            <w:vAlign w:val="center"/>
          </w:tcPr>
          <w:p w14:paraId="1B5418BE">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管理关系单位名称</w:t>
            </w:r>
          </w:p>
        </w:tc>
        <w:tc>
          <w:tcPr>
            <w:tcW w:w="2673" w:type="dxa"/>
            <w:noWrap w:val="0"/>
            <w:vAlign w:val="center"/>
          </w:tcPr>
          <w:p w14:paraId="563B4B07">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管理关系单位名称</w:t>
            </w:r>
          </w:p>
        </w:tc>
        <w:tc>
          <w:tcPr>
            <w:tcW w:w="3586" w:type="dxa"/>
            <w:noWrap w:val="0"/>
            <w:vAlign w:val="center"/>
          </w:tcPr>
          <w:p w14:paraId="6671E3C6">
            <w:pPr>
              <w:spacing w:line="360" w:lineRule="auto"/>
              <w:jc w:val="center"/>
              <w:rPr>
                <w:rFonts w:hint="eastAsia" w:ascii="微软雅黑" w:hAnsi="微软雅黑" w:eastAsia="微软雅黑" w:cs="微软雅黑"/>
                <w:color w:val="auto"/>
                <w:sz w:val="24"/>
                <w:szCs w:val="24"/>
                <w:highlight w:val="none"/>
              </w:rPr>
            </w:pPr>
          </w:p>
        </w:tc>
      </w:tr>
      <w:tr w14:paraId="5A15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97" w:type="dxa"/>
            <w:vMerge w:val="continue"/>
            <w:noWrap w:val="0"/>
            <w:vAlign w:val="center"/>
          </w:tcPr>
          <w:p w14:paraId="2BFC62D0">
            <w:pPr>
              <w:spacing w:line="360" w:lineRule="auto"/>
              <w:jc w:val="center"/>
              <w:rPr>
                <w:rFonts w:hint="eastAsia" w:ascii="微软雅黑" w:hAnsi="微软雅黑" w:eastAsia="微软雅黑" w:cs="微软雅黑"/>
                <w:color w:val="auto"/>
                <w:sz w:val="24"/>
                <w:szCs w:val="24"/>
                <w:highlight w:val="none"/>
              </w:rPr>
            </w:pPr>
          </w:p>
        </w:tc>
        <w:tc>
          <w:tcPr>
            <w:tcW w:w="2673" w:type="dxa"/>
            <w:noWrap w:val="0"/>
            <w:vAlign w:val="center"/>
          </w:tcPr>
          <w:p w14:paraId="1EB314B3">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被管理关系单位名称</w:t>
            </w:r>
          </w:p>
        </w:tc>
        <w:tc>
          <w:tcPr>
            <w:tcW w:w="3586" w:type="dxa"/>
            <w:noWrap w:val="0"/>
            <w:vAlign w:val="center"/>
          </w:tcPr>
          <w:p w14:paraId="057A2280">
            <w:pPr>
              <w:spacing w:line="360" w:lineRule="auto"/>
              <w:jc w:val="center"/>
              <w:rPr>
                <w:rFonts w:hint="eastAsia" w:ascii="微软雅黑" w:hAnsi="微软雅黑" w:eastAsia="微软雅黑" w:cs="微软雅黑"/>
                <w:color w:val="auto"/>
                <w:sz w:val="24"/>
                <w:szCs w:val="24"/>
                <w:highlight w:val="none"/>
              </w:rPr>
            </w:pPr>
          </w:p>
        </w:tc>
      </w:tr>
      <w:tr w14:paraId="4E22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397" w:type="dxa"/>
            <w:noWrap w:val="0"/>
            <w:vAlign w:val="center"/>
          </w:tcPr>
          <w:p w14:paraId="485E1E51">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c>
          <w:tcPr>
            <w:tcW w:w="6259" w:type="dxa"/>
            <w:gridSpan w:val="2"/>
            <w:noWrap w:val="0"/>
            <w:vAlign w:val="center"/>
          </w:tcPr>
          <w:p w14:paraId="653CC407">
            <w:pPr>
              <w:spacing w:line="360" w:lineRule="auto"/>
              <w:jc w:val="center"/>
              <w:rPr>
                <w:rFonts w:hint="eastAsia" w:ascii="微软雅黑" w:hAnsi="微软雅黑" w:eastAsia="微软雅黑" w:cs="微软雅黑"/>
                <w:color w:val="auto"/>
                <w:sz w:val="24"/>
                <w:szCs w:val="24"/>
                <w:highlight w:val="none"/>
              </w:rPr>
            </w:pPr>
          </w:p>
        </w:tc>
      </w:tr>
    </w:tbl>
    <w:p w14:paraId="1A57002F">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注：1.控股股东/投资人是指出资比例在50%以上，或者出资比例不足50%，但享有公司股东会/董事会控制权的投资方（含单位或者个人）；</w:t>
      </w:r>
    </w:p>
    <w:p w14:paraId="5D25E5AD">
      <w:pPr>
        <w:rPr>
          <w:rFonts w:hint="eastAsia" w:ascii="微软雅黑" w:hAnsi="微软雅黑" w:eastAsia="微软雅黑" w:cs="微软雅黑"/>
          <w:i/>
          <w:color w:val="auto"/>
          <w:sz w:val="24"/>
          <w:szCs w:val="24"/>
          <w:highlight w:val="none"/>
        </w:rPr>
      </w:pPr>
      <w:r>
        <w:rPr>
          <w:rFonts w:hint="eastAsia" w:ascii="微软雅黑" w:hAnsi="微软雅黑" w:eastAsia="微软雅黑" w:cs="微软雅黑"/>
          <w:color w:val="auto"/>
          <w:sz w:val="24"/>
          <w:szCs w:val="24"/>
          <w:highlight w:val="none"/>
        </w:rPr>
        <w:t xml:space="preserve">    2.管理关系单位是指与不具有出资持股关系的其他单位之间存在管理与被管理关系的单位；</w:t>
      </w:r>
      <w:r>
        <w:rPr>
          <w:rFonts w:hint="eastAsia" w:ascii="微软雅黑" w:hAnsi="微软雅黑" w:eastAsia="微软雅黑" w:cs="微软雅黑"/>
          <w:i/>
          <w:color w:val="auto"/>
          <w:sz w:val="24"/>
          <w:szCs w:val="24"/>
          <w:highlight w:val="none"/>
        </w:rPr>
        <w:t xml:space="preserve"> </w:t>
      </w:r>
    </w:p>
    <w:p w14:paraId="2E021015">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3.如未有相关情况，请在相应栏填写“无”。</w:t>
      </w:r>
    </w:p>
    <w:p w14:paraId="76AD7451">
      <w:pPr>
        <w:pStyle w:val="7"/>
        <w:spacing w:line="360" w:lineRule="auto"/>
        <w:ind w:left="0" w:leftChars="0" w:firstLine="0" w:firstLineChars="0"/>
        <w:jc w:val="both"/>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投标人名称（单位盖</w:t>
      </w:r>
      <w:r>
        <w:rPr>
          <w:rFonts w:hint="eastAsia" w:ascii="微软雅黑" w:hAnsi="微软雅黑" w:eastAsia="微软雅黑" w:cs="微软雅黑"/>
          <w:color w:val="auto"/>
          <w:sz w:val="24"/>
          <w:szCs w:val="24"/>
          <w:highlight w:val="none"/>
          <w:lang w:eastAsia="zh-CN"/>
        </w:rPr>
        <w:t>公</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u w:val="single"/>
        </w:rPr>
        <w:t xml:space="preserve">                    </w:t>
      </w:r>
    </w:p>
    <w:p w14:paraId="50AC4710">
      <w:pPr>
        <w:pStyle w:val="7"/>
        <w:spacing w:line="360" w:lineRule="auto"/>
        <w:ind w:left="0" w:leftChars="0" w:firstLine="0" w:firstLineChars="0"/>
        <w:jc w:val="both"/>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(签字或盖章):</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14:paraId="0BCBBE29">
      <w:pPr>
        <w:pStyle w:val="7"/>
        <w:spacing w:line="360" w:lineRule="auto"/>
        <w:ind w:left="0" w:leftChars="0" w:firstLine="0" w:firstLineChars="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日期：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年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月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日</w:t>
      </w:r>
    </w:p>
    <w:p w14:paraId="442E0D2E">
      <w:pPr>
        <w:spacing w:line="240" w:lineRule="atLeast"/>
        <w:ind w:firstLine="240" w:firstLineChars="100"/>
        <w:jc w:val="center"/>
        <w:rPr>
          <w:rFonts w:hint="eastAsia" w:ascii="微软雅黑" w:hAnsi="微软雅黑" w:eastAsia="微软雅黑" w:cs="微软雅黑"/>
          <w:b/>
          <w:bCs/>
          <w:color w:val="auto"/>
          <w:sz w:val="24"/>
          <w:szCs w:val="24"/>
          <w:highlight w:val="none"/>
          <w:lang w:val="en-US" w:eastAsia="zh-CN"/>
        </w:rPr>
        <w:sectPr>
          <w:footerReference r:id="rId17" w:type="default"/>
          <w:pgSz w:w="11906" w:h="16838"/>
          <w:pgMar w:top="1440" w:right="1080" w:bottom="1440" w:left="1080" w:header="851" w:footer="992" w:gutter="0"/>
          <w:pgNumType w:fmt="decimal"/>
          <w:cols w:space="720" w:num="1"/>
          <w:docGrid w:type="lines" w:linePitch="312" w:charSpace="0"/>
        </w:sectPr>
      </w:pPr>
    </w:p>
    <w:p w14:paraId="77809292">
      <w:pPr>
        <w:spacing w:line="240" w:lineRule="atLeast"/>
        <w:ind w:firstLine="280" w:firstLineChars="100"/>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b/>
          <w:bCs/>
          <w:color w:val="auto"/>
          <w:sz w:val="28"/>
          <w:szCs w:val="28"/>
          <w:highlight w:val="none"/>
          <w:lang w:val="en-US" w:eastAsia="zh-CN"/>
        </w:rPr>
        <w:t>8、</w:t>
      </w:r>
      <w:r>
        <w:rPr>
          <w:rFonts w:hint="eastAsia" w:ascii="微软雅黑" w:hAnsi="微软雅黑" w:eastAsia="微软雅黑" w:cs="微软雅黑"/>
          <w:b/>
          <w:bCs/>
          <w:color w:val="auto"/>
          <w:sz w:val="28"/>
          <w:szCs w:val="28"/>
          <w:highlight w:val="none"/>
        </w:rPr>
        <w:t>其他有利于投标人的文件或证明材料</w:t>
      </w:r>
    </w:p>
    <w:p w14:paraId="1CEE4C88">
      <w:pPr>
        <w:pStyle w:val="7"/>
        <w:ind w:left="0" w:leftChars="0" w:firstLine="480" w:firstLineChars="200"/>
        <w:jc w:val="both"/>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参照</w:t>
      </w:r>
      <w:r>
        <w:rPr>
          <w:rFonts w:hint="eastAsia" w:ascii="微软雅黑" w:hAnsi="微软雅黑" w:eastAsia="微软雅黑" w:cs="微软雅黑"/>
          <w:b w:val="0"/>
          <w:bCs w:val="0"/>
          <w:color w:val="auto"/>
          <w:sz w:val="24"/>
          <w:szCs w:val="24"/>
          <w:highlight w:val="none"/>
          <w:lang w:eastAsia="zh-CN"/>
        </w:rPr>
        <w:t>“第五章货物内容及项目要求”</w:t>
      </w:r>
      <w:r>
        <w:rPr>
          <w:rFonts w:hint="eastAsia" w:ascii="微软雅黑" w:hAnsi="微软雅黑" w:eastAsia="微软雅黑" w:cs="微软雅黑"/>
          <w:b w:val="0"/>
          <w:bCs w:val="0"/>
          <w:color w:val="auto"/>
          <w:sz w:val="24"/>
          <w:szCs w:val="24"/>
          <w:highlight w:val="none"/>
        </w:rPr>
        <w:t>“第六章评分方法和标准”，提供有</w:t>
      </w:r>
      <w:r>
        <w:rPr>
          <w:rFonts w:hint="eastAsia" w:ascii="微软雅黑" w:hAnsi="微软雅黑" w:eastAsia="微软雅黑" w:cs="微软雅黑"/>
          <w:b w:val="0"/>
          <w:bCs w:val="0"/>
          <w:color w:val="auto"/>
          <w:sz w:val="24"/>
          <w:szCs w:val="24"/>
          <w:highlight w:val="none"/>
          <w:lang w:eastAsia="zh-CN"/>
        </w:rPr>
        <w:t>利</w:t>
      </w:r>
      <w:r>
        <w:rPr>
          <w:rFonts w:hint="eastAsia" w:ascii="微软雅黑" w:hAnsi="微软雅黑" w:eastAsia="微软雅黑" w:cs="微软雅黑"/>
          <w:b w:val="0"/>
          <w:bCs w:val="0"/>
          <w:color w:val="auto"/>
          <w:sz w:val="24"/>
          <w:szCs w:val="24"/>
          <w:highlight w:val="none"/>
        </w:rPr>
        <w:t>于投标人的其他证明文件。</w:t>
      </w:r>
    </w:p>
    <w:p w14:paraId="5B7BE4C8">
      <w:pPr>
        <w:pStyle w:val="10"/>
        <w:rPr>
          <w:rFonts w:hint="eastAsia" w:ascii="微软雅黑" w:hAnsi="微软雅黑" w:eastAsia="微软雅黑" w:cs="微软雅黑"/>
          <w:b w:val="0"/>
          <w:bCs w:val="0"/>
          <w:color w:val="auto"/>
          <w:sz w:val="24"/>
          <w:szCs w:val="24"/>
          <w:highlight w:val="none"/>
        </w:rPr>
      </w:pPr>
    </w:p>
    <w:p w14:paraId="08F02EA6">
      <w:pPr>
        <w:rPr>
          <w:rFonts w:hint="eastAsia" w:ascii="微软雅黑" w:hAnsi="微软雅黑" w:eastAsia="微软雅黑" w:cs="微软雅黑"/>
          <w:b w:val="0"/>
          <w:bCs w:val="0"/>
          <w:color w:val="auto"/>
          <w:sz w:val="24"/>
          <w:szCs w:val="24"/>
          <w:highlight w:val="none"/>
        </w:rPr>
      </w:pPr>
    </w:p>
    <w:p w14:paraId="3575D104">
      <w:pPr>
        <w:pStyle w:val="40"/>
        <w:rPr>
          <w:rFonts w:hint="eastAsia" w:ascii="微软雅黑" w:hAnsi="微软雅黑" w:eastAsia="微软雅黑" w:cs="微软雅黑"/>
          <w:b w:val="0"/>
          <w:bCs w:val="0"/>
          <w:color w:val="auto"/>
          <w:sz w:val="24"/>
          <w:szCs w:val="24"/>
          <w:highlight w:val="none"/>
        </w:rPr>
      </w:pPr>
    </w:p>
    <w:p w14:paraId="2BF47C40">
      <w:pPr>
        <w:pStyle w:val="7"/>
        <w:rPr>
          <w:rFonts w:hint="eastAsia" w:ascii="微软雅黑" w:hAnsi="微软雅黑" w:eastAsia="微软雅黑" w:cs="微软雅黑"/>
          <w:b w:val="0"/>
          <w:bCs w:val="0"/>
          <w:color w:val="auto"/>
          <w:sz w:val="24"/>
          <w:szCs w:val="24"/>
          <w:highlight w:val="none"/>
        </w:rPr>
      </w:pPr>
    </w:p>
    <w:p w14:paraId="79E7F6D8">
      <w:pPr>
        <w:pStyle w:val="10"/>
        <w:rPr>
          <w:rFonts w:hint="eastAsia" w:ascii="微软雅黑" w:hAnsi="微软雅黑" w:eastAsia="微软雅黑" w:cs="微软雅黑"/>
          <w:b w:val="0"/>
          <w:bCs w:val="0"/>
          <w:color w:val="auto"/>
          <w:sz w:val="24"/>
          <w:szCs w:val="24"/>
          <w:highlight w:val="none"/>
        </w:rPr>
      </w:pPr>
    </w:p>
    <w:p w14:paraId="0F9EB278">
      <w:pPr>
        <w:rPr>
          <w:rFonts w:hint="eastAsia" w:ascii="微软雅黑" w:hAnsi="微软雅黑" w:eastAsia="微软雅黑" w:cs="微软雅黑"/>
          <w:b w:val="0"/>
          <w:bCs w:val="0"/>
          <w:color w:val="auto"/>
          <w:sz w:val="24"/>
          <w:szCs w:val="24"/>
          <w:highlight w:val="none"/>
        </w:rPr>
      </w:pPr>
    </w:p>
    <w:p w14:paraId="7FA04452">
      <w:pPr>
        <w:pStyle w:val="40"/>
        <w:rPr>
          <w:rFonts w:hint="eastAsia" w:ascii="微软雅黑" w:hAnsi="微软雅黑" w:eastAsia="微软雅黑" w:cs="微软雅黑"/>
          <w:b w:val="0"/>
          <w:bCs w:val="0"/>
          <w:color w:val="auto"/>
          <w:sz w:val="24"/>
          <w:szCs w:val="24"/>
          <w:highlight w:val="none"/>
        </w:rPr>
      </w:pPr>
    </w:p>
    <w:p w14:paraId="5CF31FCA">
      <w:pPr>
        <w:pStyle w:val="7"/>
        <w:rPr>
          <w:rFonts w:hint="eastAsia" w:ascii="微软雅黑" w:hAnsi="微软雅黑" w:eastAsia="微软雅黑" w:cs="微软雅黑"/>
          <w:b w:val="0"/>
          <w:bCs w:val="0"/>
          <w:color w:val="auto"/>
          <w:sz w:val="24"/>
          <w:szCs w:val="24"/>
          <w:highlight w:val="none"/>
        </w:rPr>
      </w:pPr>
    </w:p>
    <w:p w14:paraId="64B4F5AB">
      <w:pPr>
        <w:pStyle w:val="10"/>
        <w:rPr>
          <w:rFonts w:hint="eastAsia" w:ascii="微软雅黑" w:hAnsi="微软雅黑" w:eastAsia="微软雅黑" w:cs="微软雅黑"/>
          <w:b w:val="0"/>
          <w:bCs w:val="0"/>
          <w:color w:val="auto"/>
          <w:sz w:val="24"/>
          <w:szCs w:val="24"/>
          <w:highlight w:val="none"/>
        </w:rPr>
      </w:pPr>
    </w:p>
    <w:p w14:paraId="585704FF">
      <w:pPr>
        <w:rPr>
          <w:rFonts w:hint="eastAsia" w:ascii="微软雅黑" w:hAnsi="微软雅黑" w:eastAsia="微软雅黑" w:cs="微软雅黑"/>
          <w:b w:val="0"/>
          <w:bCs w:val="0"/>
          <w:color w:val="auto"/>
          <w:sz w:val="24"/>
          <w:szCs w:val="24"/>
          <w:highlight w:val="none"/>
        </w:rPr>
      </w:pPr>
    </w:p>
    <w:p w14:paraId="16AECC27">
      <w:pPr>
        <w:pStyle w:val="40"/>
        <w:rPr>
          <w:rFonts w:hint="eastAsia" w:ascii="微软雅黑" w:hAnsi="微软雅黑" w:eastAsia="微软雅黑" w:cs="微软雅黑"/>
          <w:b w:val="0"/>
          <w:bCs w:val="0"/>
          <w:color w:val="auto"/>
          <w:sz w:val="24"/>
          <w:szCs w:val="24"/>
          <w:highlight w:val="none"/>
        </w:rPr>
      </w:pPr>
    </w:p>
    <w:p w14:paraId="14A60CA8">
      <w:pPr>
        <w:pStyle w:val="7"/>
        <w:rPr>
          <w:rFonts w:hint="eastAsia" w:ascii="微软雅黑" w:hAnsi="微软雅黑" w:eastAsia="微软雅黑" w:cs="微软雅黑"/>
          <w:b w:val="0"/>
          <w:bCs w:val="0"/>
          <w:color w:val="auto"/>
          <w:sz w:val="24"/>
          <w:szCs w:val="24"/>
          <w:highlight w:val="none"/>
        </w:rPr>
      </w:pPr>
    </w:p>
    <w:p w14:paraId="473015B4">
      <w:pPr>
        <w:pStyle w:val="10"/>
        <w:rPr>
          <w:rFonts w:hint="eastAsia" w:ascii="微软雅黑" w:hAnsi="微软雅黑" w:eastAsia="微软雅黑" w:cs="微软雅黑"/>
          <w:b w:val="0"/>
          <w:bCs w:val="0"/>
          <w:color w:val="auto"/>
          <w:sz w:val="24"/>
          <w:szCs w:val="24"/>
          <w:highlight w:val="none"/>
        </w:rPr>
      </w:pPr>
    </w:p>
    <w:p w14:paraId="024C8507">
      <w:pPr>
        <w:rPr>
          <w:rFonts w:hint="eastAsia" w:ascii="微软雅黑" w:hAnsi="微软雅黑" w:eastAsia="微软雅黑" w:cs="微软雅黑"/>
          <w:b w:val="0"/>
          <w:bCs w:val="0"/>
          <w:color w:val="auto"/>
          <w:sz w:val="24"/>
          <w:szCs w:val="24"/>
          <w:highlight w:val="none"/>
        </w:rPr>
      </w:pPr>
    </w:p>
    <w:p w14:paraId="2D7EB3D9">
      <w:pPr>
        <w:pStyle w:val="40"/>
        <w:rPr>
          <w:rFonts w:hint="eastAsia" w:ascii="微软雅黑" w:hAnsi="微软雅黑" w:eastAsia="微软雅黑" w:cs="微软雅黑"/>
          <w:b w:val="0"/>
          <w:bCs w:val="0"/>
          <w:color w:val="auto"/>
          <w:sz w:val="24"/>
          <w:szCs w:val="24"/>
          <w:highlight w:val="none"/>
        </w:rPr>
      </w:pPr>
    </w:p>
    <w:p w14:paraId="060D7E35">
      <w:pPr>
        <w:pStyle w:val="7"/>
        <w:rPr>
          <w:rFonts w:hint="eastAsia" w:ascii="微软雅黑" w:hAnsi="微软雅黑" w:eastAsia="微软雅黑" w:cs="微软雅黑"/>
          <w:b w:val="0"/>
          <w:bCs w:val="0"/>
          <w:color w:val="auto"/>
          <w:sz w:val="24"/>
          <w:szCs w:val="24"/>
          <w:highlight w:val="none"/>
        </w:rPr>
      </w:pPr>
    </w:p>
    <w:p w14:paraId="439C896A">
      <w:pPr>
        <w:pStyle w:val="10"/>
        <w:rPr>
          <w:rFonts w:hint="eastAsia" w:ascii="微软雅黑" w:hAnsi="微软雅黑" w:eastAsia="微软雅黑" w:cs="微软雅黑"/>
          <w:b w:val="0"/>
          <w:bCs w:val="0"/>
          <w:color w:val="auto"/>
          <w:sz w:val="24"/>
          <w:szCs w:val="24"/>
          <w:highlight w:val="none"/>
        </w:rPr>
      </w:pPr>
    </w:p>
    <w:p w14:paraId="14791F0A">
      <w:pPr>
        <w:rPr>
          <w:rFonts w:hint="eastAsia" w:ascii="微软雅黑" w:hAnsi="微软雅黑" w:eastAsia="微软雅黑" w:cs="微软雅黑"/>
          <w:b w:val="0"/>
          <w:bCs w:val="0"/>
          <w:color w:val="auto"/>
          <w:sz w:val="24"/>
          <w:szCs w:val="24"/>
          <w:highlight w:val="none"/>
        </w:rPr>
      </w:pPr>
    </w:p>
    <w:p w14:paraId="3C9747B0">
      <w:pPr>
        <w:pStyle w:val="40"/>
        <w:rPr>
          <w:rFonts w:hint="eastAsia" w:ascii="微软雅黑" w:hAnsi="微软雅黑" w:eastAsia="微软雅黑" w:cs="微软雅黑"/>
          <w:b w:val="0"/>
          <w:bCs w:val="0"/>
          <w:color w:val="auto"/>
          <w:sz w:val="24"/>
          <w:szCs w:val="24"/>
          <w:highlight w:val="none"/>
        </w:rPr>
      </w:pPr>
    </w:p>
    <w:p w14:paraId="470D3F20">
      <w:pPr>
        <w:pStyle w:val="3"/>
        <w:spacing w:before="0" w:line="240" w:lineRule="atLeast"/>
        <w:ind w:left="1080" w:leftChars="257" w:hanging="540"/>
        <w:rPr>
          <w:rFonts w:hint="eastAsia" w:ascii="微软雅黑" w:hAnsi="微软雅黑" w:eastAsia="微软雅黑" w:cs="微软雅黑"/>
          <w:color w:val="auto"/>
          <w:sz w:val="24"/>
          <w:szCs w:val="24"/>
          <w:highlight w:val="none"/>
          <w:lang w:val="en-US" w:eastAsia="zh-CN"/>
        </w:rPr>
        <w:sectPr>
          <w:headerReference r:id="rId18" w:type="default"/>
          <w:pgSz w:w="11907" w:h="16840"/>
          <w:pgMar w:top="1474" w:right="1253" w:bottom="1474" w:left="1194" w:header="851" w:footer="851" w:gutter="0"/>
          <w:pgNumType w:fmt="decimal"/>
          <w:cols w:space="720" w:num="1"/>
          <w:docGrid w:linePitch="462" w:charSpace="0"/>
        </w:sectPr>
      </w:pPr>
      <w:bookmarkStart w:id="429" w:name="_Toc17047"/>
    </w:p>
    <w:bookmarkEnd w:id="429"/>
    <w:p w14:paraId="7B73A8EB">
      <w:pPr>
        <w:pStyle w:val="3"/>
        <w:spacing w:before="0" w:line="240" w:lineRule="atLeast"/>
        <w:ind w:left="1079" w:leftChars="257" w:hanging="540"/>
        <w:rPr>
          <w:rFonts w:hint="eastAsia" w:ascii="微软雅黑" w:hAnsi="微软雅黑" w:eastAsia="微软雅黑" w:cs="微软雅黑"/>
          <w:b/>
          <w:bCs/>
          <w:color w:val="auto"/>
          <w:kern w:val="2"/>
          <w:sz w:val="24"/>
          <w:szCs w:val="24"/>
          <w:highlight w:val="none"/>
          <w:lang w:val="en-US" w:eastAsia="zh-CN" w:bidi="ar-SA"/>
        </w:rPr>
      </w:pPr>
      <w:bookmarkStart w:id="430" w:name="_Toc20588"/>
      <w:bookmarkStart w:id="431" w:name="_Toc22149"/>
      <w:r>
        <w:rPr>
          <w:rFonts w:hint="eastAsia" w:ascii="微软雅黑" w:hAnsi="微软雅黑" w:eastAsia="微软雅黑" w:cs="微软雅黑"/>
          <w:b/>
          <w:bCs w:val="0"/>
          <w:color w:val="auto"/>
          <w:kern w:val="2"/>
          <w:sz w:val="28"/>
          <w:szCs w:val="28"/>
          <w:highlight w:val="none"/>
          <w:lang w:val="en-US" w:eastAsia="zh-CN" w:bidi="ar-SA"/>
        </w:rPr>
        <w:t>9、关于对本投标文件中资料真实性的承诺</w:t>
      </w:r>
      <w:bookmarkEnd w:id="430"/>
      <w:bookmarkEnd w:id="431"/>
    </w:p>
    <w:p w14:paraId="662D8977">
      <w:pPr>
        <w:adjustRightInd w:val="0"/>
        <w:snapToGrid w:val="0"/>
        <w:ind w:left="-88" w:leftChars="-42" w:firstLine="240" w:firstLineChars="100"/>
        <w:jc w:val="center"/>
        <w:rPr>
          <w:rFonts w:hint="eastAsia" w:ascii="微软雅黑" w:hAnsi="微软雅黑" w:eastAsia="微软雅黑" w:cs="微软雅黑"/>
          <w:b/>
          <w:bCs w:val="0"/>
          <w:color w:val="auto"/>
          <w:sz w:val="24"/>
          <w:szCs w:val="24"/>
          <w:highlight w:val="none"/>
        </w:rPr>
      </w:pPr>
    </w:p>
    <w:p w14:paraId="7FEDF6C6">
      <w:pPr>
        <w:spacing w:line="360" w:lineRule="auto"/>
        <w:rPr>
          <w:rFonts w:hint="eastAsia" w:ascii="微软雅黑" w:hAnsi="微软雅黑" w:eastAsia="微软雅黑" w:cs="微软雅黑"/>
          <w:b/>
          <w:color w:val="auto"/>
          <w:sz w:val="24"/>
          <w:szCs w:val="24"/>
          <w:highlight w:val="none"/>
          <w:u w:val="single"/>
          <w:lang w:val="en-US" w:eastAsia="zh-CN"/>
        </w:rPr>
      </w:pPr>
      <w:r>
        <w:rPr>
          <w:rFonts w:hint="eastAsia" w:ascii="微软雅黑" w:hAnsi="微软雅黑" w:eastAsia="微软雅黑" w:cs="微软雅黑"/>
          <w:b/>
          <w:color w:val="auto"/>
          <w:sz w:val="24"/>
          <w:szCs w:val="24"/>
          <w:highlight w:val="none"/>
          <w:lang w:eastAsia="zh-CN"/>
        </w:rPr>
        <w:t>致</w:t>
      </w: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color w:val="auto"/>
          <w:sz w:val="24"/>
          <w:szCs w:val="24"/>
          <w:highlight w:val="none"/>
          <w:u w:val="single"/>
        </w:rPr>
        <w:t>（采购人名称）</w:t>
      </w:r>
      <w:r>
        <w:rPr>
          <w:rFonts w:hint="eastAsia" w:ascii="微软雅黑" w:hAnsi="微软雅黑" w:eastAsia="微软雅黑" w:cs="微软雅黑"/>
          <w:color w:val="auto"/>
          <w:sz w:val="24"/>
          <w:szCs w:val="24"/>
          <w:highlight w:val="none"/>
          <w:u w:val="single"/>
          <w:lang w:val="en-US" w:eastAsia="zh-CN"/>
        </w:rPr>
        <w:t xml:space="preserve"> </w:t>
      </w:r>
    </w:p>
    <w:p w14:paraId="5B92B4F3">
      <w:pPr>
        <w:spacing w:line="360" w:lineRule="auto"/>
        <w:ind w:firstLine="720" w:firstLineChars="3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根据《中华人民共和国政府采购法》、《中华人民共和国政府采购法实施</w:t>
      </w:r>
      <w:r>
        <w:rPr>
          <w:rFonts w:hint="eastAsia" w:ascii="微软雅黑" w:hAnsi="微软雅黑" w:eastAsia="微软雅黑" w:cs="微软雅黑"/>
          <w:color w:val="auto"/>
          <w:sz w:val="24"/>
          <w:szCs w:val="24"/>
          <w:highlight w:val="none"/>
        </w:rPr>
        <w:t>条例》等有关法律、法规的规定和</w:t>
      </w:r>
      <w:r>
        <w:rPr>
          <w:rFonts w:hint="eastAsia" w:ascii="微软雅黑" w:hAnsi="微软雅黑" w:eastAsia="微软雅黑" w:cs="微软雅黑"/>
          <w:color w:val="auto"/>
          <w:sz w:val="24"/>
          <w:szCs w:val="24"/>
          <w:highlight w:val="none"/>
          <w:u w:val="single"/>
        </w:rPr>
        <w:t xml:space="preserve"> （标项名称） </w:t>
      </w:r>
      <w:r>
        <w:rPr>
          <w:rFonts w:hint="eastAsia" w:ascii="微软雅黑" w:hAnsi="微软雅黑" w:eastAsia="微软雅黑" w:cs="微软雅黑"/>
          <w:color w:val="auto"/>
          <w:sz w:val="24"/>
          <w:szCs w:val="24"/>
          <w:highlight w:val="none"/>
        </w:rPr>
        <w:t>的招标文件的要求，我公司在</w:t>
      </w:r>
      <w:r>
        <w:rPr>
          <w:rFonts w:hint="eastAsia" w:ascii="微软雅黑" w:hAnsi="微软雅黑" w:eastAsia="微软雅黑" w:cs="微软雅黑"/>
          <w:color w:val="auto"/>
          <w:sz w:val="24"/>
          <w:szCs w:val="24"/>
          <w:highlight w:val="none"/>
          <w:u w:val="single"/>
        </w:rPr>
        <w:t>  （标项名称）</w:t>
      </w:r>
      <w:r>
        <w:rPr>
          <w:rFonts w:hint="eastAsia" w:ascii="微软雅黑" w:hAnsi="微软雅黑" w:eastAsia="微软雅黑" w:cs="微软雅黑"/>
          <w:color w:val="auto"/>
          <w:sz w:val="24"/>
          <w:szCs w:val="24"/>
          <w:highlight w:val="none"/>
        </w:rPr>
        <w:t>投标文件中所提供资料真实性作如下承诺：</w:t>
      </w:r>
    </w:p>
    <w:p w14:paraId="53059F13">
      <w:pPr>
        <w:spacing w:line="360" w:lineRule="auto"/>
        <w:ind w:firstLine="720" w:firstLineChars="3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我方所提供的有关本项目的任何资料，可经得起任何查实，保证所有资料的真实性、准确性，不存在弄虚作假现象。无论我方中标与否，若经查实存在弄虚作假现象，愿接受</w:t>
      </w:r>
      <w:r>
        <w:rPr>
          <w:rFonts w:hint="eastAsia" w:ascii="微软雅黑" w:hAnsi="微软雅黑" w:eastAsia="微软雅黑" w:cs="微软雅黑"/>
          <w:color w:val="auto"/>
          <w:sz w:val="24"/>
          <w:szCs w:val="24"/>
          <w:highlight w:val="none"/>
          <w:lang w:val="en-US" w:eastAsia="zh-CN"/>
        </w:rPr>
        <w:t>采购</w:t>
      </w:r>
      <w:r>
        <w:rPr>
          <w:rFonts w:hint="eastAsia" w:ascii="微软雅黑" w:hAnsi="微软雅黑" w:eastAsia="微软雅黑" w:cs="微软雅黑"/>
          <w:color w:val="auto"/>
          <w:sz w:val="24"/>
          <w:szCs w:val="24"/>
          <w:highlight w:val="none"/>
        </w:rPr>
        <w:t>人做出的取消投标资格、中标资格、没收投标保证金、履约保证金等的决定，同时愿意接受有关行业主管部门作出的其他处罚决定。</w:t>
      </w:r>
    </w:p>
    <w:p w14:paraId="32B01965">
      <w:pPr>
        <w:spacing w:line="360" w:lineRule="auto"/>
        <w:ind w:firstLine="720" w:firstLineChars="300"/>
        <w:rPr>
          <w:rFonts w:hint="eastAsia" w:ascii="微软雅黑" w:hAnsi="微软雅黑" w:eastAsia="微软雅黑" w:cs="微软雅黑"/>
          <w:b/>
          <w:color w:val="auto"/>
          <w:sz w:val="24"/>
          <w:szCs w:val="24"/>
          <w:highlight w:val="none"/>
          <w:lang w:eastAsia="zh-CN"/>
        </w:rPr>
      </w:pPr>
      <w:r>
        <w:rPr>
          <w:rFonts w:hint="eastAsia" w:ascii="微软雅黑" w:hAnsi="微软雅黑" w:eastAsia="微软雅黑" w:cs="微软雅黑"/>
          <w:b/>
          <w:color w:val="auto"/>
          <w:sz w:val="24"/>
          <w:szCs w:val="24"/>
          <w:highlight w:val="none"/>
        </w:rPr>
        <w:t>特此承诺</w:t>
      </w:r>
      <w:r>
        <w:rPr>
          <w:rFonts w:hint="eastAsia" w:ascii="微软雅黑" w:hAnsi="微软雅黑" w:eastAsia="微软雅黑" w:cs="微软雅黑"/>
          <w:b/>
          <w:color w:val="auto"/>
          <w:sz w:val="24"/>
          <w:szCs w:val="24"/>
          <w:highlight w:val="none"/>
          <w:lang w:eastAsia="zh-CN"/>
        </w:rPr>
        <w:t>！</w:t>
      </w:r>
    </w:p>
    <w:p w14:paraId="6FAD1140">
      <w:pPr>
        <w:spacing w:line="360" w:lineRule="auto"/>
        <w:ind w:firstLine="720" w:firstLineChars="3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 xml:space="preserve">    </w:t>
      </w:r>
    </w:p>
    <w:p w14:paraId="382E07C8">
      <w:pPr>
        <w:pStyle w:val="7"/>
        <w:spacing w:line="360" w:lineRule="auto"/>
        <w:ind w:left="0" w:leftChars="0" w:firstLine="480" w:firstLineChars="200"/>
        <w:jc w:val="both"/>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投标人名称（单位盖章）:</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u w:val="single"/>
        </w:rPr>
        <w:t xml:space="preserve">                    </w:t>
      </w:r>
    </w:p>
    <w:p w14:paraId="7F283E60">
      <w:pPr>
        <w:pStyle w:val="7"/>
        <w:spacing w:line="360" w:lineRule="auto"/>
        <w:ind w:left="0" w:leftChars="0" w:firstLine="480" w:firstLineChars="200"/>
        <w:jc w:val="both"/>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法定代表人或委托代理(签字或盖章):</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14:paraId="39DA194E">
      <w:pPr>
        <w:pStyle w:val="7"/>
        <w:spacing w:line="360" w:lineRule="auto"/>
        <w:ind w:left="0" w:leftChars="0" w:firstLine="480" w:firstLineChars="200"/>
        <w:jc w:val="both"/>
        <w:rPr>
          <w:rFonts w:hint="eastAsia" w:ascii="微软雅黑 Light" w:hAnsi="微软雅黑 Light" w:eastAsia="微软雅黑 Light" w:cs="微软雅黑 Light"/>
          <w:color w:val="auto"/>
          <w:sz w:val="22"/>
          <w:szCs w:val="22"/>
          <w:highlight w:val="none"/>
        </w:rPr>
      </w:pPr>
      <w:r>
        <w:rPr>
          <w:rFonts w:hint="eastAsia" w:ascii="微软雅黑" w:hAnsi="微软雅黑" w:eastAsia="微软雅黑" w:cs="微软雅黑"/>
          <w:color w:val="auto"/>
          <w:sz w:val="24"/>
          <w:szCs w:val="24"/>
          <w:highlight w:val="none"/>
        </w:rPr>
        <w:t xml:space="preserve">日期：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年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月 日</w:t>
      </w:r>
    </w:p>
    <w:p w14:paraId="4F90CB22">
      <w:pPr>
        <w:spacing w:line="480" w:lineRule="auto"/>
        <w:ind w:firstLine="960" w:firstLineChars="200"/>
        <w:jc w:val="both"/>
        <w:rPr>
          <w:rFonts w:hint="eastAsia" w:ascii="宋体" w:hAnsi="宋体" w:eastAsia="宋体" w:cs="宋体"/>
          <w:b/>
          <w:bCs w:val="0"/>
          <w:color w:val="auto"/>
          <w:sz w:val="48"/>
          <w:szCs w:val="48"/>
          <w:highlight w:val="none"/>
          <w:lang w:eastAsia="zh-CN"/>
        </w:rPr>
      </w:pPr>
    </w:p>
    <w:p w14:paraId="46934587">
      <w:pPr>
        <w:spacing w:line="240" w:lineRule="atLeast"/>
        <w:jc w:val="center"/>
        <w:rPr>
          <w:rFonts w:hint="eastAsia" w:ascii="宋体" w:hAnsi="宋体" w:eastAsia="宋体" w:cs="宋体"/>
          <w:b/>
          <w:bCs w:val="0"/>
          <w:color w:val="auto"/>
          <w:sz w:val="40"/>
          <w:szCs w:val="40"/>
          <w:highlight w:val="none"/>
          <w:lang w:eastAsia="zh-CN"/>
        </w:rPr>
        <w:sectPr>
          <w:headerReference r:id="rId19" w:type="default"/>
          <w:footerReference r:id="rId20" w:type="default"/>
          <w:pgSz w:w="11906" w:h="16838"/>
          <w:pgMar w:top="1440" w:right="1080" w:bottom="1440" w:left="1080" w:header="851" w:footer="992" w:gutter="0"/>
          <w:pgNumType w:fmt="decimal"/>
          <w:cols w:space="720" w:num="1"/>
          <w:docGrid w:type="linesAndChars" w:linePitch="312" w:charSpace="0"/>
        </w:sectPr>
      </w:pPr>
    </w:p>
    <w:p w14:paraId="42151AC2">
      <w:pPr>
        <w:spacing w:line="240" w:lineRule="atLeast"/>
        <w:jc w:val="center"/>
        <w:outlineLvl w:val="0"/>
        <w:rPr>
          <w:rFonts w:hint="eastAsia" w:ascii="微软雅黑" w:hAnsi="微软雅黑" w:eastAsia="微软雅黑" w:cs="微软雅黑"/>
          <w:b/>
          <w:color w:val="auto"/>
          <w:kern w:val="2"/>
          <w:sz w:val="36"/>
          <w:szCs w:val="36"/>
          <w:highlight w:val="none"/>
          <w:lang w:val="en-US" w:eastAsia="zh-CN" w:bidi="ar-SA"/>
        </w:rPr>
      </w:pPr>
      <w:bookmarkStart w:id="432" w:name="_Toc7638"/>
      <w:bookmarkStart w:id="433" w:name="_Toc24860"/>
    </w:p>
    <w:p w14:paraId="0F582628">
      <w:pPr>
        <w:spacing w:line="240" w:lineRule="atLeast"/>
        <w:jc w:val="center"/>
        <w:outlineLvl w:val="0"/>
        <w:rPr>
          <w:rFonts w:hint="default" w:ascii="微软雅黑" w:hAnsi="微软雅黑" w:eastAsia="微软雅黑" w:cs="微软雅黑"/>
          <w:b/>
          <w:bCs w:val="0"/>
          <w:color w:val="auto"/>
          <w:sz w:val="44"/>
          <w:szCs w:val="44"/>
          <w:highlight w:val="none"/>
          <w:lang w:eastAsia="zh-CN"/>
        </w:rPr>
      </w:pPr>
      <w:r>
        <w:rPr>
          <w:rFonts w:hint="eastAsia" w:ascii="微软雅黑" w:hAnsi="微软雅黑" w:eastAsia="微软雅黑" w:cs="微软雅黑"/>
          <w:b/>
          <w:bCs w:val="0"/>
          <w:color w:val="auto"/>
          <w:sz w:val="44"/>
          <w:szCs w:val="44"/>
          <w:highlight w:val="none"/>
          <w:lang w:eastAsia="zh-CN"/>
        </w:rPr>
        <w:t>喀什市新能源公交车采购项目（二次）</w:t>
      </w:r>
    </w:p>
    <w:p w14:paraId="75294F33">
      <w:pPr>
        <w:spacing w:line="240" w:lineRule="atLeast"/>
        <w:ind w:left="1079" w:leftChars="257" w:hanging="540"/>
        <w:jc w:val="center"/>
        <w:rPr>
          <w:rFonts w:hint="eastAsia" w:ascii="微软雅黑" w:hAnsi="微软雅黑" w:eastAsia="微软雅黑" w:cs="微软雅黑"/>
          <w:b/>
          <w:color w:val="auto"/>
          <w:kern w:val="2"/>
          <w:sz w:val="36"/>
          <w:szCs w:val="36"/>
          <w:highlight w:val="none"/>
          <w:lang w:val="en-US" w:eastAsia="zh-CN" w:bidi="ar-SA"/>
        </w:rPr>
      </w:pPr>
    </w:p>
    <w:p w14:paraId="5A4E11D1">
      <w:pPr>
        <w:spacing w:line="240" w:lineRule="atLeast"/>
        <w:jc w:val="center"/>
        <w:rPr>
          <w:rFonts w:hint="eastAsia" w:ascii="微软雅黑" w:hAnsi="微软雅黑" w:eastAsia="微软雅黑" w:cs="微软雅黑"/>
          <w:b/>
          <w:color w:val="auto"/>
          <w:kern w:val="2"/>
          <w:sz w:val="36"/>
          <w:szCs w:val="36"/>
          <w:highlight w:val="none"/>
          <w:lang w:val="en-US" w:eastAsia="zh-CN" w:bidi="ar-SA"/>
        </w:rPr>
      </w:pPr>
    </w:p>
    <w:p w14:paraId="6D667F1C">
      <w:pPr>
        <w:pStyle w:val="28"/>
        <w:rPr>
          <w:rFonts w:hint="eastAsia" w:ascii="微软雅黑" w:hAnsi="微软雅黑" w:eastAsia="微软雅黑" w:cs="微软雅黑"/>
          <w:b/>
          <w:color w:val="auto"/>
          <w:kern w:val="2"/>
          <w:sz w:val="36"/>
          <w:szCs w:val="36"/>
          <w:highlight w:val="none"/>
          <w:lang w:val="en-US" w:eastAsia="zh-CN" w:bidi="ar-SA"/>
        </w:rPr>
      </w:pPr>
    </w:p>
    <w:p w14:paraId="78C1DDDF">
      <w:pPr>
        <w:spacing w:line="240" w:lineRule="atLeast"/>
        <w:jc w:val="center"/>
        <w:outlineLvl w:val="0"/>
        <w:rPr>
          <w:rFonts w:hint="eastAsia" w:ascii="微软雅黑" w:hAnsi="微软雅黑" w:eastAsia="微软雅黑" w:cs="微软雅黑"/>
          <w:b/>
          <w:color w:val="auto"/>
          <w:kern w:val="2"/>
          <w:sz w:val="36"/>
          <w:szCs w:val="36"/>
          <w:highlight w:val="none"/>
          <w:lang w:val="en-US" w:eastAsia="zh-CN" w:bidi="ar-SA"/>
        </w:rPr>
      </w:pPr>
      <w:r>
        <w:rPr>
          <w:rFonts w:hint="eastAsia" w:ascii="微软雅黑" w:hAnsi="微软雅黑" w:eastAsia="微软雅黑" w:cs="微软雅黑"/>
          <w:b/>
          <w:color w:val="auto"/>
          <w:kern w:val="2"/>
          <w:sz w:val="36"/>
          <w:szCs w:val="36"/>
          <w:highlight w:val="none"/>
          <w:lang w:val="en-US" w:eastAsia="zh-CN" w:bidi="ar-SA"/>
        </w:rPr>
        <w:t>公开招标文件</w:t>
      </w:r>
    </w:p>
    <w:p w14:paraId="18B106F1">
      <w:pPr>
        <w:spacing w:line="240" w:lineRule="atLeast"/>
        <w:jc w:val="both"/>
        <w:rPr>
          <w:rFonts w:hint="eastAsia" w:ascii="微软雅黑" w:hAnsi="微软雅黑" w:eastAsia="微软雅黑" w:cs="微软雅黑"/>
          <w:b/>
          <w:bCs/>
          <w:color w:val="auto"/>
          <w:kern w:val="0"/>
          <w:sz w:val="32"/>
          <w:szCs w:val="32"/>
          <w:highlight w:val="none"/>
          <w:shd w:val="clear" w:color="auto" w:fill="FFFFFF"/>
          <w:lang w:eastAsia="zh-CN"/>
        </w:rPr>
      </w:pPr>
    </w:p>
    <w:p w14:paraId="51B7EC79">
      <w:pPr>
        <w:spacing w:line="240" w:lineRule="atLeast"/>
        <w:jc w:val="center"/>
        <w:rPr>
          <w:rFonts w:hint="eastAsia" w:ascii="微软雅黑" w:hAnsi="微软雅黑" w:eastAsia="微软雅黑" w:cs="微软雅黑"/>
          <w:b/>
          <w:bCs/>
          <w:color w:val="auto"/>
          <w:kern w:val="0"/>
          <w:sz w:val="32"/>
          <w:szCs w:val="32"/>
          <w:highlight w:val="none"/>
          <w:shd w:val="clear" w:color="auto" w:fill="FFFFFF"/>
          <w:lang w:eastAsia="zh-CN"/>
        </w:rPr>
      </w:pPr>
    </w:p>
    <w:p w14:paraId="3F7C8391">
      <w:pPr>
        <w:spacing w:line="240" w:lineRule="atLeast"/>
        <w:jc w:val="center"/>
        <w:outlineLvl w:val="0"/>
        <w:rPr>
          <w:rFonts w:hint="eastAsia" w:ascii="微软雅黑" w:hAnsi="微软雅黑" w:eastAsia="微软雅黑" w:cs="微软雅黑"/>
          <w:b/>
          <w:bCs/>
          <w:color w:val="auto"/>
          <w:kern w:val="0"/>
          <w:sz w:val="32"/>
          <w:szCs w:val="32"/>
          <w:highlight w:val="none"/>
          <w:shd w:val="clear" w:color="auto" w:fill="FFFFFF"/>
          <w:lang w:eastAsia="zh-CN"/>
        </w:rPr>
      </w:pPr>
      <w:r>
        <w:rPr>
          <w:rFonts w:hint="eastAsia" w:ascii="微软雅黑" w:hAnsi="微软雅黑" w:eastAsia="微软雅黑" w:cs="微软雅黑"/>
          <w:b/>
          <w:bCs/>
          <w:color w:val="auto"/>
          <w:kern w:val="0"/>
          <w:sz w:val="32"/>
          <w:szCs w:val="32"/>
          <w:highlight w:val="none"/>
          <w:shd w:val="clear" w:color="auto" w:fill="FFFFFF"/>
          <w:lang w:eastAsia="zh-CN"/>
        </w:rPr>
        <w:t>项目编号：KSMYCG2025-094-01</w:t>
      </w:r>
    </w:p>
    <w:p w14:paraId="16307C37">
      <w:pPr>
        <w:spacing w:line="240" w:lineRule="atLeast"/>
        <w:ind w:left="1079" w:leftChars="257" w:hanging="540"/>
        <w:jc w:val="center"/>
        <w:rPr>
          <w:rFonts w:hint="eastAsia" w:ascii="微软雅黑" w:hAnsi="微软雅黑" w:eastAsia="微软雅黑" w:cs="微软雅黑"/>
          <w:b/>
          <w:bCs/>
          <w:color w:val="auto"/>
          <w:kern w:val="0"/>
          <w:sz w:val="32"/>
          <w:szCs w:val="32"/>
          <w:highlight w:val="none"/>
          <w:shd w:val="clear" w:color="auto" w:fill="FFFFFF"/>
          <w:lang w:val="en-US" w:eastAsia="zh-CN"/>
        </w:rPr>
      </w:pPr>
    </w:p>
    <w:p w14:paraId="3E543344">
      <w:pPr>
        <w:pStyle w:val="4"/>
        <w:outlineLvl w:val="9"/>
        <w:rPr>
          <w:rFonts w:hint="eastAsia"/>
          <w:color w:val="auto"/>
          <w:highlight w:val="none"/>
          <w:lang w:val="en-US" w:eastAsia="zh-CN"/>
        </w:rPr>
      </w:pPr>
    </w:p>
    <w:p w14:paraId="4947F51B">
      <w:pPr>
        <w:spacing w:line="240" w:lineRule="atLeast"/>
        <w:jc w:val="center"/>
        <w:rPr>
          <w:rFonts w:hint="eastAsia" w:ascii="微软雅黑" w:hAnsi="微软雅黑" w:eastAsia="微软雅黑" w:cs="微软雅黑"/>
          <w:b/>
          <w:bCs/>
          <w:color w:val="auto"/>
          <w:kern w:val="0"/>
          <w:sz w:val="32"/>
          <w:szCs w:val="32"/>
          <w:highlight w:val="none"/>
          <w:shd w:val="clear" w:color="auto" w:fill="FFFFFF"/>
          <w:lang w:eastAsia="zh-CN"/>
        </w:rPr>
      </w:pPr>
    </w:p>
    <w:p w14:paraId="396CBFCB">
      <w:pPr>
        <w:pStyle w:val="2"/>
        <w:pageBreakBefore w:val="0"/>
        <w:numPr>
          <w:ilvl w:val="0"/>
          <w:numId w:val="0"/>
        </w:numPr>
        <w:tabs>
          <w:tab w:val="left" w:pos="0"/>
        </w:tabs>
        <w:kinsoku/>
        <w:overflowPunct/>
        <w:topLinePunct w:val="0"/>
        <w:bidi w:val="0"/>
        <w:snapToGrid w:val="0"/>
        <w:spacing w:before="0" w:after="0" w:line="312" w:lineRule="auto"/>
        <w:ind w:leftChars="0"/>
        <w:jc w:val="center"/>
        <w:textAlignment w:val="auto"/>
        <w:rPr>
          <w:rFonts w:hint="eastAsia" w:ascii="微软雅黑" w:hAnsi="微软雅黑" w:eastAsia="微软雅黑" w:cs="微软雅黑"/>
          <w:b/>
          <w:bCs/>
          <w:color w:val="auto"/>
          <w:kern w:val="0"/>
          <w:sz w:val="32"/>
          <w:szCs w:val="32"/>
          <w:highlight w:val="none"/>
          <w:shd w:val="clear" w:color="auto" w:fill="FFFFFF"/>
          <w:lang w:eastAsia="zh-CN"/>
        </w:rPr>
        <w:sectPr>
          <w:headerReference r:id="rId21" w:type="default"/>
          <w:footerReference r:id="rId22" w:type="default"/>
          <w:pgSz w:w="11906" w:h="16838"/>
          <w:pgMar w:top="1440" w:right="1080" w:bottom="1440" w:left="1080" w:header="851" w:footer="992" w:gutter="0"/>
          <w:pgNumType w:fmt="decimal"/>
          <w:cols w:space="720" w:num="1"/>
          <w:docGrid w:type="linesAndChars" w:linePitch="312" w:charSpace="0"/>
        </w:sectPr>
      </w:pPr>
      <w:r>
        <w:rPr>
          <w:rFonts w:hint="eastAsia" w:ascii="微软雅黑" w:hAnsi="微软雅黑" w:eastAsia="微软雅黑" w:cs="微软雅黑"/>
          <w:b/>
          <w:bCs/>
          <w:color w:val="auto"/>
          <w:kern w:val="0"/>
          <w:sz w:val="32"/>
          <w:szCs w:val="32"/>
          <w:highlight w:val="none"/>
          <w:shd w:val="clear" w:color="auto" w:fill="FFFFFF"/>
          <w:lang w:eastAsia="zh-CN"/>
        </w:rPr>
        <w:t>第二册</w:t>
      </w:r>
    </w:p>
    <w:p w14:paraId="3A093B4A">
      <w:pPr>
        <w:pStyle w:val="2"/>
        <w:numPr>
          <w:ilvl w:val="0"/>
          <w:numId w:val="0"/>
        </w:numPr>
        <w:tabs>
          <w:tab w:val="left" w:pos="0"/>
        </w:tabs>
        <w:spacing w:before="0" w:after="0" w:line="240" w:lineRule="atLeast"/>
        <w:ind w:leftChars="0"/>
        <w:rPr>
          <w:rFonts w:hint="eastAsia" w:ascii="宋体" w:hAnsi="宋体" w:eastAsia="宋体" w:cs="宋体"/>
          <w:color w:val="auto"/>
          <w:highlight w:val="none"/>
        </w:rPr>
      </w:pPr>
      <w:r>
        <w:rPr>
          <w:rFonts w:hint="eastAsia" w:ascii="微软雅黑" w:hAnsi="微软雅黑" w:eastAsia="微软雅黑" w:cs="微软雅黑"/>
          <w:color w:val="auto"/>
          <w:highlight w:val="none"/>
          <w:lang w:eastAsia="zh-CN"/>
        </w:rPr>
        <w:t>第</w:t>
      </w:r>
      <w:r>
        <w:rPr>
          <w:rFonts w:hint="eastAsia" w:ascii="微软雅黑" w:hAnsi="微软雅黑" w:eastAsia="微软雅黑" w:cs="微软雅黑"/>
          <w:color w:val="auto"/>
          <w:highlight w:val="none"/>
          <w:lang w:val="en-US" w:eastAsia="zh-CN"/>
        </w:rPr>
        <w:t xml:space="preserve">3章 </w:t>
      </w:r>
      <w:r>
        <w:rPr>
          <w:rFonts w:hint="eastAsia" w:ascii="微软雅黑" w:hAnsi="微软雅黑" w:eastAsia="微软雅黑" w:cs="微软雅黑"/>
          <w:color w:val="auto"/>
          <w:highlight w:val="none"/>
        </w:rPr>
        <w:t xml:space="preserve"> </w:t>
      </w:r>
      <w:r>
        <w:rPr>
          <w:rFonts w:hint="eastAsia" w:ascii="微软雅黑" w:hAnsi="微软雅黑" w:eastAsia="微软雅黑" w:cs="微软雅黑"/>
          <w:color w:val="auto"/>
          <w:highlight w:val="none"/>
          <w:lang w:val="en-US" w:eastAsia="zh-CN"/>
        </w:rPr>
        <w:t xml:space="preserve"> </w:t>
      </w:r>
      <w:bookmarkStart w:id="434" w:name="_Toc10305"/>
      <w:bookmarkStart w:id="435" w:name="_Toc27886"/>
      <w:bookmarkStart w:id="436" w:name="_Toc3290"/>
      <w:r>
        <w:rPr>
          <w:rFonts w:hint="eastAsia" w:ascii="微软雅黑" w:hAnsi="微软雅黑" w:eastAsia="微软雅黑" w:cs="微软雅黑"/>
          <w:color w:val="auto"/>
          <w:highlight w:val="none"/>
        </w:rPr>
        <w:t>投标邀请</w:t>
      </w:r>
      <w:bookmarkEnd w:id="348"/>
      <w:bookmarkEnd w:id="349"/>
      <w:bookmarkEnd w:id="350"/>
      <w:bookmarkEnd w:id="351"/>
      <w:bookmarkEnd w:id="352"/>
      <w:bookmarkEnd w:id="353"/>
      <w:bookmarkEnd w:id="354"/>
      <w:bookmarkEnd w:id="432"/>
      <w:bookmarkEnd w:id="433"/>
      <w:bookmarkEnd w:id="434"/>
      <w:bookmarkEnd w:id="435"/>
      <w:bookmarkEnd w:id="436"/>
    </w:p>
    <w:p w14:paraId="31F07E8F">
      <w:pPr>
        <w:pStyle w:val="2"/>
        <w:pageBreakBefore w:val="0"/>
        <w:tabs>
          <w:tab w:val="left" w:pos="0"/>
          <w:tab w:val="left" w:pos="3165"/>
          <w:tab w:val="center" w:pos="4153"/>
        </w:tabs>
        <w:kinsoku/>
        <w:wordWrap/>
        <w:overflowPunct/>
        <w:topLinePunct w:val="0"/>
        <w:bidi w:val="0"/>
        <w:adjustRightInd w:val="0"/>
        <w:snapToGrid w:val="0"/>
        <w:spacing w:before="0" w:after="0" w:line="500" w:lineRule="atLeast"/>
        <w:textAlignment w:val="auto"/>
        <w:outlineLvl w:val="1"/>
        <w:rPr>
          <w:rFonts w:hint="eastAsia" w:ascii="微软雅黑" w:hAnsi="微软雅黑" w:eastAsia="微软雅黑" w:cs="微软雅黑"/>
          <w:color w:val="auto"/>
          <w:sz w:val="24"/>
          <w:szCs w:val="24"/>
          <w:highlight w:val="none"/>
          <w:lang w:eastAsia="zh-CN"/>
        </w:rPr>
      </w:pPr>
      <w:bookmarkStart w:id="437" w:name="_Toc13351"/>
      <w:bookmarkStart w:id="438" w:name="_Toc416"/>
      <w:bookmarkStart w:id="439" w:name="_Toc9381"/>
      <w:bookmarkStart w:id="440" w:name="_Toc13183"/>
      <w:r>
        <w:rPr>
          <w:rFonts w:hint="eastAsia" w:ascii="微软雅黑" w:hAnsi="微软雅黑" w:eastAsia="微软雅黑" w:cs="微软雅黑"/>
          <w:b/>
          <w:bCs w:val="0"/>
          <w:color w:val="auto"/>
          <w:sz w:val="24"/>
          <w:szCs w:val="24"/>
          <w:highlight w:val="none"/>
          <w:lang w:eastAsia="zh-CN"/>
        </w:rPr>
        <w:t>喀什市新能源公交车采购项目（二次）</w:t>
      </w:r>
      <w:r>
        <w:rPr>
          <w:rFonts w:hint="eastAsia" w:ascii="微软雅黑" w:hAnsi="微软雅黑" w:eastAsia="微软雅黑" w:cs="微软雅黑"/>
          <w:color w:val="auto"/>
          <w:sz w:val="24"/>
          <w:szCs w:val="24"/>
          <w:highlight w:val="none"/>
          <w:lang w:eastAsia="zh-CN"/>
        </w:rPr>
        <w:t>公开招标</w:t>
      </w:r>
      <w:r>
        <w:rPr>
          <w:rFonts w:hint="eastAsia" w:ascii="微软雅黑" w:hAnsi="微软雅黑" w:eastAsia="微软雅黑" w:cs="微软雅黑"/>
          <w:color w:val="auto"/>
          <w:sz w:val="24"/>
          <w:szCs w:val="24"/>
          <w:highlight w:val="none"/>
        </w:rPr>
        <w:t>公告</w:t>
      </w:r>
      <w:bookmarkEnd w:id="437"/>
      <w:bookmarkEnd w:id="438"/>
    </w:p>
    <w:p w14:paraId="19437F9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500"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项目概况</w:t>
      </w:r>
    </w:p>
    <w:p w14:paraId="6955233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500" w:lineRule="atLeast"/>
        <w:ind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u w:val="single"/>
          <w:lang w:eastAsia="zh-CN"/>
        </w:rPr>
        <w:t>喀什市新能源公交车采购项目（二次）</w:t>
      </w:r>
      <w:r>
        <w:rPr>
          <w:rFonts w:hint="eastAsia" w:ascii="微软雅黑" w:hAnsi="微软雅黑" w:eastAsia="微软雅黑" w:cs="微软雅黑"/>
          <w:color w:val="auto"/>
          <w:sz w:val="24"/>
          <w:szCs w:val="24"/>
          <w:highlight w:val="none"/>
        </w:rPr>
        <w:t>的潜在投标人应在</w:t>
      </w:r>
      <w:r>
        <w:rPr>
          <w:rFonts w:hint="eastAsia" w:ascii="微软雅黑" w:hAnsi="微软雅黑" w:eastAsia="微软雅黑" w:cs="微软雅黑"/>
          <w:color w:val="auto"/>
          <w:sz w:val="24"/>
          <w:szCs w:val="24"/>
          <w:highlight w:val="none"/>
          <w:u w:val="single"/>
          <w:lang w:val="en-US" w:eastAsia="zh-CN"/>
        </w:rPr>
        <w:t xml:space="preserve"> 政采云平台线上 </w:t>
      </w:r>
      <w:r>
        <w:rPr>
          <w:rFonts w:hint="eastAsia" w:ascii="微软雅黑" w:hAnsi="微软雅黑" w:eastAsia="微软雅黑" w:cs="微软雅黑"/>
          <w:color w:val="auto"/>
          <w:sz w:val="24"/>
          <w:szCs w:val="24"/>
          <w:highlight w:val="none"/>
        </w:rPr>
        <w:t>获取</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，并于</w:t>
      </w:r>
      <w:r>
        <w:rPr>
          <w:rFonts w:hint="eastAsia" w:ascii="微软雅黑" w:hAnsi="微软雅黑" w:eastAsia="微软雅黑" w:cs="微软雅黑"/>
          <w:bCs/>
          <w:color w:val="auto"/>
          <w:sz w:val="24"/>
          <w:szCs w:val="24"/>
          <w:highlight w:val="none"/>
          <w:u w:val="single"/>
        </w:rPr>
        <w:t>202</w:t>
      </w:r>
      <w:r>
        <w:rPr>
          <w:rFonts w:hint="eastAsia" w:ascii="微软雅黑" w:hAnsi="微软雅黑" w:eastAsia="微软雅黑" w:cs="微软雅黑"/>
          <w:bCs/>
          <w:color w:val="auto"/>
          <w:sz w:val="24"/>
          <w:szCs w:val="24"/>
          <w:highlight w:val="none"/>
          <w:u w:val="single"/>
          <w:lang w:val="en-US" w:eastAsia="zh-CN"/>
        </w:rPr>
        <w:t>5</w:t>
      </w:r>
      <w:r>
        <w:rPr>
          <w:rFonts w:hint="eastAsia" w:ascii="微软雅黑" w:hAnsi="微软雅黑" w:eastAsia="微软雅黑" w:cs="微软雅黑"/>
          <w:bCs/>
          <w:color w:val="auto"/>
          <w:sz w:val="24"/>
          <w:szCs w:val="24"/>
          <w:highlight w:val="none"/>
          <w:u w:val="single"/>
        </w:rPr>
        <w:t>年</w:t>
      </w:r>
      <w:r>
        <w:rPr>
          <w:rFonts w:hint="eastAsia" w:ascii="微软雅黑" w:hAnsi="微软雅黑" w:eastAsia="微软雅黑" w:cs="微软雅黑"/>
          <w:bCs/>
          <w:color w:val="auto"/>
          <w:sz w:val="24"/>
          <w:szCs w:val="24"/>
          <w:highlight w:val="none"/>
          <w:u w:val="single"/>
          <w:lang w:val="en-US" w:eastAsia="zh-CN"/>
        </w:rPr>
        <w:t>08</w:t>
      </w:r>
      <w:r>
        <w:rPr>
          <w:rFonts w:hint="eastAsia" w:ascii="微软雅黑" w:hAnsi="微软雅黑" w:eastAsia="微软雅黑" w:cs="微软雅黑"/>
          <w:bCs/>
          <w:color w:val="auto"/>
          <w:sz w:val="24"/>
          <w:szCs w:val="24"/>
          <w:highlight w:val="none"/>
          <w:u w:val="single"/>
        </w:rPr>
        <w:t>月</w:t>
      </w:r>
      <w:r>
        <w:rPr>
          <w:rFonts w:hint="eastAsia" w:ascii="微软雅黑" w:hAnsi="微软雅黑" w:eastAsia="微软雅黑" w:cs="微软雅黑"/>
          <w:bCs/>
          <w:color w:val="auto"/>
          <w:sz w:val="24"/>
          <w:szCs w:val="24"/>
          <w:highlight w:val="none"/>
          <w:u w:val="single"/>
          <w:lang w:val="en-US" w:eastAsia="zh-CN"/>
        </w:rPr>
        <w:t>06</w:t>
      </w:r>
      <w:r>
        <w:rPr>
          <w:rFonts w:hint="eastAsia" w:ascii="微软雅黑" w:hAnsi="微软雅黑" w:eastAsia="微软雅黑" w:cs="微软雅黑"/>
          <w:bCs/>
          <w:color w:val="auto"/>
          <w:sz w:val="24"/>
          <w:szCs w:val="24"/>
          <w:highlight w:val="none"/>
          <w:u w:val="single"/>
        </w:rPr>
        <w:t>日</w:t>
      </w:r>
      <w:r>
        <w:rPr>
          <w:rFonts w:hint="eastAsia" w:ascii="微软雅黑" w:hAnsi="微软雅黑" w:eastAsia="微软雅黑" w:cs="微软雅黑"/>
          <w:bCs/>
          <w:color w:val="auto"/>
          <w:sz w:val="24"/>
          <w:szCs w:val="24"/>
          <w:highlight w:val="none"/>
          <w:u w:val="single"/>
          <w:lang w:val="en-US" w:eastAsia="zh-CN"/>
        </w:rPr>
        <w:t>11：0</w:t>
      </w:r>
      <w:r>
        <w:rPr>
          <w:rFonts w:hint="eastAsia" w:ascii="微软雅黑" w:hAnsi="微软雅黑" w:eastAsia="微软雅黑" w:cs="微软雅黑"/>
          <w:bCs/>
          <w:color w:val="auto"/>
          <w:sz w:val="24"/>
          <w:szCs w:val="24"/>
          <w:highlight w:val="none"/>
          <w:u w:val="single"/>
        </w:rPr>
        <w:t>0（北京时间）</w:t>
      </w:r>
      <w:bookmarkStart w:id="441" w:name="_Toc35393790"/>
      <w:bookmarkStart w:id="442" w:name="_Toc28217"/>
      <w:bookmarkStart w:id="443" w:name="_Toc522"/>
      <w:bookmarkStart w:id="444" w:name="_Toc28359079"/>
      <w:bookmarkStart w:id="445" w:name="_Toc35393621"/>
      <w:bookmarkStart w:id="446" w:name="_Toc28359002"/>
      <w:bookmarkStart w:id="447" w:name="_Hlk24379207"/>
      <w:r>
        <w:rPr>
          <w:rFonts w:hint="eastAsia" w:ascii="微软雅黑" w:hAnsi="微软雅黑" w:eastAsia="微软雅黑" w:cs="微软雅黑"/>
          <w:bCs/>
          <w:color w:val="auto"/>
          <w:sz w:val="24"/>
          <w:szCs w:val="24"/>
          <w:highlight w:val="none"/>
        </w:rPr>
        <w:t>前递交投标文件。</w:t>
      </w:r>
      <w:r>
        <w:rPr>
          <w:rFonts w:hint="eastAsia" w:ascii="微软雅黑" w:hAnsi="微软雅黑" w:eastAsia="微软雅黑" w:cs="微软雅黑"/>
          <w:color w:val="auto"/>
          <w:sz w:val="24"/>
          <w:szCs w:val="24"/>
          <w:highlight w:val="none"/>
          <w:lang w:val="en-US" w:eastAsia="zh-CN"/>
        </w:rPr>
        <w:t xml:space="preserve"> </w:t>
      </w:r>
    </w:p>
    <w:p w14:paraId="7DAD00D6">
      <w:pPr>
        <w:pStyle w:val="3"/>
        <w:pageBreakBefore w:val="0"/>
        <w:widowControl w:val="0"/>
        <w:kinsoku/>
        <w:wordWrap/>
        <w:overflowPunct/>
        <w:topLinePunct w:val="0"/>
        <w:bidi w:val="0"/>
        <w:adjustRightInd w:val="0"/>
        <w:snapToGrid w:val="0"/>
        <w:spacing w:before="0" w:line="500" w:lineRule="atLeast"/>
        <w:jc w:val="both"/>
        <w:textAlignment w:val="auto"/>
        <w:rPr>
          <w:rFonts w:hint="eastAsia" w:ascii="微软雅黑" w:hAnsi="微软雅黑" w:eastAsia="微软雅黑" w:cs="微软雅黑"/>
          <w:bCs/>
          <w:color w:val="auto"/>
          <w:sz w:val="24"/>
          <w:szCs w:val="24"/>
          <w:highlight w:val="none"/>
        </w:rPr>
      </w:pPr>
      <w:bookmarkStart w:id="448" w:name="_Toc20222"/>
      <w:bookmarkStart w:id="449" w:name="_Toc14911"/>
      <w:r>
        <w:rPr>
          <w:rFonts w:hint="eastAsia" w:ascii="微软雅黑" w:hAnsi="微软雅黑" w:eastAsia="微软雅黑" w:cs="微软雅黑"/>
          <w:bCs/>
          <w:color w:val="auto"/>
          <w:sz w:val="24"/>
          <w:szCs w:val="24"/>
          <w:highlight w:val="none"/>
        </w:rPr>
        <w:t>一、</w:t>
      </w:r>
      <w:bookmarkEnd w:id="441"/>
      <w:bookmarkEnd w:id="442"/>
      <w:bookmarkEnd w:id="443"/>
      <w:bookmarkEnd w:id="444"/>
      <w:bookmarkEnd w:id="445"/>
      <w:bookmarkEnd w:id="446"/>
      <w:r>
        <w:rPr>
          <w:rFonts w:hint="eastAsia" w:ascii="微软雅黑" w:hAnsi="微软雅黑" w:eastAsia="微软雅黑" w:cs="微软雅黑"/>
          <w:bCs/>
          <w:color w:val="auto"/>
          <w:sz w:val="24"/>
          <w:szCs w:val="24"/>
          <w:highlight w:val="none"/>
        </w:rPr>
        <w:t>项目基本情况</w:t>
      </w:r>
      <w:bookmarkEnd w:id="448"/>
      <w:bookmarkEnd w:id="449"/>
    </w:p>
    <w:p w14:paraId="1B0DB54E">
      <w:pPr>
        <w:keepNext w:val="0"/>
        <w:keepLines w:val="0"/>
        <w:pageBreakBefore w:val="0"/>
        <w:widowControl w:val="0"/>
        <w:kinsoku/>
        <w:wordWrap/>
        <w:overflowPunct/>
        <w:topLinePunct w:val="0"/>
        <w:autoSpaceDE/>
        <w:autoSpaceDN/>
        <w:bidi w:val="0"/>
        <w:adjustRightInd w:val="0"/>
        <w:snapToGrid w:val="0"/>
        <w:spacing w:line="500" w:lineRule="atLeast"/>
        <w:ind w:firstLine="480" w:firstLineChars="200"/>
        <w:jc w:val="left"/>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rPr>
        <w:t>项目编号：</w:t>
      </w:r>
      <w:r>
        <w:rPr>
          <w:rFonts w:hint="eastAsia" w:ascii="微软雅黑" w:hAnsi="微软雅黑" w:eastAsia="微软雅黑" w:cs="微软雅黑"/>
          <w:color w:val="auto"/>
          <w:sz w:val="24"/>
          <w:szCs w:val="24"/>
          <w:highlight w:val="none"/>
          <w:u w:val="none"/>
          <w:lang w:val="en-US" w:eastAsia="zh-CN"/>
        </w:rPr>
        <w:t>KSMYCG2025-094-01</w:t>
      </w:r>
    </w:p>
    <w:bookmarkEnd w:id="447"/>
    <w:p w14:paraId="469B0CDA">
      <w:pPr>
        <w:keepNext w:val="0"/>
        <w:keepLines w:val="0"/>
        <w:pageBreakBefore w:val="0"/>
        <w:widowControl w:val="0"/>
        <w:kinsoku/>
        <w:wordWrap/>
        <w:overflowPunct/>
        <w:topLinePunct w:val="0"/>
        <w:autoSpaceDE/>
        <w:autoSpaceDN/>
        <w:bidi w:val="0"/>
        <w:adjustRightInd w:val="0"/>
        <w:snapToGrid w:val="0"/>
        <w:spacing w:line="500" w:lineRule="atLeast"/>
        <w:ind w:left="1679" w:leftChars="228" w:hanging="1200" w:hangingChars="500"/>
        <w:jc w:val="left"/>
        <w:textAlignment w:val="auto"/>
        <w:rPr>
          <w:rFonts w:hint="default"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u w:val="none"/>
          <w:lang w:eastAsia="zh-CN"/>
        </w:rPr>
        <w:t>喀什市新能源公交车采购项目（二次）</w:t>
      </w:r>
    </w:p>
    <w:p w14:paraId="73EB2CDF">
      <w:pPr>
        <w:pStyle w:val="7"/>
        <w:keepNext w:val="0"/>
        <w:keepLines w:val="0"/>
        <w:pageBreakBefore w:val="0"/>
        <w:widowControl w:val="0"/>
        <w:kinsoku/>
        <w:wordWrap/>
        <w:overflowPunct/>
        <w:topLinePunct w:val="0"/>
        <w:bidi w:val="0"/>
        <w:adjustRightInd w:val="0"/>
        <w:snapToGrid w:val="0"/>
        <w:spacing w:line="500" w:lineRule="atLeast"/>
        <w:ind w:left="0" w:leftChars="0"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采购方式：公开招标</w:t>
      </w:r>
    </w:p>
    <w:p w14:paraId="2E998AC6">
      <w:pPr>
        <w:keepNext w:val="0"/>
        <w:keepLines w:val="0"/>
        <w:pageBreakBefore w:val="0"/>
        <w:widowControl w:val="0"/>
        <w:kinsoku/>
        <w:wordWrap/>
        <w:overflowPunct/>
        <w:topLinePunct w:val="0"/>
        <w:autoSpaceDE/>
        <w:autoSpaceDN/>
        <w:bidi w:val="0"/>
        <w:adjustRightInd w:val="0"/>
        <w:snapToGrid w:val="0"/>
        <w:spacing w:line="500" w:lineRule="atLeast"/>
        <w:ind w:left="1679" w:leftChars="228" w:hanging="1200" w:hangingChars="500"/>
        <w:jc w:val="lef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预算金额（元）：10650000</w:t>
      </w:r>
    </w:p>
    <w:p w14:paraId="5E16676F">
      <w:pPr>
        <w:keepNext w:val="0"/>
        <w:keepLines w:val="0"/>
        <w:pageBreakBefore w:val="0"/>
        <w:widowControl w:val="0"/>
        <w:kinsoku/>
        <w:wordWrap/>
        <w:overflowPunct/>
        <w:topLinePunct w:val="0"/>
        <w:autoSpaceDE/>
        <w:autoSpaceDN/>
        <w:bidi w:val="0"/>
        <w:adjustRightInd w:val="0"/>
        <w:snapToGrid w:val="0"/>
        <w:spacing w:line="500" w:lineRule="atLeast"/>
        <w:ind w:left="439" w:leftChars="209" w:firstLine="38" w:firstLineChars="16"/>
        <w:jc w:val="lef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最高限价（元）：10650000</w:t>
      </w:r>
    </w:p>
    <w:p w14:paraId="1631ED66">
      <w:pPr>
        <w:keepNext w:val="0"/>
        <w:keepLines w:val="0"/>
        <w:pageBreakBefore w:val="0"/>
        <w:widowControl w:val="0"/>
        <w:kinsoku/>
        <w:wordWrap/>
        <w:overflowPunct/>
        <w:topLinePunct w:val="0"/>
        <w:autoSpaceDE/>
        <w:autoSpaceDN/>
        <w:bidi w:val="0"/>
        <w:adjustRightInd w:val="0"/>
        <w:snapToGrid w:val="0"/>
        <w:spacing w:line="500" w:lineRule="atLeast"/>
        <w:ind w:left="1679" w:leftChars="228" w:hanging="1200" w:hangingChars="50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采购需求：</w:t>
      </w:r>
    </w:p>
    <w:p w14:paraId="184D28A5">
      <w:pPr>
        <w:pStyle w:val="16"/>
        <w:pageBreakBefore w:val="0"/>
        <w:kinsoku/>
        <w:wordWrap/>
        <w:overflowPunct/>
        <w:topLinePunct w:val="0"/>
        <w:bidi w:val="0"/>
        <w:adjustRightInd w:val="0"/>
        <w:snapToGrid w:val="0"/>
        <w:spacing w:line="500"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标项一</w:t>
      </w:r>
    </w:p>
    <w:p w14:paraId="1CFCF3CC">
      <w:pPr>
        <w:pStyle w:val="16"/>
        <w:pageBreakBefore w:val="0"/>
        <w:kinsoku/>
        <w:wordWrap/>
        <w:overflowPunct/>
        <w:topLinePunct w:val="0"/>
        <w:bidi w:val="0"/>
        <w:adjustRightInd w:val="0"/>
        <w:snapToGrid w:val="0"/>
        <w:spacing w:line="500"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标项名称:</w:t>
      </w:r>
      <w:r>
        <w:rPr>
          <w:rFonts w:hint="eastAsia" w:ascii="微软雅黑" w:hAnsi="微软雅黑" w:eastAsia="微软雅黑" w:cs="微软雅黑"/>
          <w:color w:val="auto"/>
          <w:sz w:val="24"/>
          <w:szCs w:val="24"/>
          <w:highlight w:val="none"/>
          <w:lang w:eastAsia="zh-CN"/>
        </w:rPr>
        <w:t>喀什市新能源公交车采购项目（二次）</w:t>
      </w:r>
    </w:p>
    <w:p w14:paraId="1F159BD9">
      <w:pPr>
        <w:pStyle w:val="16"/>
        <w:pageBreakBefore w:val="0"/>
        <w:kinsoku/>
        <w:wordWrap/>
        <w:overflowPunct/>
        <w:topLinePunct w:val="0"/>
        <w:bidi w:val="0"/>
        <w:adjustRightInd w:val="0"/>
        <w:snapToGrid w:val="0"/>
        <w:spacing w:line="500" w:lineRule="atLeast"/>
        <w:textAlignment w:val="auto"/>
        <w:outlineLvl w:val="2"/>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w:t>
      </w:r>
      <w:bookmarkStart w:id="450" w:name="_Toc2207"/>
      <w:r>
        <w:rPr>
          <w:rFonts w:hint="eastAsia" w:ascii="微软雅黑" w:hAnsi="微软雅黑" w:eastAsia="微软雅黑" w:cs="微软雅黑"/>
          <w:color w:val="auto"/>
          <w:sz w:val="24"/>
          <w:szCs w:val="24"/>
          <w:highlight w:val="none"/>
          <w:lang w:val="en-US" w:eastAsia="zh-CN"/>
        </w:rPr>
        <w:t>数量:</w:t>
      </w:r>
      <w:bookmarkEnd w:id="450"/>
      <w:r>
        <w:rPr>
          <w:rFonts w:hint="eastAsia" w:ascii="微软雅黑" w:hAnsi="微软雅黑" w:eastAsia="微软雅黑" w:cs="微软雅黑"/>
          <w:color w:val="auto"/>
          <w:sz w:val="24"/>
          <w:szCs w:val="24"/>
          <w:highlight w:val="none"/>
          <w:lang w:val="en-US" w:eastAsia="zh-CN"/>
        </w:rPr>
        <w:t>15</w:t>
      </w:r>
    </w:p>
    <w:p w14:paraId="218761C8">
      <w:pPr>
        <w:pStyle w:val="16"/>
        <w:pageBreakBefore w:val="0"/>
        <w:kinsoku/>
        <w:wordWrap/>
        <w:overflowPunct/>
        <w:topLinePunct w:val="0"/>
        <w:bidi w:val="0"/>
        <w:adjustRightInd w:val="0"/>
        <w:snapToGrid w:val="0"/>
        <w:spacing w:line="500" w:lineRule="atLeas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预算金额（元）: 10650000</w:t>
      </w:r>
    </w:p>
    <w:p w14:paraId="0B6AD03C">
      <w:pPr>
        <w:pStyle w:val="16"/>
        <w:pageBreakBefore w:val="0"/>
        <w:kinsoku/>
        <w:wordWrap/>
        <w:overflowPunct/>
        <w:topLinePunct w:val="0"/>
        <w:bidi w:val="0"/>
        <w:adjustRightInd w:val="0"/>
        <w:snapToGrid w:val="0"/>
        <w:spacing w:line="500"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简要规格描述或项目基本概况介绍、用途：采购15辆纯电动公交车，具体采购要求详见招标文件。</w:t>
      </w:r>
    </w:p>
    <w:p w14:paraId="7C95110F">
      <w:pPr>
        <w:pStyle w:val="16"/>
        <w:pageBreakBefore w:val="0"/>
        <w:kinsoku/>
        <w:wordWrap/>
        <w:overflowPunct/>
        <w:topLinePunct w:val="0"/>
        <w:bidi w:val="0"/>
        <w:adjustRightInd w:val="0"/>
        <w:snapToGrid w:val="0"/>
        <w:spacing w:line="500" w:lineRule="atLeas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备注：无</w:t>
      </w:r>
    </w:p>
    <w:p w14:paraId="1697CD95">
      <w:pPr>
        <w:keepNext w:val="0"/>
        <w:keepLines w:val="0"/>
        <w:pageBreakBefore w:val="0"/>
        <w:widowControl w:val="0"/>
        <w:kinsoku/>
        <w:wordWrap/>
        <w:overflowPunct/>
        <w:topLinePunct w:val="0"/>
        <w:autoSpaceDE/>
        <w:autoSpaceDN/>
        <w:bidi w:val="0"/>
        <w:adjustRightInd w:val="0"/>
        <w:snapToGrid w:val="0"/>
        <w:spacing w:line="500" w:lineRule="atLeas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b w:val="0"/>
          <w:color w:val="auto"/>
          <w:kern w:val="2"/>
          <w:sz w:val="24"/>
          <w:szCs w:val="24"/>
          <w:highlight w:val="none"/>
          <w:lang w:val="en-US" w:eastAsia="zh-CN" w:bidi="ar-SA"/>
        </w:rPr>
        <w:t>合同履约期限：标项 1，详见招标文件。</w:t>
      </w:r>
    </w:p>
    <w:p w14:paraId="24D338FF">
      <w:pPr>
        <w:pageBreakBefore w:val="0"/>
        <w:kinsoku/>
        <w:wordWrap/>
        <w:overflowPunct/>
        <w:topLinePunct w:val="0"/>
        <w:bidi w:val="0"/>
        <w:adjustRightInd w:val="0"/>
        <w:snapToGrid w:val="0"/>
        <w:spacing w:line="500" w:lineRule="atLeas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否</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接受联合体投标。</w:t>
      </w:r>
    </w:p>
    <w:p w14:paraId="448E4947">
      <w:pPr>
        <w:pStyle w:val="3"/>
        <w:pageBreakBefore w:val="0"/>
        <w:kinsoku/>
        <w:wordWrap/>
        <w:overflowPunct/>
        <w:topLinePunct w:val="0"/>
        <w:bidi w:val="0"/>
        <w:adjustRightInd w:val="0"/>
        <w:snapToGrid w:val="0"/>
        <w:spacing w:before="0" w:line="500" w:lineRule="atLeast"/>
        <w:jc w:val="both"/>
        <w:textAlignment w:val="auto"/>
        <w:rPr>
          <w:rFonts w:hint="eastAsia" w:ascii="微软雅黑" w:hAnsi="微软雅黑" w:eastAsia="微软雅黑" w:cs="微软雅黑"/>
          <w:bCs/>
          <w:color w:val="auto"/>
          <w:sz w:val="24"/>
          <w:szCs w:val="24"/>
          <w:highlight w:val="none"/>
        </w:rPr>
      </w:pPr>
      <w:bookmarkStart w:id="451" w:name="_Toc19260"/>
      <w:bookmarkStart w:id="452" w:name="_Toc35393791"/>
      <w:bookmarkStart w:id="453" w:name="_Toc24897"/>
      <w:bookmarkStart w:id="454" w:name="_Toc28359003"/>
      <w:bookmarkStart w:id="455" w:name="_Toc1145"/>
      <w:bookmarkStart w:id="456" w:name="_Toc35393622"/>
      <w:bookmarkStart w:id="457" w:name="_Toc28359080"/>
      <w:bookmarkStart w:id="458" w:name="_Toc2101"/>
      <w:r>
        <w:rPr>
          <w:rFonts w:hint="eastAsia" w:ascii="微软雅黑" w:hAnsi="微软雅黑" w:eastAsia="微软雅黑" w:cs="微软雅黑"/>
          <w:bCs/>
          <w:color w:val="auto"/>
          <w:sz w:val="24"/>
          <w:szCs w:val="24"/>
          <w:highlight w:val="none"/>
        </w:rPr>
        <w:t>二、申请人的资格要求：</w:t>
      </w:r>
      <w:bookmarkEnd w:id="451"/>
      <w:bookmarkEnd w:id="452"/>
      <w:bookmarkEnd w:id="453"/>
      <w:bookmarkEnd w:id="454"/>
      <w:bookmarkEnd w:id="455"/>
      <w:bookmarkEnd w:id="456"/>
      <w:bookmarkEnd w:id="457"/>
      <w:bookmarkEnd w:id="458"/>
    </w:p>
    <w:p w14:paraId="3FA0CFEB">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atLeast"/>
        <w:ind w:right="0" w:rightChars="0" w:firstLine="240" w:firstLineChars="100"/>
        <w:jc w:val="both"/>
        <w:textAlignment w:val="auto"/>
        <w:outlineLvl w:val="2"/>
        <w:rPr>
          <w:rFonts w:hint="eastAsia" w:ascii="微软雅黑" w:hAnsi="微软雅黑" w:eastAsia="微软雅黑" w:cs="微软雅黑"/>
          <w:i w:val="0"/>
          <w:caps w:val="0"/>
          <w:color w:val="auto"/>
          <w:spacing w:val="0"/>
          <w:sz w:val="24"/>
          <w:szCs w:val="24"/>
          <w:highlight w:val="none"/>
          <w:lang w:val="en-US" w:eastAsia="zh-CN"/>
        </w:rPr>
      </w:pPr>
      <w:bookmarkStart w:id="459" w:name="_Toc3843"/>
      <w:bookmarkStart w:id="460" w:name="_Toc28359004"/>
      <w:bookmarkStart w:id="461" w:name="_Toc27678"/>
      <w:bookmarkStart w:id="462" w:name="_Toc35393623"/>
      <w:bookmarkStart w:id="463" w:name="_Toc28359081"/>
      <w:bookmarkStart w:id="464" w:name="_Toc32226"/>
      <w:bookmarkStart w:id="465" w:name="_Toc35393792"/>
      <w:r>
        <w:rPr>
          <w:rFonts w:hint="eastAsia" w:ascii="微软雅黑" w:hAnsi="微软雅黑" w:eastAsia="微软雅黑" w:cs="微软雅黑"/>
          <w:i w:val="0"/>
          <w:caps w:val="0"/>
          <w:color w:val="auto"/>
          <w:spacing w:val="0"/>
          <w:sz w:val="24"/>
          <w:szCs w:val="24"/>
          <w:highlight w:val="none"/>
          <w:lang w:val="en-US" w:eastAsia="zh-CN"/>
        </w:rPr>
        <w:t>1.满足《中华人民共和国政府采购法》第二十二条规定；</w:t>
      </w:r>
      <w:bookmarkEnd w:id="459"/>
    </w:p>
    <w:p w14:paraId="6DFB6A52">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atLeast"/>
        <w:ind w:right="0" w:rightChars="0" w:firstLine="240" w:firstLineChars="100"/>
        <w:jc w:val="both"/>
        <w:textAlignment w:val="auto"/>
        <w:rPr>
          <w:rFonts w:hint="eastAsia" w:ascii="微软雅黑" w:hAnsi="微软雅黑" w:eastAsia="微软雅黑" w:cs="微软雅黑"/>
          <w:i w:val="0"/>
          <w:caps w:val="0"/>
          <w:color w:val="auto"/>
          <w:spacing w:val="0"/>
          <w:sz w:val="24"/>
          <w:szCs w:val="24"/>
          <w:highlight w:val="none"/>
          <w:lang w:val="en-US" w:eastAsia="zh-CN"/>
        </w:rPr>
      </w:pPr>
      <w:r>
        <w:rPr>
          <w:rFonts w:hint="eastAsia" w:ascii="微软雅黑" w:hAnsi="微软雅黑" w:eastAsia="微软雅黑" w:cs="微软雅黑"/>
          <w:i w:val="0"/>
          <w:caps w:val="0"/>
          <w:color w:val="auto"/>
          <w:spacing w:val="0"/>
          <w:sz w:val="24"/>
          <w:szCs w:val="24"/>
          <w:highlight w:val="none"/>
          <w:lang w:val="en-US" w:eastAsia="zh-CN"/>
        </w:rPr>
        <w:t>2.落实政府采购政策需满足的资格要求：本项目为非专门面向中小企业（含中型、小型、微型企业）采购项目，根据《政府采购促进中小企业发展管理办法》（财库[2020]46 号）的规定，评标时将给予此类企业进行价格10%的优惠，用优惠后的价格参与评审。</w:t>
      </w:r>
    </w:p>
    <w:p w14:paraId="5B4FD4B3">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atLeast"/>
        <w:ind w:right="0" w:rightChars="0" w:firstLine="240" w:firstLineChars="100"/>
        <w:jc w:val="both"/>
        <w:textAlignment w:val="auto"/>
        <w:outlineLvl w:val="2"/>
        <w:rPr>
          <w:rFonts w:hint="eastAsia" w:ascii="微软雅黑" w:hAnsi="微软雅黑" w:eastAsia="微软雅黑" w:cs="微软雅黑"/>
          <w:i w:val="0"/>
          <w:caps w:val="0"/>
          <w:color w:val="auto"/>
          <w:spacing w:val="0"/>
          <w:sz w:val="24"/>
          <w:szCs w:val="24"/>
          <w:highlight w:val="none"/>
          <w:lang w:val="en-US" w:eastAsia="zh-CN"/>
        </w:rPr>
      </w:pPr>
      <w:bookmarkStart w:id="466" w:name="_Toc22748"/>
      <w:r>
        <w:rPr>
          <w:rFonts w:hint="eastAsia" w:ascii="微软雅黑" w:hAnsi="微软雅黑" w:eastAsia="微软雅黑" w:cs="微软雅黑"/>
          <w:i w:val="0"/>
          <w:caps w:val="0"/>
          <w:color w:val="auto"/>
          <w:spacing w:val="0"/>
          <w:sz w:val="24"/>
          <w:szCs w:val="24"/>
          <w:highlight w:val="none"/>
          <w:lang w:val="en-US" w:eastAsia="zh-CN"/>
        </w:rPr>
        <w:t>3.本项目的特定资格要求：无</w:t>
      </w:r>
      <w:bookmarkEnd w:id="466"/>
    </w:p>
    <w:p w14:paraId="5933A5FC">
      <w:pPr>
        <w:pageBreakBefore w:val="0"/>
        <w:kinsoku/>
        <w:wordWrap/>
        <w:overflowPunct/>
        <w:topLinePunct w:val="0"/>
        <w:bidi w:val="0"/>
        <w:adjustRightInd w:val="0"/>
        <w:snapToGrid w:val="0"/>
        <w:spacing w:line="500" w:lineRule="atLeast"/>
        <w:textAlignment w:val="auto"/>
        <w:outlineLvl w:val="1"/>
        <w:rPr>
          <w:rFonts w:hint="eastAsia" w:ascii="微软雅黑" w:hAnsi="微软雅黑" w:eastAsia="微软雅黑" w:cs="微软雅黑"/>
          <w:b/>
          <w:bCs/>
          <w:color w:val="auto"/>
          <w:kern w:val="0"/>
          <w:sz w:val="24"/>
          <w:szCs w:val="24"/>
          <w:highlight w:val="none"/>
          <w:lang w:eastAsia="zh-CN"/>
        </w:rPr>
      </w:pPr>
      <w:bookmarkStart w:id="467" w:name="_Toc21430"/>
      <w:r>
        <w:rPr>
          <w:rFonts w:hint="eastAsia" w:ascii="微软雅黑" w:hAnsi="微软雅黑" w:eastAsia="微软雅黑" w:cs="微软雅黑"/>
          <w:b/>
          <w:bCs/>
          <w:color w:val="auto"/>
          <w:kern w:val="0"/>
          <w:sz w:val="24"/>
          <w:szCs w:val="24"/>
          <w:highlight w:val="none"/>
        </w:rPr>
        <w:t>三、获取</w:t>
      </w:r>
      <w:bookmarkEnd w:id="460"/>
      <w:bookmarkEnd w:id="461"/>
      <w:bookmarkEnd w:id="462"/>
      <w:bookmarkEnd w:id="463"/>
      <w:bookmarkEnd w:id="464"/>
      <w:bookmarkEnd w:id="465"/>
      <w:bookmarkEnd w:id="467"/>
      <w:r>
        <w:rPr>
          <w:rFonts w:hint="eastAsia" w:ascii="微软雅黑" w:hAnsi="微软雅黑" w:eastAsia="微软雅黑" w:cs="微软雅黑"/>
          <w:b/>
          <w:bCs/>
          <w:color w:val="auto"/>
          <w:kern w:val="0"/>
          <w:sz w:val="24"/>
          <w:szCs w:val="24"/>
          <w:highlight w:val="none"/>
          <w:lang w:eastAsia="zh-CN"/>
        </w:rPr>
        <w:t>招标文件</w:t>
      </w:r>
    </w:p>
    <w:p w14:paraId="0FDE7D40">
      <w:pPr>
        <w:pStyle w:val="34"/>
        <w:pageBreakBefore w:val="0"/>
        <w:widowControl/>
        <w:kinsoku/>
        <w:wordWrap/>
        <w:overflowPunct/>
        <w:topLinePunct w:val="0"/>
        <w:bidi w:val="0"/>
        <w:adjustRightInd w:val="0"/>
        <w:snapToGrid w:val="0"/>
        <w:spacing w:before="0" w:beforeAutospacing="0" w:after="0" w:afterAutospacing="0" w:line="500" w:lineRule="atLeast"/>
        <w:ind w:firstLine="480" w:firstLineChars="200"/>
        <w:textAlignment w:val="auto"/>
        <w:rPr>
          <w:rFonts w:hint="eastAsia" w:ascii="微软雅黑" w:hAnsi="微软雅黑" w:eastAsia="微软雅黑" w:cs="微软雅黑"/>
          <w:color w:val="auto"/>
          <w:sz w:val="24"/>
          <w:szCs w:val="24"/>
          <w:highlight w:val="none"/>
        </w:rPr>
      </w:pPr>
      <w:bookmarkStart w:id="468" w:name="_Toc28359005"/>
      <w:bookmarkStart w:id="469" w:name="_Toc28359082"/>
      <w:bookmarkStart w:id="470" w:name="_Toc2532"/>
      <w:bookmarkStart w:id="471" w:name="_Toc35393624"/>
      <w:bookmarkStart w:id="472" w:name="_Toc35393793"/>
      <w:r>
        <w:rPr>
          <w:rFonts w:hint="eastAsia" w:ascii="微软雅黑" w:hAnsi="微软雅黑" w:eastAsia="微软雅黑" w:cs="微软雅黑"/>
          <w:color w:val="auto"/>
          <w:sz w:val="24"/>
          <w:szCs w:val="24"/>
          <w:highlight w:val="none"/>
        </w:rPr>
        <w:t>时间：</w:t>
      </w:r>
      <w:r>
        <w:rPr>
          <w:rFonts w:hint="eastAsia" w:ascii="微软雅黑" w:hAnsi="微软雅黑" w:eastAsia="微软雅黑" w:cs="微软雅黑"/>
          <w:bCs/>
          <w:color w:val="auto"/>
          <w:kern w:val="2"/>
          <w:sz w:val="24"/>
          <w:szCs w:val="24"/>
          <w:highlight w:val="none"/>
          <w:u w:val="none"/>
          <w:lang w:val="en-US" w:eastAsia="zh-CN" w:bidi="ar-SA"/>
        </w:rPr>
        <w:t>2025年07月17日至2025年07月24日，</w:t>
      </w:r>
      <w:r>
        <w:rPr>
          <w:rFonts w:hint="eastAsia" w:ascii="微软雅黑" w:hAnsi="微软雅黑" w:eastAsia="微软雅黑" w:cs="微软雅黑"/>
          <w:color w:val="auto"/>
          <w:sz w:val="24"/>
          <w:szCs w:val="24"/>
          <w:highlight w:val="none"/>
        </w:rPr>
        <w:t>每天上午</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至</w:t>
      </w:r>
      <w:r>
        <w:rPr>
          <w:rFonts w:hint="eastAsia" w:ascii="微软雅黑" w:hAnsi="微软雅黑" w:eastAsia="微软雅黑" w:cs="微软雅黑"/>
          <w:color w:val="auto"/>
          <w:sz w:val="24"/>
          <w:szCs w:val="24"/>
          <w:highlight w:val="none"/>
          <w:lang w:val="en-US" w:eastAsia="zh-CN"/>
        </w:rPr>
        <w:t>14</w:t>
      </w:r>
      <w:r>
        <w:rPr>
          <w:rFonts w:hint="eastAsia" w:ascii="微软雅黑" w:hAnsi="微软雅黑" w:eastAsia="微软雅黑" w:cs="微软雅黑"/>
          <w:color w:val="auto"/>
          <w:sz w:val="24"/>
          <w:szCs w:val="24"/>
          <w:highlight w:val="none"/>
        </w:rPr>
        <w:t>:00，下午</w:t>
      </w:r>
      <w:r>
        <w:rPr>
          <w:rFonts w:hint="eastAsia" w:ascii="微软雅黑" w:hAnsi="微软雅黑" w:eastAsia="微软雅黑" w:cs="微软雅黑"/>
          <w:color w:val="auto"/>
          <w:sz w:val="24"/>
          <w:szCs w:val="24"/>
          <w:highlight w:val="none"/>
          <w:lang w:val="en-US" w:eastAsia="zh-CN"/>
        </w:rPr>
        <w:t>14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至</w:t>
      </w:r>
      <w:r>
        <w:rPr>
          <w:rFonts w:hint="eastAsia" w:ascii="微软雅黑" w:hAnsi="微软雅黑" w:eastAsia="微软雅黑" w:cs="微软雅黑"/>
          <w:color w:val="auto"/>
          <w:sz w:val="24"/>
          <w:szCs w:val="24"/>
          <w:highlight w:val="none"/>
          <w:lang w:val="en-US" w:eastAsia="zh-CN"/>
        </w:rPr>
        <w:t>23</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59</w:t>
      </w:r>
      <w:r>
        <w:rPr>
          <w:rFonts w:hint="eastAsia" w:ascii="微软雅黑" w:hAnsi="微软雅黑" w:eastAsia="微软雅黑" w:cs="微软雅黑"/>
          <w:color w:val="auto"/>
          <w:sz w:val="24"/>
          <w:szCs w:val="24"/>
          <w:highlight w:val="none"/>
        </w:rPr>
        <w:t>（北京时间，法定节假日除外）</w:t>
      </w:r>
    </w:p>
    <w:p w14:paraId="095672E2">
      <w:pPr>
        <w:pageBreakBefore w:val="0"/>
        <w:kinsoku/>
        <w:wordWrap/>
        <w:overflowPunct/>
        <w:topLinePunct w:val="0"/>
        <w:bidi w:val="0"/>
        <w:adjustRightInd w:val="0"/>
        <w:snapToGrid w:val="0"/>
        <w:spacing w:line="500" w:lineRule="atLeas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地点：政采云平台线上获取 </w:t>
      </w:r>
    </w:p>
    <w:p w14:paraId="7F307BB2">
      <w:pPr>
        <w:pageBreakBefore w:val="0"/>
        <w:kinsoku/>
        <w:wordWrap/>
        <w:overflowPunct/>
        <w:topLinePunct w:val="0"/>
        <w:bidi w:val="0"/>
        <w:adjustRightInd w:val="0"/>
        <w:snapToGrid w:val="0"/>
        <w:spacing w:line="500" w:lineRule="atLeas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89850CA">
      <w:pPr>
        <w:pStyle w:val="3"/>
        <w:pageBreakBefore w:val="0"/>
        <w:kinsoku/>
        <w:wordWrap/>
        <w:overflowPunct/>
        <w:topLinePunct w:val="0"/>
        <w:bidi w:val="0"/>
        <w:adjustRightInd w:val="0"/>
        <w:snapToGrid w:val="0"/>
        <w:spacing w:before="0" w:line="500" w:lineRule="atLeast"/>
        <w:jc w:val="both"/>
        <w:textAlignment w:val="auto"/>
        <w:rPr>
          <w:rFonts w:hint="eastAsia" w:ascii="微软雅黑" w:hAnsi="微软雅黑" w:eastAsia="微软雅黑" w:cs="微软雅黑"/>
          <w:bCs/>
          <w:color w:val="auto"/>
          <w:sz w:val="24"/>
          <w:szCs w:val="24"/>
          <w:highlight w:val="none"/>
        </w:rPr>
      </w:pPr>
      <w:bookmarkStart w:id="473" w:name="_Toc28501"/>
      <w:bookmarkStart w:id="474" w:name="_Toc26129"/>
      <w:r>
        <w:rPr>
          <w:rFonts w:hint="eastAsia" w:ascii="微软雅黑" w:hAnsi="微软雅黑" w:eastAsia="微软雅黑" w:cs="微软雅黑"/>
          <w:bCs/>
          <w:color w:val="auto"/>
          <w:sz w:val="24"/>
          <w:szCs w:val="24"/>
          <w:highlight w:val="none"/>
        </w:rPr>
        <w:t>四、提交投标文件</w:t>
      </w:r>
      <w:bookmarkEnd w:id="468"/>
      <w:bookmarkEnd w:id="469"/>
      <w:r>
        <w:rPr>
          <w:rFonts w:hint="eastAsia" w:ascii="微软雅黑" w:hAnsi="微软雅黑" w:eastAsia="微软雅黑" w:cs="微软雅黑"/>
          <w:bCs/>
          <w:color w:val="auto"/>
          <w:sz w:val="24"/>
          <w:szCs w:val="24"/>
          <w:highlight w:val="none"/>
        </w:rPr>
        <w:t>截止时间、开标时间和地点</w:t>
      </w:r>
      <w:bookmarkEnd w:id="470"/>
      <w:bookmarkEnd w:id="471"/>
      <w:bookmarkEnd w:id="472"/>
      <w:bookmarkEnd w:id="473"/>
      <w:bookmarkEnd w:id="474"/>
    </w:p>
    <w:p w14:paraId="49F56FE8">
      <w:pPr>
        <w:pStyle w:val="34"/>
        <w:pageBreakBefore w:val="0"/>
        <w:widowControl/>
        <w:kinsoku/>
        <w:wordWrap/>
        <w:overflowPunct/>
        <w:topLinePunct w:val="0"/>
        <w:bidi w:val="0"/>
        <w:adjustRightInd w:val="0"/>
        <w:snapToGrid w:val="0"/>
        <w:spacing w:before="0" w:beforeAutospacing="0" w:after="0" w:afterAutospacing="0" w:line="500" w:lineRule="atLeast"/>
        <w:ind w:firstLine="420"/>
        <w:textAlignment w:val="auto"/>
        <w:rPr>
          <w:rFonts w:hint="eastAsia" w:ascii="微软雅黑" w:hAnsi="微软雅黑" w:eastAsia="微软雅黑" w:cs="微软雅黑"/>
          <w:bCs/>
          <w:color w:val="auto"/>
          <w:kern w:val="2"/>
          <w:sz w:val="24"/>
          <w:szCs w:val="24"/>
          <w:highlight w:val="none"/>
          <w:u w:val="none"/>
          <w:lang w:val="en-US" w:eastAsia="zh-CN" w:bidi="ar-SA"/>
        </w:rPr>
      </w:pPr>
      <w:bookmarkStart w:id="475" w:name="_Toc28359084"/>
      <w:bookmarkStart w:id="476" w:name="_Toc35393794"/>
      <w:bookmarkStart w:id="477" w:name="_Toc30400"/>
      <w:bookmarkStart w:id="478" w:name="_Toc20863"/>
      <w:bookmarkStart w:id="479" w:name="_Toc35393625"/>
      <w:bookmarkStart w:id="480" w:name="_Toc28359007"/>
      <w:r>
        <w:rPr>
          <w:rFonts w:hint="eastAsia" w:ascii="微软雅黑" w:hAnsi="微软雅黑" w:eastAsia="微软雅黑" w:cs="微软雅黑"/>
          <w:bCs/>
          <w:color w:val="auto"/>
          <w:kern w:val="2"/>
          <w:sz w:val="24"/>
          <w:szCs w:val="24"/>
          <w:highlight w:val="none"/>
          <w:u w:val="none"/>
          <w:lang w:val="en-US" w:eastAsia="zh-CN" w:bidi="ar-SA"/>
        </w:rPr>
        <w:t>提交投标文件截止时间：2025年08月06日11：00（北京时间）</w:t>
      </w:r>
    </w:p>
    <w:p w14:paraId="1D4CB363">
      <w:pPr>
        <w:pStyle w:val="34"/>
        <w:pageBreakBefore w:val="0"/>
        <w:widowControl/>
        <w:kinsoku/>
        <w:wordWrap/>
        <w:overflowPunct/>
        <w:topLinePunct w:val="0"/>
        <w:bidi w:val="0"/>
        <w:adjustRightInd w:val="0"/>
        <w:snapToGrid w:val="0"/>
        <w:spacing w:before="0" w:beforeAutospacing="0" w:after="0" w:afterAutospacing="0" w:line="500" w:lineRule="atLeast"/>
        <w:ind w:firstLine="42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投标地点：请登录政采云投标客户端投标</w:t>
      </w:r>
    </w:p>
    <w:p w14:paraId="6FB59FEF">
      <w:pPr>
        <w:pStyle w:val="34"/>
        <w:pageBreakBefore w:val="0"/>
        <w:widowControl/>
        <w:kinsoku/>
        <w:wordWrap/>
        <w:overflowPunct/>
        <w:topLinePunct w:val="0"/>
        <w:bidi w:val="0"/>
        <w:adjustRightInd w:val="0"/>
        <w:snapToGrid w:val="0"/>
        <w:spacing w:before="0" w:beforeAutospacing="0" w:after="0" w:afterAutospacing="0" w:line="500" w:lineRule="atLeast"/>
        <w:ind w:firstLine="420"/>
        <w:textAlignment w:val="auto"/>
        <w:rPr>
          <w:rFonts w:hint="eastAsia" w:ascii="微软雅黑" w:hAnsi="微软雅黑" w:eastAsia="微软雅黑" w:cs="微软雅黑"/>
          <w:bCs/>
          <w:color w:val="auto"/>
          <w:kern w:val="2"/>
          <w:sz w:val="24"/>
          <w:szCs w:val="24"/>
          <w:highlight w:val="none"/>
          <w:u w:val="none"/>
          <w:lang w:val="en-US" w:eastAsia="zh-CN" w:bidi="ar-SA"/>
        </w:rPr>
      </w:pPr>
      <w:r>
        <w:rPr>
          <w:rFonts w:hint="eastAsia" w:ascii="微软雅黑" w:hAnsi="微软雅黑" w:eastAsia="微软雅黑" w:cs="微软雅黑"/>
          <w:bCs/>
          <w:color w:val="auto"/>
          <w:kern w:val="2"/>
          <w:sz w:val="24"/>
          <w:szCs w:val="24"/>
          <w:highlight w:val="none"/>
          <w:u w:val="none"/>
          <w:lang w:val="en-US" w:eastAsia="zh-CN" w:bidi="ar-SA"/>
        </w:rPr>
        <w:t>开标时间：2025年08月06日11：00（北京时间）</w:t>
      </w:r>
    </w:p>
    <w:p w14:paraId="06B2F951">
      <w:pPr>
        <w:pStyle w:val="34"/>
        <w:pageBreakBefore w:val="0"/>
        <w:widowControl/>
        <w:kinsoku/>
        <w:wordWrap/>
        <w:overflowPunct/>
        <w:topLinePunct w:val="0"/>
        <w:bidi w:val="0"/>
        <w:adjustRightInd w:val="0"/>
        <w:snapToGrid w:val="0"/>
        <w:spacing w:before="0" w:beforeAutospacing="0" w:after="0" w:afterAutospacing="0" w:line="500" w:lineRule="atLeast"/>
        <w:ind w:firstLine="42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开标地点：</w:t>
      </w:r>
      <w:r>
        <w:rPr>
          <w:rFonts w:hint="eastAsia" w:ascii="微软雅黑" w:hAnsi="微软雅黑" w:eastAsia="微软雅黑" w:cs="微软雅黑"/>
          <w:color w:val="auto"/>
          <w:sz w:val="24"/>
          <w:szCs w:val="24"/>
          <w:highlight w:val="none"/>
        </w:rPr>
        <w:t>政采云平台（https://www.zcygov.cn/）不见面开标</w:t>
      </w:r>
    </w:p>
    <w:p w14:paraId="685F749B">
      <w:pPr>
        <w:pStyle w:val="3"/>
        <w:pageBreakBefore w:val="0"/>
        <w:kinsoku/>
        <w:wordWrap/>
        <w:overflowPunct/>
        <w:topLinePunct w:val="0"/>
        <w:bidi w:val="0"/>
        <w:adjustRightInd w:val="0"/>
        <w:snapToGrid w:val="0"/>
        <w:spacing w:before="0" w:line="500" w:lineRule="atLeast"/>
        <w:jc w:val="both"/>
        <w:textAlignment w:val="auto"/>
        <w:rPr>
          <w:rFonts w:hint="eastAsia" w:ascii="微软雅黑" w:hAnsi="微软雅黑" w:eastAsia="微软雅黑" w:cs="微软雅黑"/>
          <w:bCs/>
          <w:color w:val="auto"/>
          <w:sz w:val="24"/>
          <w:szCs w:val="24"/>
          <w:highlight w:val="none"/>
        </w:rPr>
      </w:pPr>
      <w:bookmarkStart w:id="481" w:name="_Toc7548"/>
      <w:bookmarkStart w:id="482" w:name="_Toc14604"/>
      <w:r>
        <w:rPr>
          <w:rFonts w:hint="eastAsia" w:ascii="微软雅黑" w:hAnsi="微软雅黑" w:eastAsia="微软雅黑" w:cs="微软雅黑"/>
          <w:bCs/>
          <w:color w:val="auto"/>
          <w:sz w:val="24"/>
          <w:szCs w:val="24"/>
          <w:highlight w:val="none"/>
        </w:rPr>
        <w:t>五、公告期限</w:t>
      </w:r>
      <w:bookmarkEnd w:id="475"/>
      <w:bookmarkEnd w:id="476"/>
      <w:bookmarkEnd w:id="477"/>
      <w:bookmarkEnd w:id="478"/>
      <w:bookmarkEnd w:id="479"/>
      <w:bookmarkEnd w:id="480"/>
      <w:bookmarkEnd w:id="481"/>
      <w:bookmarkEnd w:id="482"/>
    </w:p>
    <w:p w14:paraId="67E0301B">
      <w:pPr>
        <w:pageBreakBefore w:val="0"/>
        <w:kinsoku/>
        <w:wordWrap/>
        <w:overflowPunct/>
        <w:topLinePunct w:val="0"/>
        <w:bidi w:val="0"/>
        <w:adjustRightInd w:val="0"/>
        <w:snapToGrid w:val="0"/>
        <w:spacing w:line="500" w:lineRule="atLeas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自本公告发布之日起5个工作日。</w:t>
      </w:r>
    </w:p>
    <w:p w14:paraId="60B3FF76">
      <w:pPr>
        <w:pStyle w:val="7"/>
        <w:pageBreakBefore w:val="0"/>
        <w:kinsoku/>
        <w:wordWrap/>
        <w:overflowPunct/>
        <w:topLinePunct w:val="0"/>
        <w:bidi w:val="0"/>
        <w:adjustRightInd w:val="0"/>
        <w:snapToGrid w:val="0"/>
        <w:spacing w:line="500" w:lineRule="atLeast"/>
        <w:ind w:left="0" w:leftChars="0" w:firstLine="0" w:firstLineChars="0"/>
        <w:textAlignment w:val="auto"/>
        <w:outlineLvl w:val="1"/>
        <w:rPr>
          <w:rFonts w:hint="eastAsia" w:ascii="微软雅黑" w:hAnsi="微软雅黑" w:eastAsia="微软雅黑" w:cs="微软雅黑"/>
          <w:color w:val="auto"/>
          <w:sz w:val="24"/>
          <w:szCs w:val="24"/>
          <w:highlight w:val="none"/>
        </w:rPr>
      </w:pPr>
      <w:bookmarkStart w:id="483" w:name="_Toc21586"/>
      <w:r>
        <w:rPr>
          <w:rFonts w:hint="eastAsia" w:ascii="微软雅黑" w:hAnsi="微软雅黑" w:eastAsia="微软雅黑" w:cs="微软雅黑"/>
          <w:b/>
          <w:bCs/>
          <w:color w:val="auto"/>
          <w:sz w:val="24"/>
          <w:szCs w:val="24"/>
          <w:highlight w:val="none"/>
          <w:lang w:eastAsia="zh-CN"/>
        </w:rPr>
        <w:t>六</w:t>
      </w:r>
      <w:r>
        <w:rPr>
          <w:rFonts w:hint="eastAsia" w:ascii="微软雅黑" w:hAnsi="微软雅黑" w:eastAsia="微软雅黑" w:cs="微软雅黑"/>
          <w:b/>
          <w:bCs/>
          <w:color w:val="auto"/>
          <w:sz w:val="24"/>
          <w:szCs w:val="24"/>
          <w:highlight w:val="none"/>
        </w:rPr>
        <w:t>、其他补充事宜</w:t>
      </w:r>
      <w:bookmarkEnd w:id="483"/>
    </w:p>
    <w:p w14:paraId="6942F0BA">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440" w:firstLineChars="200"/>
        <w:jc w:val="both"/>
        <w:textAlignment w:val="auto"/>
        <w:rPr>
          <w:rFonts w:hint="eastAsia" w:ascii="微软雅黑" w:hAnsi="微软雅黑" w:eastAsia="微软雅黑" w:cs="微软雅黑"/>
          <w:i w:val="0"/>
          <w:caps w:val="0"/>
          <w:color w:val="000000"/>
          <w:spacing w:val="0"/>
          <w:sz w:val="22"/>
          <w:szCs w:val="22"/>
          <w:lang w:val="en-US" w:eastAsia="zh-CN"/>
        </w:rPr>
      </w:pPr>
      <w:bookmarkStart w:id="484" w:name="_Toc35393795"/>
      <w:bookmarkStart w:id="485" w:name="_Toc18258"/>
      <w:bookmarkStart w:id="486" w:name="_Toc35393626"/>
      <w:bookmarkStart w:id="487" w:name="_Toc647"/>
      <w:r>
        <w:rPr>
          <w:rFonts w:hint="eastAsia" w:ascii="微软雅黑" w:hAnsi="微软雅黑" w:eastAsia="微软雅黑" w:cs="微软雅黑"/>
          <w:i w:val="0"/>
          <w:caps w:val="0"/>
          <w:color w:val="000000"/>
          <w:spacing w:val="0"/>
          <w:sz w:val="22"/>
          <w:szCs w:val="22"/>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EC510D1">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440" w:firstLineChars="200"/>
        <w:jc w:val="both"/>
        <w:textAlignment w:val="auto"/>
        <w:rPr>
          <w:rFonts w:hint="eastAsia" w:ascii="微软雅黑" w:hAnsi="微软雅黑" w:eastAsia="微软雅黑" w:cs="微软雅黑"/>
          <w:i w:val="0"/>
          <w:caps w:val="0"/>
          <w:color w:val="000000"/>
          <w:spacing w:val="0"/>
          <w:sz w:val="22"/>
          <w:szCs w:val="22"/>
          <w:lang w:val="en-US" w:eastAsia="zh-CN"/>
        </w:rPr>
      </w:pPr>
      <w:r>
        <w:rPr>
          <w:rFonts w:hint="eastAsia" w:ascii="微软雅黑" w:hAnsi="微软雅黑" w:eastAsia="微软雅黑" w:cs="微软雅黑"/>
          <w:i w:val="0"/>
          <w:caps w:val="0"/>
          <w:color w:val="000000"/>
          <w:spacing w:val="0"/>
          <w:sz w:val="22"/>
          <w:szCs w:val="22"/>
          <w:lang w:val="en-US" w:eastAsia="zh-CN"/>
        </w:rPr>
        <w:t>2.本项目实行网上投标，采用电子投标文件(供应商须使用CA加密设备通过政采云电子投标客户端制作投标文件)。若供应商参与投标，自行承担投标一切费用。</w:t>
      </w:r>
    </w:p>
    <w:p w14:paraId="5BF51C85">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440" w:firstLineChars="200"/>
        <w:jc w:val="both"/>
        <w:textAlignment w:val="auto"/>
        <w:rPr>
          <w:rFonts w:hint="eastAsia" w:ascii="微软雅黑" w:hAnsi="微软雅黑" w:eastAsia="微软雅黑" w:cs="微软雅黑"/>
          <w:i w:val="0"/>
          <w:caps w:val="0"/>
          <w:color w:val="000000"/>
          <w:spacing w:val="0"/>
          <w:sz w:val="22"/>
          <w:szCs w:val="22"/>
          <w:lang w:val="en-US" w:eastAsia="zh-CN"/>
        </w:rPr>
      </w:pPr>
      <w:r>
        <w:rPr>
          <w:rFonts w:hint="eastAsia" w:ascii="微软雅黑" w:hAnsi="微软雅黑" w:eastAsia="微软雅黑" w:cs="微软雅黑"/>
          <w:i w:val="0"/>
          <w:caps w:val="0"/>
          <w:color w:val="000000"/>
          <w:spacing w:val="0"/>
          <w:sz w:val="22"/>
          <w:szCs w:val="22"/>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2E574106">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440" w:firstLineChars="200"/>
        <w:jc w:val="both"/>
        <w:textAlignment w:val="auto"/>
        <w:rPr>
          <w:rFonts w:hint="eastAsia" w:ascii="微软雅黑" w:hAnsi="微软雅黑" w:eastAsia="微软雅黑" w:cs="微软雅黑"/>
          <w:i w:val="0"/>
          <w:caps w:val="0"/>
          <w:color w:val="000000"/>
          <w:spacing w:val="0"/>
          <w:sz w:val="22"/>
          <w:szCs w:val="22"/>
          <w:lang w:val="en-US" w:eastAsia="zh-CN"/>
        </w:rPr>
      </w:pPr>
      <w:r>
        <w:rPr>
          <w:rFonts w:hint="eastAsia" w:ascii="微软雅黑" w:hAnsi="微软雅黑" w:eastAsia="微软雅黑" w:cs="微软雅黑"/>
          <w:i w:val="0"/>
          <w:caps w:val="0"/>
          <w:color w:val="000000"/>
          <w:spacing w:val="0"/>
          <w:sz w:val="22"/>
          <w:szCs w:val="22"/>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1C3338E2">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440" w:firstLineChars="200"/>
        <w:jc w:val="both"/>
        <w:textAlignment w:val="auto"/>
        <w:rPr>
          <w:rFonts w:hint="eastAsia" w:ascii="微软雅黑" w:hAnsi="微软雅黑" w:eastAsia="微软雅黑" w:cs="微软雅黑"/>
          <w:i w:val="0"/>
          <w:caps w:val="0"/>
          <w:color w:val="000000"/>
          <w:spacing w:val="0"/>
          <w:sz w:val="22"/>
          <w:szCs w:val="22"/>
          <w:lang w:val="en-US" w:eastAsia="zh-CN"/>
        </w:rPr>
      </w:pPr>
      <w:r>
        <w:rPr>
          <w:rFonts w:hint="eastAsia" w:ascii="微软雅黑" w:hAnsi="微软雅黑" w:eastAsia="微软雅黑" w:cs="微软雅黑"/>
          <w:i w:val="0"/>
          <w:caps w:val="0"/>
          <w:color w:val="000000"/>
          <w:spacing w:val="0"/>
          <w:sz w:val="22"/>
          <w:szCs w:val="22"/>
          <w:lang w:val="en-US" w:eastAsia="zh-CN"/>
        </w:rPr>
        <w:t>5.供应商在开标时须使用制作加密电子投标文件所使用的CA锁及电脑，电脑须提前配置好浏览器（建议使用谷歌浏览器），以便开标时解锁。</w:t>
      </w:r>
    </w:p>
    <w:p w14:paraId="33E46102">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440" w:firstLineChars="200"/>
        <w:jc w:val="both"/>
        <w:textAlignment w:val="auto"/>
        <w:rPr>
          <w:rFonts w:hint="eastAsia" w:ascii="微软雅黑" w:hAnsi="微软雅黑" w:eastAsia="微软雅黑" w:cs="微软雅黑"/>
          <w:i w:val="0"/>
          <w:caps w:val="0"/>
          <w:color w:val="000000"/>
          <w:spacing w:val="0"/>
          <w:sz w:val="22"/>
          <w:szCs w:val="22"/>
          <w:lang w:val="en-US" w:eastAsia="zh-CN"/>
        </w:rPr>
      </w:pPr>
      <w:r>
        <w:rPr>
          <w:rFonts w:hint="eastAsia" w:ascii="微软雅黑" w:hAnsi="微软雅黑" w:eastAsia="微软雅黑" w:cs="微软雅黑"/>
          <w:i w:val="0"/>
          <w:caps w:val="0"/>
          <w:color w:val="000000"/>
          <w:spacing w:val="0"/>
          <w:sz w:val="22"/>
          <w:szCs w:val="22"/>
          <w:lang w:val="en-US" w:eastAsia="zh-CN"/>
        </w:rPr>
        <w:t>6.投标保证金缴纳及确认时间：凡拟参加本次招标项目的供应商，必须在开标前将投标保证金汇入指定账户。投标保证金汇款凭证上用途栏应注明:标项名称+投标保证金。否则，届时其投标将被拒绝。</w:t>
      </w:r>
    </w:p>
    <w:p w14:paraId="0B17FAAA">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440" w:firstLineChars="200"/>
        <w:jc w:val="both"/>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i w:val="0"/>
          <w:caps w:val="0"/>
          <w:color w:val="000000"/>
          <w:spacing w:val="0"/>
          <w:sz w:val="22"/>
          <w:szCs w:val="22"/>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钉钉群号：政采云新疆网超供应商服务二十群：35547618（如已加入1-19群，无需重复加入），钉钉工具软件具有回放功能，直播培训结束后可在钉钉群中回放观看学习</w:t>
      </w:r>
      <w:r>
        <w:rPr>
          <w:rFonts w:hint="eastAsia" w:ascii="微软雅黑" w:hAnsi="微软雅黑" w:eastAsia="微软雅黑" w:cs="微软雅黑"/>
          <w:i w:val="0"/>
          <w:caps w:val="0"/>
          <w:color w:val="auto"/>
          <w:spacing w:val="0"/>
          <w:sz w:val="22"/>
          <w:szCs w:val="22"/>
          <w:highlight w:val="none"/>
          <w:lang w:val="en-US" w:eastAsia="zh-CN"/>
        </w:rPr>
        <w:t>。</w:t>
      </w:r>
      <w:bookmarkEnd w:id="484"/>
      <w:bookmarkEnd w:id="485"/>
      <w:bookmarkEnd w:id="486"/>
      <w:bookmarkEnd w:id="487"/>
    </w:p>
    <w:p w14:paraId="0F822649">
      <w:pPr>
        <w:pStyle w:val="34"/>
        <w:keepNext w:val="0"/>
        <w:keepLines w:val="0"/>
        <w:pageBreakBefore w:val="0"/>
        <w:widowControl/>
        <w:suppressLineNumbers w:val="0"/>
        <w:kinsoku/>
        <w:wordWrap/>
        <w:overflowPunct/>
        <w:topLinePunct w:val="0"/>
        <w:bidi w:val="0"/>
        <w:adjustRightInd w:val="0"/>
        <w:snapToGrid w:val="0"/>
        <w:spacing w:before="231" w:beforeAutospacing="0" w:after="231" w:afterAutospacing="0" w:line="500" w:lineRule="atLeast"/>
        <w:ind w:left="0" w:right="0"/>
        <w:jc w:val="both"/>
        <w:textAlignment w:val="auto"/>
        <w:outlineLvl w:val="1"/>
        <w:rPr>
          <w:rFonts w:hint="eastAsia" w:ascii="微软雅黑" w:hAnsi="微软雅黑" w:eastAsia="微软雅黑" w:cs="微软雅黑"/>
          <w:color w:val="auto"/>
          <w:sz w:val="24"/>
          <w:szCs w:val="24"/>
          <w:highlight w:val="none"/>
          <w:u w:val="none"/>
        </w:rPr>
      </w:pPr>
      <w:bookmarkStart w:id="488" w:name="_Toc21854"/>
      <w:r>
        <w:rPr>
          <w:rFonts w:hint="eastAsia" w:ascii="微软雅黑" w:hAnsi="微软雅黑" w:eastAsia="微软雅黑" w:cs="微软雅黑"/>
          <w:b/>
          <w:bCs/>
          <w:color w:val="auto"/>
          <w:kern w:val="0"/>
          <w:sz w:val="24"/>
          <w:szCs w:val="24"/>
          <w:highlight w:val="none"/>
          <w:lang w:val="en-US" w:eastAsia="zh-CN" w:bidi="ar-SA"/>
        </w:rPr>
        <w:t>七、对本次采购提出询问，请按以下方式联系</w:t>
      </w:r>
      <w:bookmarkEnd w:id="488"/>
    </w:p>
    <w:p w14:paraId="277D4DAA">
      <w:pPr>
        <w:pageBreakBefore w:val="0"/>
        <w:widowControl/>
        <w:kinsoku/>
        <w:wordWrap/>
        <w:overflowPunct/>
        <w:topLinePunct w:val="0"/>
        <w:bidi w:val="0"/>
        <w:adjustRightInd w:val="0"/>
        <w:snapToGrid w:val="0"/>
        <w:spacing w:line="500" w:lineRule="atLeast"/>
        <w:ind w:left="0" w:leftChars="0" w:firstLine="480" w:firstLineChars="200"/>
        <w:jc w:val="left"/>
        <w:textAlignment w:val="auto"/>
        <w:rPr>
          <w:rFonts w:hint="eastAsia" w:ascii="微软雅黑" w:hAnsi="微软雅黑" w:eastAsia="微软雅黑" w:cs="微软雅黑"/>
          <w:b/>
          <w:bCs/>
          <w:color w:val="auto"/>
          <w:sz w:val="24"/>
          <w:szCs w:val="24"/>
          <w:highlight w:val="none"/>
          <w:u w:val="none"/>
        </w:rPr>
      </w:pPr>
      <w:r>
        <w:rPr>
          <w:rFonts w:hint="eastAsia" w:ascii="微软雅黑" w:hAnsi="微软雅黑" w:eastAsia="微软雅黑" w:cs="微软雅黑"/>
          <w:b/>
          <w:bCs/>
          <w:color w:val="auto"/>
          <w:sz w:val="24"/>
          <w:szCs w:val="24"/>
          <w:highlight w:val="none"/>
          <w:u w:val="none"/>
        </w:rPr>
        <w:t>1.采购人信息</w:t>
      </w:r>
    </w:p>
    <w:p w14:paraId="02E26877">
      <w:pPr>
        <w:pageBreakBefore w:val="0"/>
        <w:widowControl/>
        <w:kinsoku/>
        <w:wordWrap/>
        <w:overflowPunct/>
        <w:topLinePunct w:val="0"/>
        <w:bidi w:val="0"/>
        <w:adjustRightInd w:val="0"/>
        <w:snapToGrid w:val="0"/>
        <w:spacing w:line="500" w:lineRule="atLeast"/>
        <w:ind w:left="0" w:leftChars="0" w:firstLine="720" w:firstLineChars="300"/>
        <w:jc w:val="left"/>
        <w:textAlignment w:val="auto"/>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u w:val="none"/>
        </w:rPr>
        <w:t>名 称：</w:t>
      </w:r>
      <w:r>
        <w:rPr>
          <w:rFonts w:hint="eastAsia" w:ascii="微软雅黑" w:hAnsi="微软雅黑" w:eastAsia="微软雅黑" w:cs="微软雅黑"/>
          <w:color w:val="auto"/>
          <w:sz w:val="24"/>
          <w:szCs w:val="24"/>
          <w:highlight w:val="none"/>
          <w:u w:val="none"/>
          <w:lang w:eastAsia="zh-CN"/>
        </w:rPr>
        <w:t>喀什市</w:t>
      </w:r>
      <w:r>
        <w:rPr>
          <w:rFonts w:hint="eastAsia" w:ascii="微软雅黑" w:hAnsi="微软雅黑" w:eastAsia="微软雅黑" w:cs="微软雅黑"/>
          <w:color w:val="auto"/>
          <w:sz w:val="24"/>
          <w:szCs w:val="24"/>
          <w:highlight w:val="none"/>
          <w:u w:val="none"/>
        </w:rPr>
        <w:t>交通运输局</w:t>
      </w:r>
    </w:p>
    <w:p w14:paraId="66E0D588">
      <w:pPr>
        <w:pageBreakBefore w:val="0"/>
        <w:widowControl/>
        <w:kinsoku/>
        <w:wordWrap/>
        <w:overflowPunct/>
        <w:topLinePunct w:val="0"/>
        <w:bidi w:val="0"/>
        <w:adjustRightInd w:val="0"/>
        <w:snapToGrid w:val="0"/>
        <w:spacing w:line="500" w:lineRule="atLeast"/>
        <w:ind w:left="0" w:leftChars="0" w:firstLine="720" w:firstLineChars="300"/>
        <w:jc w:val="left"/>
        <w:textAlignment w:val="auto"/>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none"/>
        </w:rPr>
        <w:t>地 址：</w:t>
      </w:r>
      <w:r>
        <w:rPr>
          <w:rFonts w:hint="eastAsia" w:ascii="微软雅黑" w:hAnsi="微软雅黑" w:eastAsia="微软雅黑" w:cs="微软雅黑"/>
          <w:color w:val="auto"/>
          <w:sz w:val="24"/>
          <w:szCs w:val="24"/>
          <w:highlight w:val="none"/>
          <w:u w:val="none"/>
          <w:lang w:eastAsia="zh-CN"/>
        </w:rPr>
        <w:t>喀什市深喀大道行政审批局</w:t>
      </w:r>
      <w:r>
        <w:rPr>
          <w:rFonts w:hint="eastAsia" w:ascii="微软雅黑" w:hAnsi="微软雅黑" w:eastAsia="微软雅黑" w:cs="微软雅黑"/>
          <w:color w:val="auto"/>
          <w:sz w:val="24"/>
          <w:szCs w:val="24"/>
          <w:highlight w:val="none"/>
          <w:u w:val="none"/>
          <w:lang w:val="en-US" w:eastAsia="zh-CN"/>
        </w:rPr>
        <w:t>4</w:t>
      </w:r>
      <w:r>
        <w:rPr>
          <w:rFonts w:hint="eastAsia" w:ascii="微软雅黑" w:hAnsi="微软雅黑" w:eastAsia="微软雅黑" w:cs="微软雅黑"/>
          <w:color w:val="auto"/>
          <w:sz w:val="24"/>
          <w:szCs w:val="24"/>
          <w:highlight w:val="none"/>
          <w:u w:val="none"/>
          <w:lang w:eastAsia="zh-CN"/>
        </w:rPr>
        <w:t>楼</w:t>
      </w:r>
    </w:p>
    <w:p w14:paraId="3988EBDE">
      <w:pPr>
        <w:pageBreakBefore w:val="0"/>
        <w:widowControl/>
        <w:kinsoku/>
        <w:wordWrap/>
        <w:overflowPunct/>
        <w:topLinePunct w:val="0"/>
        <w:bidi w:val="0"/>
        <w:adjustRightInd w:val="0"/>
        <w:snapToGrid w:val="0"/>
        <w:spacing w:line="500" w:lineRule="atLeast"/>
        <w:ind w:left="0" w:leftChars="0" w:firstLine="720" w:firstLineChars="300"/>
        <w:jc w:val="left"/>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rPr>
        <w:t>联系方式：</w:t>
      </w:r>
      <w:r>
        <w:rPr>
          <w:rFonts w:hint="eastAsia" w:ascii="微软雅黑" w:hAnsi="微软雅黑" w:eastAsia="微软雅黑" w:cs="微软雅黑"/>
          <w:color w:val="auto"/>
          <w:sz w:val="24"/>
          <w:szCs w:val="24"/>
          <w:highlight w:val="none"/>
          <w:u w:val="none"/>
          <w:lang w:val="en-US" w:eastAsia="zh-CN"/>
        </w:rPr>
        <w:t>17799661228</w:t>
      </w:r>
    </w:p>
    <w:p w14:paraId="08212D1B">
      <w:pPr>
        <w:pageBreakBefore w:val="0"/>
        <w:widowControl/>
        <w:kinsoku/>
        <w:wordWrap/>
        <w:overflowPunct/>
        <w:topLinePunct w:val="0"/>
        <w:bidi w:val="0"/>
        <w:adjustRightInd w:val="0"/>
        <w:snapToGrid w:val="0"/>
        <w:spacing w:line="500" w:lineRule="atLeast"/>
        <w:ind w:left="0" w:leftChars="0" w:firstLine="480" w:firstLineChars="200"/>
        <w:jc w:val="left"/>
        <w:textAlignment w:val="auto"/>
        <w:rPr>
          <w:rFonts w:hint="eastAsia" w:ascii="微软雅黑" w:hAnsi="微软雅黑" w:eastAsia="微软雅黑" w:cs="微软雅黑"/>
          <w:b/>
          <w:bCs/>
          <w:color w:val="auto"/>
          <w:sz w:val="24"/>
          <w:szCs w:val="24"/>
          <w:highlight w:val="none"/>
          <w:u w:val="none"/>
        </w:rPr>
      </w:pPr>
      <w:r>
        <w:rPr>
          <w:rFonts w:hint="eastAsia" w:ascii="微软雅黑" w:hAnsi="微软雅黑" w:eastAsia="微软雅黑" w:cs="微软雅黑"/>
          <w:b/>
          <w:bCs/>
          <w:color w:val="auto"/>
          <w:sz w:val="24"/>
          <w:szCs w:val="24"/>
          <w:highlight w:val="none"/>
          <w:u w:val="none"/>
        </w:rPr>
        <w:t>2.采购代理机构信息</w:t>
      </w:r>
    </w:p>
    <w:p w14:paraId="2B924CD1">
      <w:pPr>
        <w:pageBreakBefore w:val="0"/>
        <w:widowControl/>
        <w:kinsoku/>
        <w:wordWrap/>
        <w:overflowPunct/>
        <w:topLinePunct w:val="0"/>
        <w:bidi w:val="0"/>
        <w:adjustRightInd w:val="0"/>
        <w:snapToGrid w:val="0"/>
        <w:spacing w:line="500" w:lineRule="atLeast"/>
        <w:ind w:left="0" w:leftChars="0" w:firstLine="720" w:firstLineChars="300"/>
        <w:jc w:val="left"/>
        <w:textAlignment w:val="auto"/>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none"/>
        </w:rPr>
        <w:t>名 称：喀什铭远建设工程项目管理咨询有限公司</w:t>
      </w:r>
    </w:p>
    <w:p w14:paraId="01F925F1">
      <w:pPr>
        <w:pageBreakBefore w:val="0"/>
        <w:widowControl/>
        <w:kinsoku/>
        <w:wordWrap/>
        <w:overflowPunct/>
        <w:topLinePunct w:val="0"/>
        <w:bidi w:val="0"/>
        <w:adjustRightInd w:val="0"/>
        <w:snapToGrid w:val="0"/>
        <w:spacing w:line="500" w:lineRule="atLeast"/>
        <w:ind w:left="0" w:leftChars="0" w:firstLine="720" w:firstLineChars="300"/>
        <w:jc w:val="left"/>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rPr>
        <w:t>地 址：喀什市新城南路5号院金洋芋大厦11楼</w:t>
      </w:r>
    </w:p>
    <w:p w14:paraId="02469BF3">
      <w:pPr>
        <w:pageBreakBefore w:val="0"/>
        <w:widowControl/>
        <w:kinsoku/>
        <w:wordWrap/>
        <w:overflowPunct/>
        <w:topLinePunct w:val="0"/>
        <w:bidi w:val="0"/>
        <w:adjustRightInd w:val="0"/>
        <w:snapToGrid w:val="0"/>
        <w:spacing w:line="500" w:lineRule="atLeast"/>
        <w:ind w:left="0" w:leftChars="0" w:firstLine="720" w:firstLineChars="300"/>
        <w:jc w:val="left"/>
        <w:textAlignment w:val="auto"/>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u w:val="none"/>
        </w:rPr>
        <w:t>联系方式：</w:t>
      </w:r>
      <w:r>
        <w:rPr>
          <w:rFonts w:hint="eastAsia" w:ascii="微软雅黑" w:hAnsi="微软雅黑" w:eastAsia="微软雅黑" w:cs="微软雅黑"/>
          <w:color w:val="auto"/>
          <w:sz w:val="24"/>
          <w:szCs w:val="24"/>
          <w:highlight w:val="none"/>
          <w:u w:val="none"/>
          <w:lang w:val="en-US" w:eastAsia="zh-CN"/>
        </w:rPr>
        <w:t>13565944723</w:t>
      </w:r>
    </w:p>
    <w:p w14:paraId="38192D27">
      <w:pPr>
        <w:pageBreakBefore w:val="0"/>
        <w:widowControl/>
        <w:kinsoku/>
        <w:wordWrap/>
        <w:overflowPunct/>
        <w:topLinePunct w:val="0"/>
        <w:bidi w:val="0"/>
        <w:adjustRightInd w:val="0"/>
        <w:snapToGrid w:val="0"/>
        <w:spacing w:line="500" w:lineRule="atLeast"/>
        <w:ind w:left="0" w:leftChars="0" w:firstLine="480" w:firstLineChars="200"/>
        <w:jc w:val="left"/>
        <w:textAlignment w:val="auto"/>
        <w:rPr>
          <w:rFonts w:hint="eastAsia" w:ascii="微软雅黑" w:hAnsi="微软雅黑" w:eastAsia="微软雅黑" w:cs="微软雅黑"/>
          <w:b/>
          <w:bCs/>
          <w:color w:val="auto"/>
          <w:sz w:val="24"/>
          <w:szCs w:val="24"/>
          <w:highlight w:val="none"/>
          <w:u w:val="none"/>
        </w:rPr>
      </w:pPr>
      <w:r>
        <w:rPr>
          <w:rFonts w:hint="eastAsia" w:ascii="微软雅黑" w:hAnsi="微软雅黑" w:eastAsia="微软雅黑" w:cs="微软雅黑"/>
          <w:b/>
          <w:bCs/>
          <w:color w:val="auto"/>
          <w:sz w:val="24"/>
          <w:szCs w:val="24"/>
          <w:highlight w:val="none"/>
          <w:u w:val="none"/>
        </w:rPr>
        <w:t>3.项目联系方式</w:t>
      </w:r>
    </w:p>
    <w:p w14:paraId="5B50CCB7">
      <w:pPr>
        <w:pageBreakBefore w:val="0"/>
        <w:widowControl/>
        <w:kinsoku/>
        <w:wordWrap/>
        <w:overflowPunct/>
        <w:topLinePunct w:val="0"/>
        <w:bidi w:val="0"/>
        <w:adjustRightInd w:val="0"/>
        <w:snapToGrid w:val="0"/>
        <w:spacing w:line="500" w:lineRule="atLeast"/>
        <w:ind w:left="0" w:leftChars="0" w:firstLine="720" w:firstLineChars="300"/>
        <w:jc w:val="left"/>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rPr>
        <w:t>项目联系人：</w:t>
      </w:r>
      <w:r>
        <w:rPr>
          <w:rFonts w:hint="eastAsia" w:ascii="微软雅黑" w:hAnsi="微软雅黑" w:eastAsia="微软雅黑" w:cs="微软雅黑"/>
          <w:color w:val="auto"/>
          <w:sz w:val="24"/>
          <w:szCs w:val="24"/>
          <w:highlight w:val="none"/>
          <w:u w:val="none"/>
          <w:lang w:eastAsia="zh-CN"/>
        </w:rPr>
        <w:t>杨艳</w:t>
      </w:r>
      <w:r>
        <w:rPr>
          <w:rFonts w:hint="eastAsia" w:ascii="微软雅黑" w:hAnsi="微软雅黑" w:eastAsia="微软雅黑" w:cs="微软雅黑"/>
          <w:color w:val="auto"/>
          <w:sz w:val="24"/>
          <w:szCs w:val="24"/>
          <w:highlight w:val="none"/>
          <w:u w:val="none"/>
          <w:lang w:val="en-US" w:eastAsia="zh-CN"/>
        </w:rPr>
        <w:t xml:space="preserve"> </w:t>
      </w:r>
    </w:p>
    <w:p w14:paraId="0209A94E">
      <w:pPr>
        <w:pageBreakBefore w:val="0"/>
        <w:widowControl/>
        <w:kinsoku/>
        <w:wordWrap/>
        <w:overflowPunct/>
        <w:topLinePunct w:val="0"/>
        <w:bidi w:val="0"/>
        <w:adjustRightInd w:val="0"/>
        <w:snapToGrid w:val="0"/>
        <w:spacing w:line="500" w:lineRule="atLeast"/>
        <w:ind w:left="0" w:leftChars="0" w:firstLine="720" w:firstLineChars="300"/>
        <w:jc w:val="left"/>
        <w:textAlignment w:val="auto"/>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u w:val="none"/>
        </w:rPr>
        <w:t>电 话：</w:t>
      </w:r>
      <w:r>
        <w:rPr>
          <w:rFonts w:hint="eastAsia" w:ascii="微软雅黑" w:hAnsi="微软雅黑" w:eastAsia="微软雅黑" w:cs="微软雅黑"/>
          <w:color w:val="auto"/>
          <w:sz w:val="24"/>
          <w:szCs w:val="24"/>
          <w:highlight w:val="none"/>
          <w:u w:val="none"/>
          <w:lang w:val="en-US" w:eastAsia="zh-CN"/>
        </w:rPr>
        <w:t>13565944723</w:t>
      </w:r>
    </w:p>
    <w:p w14:paraId="79F4EB6D">
      <w:pPr>
        <w:pStyle w:val="2"/>
        <w:tabs>
          <w:tab w:val="left" w:pos="0"/>
        </w:tabs>
        <w:spacing w:before="0" w:after="0" w:line="240" w:lineRule="atLeast"/>
        <w:jc w:val="center"/>
        <w:rPr>
          <w:rFonts w:hint="eastAsia" w:ascii="微软雅黑" w:hAnsi="微软雅黑" w:eastAsia="微软雅黑" w:cs="微软雅黑"/>
          <w:color w:val="auto"/>
          <w:sz w:val="24"/>
          <w:szCs w:val="24"/>
          <w:highlight w:val="none"/>
          <w:u w:val="none"/>
        </w:rPr>
        <w:sectPr>
          <w:headerReference r:id="rId23" w:type="default"/>
          <w:footerReference r:id="rId24" w:type="default"/>
          <w:pgSz w:w="11906" w:h="16838"/>
          <w:pgMar w:top="1440" w:right="1080" w:bottom="1440" w:left="1080" w:header="851" w:footer="992" w:gutter="0"/>
          <w:pgNumType w:fmt="decimal"/>
          <w:cols w:space="720" w:num="1"/>
          <w:docGrid w:linePitch="312" w:charSpace="0"/>
        </w:sectPr>
      </w:pPr>
      <w:r>
        <w:rPr>
          <w:rFonts w:hint="eastAsia" w:ascii="微软雅黑" w:hAnsi="微软雅黑" w:eastAsia="微软雅黑" w:cs="微软雅黑"/>
          <w:color w:val="auto"/>
          <w:sz w:val="24"/>
          <w:szCs w:val="24"/>
          <w:highlight w:val="none"/>
          <w:u w:val="none"/>
        </w:rPr>
        <w:t>　</w:t>
      </w:r>
      <w:bookmarkStart w:id="489" w:name="_Toc8012"/>
      <w:bookmarkStart w:id="490" w:name="_Toc29289"/>
    </w:p>
    <w:p w14:paraId="0757BBCB">
      <w:pPr>
        <w:pStyle w:val="2"/>
        <w:tabs>
          <w:tab w:val="left" w:pos="0"/>
        </w:tabs>
        <w:spacing w:before="0" w:after="0" w:line="240" w:lineRule="atLeast"/>
        <w:jc w:val="center"/>
        <w:rPr>
          <w:rFonts w:hint="eastAsia" w:ascii="微软雅黑" w:hAnsi="微软雅黑" w:eastAsia="微软雅黑" w:cs="微软雅黑"/>
          <w:b/>
          <w:color w:val="auto"/>
          <w:kern w:val="0"/>
          <w:sz w:val="32"/>
          <w:szCs w:val="32"/>
          <w:highlight w:val="none"/>
          <w:lang w:val="en-US" w:eastAsia="zh-CN"/>
        </w:rPr>
      </w:pPr>
      <w:r>
        <w:rPr>
          <w:rFonts w:hint="eastAsia" w:ascii="微软雅黑" w:hAnsi="微软雅黑" w:eastAsia="微软雅黑" w:cs="微软雅黑"/>
          <w:b/>
          <w:color w:val="auto"/>
          <w:kern w:val="0"/>
          <w:sz w:val="32"/>
          <w:szCs w:val="32"/>
          <w:highlight w:val="none"/>
          <w:lang w:val="en-US" w:eastAsia="zh-CN"/>
        </w:rPr>
        <w:t>第4章  投标人须知资料表</w:t>
      </w:r>
      <w:bookmarkEnd w:id="355"/>
      <w:bookmarkEnd w:id="356"/>
      <w:bookmarkEnd w:id="357"/>
      <w:bookmarkEnd w:id="358"/>
      <w:bookmarkEnd w:id="359"/>
      <w:bookmarkEnd w:id="360"/>
      <w:bookmarkEnd w:id="361"/>
      <w:bookmarkEnd w:id="439"/>
      <w:bookmarkEnd w:id="440"/>
      <w:bookmarkEnd w:id="489"/>
      <w:bookmarkEnd w:id="490"/>
    </w:p>
    <w:p w14:paraId="3E2DEAFB">
      <w:pPr>
        <w:spacing w:line="240" w:lineRule="atLeast"/>
        <w:ind w:firstLine="330" w:firstLineChars="15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本表是本招标项目的具体资料，是对投标人须知的具体补充和修改，如有矛盾，应以本资料表为准。</w:t>
      </w:r>
    </w:p>
    <w:tbl>
      <w:tblPr>
        <w:tblStyle w:val="41"/>
        <w:tblW w:w="9832" w:type="dxa"/>
        <w:tblInd w:w="4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0"/>
        <w:gridCol w:w="8892"/>
      </w:tblGrid>
      <w:tr w14:paraId="646C9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0" w:hRule="atLeast"/>
        </w:trPr>
        <w:tc>
          <w:tcPr>
            <w:tcW w:w="940" w:type="dxa"/>
            <w:noWrap w:val="0"/>
            <w:vAlign w:val="center"/>
          </w:tcPr>
          <w:p w14:paraId="7823D97F">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条款号</w:t>
            </w:r>
          </w:p>
        </w:tc>
        <w:tc>
          <w:tcPr>
            <w:tcW w:w="8892" w:type="dxa"/>
            <w:noWrap w:val="0"/>
            <w:vAlign w:val="center"/>
          </w:tcPr>
          <w:p w14:paraId="77728491">
            <w:pPr>
              <w:spacing w:line="360" w:lineRule="auto"/>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内      容</w:t>
            </w:r>
          </w:p>
        </w:tc>
      </w:tr>
      <w:tr w14:paraId="63C88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0" w:type="dxa"/>
            <w:noWrap w:val="0"/>
            <w:vAlign w:val="center"/>
          </w:tcPr>
          <w:p w14:paraId="297BFCDE">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1.1</w:t>
            </w:r>
          </w:p>
        </w:tc>
        <w:tc>
          <w:tcPr>
            <w:tcW w:w="8892" w:type="dxa"/>
            <w:noWrap w:val="0"/>
            <w:vAlign w:val="center"/>
          </w:tcPr>
          <w:p w14:paraId="6F6DCA7D">
            <w:pPr>
              <w:pStyle w:val="3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1200" w:right="0" w:rightChars="0" w:hanging="1100" w:hangingChars="500"/>
              <w:jc w:val="both"/>
              <w:textAlignment w:val="auto"/>
              <w:rPr>
                <w:rFonts w:hint="eastAsia" w:ascii="微软雅黑" w:hAnsi="微软雅黑" w:eastAsia="微软雅黑" w:cs="微软雅黑"/>
                <w:b w:val="0"/>
                <w:bCs w:val="0"/>
                <w:i w:val="0"/>
                <w:caps w:val="0"/>
                <w:color w:val="auto"/>
                <w:spacing w:val="0"/>
                <w:sz w:val="22"/>
                <w:szCs w:val="22"/>
                <w:highlight w:val="none"/>
                <w:lang w:val="en-US" w:eastAsia="zh-CN"/>
              </w:rPr>
            </w:pPr>
            <w:r>
              <w:rPr>
                <w:rFonts w:hint="eastAsia" w:ascii="微软雅黑" w:hAnsi="微软雅黑" w:eastAsia="微软雅黑" w:cs="微软雅黑"/>
                <w:b w:val="0"/>
                <w:bCs w:val="0"/>
                <w:i w:val="0"/>
                <w:caps w:val="0"/>
                <w:color w:val="auto"/>
                <w:spacing w:val="0"/>
                <w:sz w:val="22"/>
                <w:szCs w:val="22"/>
                <w:highlight w:val="none"/>
                <w:lang w:val="en-US" w:eastAsia="zh-CN"/>
              </w:rPr>
              <w:t>采 购 人：</w:t>
            </w:r>
            <w:r>
              <w:rPr>
                <w:rFonts w:hint="eastAsia" w:ascii="微软雅黑" w:hAnsi="微软雅黑" w:eastAsia="微软雅黑" w:cs="微软雅黑"/>
                <w:b w:val="0"/>
                <w:bCs w:val="0"/>
                <w:color w:val="auto"/>
                <w:sz w:val="22"/>
                <w:szCs w:val="22"/>
                <w:highlight w:val="none"/>
                <w:u w:val="none"/>
                <w:lang w:eastAsia="zh-CN"/>
              </w:rPr>
              <w:t>喀什市交通运输局</w:t>
            </w:r>
            <w:r>
              <w:rPr>
                <w:rFonts w:hint="eastAsia" w:ascii="微软雅黑" w:hAnsi="微软雅黑" w:eastAsia="微软雅黑" w:cs="微软雅黑"/>
                <w:b w:val="0"/>
                <w:bCs w:val="0"/>
                <w:i w:val="0"/>
                <w:caps w:val="0"/>
                <w:color w:val="auto"/>
                <w:spacing w:val="0"/>
                <w:sz w:val="22"/>
                <w:szCs w:val="22"/>
                <w:highlight w:val="none"/>
                <w:lang w:val="en-US" w:eastAsia="zh-CN"/>
              </w:rPr>
              <w:t xml:space="preserve"> 　　　　　 </w:t>
            </w:r>
          </w:p>
          <w:p w14:paraId="130D5763">
            <w:pPr>
              <w:keepNext w:val="0"/>
              <w:keepLines w:val="0"/>
              <w:pageBreakBefore w:val="0"/>
              <w:kinsoku/>
              <w:wordWrap/>
              <w:overflowPunct/>
              <w:topLinePunct w:val="0"/>
              <w:autoSpaceDE/>
              <w:autoSpaceDN/>
              <w:bidi w:val="0"/>
              <w:adjustRightInd/>
              <w:snapToGrid w:val="0"/>
              <w:spacing w:line="312" w:lineRule="auto"/>
              <w:ind w:left="275" w:leftChars="0" w:hanging="275" w:hangingChars="125"/>
              <w:jc w:val="left"/>
              <w:textAlignment w:val="auto"/>
              <w:rPr>
                <w:rFonts w:hint="eastAsia" w:ascii="微软雅黑" w:hAnsi="微软雅黑" w:eastAsia="微软雅黑" w:cs="微软雅黑"/>
                <w:b w:val="0"/>
                <w:bCs w:val="0"/>
                <w:i w:val="0"/>
                <w:caps w:val="0"/>
                <w:color w:val="auto"/>
                <w:spacing w:val="0"/>
                <w:sz w:val="22"/>
                <w:szCs w:val="22"/>
                <w:highlight w:val="none"/>
                <w:lang w:val="en-US" w:eastAsia="zh-CN"/>
              </w:rPr>
            </w:pPr>
            <w:r>
              <w:rPr>
                <w:rFonts w:hint="eastAsia" w:ascii="微软雅黑" w:hAnsi="微软雅黑" w:eastAsia="微软雅黑" w:cs="微软雅黑"/>
                <w:b w:val="0"/>
                <w:bCs w:val="0"/>
                <w:color w:val="auto"/>
                <w:sz w:val="22"/>
                <w:szCs w:val="22"/>
                <w:highlight w:val="none"/>
              </w:rPr>
              <w:t>地</w:t>
            </w:r>
            <w:r>
              <w:rPr>
                <w:rFonts w:hint="eastAsia" w:ascii="微软雅黑" w:hAnsi="微软雅黑" w:eastAsia="微软雅黑" w:cs="微软雅黑"/>
                <w:b w:val="0"/>
                <w:bCs w:val="0"/>
                <w:color w:val="auto"/>
                <w:sz w:val="22"/>
                <w:szCs w:val="22"/>
                <w:highlight w:val="none"/>
                <w:lang w:val="en-US" w:eastAsia="zh-CN"/>
              </w:rPr>
              <w:t xml:space="preserve">    </w:t>
            </w:r>
            <w:r>
              <w:rPr>
                <w:rFonts w:hint="eastAsia" w:ascii="微软雅黑" w:hAnsi="微软雅黑" w:eastAsia="微软雅黑" w:cs="微软雅黑"/>
                <w:b w:val="0"/>
                <w:bCs w:val="0"/>
                <w:color w:val="auto"/>
                <w:sz w:val="22"/>
                <w:szCs w:val="22"/>
                <w:highlight w:val="none"/>
              </w:rPr>
              <w:t>址：</w:t>
            </w:r>
            <w:r>
              <w:rPr>
                <w:rFonts w:hint="eastAsia" w:ascii="微软雅黑" w:hAnsi="微软雅黑" w:eastAsia="微软雅黑" w:cs="微软雅黑"/>
                <w:color w:val="auto"/>
                <w:sz w:val="22"/>
                <w:szCs w:val="22"/>
                <w:highlight w:val="none"/>
                <w:u w:val="none"/>
                <w:lang w:eastAsia="zh-CN"/>
              </w:rPr>
              <w:t>喀什市深喀大道行政审批局4楼</w:t>
            </w:r>
          </w:p>
          <w:p w14:paraId="44199081">
            <w:pPr>
              <w:keepNext w:val="0"/>
              <w:keepLines w:val="0"/>
              <w:pageBreakBefore w:val="0"/>
              <w:kinsoku/>
              <w:wordWrap/>
              <w:overflowPunct/>
              <w:topLinePunct w:val="0"/>
              <w:autoSpaceDE/>
              <w:autoSpaceDN/>
              <w:bidi w:val="0"/>
              <w:adjustRightInd/>
              <w:snapToGrid w:val="0"/>
              <w:spacing w:line="312" w:lineRule="auto"/>
              <w:ind w:left="275" w:leftChars="0" w:hanging="275" w:hangingChars="125"/>
              <w:jc w:val="left"/>
              <w:textAlignment w:val="auto"/>
              <w:rPr>
                <w:rFonts w:hint="eastAsia" w:ascii="微软雅黑" w:hAnsi="微软雅黑" w:eastAsia="微软雅黑" w:cs="微软雅黑"/>
                <w:b w:val="0"/>
                <w:bCs w:val="0"/>
                <w:i w:val="0"/>
                <w:caps w:val="0"/>
                <w:color w:val="auto"/>
                <w:spacing w:val="0"/>
                <w:sz w:val="22"/>
                <w:szCs w:val="22"/>
                <w:highlight w:val="none"/>
                <w:lang w:val="en-US" w:eastAsia="zh-CN"/>
              </w:rPr>
            </w:pPr>
            <w:r>
              <w:rPr>
                <w:rFonts w:hint="eastAsia" w:ascii="微软雅黑" w:hAnsi="微软雅黑" w:eastAsia="微软雅黑" w:cs="微软雅黑"/>
                <w:b w:val="0"/>
                <w:bCs w:val="0"/>
                <w:i w:val="0"/>
                <w:caps w:val="0"/>
                <w:color w:val="auto"/>
                <w:spacing w:val="0"/>
                <w:sz w:val="22"/>
                <w:szCs w:val="22"/>
                <w:highlight w:val="none"/>
                <w:lang w:val="en-US" w:eastAsia="zh-CN"/>
              </w:rPr>
              <w:t>联 系 人：董武凡</w:t>
            </w:r>
          </w:p>
          <w:p w14:paraId="41FE1A1A">
            <w:pPr>
              <w:pStyle w:val="3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right="0" w:rightChars="0"/>
              <w:jc w:val="both"/>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i w:val="0"/>
                <w:caps w:val="0"/>
                <w:color w:val="auto"/>
                <w:spacing w:val="0"/>
                <w:sz w:val="22"/>
                <w:szCs w:val="22"/>
                <w:highlight w:val="none"/>
                <w:lang w:val="en-US" w:eastAsia="zh-CN"/>
              </w:rPr>
              <w:t>电    话：17799661228</w:t>
            </w:r>
          </w:p>
        </w:tc>
      </w:tr>
      <w:tr w14:paraId="60292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0" w:type="dxa"/>
            <w:noWrap w:val="0"/>
            <w:vAlign w:val="center"/>
          </w:tcPr>
          <w:p w14:paraId="5E0DEF18">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1.2</w:t>
            </w:r>
          </w:p>
        </w:tc>
        <w:tc>
          <w:tcPr>
            <w:tcW w:w="8892" w:type="dxa"/>
            <w:noWrap w:val="0"/>
            <w:vAlign w:val="center"/>
          </w:tcPr>
          <w:p w14:paraId="139F8CE9">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代理机构：喀什铭远建设工程项目管理咨询有限公司</w:t>
            </w:r>
          </w:p>
          <w:p w14:paraId="5C20F25D">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地</w:t>
            </w:r>
            <w:r>
              <w:rPr>
                <w:rFonts w:hint="eastAsia" w:ascii="微软雅黑" w:hAnsi="微软雅黑" w:eastAsia="微软雅黑" w:cs="微软雅黑"/>
                <w:b w:val="0"/>
                <w:bCs w:val="0"/>
                <w:color w:val="auto"/>
                <w:sz w:val="22"/>
                <w:szCs w:val="22"/>
                <w:highlight w:val="none"/>
                <w:lang w:val="en-US" w:eastAsia="zh-CN"/>
              </w:rPr>
              <w:t xml:space="preserve">    </w:t>
            </w:r>
            <w:r>
              <w:rPr>
                <w:rFonts w:hint="eastAsia" w:ascii="微软雅黑" w:hAnsi="微软雅黑" w:eastAsia="微软雅黑" w:cs="微软雅黑"/>
                <w:b w:val="0"/>
                <w:bCs w:val="0"/>
                <w:color w:val="auto"/>
                <w:sz w:val="22"/>
                <w:szCs w:val="22"/>
                <w:highlight w:val="none"/>
              </w:rPr>
              <w:t>址：喀什市新城南路5号院金洋芋大厦11楼</w:t>
            </w:r>
          </w:p>
          <w:p w14:paraId="4B0291AE">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rPr>
              <w:t>联</w:t>
            </w:r>
            <w:r>
              <w:rPr>
                <w:rFonts w:hint="eastAsia" w:ascii="微软雅黑" w:hAnsi="微软雅黑" w:eastAsia="微软雅黑" w:cs="微软雅黑"/>
                <w:b w:val="0"/>
                <w:bCs w:val="0"/>
                <w:color w:val="auto"/>
                <w:sz w:val="22"/>
                <w:szCs w:val="22"/>
                <w:highlight w:val="none"/>
                <w:lang w:val="en-US" w:eastAsia="zh-CN"/>
              </w:rPr>
              <w:t xml:space="preserve"> </w:t>
            </w:r>
            <w:r>
              <w:rPr>
                <w:rFonts w:hint="eastAsia" w:ascii="微软雅黑" w:hAnsi="微软雅黑" w:eastAsia="微软雅黑" w:cs="微软雅黑"/>
                <w:b w:val="0"/>
                <w:bCs w:val="0"/>
                <w:color w:val="auto"/>
                <w:sz w:val="22"/>
                <w:szCs w:val="22"/>
                <w:highlight w:val="none"/>
              </w:rPr>
              <w:t>系</w:t>
            </w:r>
            <w:r>
              <w:rPr>
                <w:rFonts w:hint="eastAsia" w:ascii="微软雅黑" w:hAnsi="微软雅黑" w:eastAsia="微软雅黑" w:cs="微软雅黑"/>
                <w:b w:val="0"/>
                <w:bCs w:val="0"/>
                <w:color w:val="auto"/>
                <w:sz w:val="22"/>
                <w:szCs w:val="22"/>
                <w:highlight w:val="none"/>
                <w:lang w:val="en-US" w:eastAsia="zh-CN"/>
              </w:rPr>
              <w:t xml:space="preserve"> </w:t>
            </w:r>
            <w:r>
              <w:rPr>
                <w:rFonts w:hint="eastAsia" w:ascii="微软雅黑" w:hAnsi="微软雅黑" w:eastAsia="微软雅黑" w:cs="微软雅黑"/>
                <w:b w:val="0"/>
                <w:bCs w:val="0"/>
                <w:color w:val="auto"/>
                <w:sz w:val="22"/>
                <w:szCs w:val="22"/>
                <w:highlight w:val="none"/>
              </w:rPr>
              <w:t>人：</w:t>
            </w:r>
            <w:r>
              <w:rPr>
                <w:rFonts w:hint="eastAsia" w:ascii="微软雅黑" w:hAnsi="微软雅黑" w:eastAsia="微软雅黑" w:cs="微软雅黑"/>
                <w:b w:val="0"/>
                <w:bCs w:val="0"/>
                <w:color w:val="auto"/>
                <w:sz w:val="22"/>
                <w:szCs w:val="22"/>
                <w:highlight w:val="none"/>
                <w:lang w:eastAsia="zh-CN"/>
              </w:rPr>
              <w:t>杨艳</w:t>
            </w:r>
          </w:p>
          <w:p w14:paraId="39D68AF8">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rPr>
              <w:t>电</w:t>
            </w:r>
            <w:r>
              <w:rPr>
                <w:rFonts w:hint="eastAsia" w:ascii="微软雅黑" w:hAnsi="微软雅黑" w:eastAsia="微软雅黑" w:cs="微软雅黑"/>
                <w:b w:val="0"/>
                <w:bCs w:val="0"/>
                <w:color w:val="auto"/>
                <w:sz w:val="22"/>
                <w:szCs w:val="22"/>
                <w:highlight w:val="none"/>
                <w:lang w:val="en-US" w:eastAsia="zh-CN"/>
              </w:rPr>
              <w:t xml:space="preserve">    </w:t>
            </w:r>
            <w:r>
              <w:rPr>
                <w:rFonts w:hint="eastAsia" w:ascii="微软雅黑" w:hAnsi="微软雅黑" w:eastAsia="微软雅黑" w:cs="微软雅黑"/>
                <w:b w:val="0"/>
                <w:bCs w:val="0"/>
                <w:color w:val="auto"/>
                <w:sz w:val="22"/>
                <w:szCs w:val="22"/>
                <w:highlight w:val="none"/>
              </w:rPr>
              <w:t>话：</w:t>
            </w:r>
            <w:r>
              <w:rPr>
                <w:rFonts w:hint="eastAsia" w:ascii="微软雅黑" w:hAnsi="微软雅黑" w:eastAsia="微软雅黑" w:cs="微软雅黑"/>
                <w:b w:val="0"/>
                <w:bCs w:val="0"/>
                <w:color w:val="auto"/>
                <w:sz w:val="22"/>
                <w:szCs w:val="22"/>
                <w:highlight w:val="none"/>
                <w:lang w:val="en-US" w:eastAsia="zh-CN"/>
              </w:rPr>
              <w:t>13565944723</w:t>
            </w:r>
          </w:p>
        </w:tc>
      </w:tr>
      <w:tr w14:paraId="78A28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8" w:hRule="atLeast"/>
        </w:trPr>
        <w:tc>
          <w:tcPr>
            <w:tcW w:w="940" w:type="dxa"/>
            <w:noWrap w:val="0"/>
            <w:vAlign w:val="center"/>
          </w:tcPr>
          <w:p w14:paraId="077246E6">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1.3.4</w:t>
            </w:r>
          </w:p>
        </w:tc>
        <w:tc>
          <w:tcPr>
            <w:tcW w:w="8892" w:type="dxa"/>
            <w:noWrap w:val="0"/>
            <w:vAlign w:val="center"/>
          </w:tcPr>
          <w:p w14:paraId="33BD0C74">
            <w:pPr>
              <w:pStyle w:val="3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both"/>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bCs/>
                <w:color w:val="auto"/>
                <w:sz w:val="22"/>
                <w:szCs w:val="22"/>
                <w:highlight w:val="none"/>
              </w:rPr>
              <w:t>合格投标人资格要求：投标人必须满足《中华人民共和国政府采购法》第二十二条</w:t>
            </w:r>
            <w:r>
              <w:rPr>
                <w:rFonts w:hint="eastAsia" w:ascii="微软雅黑" w:hAnsi="微软雅黑" w:eastAsia="微软雅黑" w:cs="微软雅黑"/>
                <w:b/>
                <w:bCs/>
                <w:color w:val="auto"/>
                <w:sz w:val="22"/>
                <w:szCs w:val="22"/>
                <w:highlight w:val="none"/>
                <w:lang w:eastAsia="zh-CN"/>
              </w:rPr>
              <w:t>。</w:t>
            </w:r>
          </w:p>
          <w:p w14:paraId="623B5B41">
            <w:pPr>
              <w:pStyle w:val="3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both"/>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申请人的资格要求：</w:t>
            </w:r>
          </w:p>
          <w:p w14:paraId="6F3549EE">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1、法人或者其他组织的营业执照等证明文件；</w:t>
            </w:r>
          </w:p>
          <w:p w14:paraId="19FF4622">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2、法定代表人（单位负责人）投标需提供法定代表人（单位负责人）身份证明；授权人投标需提供法定代表人(单位负责人)身份证明及授权书；</w:t>
            </w:r>
          </w:p>
          <w:p w14:paraId="51B8264F">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3、提供2023年度或2024年度的财务审计报告（成立未满十二个月的新公司可提供近三个月内任意一个月的银行资信证明）；</w:t>
            </w:r>
          </w:p>
          <w:p w14:paraId="0095DD85">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4、提供投标单位在社保部门或税务局出具依法缴纳近六个月任意一个月缴纳的社保证明；</w:t>
            </w:r>
          </w:p>
          <w:p w14:paraId="0C4DAAD7">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5、提供税务部门出具的近六个月任意一个月的税收证明；</w:t>
            </w:r>
          </w:p>
          <w:p w14:paraId="0EEE0AF1">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6、根据《财政部关于在政府采购活动中查询及使用信用记录有关问题的通知》（财库﹝2016﹞125号）的要求，凡拟参加本次招标项目的投标人，如在“信用中国”网站被列入失信被执行人、重大税收违法失信主体(信用中国首页-点击信用服务-查询)、“中国政府采购网“严重违法失信行为记录名单的（尚在处罚期内的）、“ 国家企业信用信息公示系统”列入严重违法失信企业名单（黑名单）信息，将拒绝其参加本次招标活动；（开标现场查询核实）；</w:t>
            </w:r>
          </w:p>
          <w:p w14:paraId="64541865">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7、具有履行合同所必需的设备和专业技术能力的承诺书；</w:t>
            </w:r>
          </w:p>
          <w:p w14:paraId="20CA9CD8">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8、提供针对本次项目《反商业贿赂承诺书》；</w:t>
            </w:r>
          </w:p>
          <w:p w14:paraId="4212A8CF">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9、参加政府采购活动前3年内在经营活动中没有重大违法违规记录的书面声明；</w:t>
            </w:r>
          </w:p>
          <w:p w14:paraId="4150C867">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10、投标保证金缴纳凭证；</w:t>
            </w:r>
          </w:p>
          <w:p w14:paraId="1FE6B8D0">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lang w:val="en-US" w:eastAsia="zh-CN"/>
              </w:rPr>
              <w:t>注：“提供税务部门出具的近六个月内任意一个月的完税证明”：①若投标人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请各投标人注意！</w:t>
            </w:r>
          </w:p>
        </w:tc>
      </w:tr>
      <w:tr w14:paraId="4B15C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940" w:type="dxa"/>
            <w:noWrap w:val="0"/>
            <w:vAlign w:val="center"/>
          </w:tcPr>
          <w:p w14:paraId="239C29AF">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1.3.</w:t>
            </w:r>
            <w:r>
              <w:rPr>
                <w:rFonts w:hint="eastAsia" w:ascii="微软雅黑" w:hAnsi="微软雅黑" w:eastAsia="微软雅黑" w:cs="微软雅黑"/>
                <w:b w:val="0"/>
                <w:bCs w:val="0"/>
                <w:color w:val="auto"/>
                <w:sz w:val="22"/>
                <w:szCs w:val="22"/>
                <w:highlight w:val="none"/>
                <w:lang w:val="en-US" w:eastAsia="zh-CN"/>
              </w:rPr>
              <w:t>4</w:t>
            </w:r>
          </w:p>
        </w:tc>
        <w:tc>
          <w:tcPr>
            <w:tcW w:w="8892" w:type="dxa"/>
            <w:noWrap w:val="0"/>
            <w:vAlign w:val="center"/>
          </w:tcPr>
          <w:p w14:paraId="5010CC49">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val="0"/>
                <w:bCs w:val="0"/>
                <w:color w:val="auto"/>
                <w:sz w:val="22"/>
                <w:szCs w:val="22"/>
                <w:highlight w:val="none"/>
              </w:rPr>
              <w:t>是否允许采购进口产品：</w:t>
            </w:r>
            <w:r>
              <w:rPr>
                <w:rFonts w:hint="eastAsia" w:ascii="微软雅黑" w:hAnsi="微软雅黑" w:eastAsia="微软雅黑" w:cs="微软雅黑"/>
                <w:b w:val="0"/>
                <w:bCs w:val="0"/>
                <w:color w:val="auto"/>
                <w:sz w:val="22"/>
                <w:szCs w:val="22"/>
                <w:highlight w:val="none"/>
                <w:u w:val="single"/>
              </w:rPr>
              <w:t xml:space="preserve"> </w:t>
            </w:r>
            <w:r>
              <w:rPr>
                <w:rFonts w:hint="eastAsia" w:ascii="微软雅黑" w:hAnsi="微软雅黑" w:eastAsia="微软雅黑" w:cs="微软雅黑"/>
                <w:b w:val="0"/>
                <w:bCs w:val="0"/>
                <w:color w:val="auto"/>
                <w:sz w:val="22"/>
                <w:szCs w:val="22"/>
                <w:highlight w:val="none"/>
                <w:u w:val="single"/>
                <w:lang w:val="en-US" w:eastAsia="zh-CN"/>
              </w:rPr>
              <w:t xml:space="preserve"> 否</w:t>
            </w:r>
            <w:r>
              <w:rPr>
                <w:rFonts w:hint="eastAsia" w:ascii="微软雅黑" w:hAnsi="微软雅黑" w:eastAsia="微软雅黑" w:cs="微软雅黑"/>
                <w:b w:val="0"/>
                <w:bCs w:val="0"/>
                <w:color w:val="auto"/>
                <w:sz w:val="22"/>
                <w:szCs w:val="22"/>
                <w:highlight w:val="none"/>
                <w:u w:val="single"/>
              </w:rPr>
              <w:t xml:space="preserve">   </w:t>
            </w:r>
            <w:r>
              <w:rPr>
                <w:rFonts w:hint="eastAsia" w:ascii="微软雅黑" w:hAnsi="微软雅黑" w:eastAsia="微软雅黑" w:cs="微软雅黑"/>
                <w:b w:val="0"/>
                <w:bCs w:val="0"/>
                <w:i/>
                <w:color w:val="auto"/>
                <w:sz w:val="22"/>
                <w:szCs w:val="22"/>
                <w:highlight w:val="none"/>
              </w:rPr>
              <w:t>（是、否）</w:t>
            </w:r>
          </w:p>
        </w:tc>
      </w:tr>
      <w:tr w14:paraId="34DD2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40" w:type="dxa"/>
            <w:noWrap w:val="0"/>
            <w:vAlign w:val="center"/>
          </w:tcPr>
          <w:p w14:paraId="3AB35F00">
            <w:pPr>
              <w:spacing w:line="360" w:lineRule="auto"/>
              <w:jc w:val="center"/>
              <w:rPr>
                <w:rFonts w:hint="eastAsia" w:ascii="微软雅黑" w:hAnsi="微软雅黑" w:eastAsia="微软雅黑" w:cs="微软雅黑"/>
                <w:b w:val="0"/>
                <w:bCs w:val="0"/>
                <w:color w:val="auto"/>
                <w:sz w:val="22"/>
                <w:szCs w:val="22"/>
                <w:highlight w:val="none"/>
                <w:lang w:eastAsia="zh-CN"/>
              </w:rPr>
            </w:pPr>
            <w:r>
              <w:rPr>
                <w:rFonts w:hint="eastAsia" w:ascii="微软雅黑" w:hAnsi="微软雅黑" w:eastAsia="微软雅黑" w:cs="微软雅黑"/>
                <w:b w:val="0"/>
                <w:bCs w:val="0"/>
                <w:color w:val="auto"/>
                <w:sz w:val="22"/>
                <w:szCs w:val="22"/>
                <w:highlight w:val="none"/>
              </w:rPr>
              <w:t>1.3.</w:t>
            </w:r>
            <w:r>
              <w:rPr>
                <w:rFonts w:hint="eastAsia" w:ascii="微软雅黑" w:hAnsi="微软雅黑" w:eastAsia="微软雅黑" w:cs="微软雅黑"/>
                <w:b w:val="0"/>
                <w:bCs w:val="0"/>
                <w:color w:val="auto"/>
                <w:sz w:val="22"/>
                <w:szCs w:val="22"/>
                <w:highlight w:val="none"/>
                <w:lang w:val="en-US" w:eastAsia="zh-CN"/>
              </w:rPr>
              <w:t>5</w:t>
            </w:r>
          </w:p>
        </w:tc>
        <w:tc>
          <w:tcPr>
            <w:tcW w:w="8892" w:type="dxa"/>
            <w:noWrap w:val="0"/>
            <w:vAlign w:val="center"/>
          </w:tcPr>
          <w:p w14:paraId="654786E2">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bCs/>
                <w:color w:val="auto"/>
                <w:sz w:val="22"/>
                <w:szCs w:val="22"/>
                <w:highlight w:val="none"/>
                <w:lang w:val="en-US" w:eastAsia="zh-CN"/>
              </w:rPr>
              <w:t>1.</w:t>
            </w:r>
            <w:r>
              <w:rPr>
                <w:rFonts w:hint="eastAsia" w:ascii="微软雅黑" w:hAnsi="微软雅黑" w:eastAsia="微软雅黑" w:cs="微软雅黑"/>
                <w:b/>
                <w:bCs/>
                <w:color w:val="auto"/>
                <w:sz w:val="22"/>
                <w:szCs w:val="22"/>
                <w:highlight w:val="none"/>
              </w:rPr>
              <w:t>是否为专门面向中小企业采购：</w:t>
            </w:r>
            <w:r>
              <w:rPr>
                <w:rFonts w:hint="eastAsia" w:ascii="微软雅黑" w:hAnsi="微软雅黑" w:eastAsia="微软雅黑" w:cs="微软雅黑"/>
                <w:b/>
                <w:bCs/>
                <w:color w:val="auto"/>
                <w:sz w:val="22"/>
                <w:szCs w:val="22"/>
                <w:highlight w:val="none"/>
                <w:u w:val="single"/>
              </w:rPr>
              <w:t xml:space="preserve"> </w:t>
            </w:r>
            <w:r>
              <w:rPr>
                <w:rFonts w:hint="eastAsia" w:ascii="微软雅黑" w:hAnsi="微软雅黑" w:eastAsia="微软雅黑" w:cs="微软雅黑"/>
                <w:b/>
                <w:bCs/>
                <w:color w:val="auto"/>
                <w:sz w:val="22"/>
                <w:szCs w:val="22"/>
                <w:highlight w:val="none"/>
                <w:u w:val="single"/>
                <w:lang w:eastAsia="zh-CN"/>
              </w:rPr>
              <w:t>否</w:t>
            </w:r>
            <w:r>
              <w:rPr>
                <w:rFonts w:hint="eastAsia" w:ascii="微软雅黑" w:hAnsi="微软雅黑" w:eastAsia="微软雅黑" w:cs="微软雅黑"/>
                <w:b/>
                <w:bCs/>
                <w:color w:val="auto"/>
                <w:sz w:val="22"/>
                <w:szCs w:val="22"/>
                <w:highlight w:val="none"/>
                <w:u w:val="single"/>
              </w:rPr>
              <w:t xml:space="preserve"> </w:t>
            </w:r>
            <w:r>
              <w:rPr>
                <w:rFonts w:hint="eastAsia" w:ascii="微软雅黑" w:hAnsi="微软雅黑" w:eastAsia="微软雅黑" w:cs="微软雅黑"/>
                <w:b/>
                <w:bCs/>
                <w:color w:val="auto"/>
                <w:sz w:val="22"/>
                <w:szCs w:val="22"/>
                <w:highlight w:val="none"/>
              </w:rPr>
              <w:t>（是、否）</w:t>
            </w:r>
            <w:r>
              <w:rPr>
                <w:rFonts w:hint="eastAsia" w:ascii="微软雅黑" w:hAnsi="微软雅黑" w:eastAsia="微软雅黑" w:cs="微软雅黑"/>
                <w:b/>
                <w:bCs/>
                <w:color w:val="auto"/>
                <w:sz w:val="22"/>
                <w:szCs w:val="22"/>
                <w:highlight w:val="none"/>
                <w:lang w:eastAsia="zh-CN"/>
              </w:rPr>
              <w:t>，</w:t>
            </w:r>
            <w:r>
              <w:rPr>
                <w:rFonts w:hint="eastAsia" w:ascii="微软雅黑" w:hAnsi="微软雅黑" w:eastAsia="微软雅黑" w:cs="微软雅黑"/>
                <w:b/>
                <w:bCs/>
                <w:color w:val="auto"/>
                <w:kern w:val="2"/>
                <w:sz w:val="22"/>
                <w:szCs w:val="22"/>
                <w:highlight w:val="none"/>
                <w:lang w:val="en-US" w:eastAsia="zh-CN" w:bidi="ar-SA"/>
              </w:rPr>
              <w:t>本项目行业属于</w:t>
            </w:r>
            <w:r>
              <w:rPr>
                <w:rFonts w:hint="eastAsia" w:ascii="微软雅黑" w:hAnsi="微软雅黑" w:eastAsia="微软雅黑" w:cs="微软雅黑"/>
                <w:b/>
                <w:bCs/>
                <w:color w:val="auto"/>
                <w:kern w:val="2"/>
                <w:sz w:val="22"/>
                <w:szCs w:val="22"/>
                <w:highlight w:val="none"/>
                <w:u w:val="single"/>
                <w:lang w:val="en-US" w:eastAsia="zh-CN" w:bidi="ar-SA"/>
              </w:rPr>
              <w:t xml:space="preserve"> 工业 </w:t>
            </w:r>
            <w:r>
              <w:rPr>
                <w:rFonts w:hint="eastAsia" w:ascii="微软雅黑" w:hAnsi="微软雅黑" w:eastAsia="微软雅黑" w:cs="微软雅黑"/>
                <w:b/>
                <w:bCs/>
                <w:color w:val="auto"/>
                <w:kern w:val="2"/>
                <w:sz w:val="22"/>
                <w:szCs w:val="22"/>
                <w:highlight w:val="none"/>
                <w:lang w:val="en-US" w:eastAsia="zh-CN" w:bidi="ar-SA"/>
              </w:rPr>
              <w:t>。</w:t>
            </w:r>
          </w:p>
          <w:p w14:paraId="786AB2B6">
            <w:pPr>
              <w:pStyle w:val="16"/>
              <w:keepNext w:val="0"/>
              <w:keepLines w:val="0"/>
              <w:pageBreakBefore w:val="0"/>
              <w:kinsoku/>
              <w:wordWrap/>
              <w:overflowPunct/>
              <w:topLinePunct w:val="0"/>
              <w:bidi w:val="0"/>
              <w:snapToGrid w:val="0"/>
              <w:spacing w:line="312" w:lineRule="auto"/>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sz w:val="22"/>
                <w:szCs w:val="22"/>
                <w:highlight w:val="none"/>
              </w:rPr>
              <w:t>2.</w:t>
            </w:r>
            <w:r>
              <w:rPr>
                <w:rFonts w:hint="eastAsia" w:ascii="微软雅黑" w:hAnsi="微软雅黑" w:eastAsia="微软雅黑" w:cs="微软雅黑"/>
                <w:b/>
                <w:bCs/>
                <w:color w:val="auto"/>
                <w:kern w:val="2"/>
                <w:sz w:val="22"/>
                <w:szCs w:val="22"/>
                <w:highlight w:val="none"/>
                <w:lang w:val="en-US" w:eastAsia="zh-CN" w:bidi="ar-SA"/>
              </w:rPr>
              <w:t>本项目根据《政府采购促进中小企业发展管理办法》（财库[2020]46 号）、关于进一步加大政府采购支持中小企业力度的通知财库〔2022〕19号，《财政部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号）的规定，对满足价格扣除条件且在投标文件中提交了《中小企业声明函》或省级以上监狱管理局、戒毒管理局（含新疆生产建设兵团）出具的属于监狱企业的证明文件的投标人，其投标报价扣除</w:t>
            </w:r>
            <w:r>
              <w:rPr>
                <w:rFonts w:hint="eastAsia" w:ascii="微软雅黑" w:hAnsi="微软雅黑" w:eastAsia="微软雅黑" w:cs="微软雅黑"/>
                <w:b/>
                <w:bCs/>
                <w:color w:val="auto"/>
                <w:kern w:val="2"/>
                <w:sz w:val="22"/>
                <w:szCs w:val="22"/>
                <w:highlight w:val="none"/>
                <w:u w:val="single"/>
                <w:lang w:val="en-US" w:eastAsia="zh-CN" w:bidi="ar-SA"/>
              </w:rPr>
              <w:t>10%</w:t>
            </w:r>
            <w:r>
              <w:rPr>
                <w:rFonts w:hint="eastAsia" w:ascii="微软雅黑" w:hAnsi="微软雅黑" w:eastAsia="微软雅黑" w:cs="微软雅黑"/>
                <w:b/>
                <w:bCs/>
                <w:color w:val="auto"/>
                <w:kern w:val="2"/>
                <w:sz w:val="22"/>
                <w:szCs w:val="22"/>
                <w:highlight w:val="none"/>
                <w:lang w:val="en-US" w:eastAsia="zh-CN" w:bidi="ar-SA"/>
              </w:rPr>
              <w:t>后参与评审。对于同时属于小微企业、监狱企业或残疾人福利性单位的，不重复进行投标报价扣除。</w:t>
            </w:r>
          </w:p>
          <w:p w14:paraId="45487C9B">
            <w:pPr>
              <w:pStyle w:val="16"/>
              <w:keepNext w:val="0"/>
              <w:keepLines w:val="0"/>
              <w:pageBreakBefore w:val="0"/>
              <w:kinsoku/>
              <w:wordWrap/>
              <w:overflowPunct/>
              <w:topLinePunct w:val="0"/>
              <w:bidi w:val="0"/>
              <w:snapToGrid w:val="0"/>
              <w:spacing w:line="312" w:lineRule="auto"/>
              <w:textAlignment w:val="auto"/>
              <w:rPr>
                <w:rFonts w:hint="default"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3.投标企业属于中小微企业的，请根据所投标项标的具体情况在投标文件中提供“中小企业声明函”，如果未提供或提供虚假的《中小企业声明函》，投标企业将承担由此造成的一切不利后果；供应商应提供合格的《中小企业声明函》，如供应商提供的《中小企业声明函》不合格或未提供《中小企业声明函》的，不得享受相关中小微企业扶持政策。</w:t>
            </w:r>
          </w:p>
          <w:p w14:paraId="2AD1A2AC">
            <w:pPr>
              <w:pStyle w:val="16"/>
              <w:keepNext w:val="0"/>
              <w:keepLines w:val="0"/>
              <w:pageBreakBefore w:val="0"/>
              <w:kinsoku/>
              <w:wordWrap/>
              <w:overflowPunct/>
              <w:topLinePunct w:val="0"/>
              <w:bidi w:val="0"/>
              <w:snapToGrid w:val="0"/>
              <w:spacing w:line="312" w:lineRule="auto"/>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4.残疾人福利性单位、监狱和戒毒企业（简称监狱企业）视同小型、微型企业；残疾人福利单位、监狱企业同时属于小型、微型企业的，不重复享受财政政策。</w:t>
            </w:r>
          </w:p>
          <w:p w14:paraId="0DDFB047">
            <w:pPr>
              <w:pStyle w:val="16"/>
              <w:keepNext w:val="0"/>
              <w:keepLines w:val="0"/>
              <w:pageBreakBefore w:val="0"/>
              <w:kinsoku/>
              <w:wordWrap/>
              <w:overflowPunct/>
              <w:topLinePunct w:val="0"/>
              <w:bidi w:val="0"/>
              <w:snapToGrid w:val="0"/>
              <w:spacing w:line="312" w:lineRule="auto"/>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5.根据《关于政府采购支持监狱企业发展有关问题的通知》（财库[2014]68号）和本招标文件要求，供应商应提供合格的监狱企业的证明文件，如供应商提供的监狱企业的证明文件不合格或未提供监狱企业的证明文件的，不得享受相关中小微企业扶持政策。</w:t>
            </w:r>
          </w:p>
          <w:p w14:paraId="57CD58C6">
            <w:pPr>
              <w:pStyle w:val="16"/>
              <w:keepNext w:val="0"/>
              <w:keepLines w:val="0"/>
              <w:pageBreakBefore w:val="0"/>
              <w:kinsoku/>
              <w:wordWrap/>
              <w:overflowPunct/>
              <w:topLinePunct w:val="0"/>
              <w:bidi w:val="0"/>
              <w:snapToGrid w:val="0"/>
              <w:spacing w:line="312" w:lineRule="auto"/>
              <w:textAlignment w:val="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bCs/>
                <w:color w:val="auto"/>
                <w:kern w:val="2"/>
                <w:sz w:val="22"/>
                <w:szCs w:val="22"/>
                <w:highlight w:val="none"/>
                <w:lang w:val="en-US" w:eastAsia="zh-CN" w:bidi="ar-SA"/>
              </w:rPr>
              <w:t>6.根据《关于促进残疾人就业政府采购政策的通知》（财库[2017]141号）要求，供应商应提供合格的《残疾人福利性单位声明函》，如供应商提供的《残疾人福利性单位声明函》不合格或未提供《残疾人福利性单位声明函》的，不得享受相关中小微企业扶持政策。</w:t>
            </w:r>
          </w:p>
        </w:tc>
      </w:tr>
      <w:tr w14:paraId="4FC8E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40" w:type="dxa"/>
            <w:noWrap w:val="0"/>
            <w:vAlign w:val="center"/>
          </w:tcPr>
          <w:p w14:paraId="050E1111">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1.4</w:t>
            </w:r>
          </w:p>
        </w:tc>
        <w:tc>
          <w:tcPr>
            <w:tcW w:w="8892" w:type="dxa"/>
            <w:noWrap w:val="0"/>
            <w:vAlign w:val="center"/>
          </w:tcPr>
          <w:p w14:paraId="60769EF5">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是否允许联合体投标：</w:t>
            </w:r>
            <w:r>
              <w:rPr>
                <w:rFonts w:hint="eastAsia" w:ascii="微软雅黑" w:hAnsi="微软雅黑" w:eastAsia="微软雅黑" w:cs="微软雅黑"/>
                <w:b w:val="0"/>
                <w:bCs w:val="0"/>
                <w:color w:val="auto"/>
                <w:sz w:val="22"/>
                <w:szCs w:val="22"/>
                <w:highlight w:val="none"/>
                <w:u w:val="single"/>
              </w:rPr>
              <w:t xml:space="preserve">   否  </w:t>
            </w:r>
            <w:r>
              <w:rPr>
                <w:rFonts w:hint="eastAsia" w:ascii="微软雅黑" w:hAnsi="微软雅黑" w:eastAsia="微软雅黑" w:cs="微软雅黑"/>
                <w:b w:val="0"/>
                <w:bCs w:val="0"/>
                <w:i/>
                <w:color w:val="auto"/>
                <w:sz w:val="22"/>
                <w:szCs w:val="22"/>
                <w:highlight w:val="none"/>
              </w:rPr>
              <w:t>（是、否）</w:t>
            </w:r>
          </w:p>
        </w:tc>
      </w:tr>
      <w:tr w14:paraId="038B4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5" w:hRule="atLeast"/>
        </w:trPr>
        <w:tc>
          <w:tcPr>
            <w:tcW w:w="940" w:type="dxa"/>
            <w:noWrap w:val="0"/>
            <w:vAlign w:val="center"/>
          </w:tcPr>
          <w:p w14:paraId="661F7C32">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1.4.8</w:t>
            </w:r>
          </w:p>
        </w:tc>
        <w:tc>
          <w:tcPr>
            <w:tcW w:w="8892" w:type="dxa"/>
            <w:noWrap w:val="0"/>
            <w:vAlign w:val="center"/>
          </w:tcPr>
          <w:p w14:paraId="439F68C4">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val="0"/>
                <w:bCs w:val="0"/>
                <w:color w:val="auto"/>
                <w:sz w:val="22"/>
                <w:szCs w:val="22"/>
                <w:highlight w:val="none"/>
                <w:lang w:eastAsia="zh-CN"/>
              </w:rPr>
            </w:pPr>
            <w:r>
              <w:rPr>
                <w:rFonts w:hint="eastAsia" w:ascii="微软雅黑" w:hAnsi="微软雅黑" w:eastAsia="微软雅黑" w:cs="微软雅黑"/>
                <w:b w:val="0"/>
                <w:bCs w:val="0"/>
                <w:color w:val="auto"/>
                <w:sz w:val="22"/>
                <w:szCs w:val="22"/>
                <w:highlight w:val="none"/>
              </w:rPr>
              <w:t>联合体的其他资格要求：不接受联合体投标</w:t>
            </w:r>
            <w:r>
              <w:rPr>
                <w:rFonts w:hint="eastAsia" w:ascii="微软雅黑" w:hAnsi="微软雅黑" w:eastAsia="微软雅黑" w:cs="微软雅黑"/>
                <w:b w:val="0"/>
                <w:bCs w:val="0"/>
                <w:color w:val="auto"/>
                <w:sz w:val="22"/>
                <w:szCs w:val="22"/>
                <w:highlight w:val="none"/>
                <w:lang w:eastAsia="zh-CN"/>
              </w:rPr>
              <w:t>。</w:t>
            </w:r>
          </w:p>
        </w:tc>
      </w:tr>
      <w:tr w14:paraId="4FEF7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0" w:type="dxa"/>
            <w:noWrap w:val="0"/>
            <w:vAlign w:val="center"/>
          </w:tcPr>
          <w:p w14:paraId="3B11B259">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2.2</w:t>
            </w:r>
          </w:p>
        </w:tc>
        <w:tc>
          <w:tcPr>
            <w:tcW w:w="8892" w:type="dxa"/>
            <w:noWrap w:val="0"/>
            <w:vAlign w:val="center"/>
          </w:tcPr>
          <w:p w14:paraId="6C7C286A">
            <w:pPr>
              <w:keepNext w:val="0"/>
              <w:keepLines w:val="0"/>
              <w:pageBreakBefore w:val="0"/>
              <w:kinsoku/>
              <w:wordWrap/>
              <w:overflowPunct/>
              <w:topLinePunct w:val="0"/>
              <w:autoSpaceDE/>
              <w:autoSpaceDN/>
              <w:bidi w:val="0"/>
              <w:adjustRightInd/>
              <w:snapToGrid w:val="0"/>
              <w:spacing w:line="312" w:lineRule="auto"/>
              <w:textAlignment w:val="auto"/>
              <w:rPr>
                <w:rFonts w:hint="default"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预算金额（元）：10650000</w:t>
            </w:r>
          </w:p>
          <w:p w14:paraId="6E8C01EF">
            <w:pPr>
              <w:keepNext w:val="0"/>
              <w:keepLines w:val="0"/>
              <w:pageBreakBefore w:val="0"/>
              <w:kinsoku/>
              <w:wordWrap/>
              <w:overflowPunct/>
              <w:topLinePunct w:val="0"/>
              <w:autoSpaceDE/>
              <w:autoSpaceDN/>
              <w:bidi w:val="0"/>
              <w:adjustRightInd/>
              <w:snapToGrid w:val="0"/>
              <w:spacing w:line="312" w:lineRule="auto"/>
              <w:textAlignment w:val="auto"/>
              <w:rPr>
                <w:rFonts w:hint="default"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最高限价（元）：10650000</w:t>
            </w:r>
          </w:p>
          <w:p w14:paraId="030267DB">
            <w:pPr>
              <w:keepNext w:val="0"/>
              <w:keepLines w:val="0"/>
              <w:pageBreakBefore w:val="0"/>
              <w:kinsoku/>
              <w:wordWrap/>
              <w:overflowPunct/>
              <w:topLinePunct w:val="0"/>
              <w:autoSpaceDE/>
              <w:autoSpaceDN/>
              <w:bidi w:val="0"/>
              <w:adjustRightInd/>
              <w:snapToGrid w:val="0"/>
              <w:spacing w:line="312" w:lineRule="auto"/>
              <w:textAlignment w:val="auto"/>
              <w:rPr>
                <w:rFonts w:hint="eastAsia"/>
                <w:color w:val="auto"/>
                <w:highlight w:val="none"/>
                <w:lang w:val="en-US" w:eastAsia="zh-CN"/>
              </w:rPr>
            </w:pPr>
            <w:r>
              <w:rPr>
                <w:rFonts w:hint="eastAsia" w:ascii="微软雅黑" w:hAnsi="微软雅黑" w:eastAsia="微软雅黑" w:cs="微软雅黑"/>
                <w:b/>
                <w:bCs/>
                <w:color w:val="auto"/>
                <w:sz w:val="22"/>
                <w:szCs w:val="22"/>
                <w:highlight w:val="none"/>
                <w:lang w:val="en-US" w:eastAsia="zh-CN"/>
              </w:rPr>
              <w:t>注：①投标人的投标报价不得超过最高限价，否则投标人投标文件作无效投标处理；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43F2C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0" w:type="dxa"/>
            <w:noWrap w:val="0"/>
            <w:vAlign w:val="center"/>
          </w:tcPr>
          <w:p w14:paraId="10B11B38">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8.1</w:t>
            </w:r>
          </w:p>
        </w:tc>
        <w:tc>
          <w:tcPr>
            <w:tcW w:w="8892" w:type="dxa"/>
            <w:noWrap w:val="0"/>
            <w:vAlign w:val="center"/>
          </w:tcPr>
          <w:p w14:paraId="1A590D31">
            <w:pPr>
              <w:keepNext w:val="0"/>
              <w:keepLines w:val="0"/>
              <w:pageBreakBefore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val="0"/>
                <w:bCs w:val="0"/>
                <w:color w:val="auto"/>
                <w:sz w:val="22"/>
                <w:szCs w:val="22"/>
                <w:highlight w:val="none"/>
              </w:rPr>
              <w:t>如投标</w:t>
            </w:r>
            <w:r>
              <w:rPr>
                <w:rFonts w:hint="eastAsia" w:ascii="微软雅黑" w:hAnsi="微软雅黑" w:eastAsia="微软雅黑" w:cs="微软雅黑"/>
                <w:b w:val="0"/>
                <w:bCs w:val="0"/>
                <w:color w:val="auto"/>
                <w:sz w:val="22"/>
                <w:szCs w:val="22"/>
                <w:highlight w:val="none"/>
                <w:lang w:eastAsia="zh-CN"/>
              </w:rPr>
              <w:t>人</w:t>
            </w:r>
            <w:r>
              <w:rPr>
                <w:rFonts w:hint="eastAsia" w:ascii="微软雅黑" w:hAnsi="微软雅黑" w:eastAsia="微软雅黑" w:cs="微软雅黑"/>
                <w:b w:val="0"/>
                <w:bCs w:val="0"/>
                <w:color w:val="auto"/>
                <w:sz w:val="22"/>
                <w:szCs w:val="22"/>
                <w:highlight w:val="none"/>
              </w:rPr>
              <w:t>对多个包进行投标，可以中标</w:t>
            </w:r>
            <w:r>
              <w:rPr>
                <w:rFonts w:hint="eastAsia" w:ascii="微软雅黑" w:hAnsi="微软雅黑" w:eastAsia="微软雅黑" w:cs="微软雅黑"/>
                <w:b w:val="0"/>
                <w:bCs w:val="0"/>
                <w:color w:val="auto"/>
                <w:sz w:val="22"/>
                <w:szCs w:val="22"/>
                <w:highlight w:val="none"/>
                <w:u w:val="single"/>
              </w:rPr>
              <w:t xml:space="preserve">  </w:t>
            </w:r>
            <w:r>
              <w:rPr>
                <w:rFonts w:hint="eastAsia" w:ascii="微软雅黑" w:hAnsi="微软雅黑" w:eastAsia="微软雅黑" w:cs="微软雅黑"/>
                <w:b w:val="0"/>
                <w:bCs w:val="0"/>
                <w:color w:val="auto"/>
                <w:sz w:val="22"/>
                <w:szCs w:val="22"/>
                <w:highlight w:val="none"/>
                <w:u w:val="single"/>
                <w:lang w:val="en-US" w:eastAsia="zh-CN"/>
              </w:rPr>
              <w:t>/</w:t>
            </w:r>
            <w:r>
              <w:rPr>
                <w:rFonts w:hint="eastAsia" w:ascii="微软雅黑" w:hAnsi="微软雅黑" w:eastAsia="微软雅黑" w:cs="微软雅黑"/>
                <w:b w:val="0"/>
                <w:bCs w:val="0"/>
                <w:color w:val="auto"/>
                <w:sz w:val="22"/>
                <w:szCs w:val="22"/>
                <w:highlight w:val="none"/>
                <w:u w:val="single"/>
              </w:rPr>
              <w:t xml:space="preserve">  </w:t>
            </w:r>
            <w:r>
              <w:rPr>
                <w:rFonts w:hint="eastAsia" w:ascii="微软雅黑" w:hAnsi="微软雅黑" w:eastAsia="微软雅黑" w:cs="微软雅黑"/>
                <w:b w:val="0"/>
                <w:bCs w:val="0"/>
                <w:color w:val="auto"/>
                <w:sz w:val="22"/>
                <w:szCs w:val="22"/>
                <w:highlight w:val="none"/>
              </w:rPr>
              <w:t>包</w:t>
            </w:r>
            <w:r>
              <w:rPr>
                <w:rFonts w:hint="eastAsia" w:ascii="微软雅黑" w:hAnsi="微软雅黑" w:eastAsia="微软雅黑" w:cs="微软雅黑"/>
                <w:b w:val="0"/>
                <w:bCs w:val="0"/>
                <w:color w:val="auto"/>
                <w:sz w:val="22"/>
                <w:szCs w:val="22"/>
                <w:highlight w:val="none"/>
                <w:lang w:eastAsia="zh-CN"/>
              </w:rPr>
              <w:t>；</w:t>
            </w:r>
          </w:p>
        </w:tc>
      </w:tr>
      <w:tr w14:paraId="59F01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0" w:type="dxa"/>
            <w:noWrap w:val="0"/>
            <w:vAlign w:val="center"/>
          </w:tcPr>
          <w:p w14:paraId="6B7CC521">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12.1</w:t>
            </w:r>
          </w:p>
        </w:tc>
        <w:tc>
          <w:tcPr>
            <w:tcW w:w="8892" w:type="dxa"/>
            <w:noWrap w:val="0"/>
            <w:vAlign w:val="center"/>
          </w:tcPr>
          <w:p w14:paraId="30DE0716">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lang w:val="en-US" w:eastAsia="zh-CN"/>
              </w:rPr>
              <w:t>保</w:t>
            </w:r>
            <w:r>
              <w:rPr>
                <w:rFonts w:hint="eastAsia" w:ascii="微软雅黑" w:hAnsi="微软雅黑" w:eastAsia="微软雅黑" w:cs="微软雅黑"/>
                <w:b/>
                <w:bCs/>
                <w:color w:val="auto"/>
                <w:sz w:val="22"/>
                <w:szCs w:val="22"/>
                <w:highlight w:val="none"/>
              </w:rPr>
              <w:t>证金形式：☑电汇 ☑转账</w:t>
            </w:r>
            <w:r>
              <w:rPr>
                <w:rFonts w:hint="eastAsia" w:ascii="微软雅黑" w:hAnsi="微软雅黑" w:eastAsia="微软雅黑" w:cs="微软雅黑"/>
                <w:b/>
                <w:bCs/>
                <w:color w:val="auto"/>
                <w:sz w:val="22"/>
                <w:szCs w:val="22"/>
                <w:highlight w:val="none"/>
                <w:lang w:val="en-US" w:eastAsia="zh-CN"/>
              </w:rPr>
              <w:t xml:space="preserve"> </w:t>
            </w:r>
            <w:r>
              <w:rPr>
                <w:rFonts w:hint="eastAsia" w:ascii="微软雅黑" w:hAnsi="微软雅黑" w:eastAsia="微软雅黑" w:cs="微软雅黑"/>
                <w:b/>
                <w:bCs/>
                <w:color w:val="auto"/>
                <w:sz w:val="22"/>
                <w:szCs w:val="22"/>
                <w:highlight w:val="none"/>
              </w:rPr>
              <w:t>☑银行保函</w:t>
            </w:r>
            <w:r>
              <w:rPr>
                <w:rFonts w:hint="eastAsia" w:ascii="微软雅黑" w:hAnsi="微软雅黑" w:eastAsia="微软雅黑" w:cs="微软雅黑"/>
                <w:b/>
                <w:bCs/>
                <w:color w:val="auto"/>
                <w:sz w:val="22"/>
                <w:szCs w:val="22"/>
                <w:highlight w:val="none"/>
                <w:lang w:val="en-US" w:eastAsia="zh-CN"/>
              </w:rPr>
              <w:t xml:space="preserve"> </w:t>
            </w:r>
            <w:r>
              <w:rPr>
                <w:rFonts w:hint="eastAsia" w:ascii="微软雅黑" w:hAnsi="微软雅黑" w:eastAsia="微软雅黑" w:cs="微软雅黑"/>
                <w:b/>
                <w:bCs/>
                <w:color w:val="auto"/>
                <w:sz w:val="22"/>
                <w:szCs w:val="22"/>
                <w:highlight w:val="none"/>
              </w:rPr>
              <w:t>☑</w:t>
            </w:r>
            <w:r>
              <w:rPr>
                <w:rFonts w:hint="eastAsia" w:ascii="微软雅黑" w:hAnsi="微软雅黑" w:eastAsia="微软雅黑" w:cs="微软雅黑"/>
                <w:b/>
                <w:bCs/>
                <w:color w:val="auto"/>
                <w:sz w:val="22"/>
                <w:szCs w:val="22"/>
                <w:highlight w:val="none"/>
                <w:lang w:eastAsia="zh-CN"/>
              </w:rPr>
              <w:t>电子</w:t>
            </w:r>
            <w:r>
              <w:rPr>
                <w:rFonts w:hint="eastAsia" w:ascii="微软雅黑" w:hAnsi="微软雅黑" w:eastAsia="微软雅黑" w:cs="微软雅黑"/>
                <w:b/>
                <w:bCs/>
                <w:color w:val="auto"/>
                <w:sz w:val="22"/>
                <w:szCs w:val="22"/>
                <w:highlight w:val="none"/>
              </w:rPr>
              <w:t>保函</w:t>
            </w:r>
            <w:r>
              <w:rPr>
                <w:rFonts w:hint="eastAsia" w:ascii="微软雅黑" w:hAnsi="微软雅黑" w:eastAsia="微软雅黑" w:cs="微软雅黑"/>
                <w:b/>
                <w:bCs/>
                <w:color w:val="auto"/>
                <w:sz w:val="22"/>
                <w:szCs w:val="22"/>
                <w:highlight w:val="none"/>
                <w:lang w:val="en-US" w:eastAsia="zh-CN"/>
              </w:rPr>
              <w:t xml:space="preserve"> </w:t>
            </w:r>
            <w:r>
              <w:rPr>
                <w:rFonts w:hint="eastAsia" w:ascii="微软雅黑" w:hAnsi="微软雅黑" w:eastAsia="微软雅黑" w:cs="微软雅黑"/>
                <w:b/>
                <w:bCs/>
                <w:color w:val="auto"/>
                <w:sz w:val="22"/>
                <w:szCs w:val="22"/>
                <w:highlight w:val="none"/>
              </w:rPr>
              <w:t>☑</w:t>
            </w:r>
            <w:r>
              <w:rPr>
                <w:rFonts w:hint="eastAsia" w:ascii="微软雅黑" w:hAnsi="微软雅黑" w:eastAsia="微软雅黑" w:cs="微软雅黑"/>
                <w:b/>
                <w:bCs/>
                <w:color w:val="auto"/>
                <w:sz w:val="22"/>
                <w:szCs w:val="22"/>
                <w:highlight w:val="none"/>
                <w:lang w:eastAsia="zh-CN"/>
              </w:rPr>
              <w:t>支票</w:t>
            </w:r>
            <w:r>
              <w:rPr>
                <w:rFonts w:hint="eastAsia" w:ascii="微软雅黑" w:hAnsi="微软雅黑" w:eastAsia="微软雅黑" w:cs="微软雅黑"/>
                <w:b/>
                <w:bCs/>
                <w:color w:val="auto"/>
                <w:sz w:val="22"/>
                <w:szCs w:val="22"/>
                <w:highlight w:val="none"/>
                <w:lang w:val="en-US" w:eastAsia="zh-CN"/>
              </w:rPr>
              <w:t xml:space="preserve"> </w:t>
            </w:r>
            <w:r>
              <w:rPr>
                <w:rFonts w:hint="eastAsia" w:ascii="微软雅黑" w:hAnsi="微软雅黑" w:eastAsia="微软雅黑" w:cs="微软雅黑"/>
                <w:b/>
                <w:bCs/>
                <w:color w:val="auto"/>
                <w:sz w:val="22"/>
                <w:szCs w:val="22"/>
                <w:highlight w:val="none"/>
              </w:rPr>
              <w:t>☑</w:t>
            </w:r>
            <w:r>
              <w:rPr>
                <w:rFonts w:hint="eastAsia" w:ascii="微软雅黑" w:hAnsi="微软雅黑" w:eastAsia="微软雅黑" w:cs="微软雅黑"/>
                <w:b/>
                <w:bCs/>
                <w:color w:val="auto"/>
                <w:sz w:val="22"/>
                <w:szCs w:val="22"/>
                <w:highlight w:val="none"/>
                <w:lang w:eastAsia="zh-CN"/>
              </w:rPr>
              <w:t>汇票</w:t>
            </w:r>
            <w:r>
              <w:rPr>
                <w:rFonts w:hint="eastAsia" w:ascii="微软雅黑" w:hAnsi="微软雅黑" w:eastAsia="微软雅黑" w:cs="微软雅黑"/>
                <w:b/>
                <w:bCs/>
                <w:color w:val="auto"/>
                <w:sz w:val="22"/>
                <w:szCs w:val="22"/>
                <w:highlight w:val="none"/>
                <w:lang w:val="en-US" w:eastAsia="zh-CN"/>
              </w:rPr>
              <w:t xml:space="preserve"> </w:t>
            </w:r>
            <w:r>
              <w:rPr>
                <w:rFonts w:hint="eastAsia" w:ascii="微软雅黑" w:hAnsi="微软雅黑" w:eastAsia="微软雅黑" w:cs="微软雅黑"/>
                <w:b/>
                <w:bCs/>
                <w:color w:val="auto"/>
                <w:sz w:val="22"/>
                <w:szCs w:val="22"/>
                <w:highlight w:val="none"/>
              </w:rPr>
              <w:t>☑</w:t>
            </w:r>
            <w:r>
              <w:rPr>
                <w:rFonts w:hint="eastAsia" w:ascii="微软雅黑" w:hAnsi="微软雅黑" w:eastAsia="微软雅黑" w:cs="微软雅黑"/>
                <w:b/>
                <w:bCs/>
                <w:color w:val="auto"/>
                <w:sz w:val="22"/>
                <w:szCs w:val="22"/>
                <w:highlight w:val="none"/>
                <w:lang w:eastAsia="zh-CN"/>
              </w:rPr>
              <w:t>本票等非现金形式提交</w:t>
            </w:r>
          </w:p>
          <w:p w14:paraId="6EFE2F36">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rPr>
              <w:t>保证金数额：</w:t>
            </w:r>
            <w:r>
              <w:rPr>
                <w:rFonts w:hint="eastAsia" w:ascii="微软雅黑" w:hAnsi="微软雅黑" w:eastAsia="微软雅黑" w:cs="微软雅黑"/>
                <w:b/>
                <w:bCs/>
                <w:color w:val="auto"/>
                <w:sz w:val="22"/>
                <w:szCs w:val="22"/>
                <w:highlight w:val="none"/>
                <w:lang w:val="en-US" w:eastAsia="zh-CN"/>
              </w:rPr>
              <w:t>100000.00元</w:t>
            </w:r>
          </w:p>
          <w:p w14:paraId="42496D2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 xml:space="preserve">开户名称：喀什铭远建设工程项目管理咨询有限公司                       </w:t>
            </w:r>
          </w:p>
          <w:p w14:paraId="7C87E5B1">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 xml:space="preserve">开户银行：中国农业银行股份有限公司喀什克孜都维路(兵团)第二支行                       </w:t>
            </w:r>
          </w:p>
          <w:p w14:paraId="155C555C">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 xml:space="preserve">帐    号：30783501040003048                      </w:t>
            </w:r>
          </w:p>
          <w:p w14:paraId="76B09D6C">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 xml:space="preserve">行    号：103894078359   </w:t>
            </w:r>
          </w:p>
          <w:p w14:paraId="0D244198">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重要提示：</w:t>
            </w:r>
          </w:p>
          <w:p w14:paraId="4214329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b/>
                <w:bCs/>
                <w:color w:val="auto"/>
                <w:spacing w:val="-5"/>
                <w:sz w:val="22"/>
                <w:szCs w:val="22"/>
                <w:highlight w:val="none"/>
                <w:lang w:eastAsia="zh-CN"/>
              </w:rPr>
            </w:pPr>
            <w:r>
              <w:rPr>
                <w:rFonts w:hint="eastAsia" w:ascii="微软雅黑" w:hAnsi="微软雅黑" w:eastAsia="微软雅黑" w:cs="微软雅黑"/>
                <w:b/>
                <w:bCs/>
                <w:color w:val="auto"/>
                <w:spacing w:val="-5"/>
                <w:sz w:val="22"/>
                <w:szCs w:val="22"/>
                <w:highlight w:val="none"/>
              </w:rPr>
              <w:t>1、电汇或转账时请在汇款备注栏</w:t>
            </w:r>
            <w:r>
              <w:rPr>
                <w:rFonts w:hint="eastAsia" w:ascii="微软雅黑" w:hAnsi="微软雅黑" w:eastAsia="微软雅黑" w:cs="微软雅黑"/>
                <w:b/>
                <w:bCs/>
                <w:color w:val="auto"/>
                <w:spacing w:val="-5"/>
                <w:sz w:val="22"/>
                <w:szCs w:val="22"/>
                <w:highlight w:val="none"/>
                <w:lang w:eastAsia="zh-CN"/>
              </w:rPr>
              <w:t>：标项名称</w:t>
            </w:r>
            <w:r>
              <w:rPr>
                <w:rFonts w:hint="eastAsia" w:ascii="微软雅黑" w:hAnsi="微软雅黑" w:eastAsia="微软雅黑" w:cs="微软雅黑"/>
                <w:b/>
                <w:bCs/>
                <w:color w:val="auto"/>
                <w:spacing w:val="-5"/>
                <w:sz w:val="22"/>
                <w:szCs w:val="22"/>
                <w:highlight w:val="none"/>
                <w:lang w:val="en-US" w:eastAsia="zh-CN"/>
              </w:rPr>
              <w:t>+</w:t>
            </w:r>
            <w:r>
              <w:rPr>
                <w:rFonts w:hint="eastAsia" w:ascii="微软雅黑" w:hAnsi="微软雅黑" w:eastAsia="微软雅黑" w:cs="微软雅黑"/>
                <w:b/>
                <w:bCs/>
                <w:color w:val="auto"/>
                <w:spacing w:val="-5"/>
                <w:sz w:val="22"/>
                <w:szCs w:val="22"/>
                <w:highlight w:val="none"/>
                <w:lang w:eastAsia="zh-CN"/>
              </w:rPr>
              <w:t>投标</w:t>
            </w:r>
            <w:r>
              <w:rPr>
                <w:rFonts w:hint="eastAsia" w:ascii="微软雅黑" w:hAnsi="微软雅黑" w:eastAsia="微软雅黑" w:cs="微软雅黑"/>
                <w:b/>
                <w:bCs/>
                <w:color w:val="auto"/>
                <w:spacing w:val="-5"/>
                <w:sz w:val="22"/>
                <w:szCs w:val="22"/>
                <w:highlight w:val="none"/>
              </w:rPr>
              <w:t>保证金</w:t>
            </w:r>
            <w:r>
              <w:rPr>
                <w:rFonts w:hint="eastAsia" w:ascii="微软雅黑" w:hAnsi="微软雅黑" w:eastAsia="微软雅黑" w:cs="微软雅黑"/>
                <w:b/>
                <w:bCs/>
                <w:color w:val="auto"/>
                <w:spacing w:val="-5"/>
                <w:sz w:val="22"/>
                <w:szCs w:val="22"/>
                <w:highlight w:val="none"/>
                <w:lang w:eastAsia="zh-CN"/>
              </w:rPr>
              <w:t>；如填写字数有要求可简写标项名称，由于未按要求注明信息而导致的一切后果由投标人自行承担。</w:t>
            </w:r>
          </w:p>
          <w:p w14:paraId="74D36D03">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ascii="微软雅黑" w:hAnsi="微软雅黑" w:eastAsia="微软雅黑" w:cs="微软雅黑"/>
                <w:b/>
                <w:bCs/>
                <w:color w:val="auto"/>
                <w:spacing w:val="-5"/>
                <w:sz w:val="22"/>
                <w:szCs w:val="22"/>
                <w:highlight w:val="none"/>
                <w:lang w:val="en-US" w:eastAsia="zh-CN"/>
              </w:rPr>
            </w:pPr>
            <w:r>
              <w:rPr>
                <w:rFonts w:hint="eastAsia" w:ascii="微软雅黑" w:hAnsi="微软雅黑" w:eastAsia="微软雅黑" w:cs="微软雅黑"/>
                <w:b/>
                <w:bCs/>
                <w:color w:val="auto"/>
                <w:spacing w:val="-5"/>
                <w:sz w:val="22"/>
                <w:szCs w:val="22"/>
                <w:highlight w:val="none"/>
              </w:rPr>
              <w:t>2、若采用电汇或转账形式，投标保证金须于投标截止前转入以上指定账户（资格审查以代理机构实际收到为准），投标保证金付款凭证（或收据）</w:t>
            </w:r>
            <w:r>
              <w:rPr>
                <w:rFonts w:hint="eastAsia" w:ascii="微软雅黑" w:hAnsi="微软雅黑" w:eastAsia="微软雅黑" w:cs="微软雅黑"/>
                <w:b/>
                <w:bCs/>
                <w:color w:val="auto"/>
                <w:spacing w:val="-5"/>
                <w:sz w:val="22"/>
                <w:szCs w:val="22"/>
                <w:highlight w:val="none"/>
                <w:lang w:eastAsia="zh-CN"/>
              </w:rPr>
              <w:t>扫描件</w:t>
            </w:r>
            <w:r>
              <w:rPr>
                <w:rFonts w:hint="eastAsia" w:ascii="微软雅黑" w:hAnsi="微软雅黑" w:eastAsia="微软雅黑" w:cs="微软雅黑"/>
                <w:b/>
                <w:bCs/>
                <w:color w:val="auto"/>
                <w:spacing w:val="-5"/>
                <w:sz w:val="22"/>
                <w:szCs w:val="22"/>
                <w:highlight w:val="none"/>
              </w:rPr>
              <w:t>制作在投标文件中；若采用电子保函形式：按照政采云电子投标流程制作并上传电子保函；若采用支票、汇票、本票、银行保函或者金融机构、担保机构出具的保函等形式：应将扫描件制作在投标文件中</w:t>
            </w:r>
            <w:r>
              <w:rPr>
                <w:rFonts w:hint="eastAsia" w:ascii="微软雅黑" w:hAnsi="微软雅黑" w:eastAsia="微软雅黑" w:cs="微软雅黑"/>
                <w:b/>
                <w:bCs/>
                <w:color w:val="auto"/>
                <w:spacing w:val="-5"/>
                <w:sz w:val="22"/>
                <w:szCs w:val="22"/>
                <w:highlight w:val="none"/>
                <w:lang w:eastAsia="zh-CN"/>
              </w:rPr>
              <w:t>。</w:t>
            </w:r>
          </w:p>
          <w:p w14:paraId="2B9B358B">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color w:val="auto"/>
                <w:spacing w:val="-5"/>
                <w:sz w:val="22"/>
                <w:szCs w:val="22"/>
                <w:highlight w:val="none"/>
                <w:lang w:val="en-US" w:eastAsia="zh-CN"/>
              </w:rPr>
              <w:t>3</w:t>
            </w:r>
            <w:r>
              <w:rPr>
                <w:rFonts w:hint="eastAsia" w:ascii="微软雅黑" w:hAnsi="微软雅黑" w:eastAsia="微软雅黑" w:cs="微软雅黑"/>
                <w:color w:val="auto"/>
                <w:spacing w:val="-5"/>
                <w:sz w:val="22"/>
                <w:szCs w:val="22"/>
                <w:highlight w:val="none"/>
              </w:rPr>
              <w:t>、退</w:t>
            </w:r>
            <w:r>
              <w:rPr>
                <w:rFonts w:hint="eastAsia" w:ascii="微软雅黑" w:hAnsi="微软雅黑" w:eastAsia="微软雅黑" w:cs="微软雅黑"/>
                <w:color w:val="auto"/>
                <w:spacing w:val="-5"/>
                <w:sz w:val="22"/>
                <w:szCs w:val="22"/>
                <w:highlight w:val="none"/>
                <w:lang w:eastAsia="zh-CN"/>
              </w:rPr>
              <w:t>投标保证金</w:t>
            </w:r>
            <w:r>
              <w:rPr>
                <w:rFonts w:hint="eastAsia" w:ascii="微软雅黑" w:hAnsi="微软雅黑" w:eastAsia="微软雅黑" w:cs="微软雅黑"/>
                <w:color w:val="auto"/>
                <w:spacing w:val="-5"/>
                <w:sz w:val="22"/>
                <w:szCs w:val="22"/>
                <w:highlight w:val="none"/>
              </w:rPr>
              <w:t>时，请各</w:t>
            </w:r>
            <w:r>
              <w:rPr>
                <w:rFonts w:hint="eastAsia" w:ascii="微软雅黑" w:hAnsi="微软雅黑" w:eastAsia="微软雅黑" w:cs="微软雅黑"/>
                <w:color w:val="auto"/>
                <w:spacing w:val="-5"/>
                <w:sz w:val="22"/>
                <w:szCs w:val="22"/>
                <w:highlight w:val="none"/>
                <w:lang w:eastAsia="zh-CN"/>
              </w:rPr>
              <w:t>投标人</w:t>
            </w:r>
            <w:r>
              <w:rPr>
                <w:rFonts w:hint="eastAsia" w:ascii="微软雅黑" w:hAnsi="微软雅黑" w:eastAsia="微软雅黑" w:cs="微软雅黑"/>
                <w:color w:val="auto"/>
                <w:spacing w:val="-5"/>
                <w:sz w:val="22"/>
                <w:szCs w:val="22"/>
                <w:highlight w:val="none"/>
              </w:rPr>
              <w:t>提供银行开户许可证</w:t>
            </w:r>
            <w:r>
              <w:rPr>
                <w:rFonts w:hint="eastAsia" w:ascii="微软雅黑" w:hAnsi="微软雅黑" w:eastAsia="微软雅黑" w:cs="微软雅黑"/>
                <w:color w:val="auto"/>
                <w:spacing w:val="-5"/>
                <w:sz w:val="22"/>
                <w:szCs w:val="22"/>
                <w:highlight w:val="none"/>
                <w:lang w:eastAsia="zh-CN"/>
              </w:rPr>
              <w:t>扫描件</w:t>
            </w:r>
            <w:r>
              <w:rPr>
                <w:rFonts w:hint="eastAsia" w:ascii="微软雅黑" w:hAnsi="微软雅黑" w:eastAsia="微软雅黑" w:cs="微软雅黑"/>
                <w:color w:val="auto"/>
                <w:spacing w:val="-5"/>
                <w:sz w:val="22"/>
                <w:szCs w:val="22"/>
                <w:highlight w:val="none"/>
                <w:lang w:val="en-US" w:eastAsia="zh-CN"/>
              </w:rPr>
              <w:t>及开户行行号</w:t>
            </w:r>
            <w:r>
              <w:rPr>
                <w:rFonts w:hint="eastAsia" w:ascii="微软雅黑" w:hAnsi="微软雅黑" w:eastAsia="微软雅黑" w:cs="微软雅黑"/>
                <w:color w:val="auto"/>
                <w:spacing w:val="-5"/>
                <w:sz w:val="22"/>
                <w:szCs w:val="22"/>
                <w:highlight w:val="none"/>
              </w:rPr>
              <w:t>。开标完成后，将以上资料交至喀什铭远建设工程项目管理咨询有限公司，</w:t>
            </w:r>
            <w:r>
              <w:rPr>
                <w:rFonts w:hint="eastAsia" w:ascii="微软雅黑" w:hAnsi="微软雅黑" w:eastAsia="微软雅黑" w:cs="微软雅黑"/>
                <w:color w:val="auto"/>
                <w:spacing w:val="-5"/>
                <w:sz w:val="22"/>
                <w:szCs w:val="22"/>
                <w:highlight w:val="none"/>
                <w:lang w:eastAsia="zh-CN"/>
              </w:rPr>
              <w:t>财务联系人：</w:t>
            </w:r>
            <w:r>
              <w:rPr>
                <w:rFonts w:hint="eastAsia" w:ascii="微软雅黑" w:hAnsi="微软雅黑" w:eastAsia="微软雅黑" w:cs="微软雅黑"/>
                <w:color w:val="auto"/>
                <w:spacing w:val="-5"/>
                <w:sz w:val="22"/>
                <w:szCs w:val="22"/>
                <w:highlight w:val="none"/>
              </w:rPr>
              <w:t>霍会计 联系电话：15739190875；（根据中华人民共和国财政部令第87号《政府采购货物和服务招标投标管理办法》第38条：投标保证金应当自中标通知书发出之日起5个工作日内退还未中标人的投标保证金，采购人自采购合同签订之日起5个工作日内退还中标人的投标保证金。）</w:t>
            </w:r>
          </w:p>
        </w:tc>
      </w:tr>
      <w:tr w14:paraId="77FF6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trPr>
        <w:tc>
          <w:tcPr>
            <w:tcW w:w="940" w:type="dxa"/>
            <w:noWrap w:val="0"/>
            <w:vAlign w:val="center"/>
          </w:tcPr>
          <w:p w14:paraId="32B98D72">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13.1</w:t>
            </w:r>
          </w:p>
        </w:tc>
        <w:tc>
          <w:tcPr>
            <w:tcW w:w="8892" w:type="dxa"/>
            <w:noWrap w:val="0"/>
            <w:vAlign w:val="center"/>
          </w:tcPr>
          <w:p w14:paraId="73CDD3F2">
            <w:pPr>
              <w:keepNext w:val="0"/>
              <w:keepLines w:val="0"/>
              <w:pageBreakBefore w:val="0"/>
              <w:kinsoku/>
              <w:wordWrap/>
              <w:topLinePunct w:val="0"/>
              <w:bidi w:val="0"/>
              <w:snapToGrid w:val="0"/>
              <w:spacing w:line="312" w:lineRule="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投标有效期：自投标截止之日起</w:t>
            </w:r>
            <w:r>
              <w:rPr>
                <w:rFonts w:hint="eastAsia" w:ascii="微软雅黑" w:hAnsi="微软雅黑" w:eastAsia="微软雅黑" w:cs="微软雅黑"/>
                <w:b/>
                <w:bCs/>
                <w:color w:val="auto"/>
                <w:sz w:val="22"/>
                <w:szCs w:val="22"/>
                <w:highlight w:val="none"/>
                <w:lang w:val="en-US" w:eastAsia="zh-CN"/>
              </w:rPr>
              <w:t>90</w:t>
            </w:r>
            <w:r>
              <w:rPr>
                <w:rFonts w:hint="eastAsia" w:ascii="微软雅黑" w:hAnsi="微软雅黑" w:eastAsia="微软雅黑" w:cs="微软雅黑"/>
                <w:b/>
                <w:bCs/>
                <w:color w:val="auto"/>
                <w:sz w:val="22"/>
                <w:szCs w:val="22"/>
                <w:highlight w:val="none"/>
              </w:rPr>
              <w:t>个日历日</w:t>
            </w:r>
          </w:p>
        </w:tc>
      </w:tr>
      <w:tr w14:paraId="6FEAB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0" w:type="dxa"/>
            <w:noWrap w:val="0"/>
            <w:vAlign w:val="center"/>
          </w:tcPr>
          <w:p w14:paraId="276EC734">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14.1</w:t>
            </w:r>
          </w:p>
        </w:tc>
        <w:tc>
          <w:tcPr>
            <w:tcW w:w="8892" w:type="dxa"/>
            <w:noWrap w:val="0"/>
            <w:vAlign w:val="center"/>
          </w:tcPr>
          <w:p w14:paraId="1CF7DF2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(1)本项目为电子招投标，供应商需要使用CA加密设备，凡参加本项目必须可自主通过新疆 CA申领渠道“新疆政务通”申请政采云平台可使用的CA设备，如原有兵团或公共资源使用的CA，可与新疆CA联系，申请增加电子证书即可，无需重复申领。</w:t>
            </w:r>
          </w:p>
          <w:p w14:paraId="75F6649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(2)本项目实行网上投标，采用电子投标文件(供应商须使用CA加密设备通过政采云电子投标客户端制作投标文件)。若供应商参与投标，自行承担投标一切费用。</w:t>
            </w:r>
          </w:p>
          <w:p w14:paraId="2E679D6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(3)各供应商应在开标前应确保成为新疆政府采购网正式注册入库供应商，并完成CA数字证书申领。因未注册入库、未办理CA数字证书等原因造成无法投标或投标失败等后果由供应商自行承担。</w:t>
            </w:r>
          </w:p>
          <w:p w14:paraId="1A06CF2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(4)供应商将政采云电子交易客户端下载、安装完成后，可通过账号密码或CA登录客户端进行投标文件制作。在使用政采云投标客户端时，建议使用WIN7及以上操作系统。客户端请至新疆政府采购网( http://www.ccgp-xinjiang.gov.cn/) 下载专区查看，如有问题可拨打政采云客户服务热线</w:t>
            </w:r>
            <w:r>
              <w:rPr>
                <w:rFonts w:hint="eastAsia" w:ascii="微软雅黑" w:hAnsi="微软雅黑" w:eastAsia="微软雅黑" w:cs="微软雅黑"/>
                <w:b w:val="0"/>
                <w:bCs w:val="0"/>
                <w:color w:val="auto"/>
                <w:sz w:val="22"/>
                <w:szCs w:val="22"/>
                <w:highlight w:val="none"/>
                <w:u w:val="none"/>
                <w:lang w:val="en-US" w:eastAsia="zh-CN"/>
              </w:rPr>
              <w:t>95763</w:t>
            </w:r>
            <w:r>
              <w:rPr>
                <w:rFonts w:hint="eastAsia" w:ascii="微软雅黑" w:hAnsi="微软雅黑" w:eastAsia="微软雅黑" w:cs="微软雅黑"/>
                <w:b w:val="0"/>
                <w:bCs w:val="0"/>
                <w:color w:val="auto"/>
                <w:sz w:val="22"/>
                <w:szCs w:val="22"/>
                <w:highlight w:val="none"/>
                <w:u w:val="none"/>
              </w:rPr>
              <w:t>进行咨询。</w:t>
            </w:r>
          </w:p>
          <w:p w14:paraId="6F4BF8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(5)供应商在开标时须使用制作加密电子投标文件所使用的CA锁及电脑，电脑须提前配置好浏览器(建议使用谷歌浏览器)，以便开标时解锁。</w:t>
            </w:r>
          </w:p>
          <w:p w14:paraId="24C853A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w:t>
            </w:r>
            <w:r>
              <w:rPr>
                <w:rFonts w:hint="eastAsia" w:ascii="微软雅黑" w:hAnsi="微软雅黑" w:eastAsia="微软雅黑" w:cs="微软雅黑"/>
                <w:b w:val="0"/>
                <w:bCs w:val="0"/>
                <w:color w:val="auto"/>
                <w:sz w:val="22"/>
                <w:szCs w:val="22"/>
                <w:highlight w:val="none"/>
                <w:u w:val="none"/>
                <w:lang w:val="en-US" w:eastAsia="zh-CN"/>
              </w:rPr>
              <w:t>6</w:t>
            </w:r>
            <w:r>
              <w:rPr>
                <w:rFonts w:hint="eastAsia" w:ascii="微软雅黑" w:hAnsi="微软雅黑" w:eastAsia="微软雅黑" w:cs="微软雅黑"/>
                <w:b w:val="0"/>
                <w:bCs w:val="0"/>
                <w:color w:val="auto"/>
                <w:sz w:val="22"/>
                <w:szCs w:val="22"/>
                <w:highlight w:val="none"/>
                <w:u w:val="none"/>
              </w:rPr>
              <w:t>)供应商对不见面开评标系统的技术操作咨询，可通过https://edu.zcygov.cn/luban/xinjiang-e-biding 自助查询，也可在政 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 务支持。供应商钉钉群号：政采云新疆网超供应商服务二十群：35547618（如已加入1-19群，无需重复加入），钉钉工具软件具有回放功能，直播培训结束后可在钉钉群中回放观看学习。</w:t>
            </w:r>
          </w:p>
          <w:p w14:paraId="682E60A9">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 xml:space="preserve">( </w:t>
            </w:r>
            <w:r>
              <w:rPr>
                <w:rFonts w:hint="eastAsia" w:ascii="微软雅黑" w:hAnsi="微软雅黑" w:eastAsia="微软雅黑" w:cs="微软雅黑"/>
                <w:b w:val="0"/>
                <w:bCs w:val="0"/>
                <w:color w:val="auto"/>
                <w:sz w:val="22"/>
                <w:szCs w:val="22"/>
                <w:highlight w:val="none"/>
                <w:u w:val="none"/>
                <w:lang w:val="en-US" w:eastAsia="zh-CN"/>
              </w:rPr>
              <w:t>7</w:t>
            </w:r>
            <w:r>
              <w:rPr>
                <w:rFonts w:hint="eastAsia" w:ascii="微软雅黑" w:hAnsi="微软雅黑" w:eastAsia="微软雅黑" w:cs="微软雅黑"/>
                <w:b w:val="0"/>
                <w:bCs w:val="0"/>
                <w:color w:val="auto"/>
                <w:sz w:val="22"/>
                <w:szCs w:val="22"/>
                <w:highlight w:val="none"/>
                <w:u w:val="none"/>
              </w:rPr>
              <w:t>)投标单位应完整地按</w:t>
            </w:r>
            <w:r>
              <w:rPr>
                <w:rFonts w:hint="eastAsia" w:ascii="微软雅黑" w:hAnsi="微软雅黑" w:eastAsia="微软雅黑" w:cs="微软雅黑"/>
                <w:b w:val="0"/>
                <w:bCs w:val="0"/>
                <w:color w:val="auto"/>
                <w:sz w:val="22"/>
                <w:szCs w:val="22"/>
                <w:highlight w:val="none"/>
                <w:u w:val="none"/>
                <w:lang w:eastAsia="zh-CN"/>
              </w:rPr>
              <w:t>招标文件</w:t>
            </w:r>
            <w:r>
              <w:rPr>
                <w:rFonts w:hint="eastAsia" w:ascii="微软雅黑" w:hAnsi="微软雅黑" w:eastAsia="微软雅黑" w:cs="微软雅黑"/>
                <w:b w:val="0"/>
                <w:bCs w:val="0"/>
                <w:color w:val="auto"/>
                <w:sz w:val="22"/>
                <w:szCs w:val="22"/>
                <w:highlight w:val="none"/>
                <w:u w:val="none"/>
              </w:rPr>
              <w:t>提供的投标文件格式及要求编写投标文件，根据平台关联点上传对应佐证资料</w:t>
            </w:r>
            <w:r>
              <w:rPr>
                <w:rFonts w:hint="eastAsia" w:ascii="微软雅黑" w:hAnsi="微软雅黑" w:eastAsia="微软雅黑" w:cs="微软雅黑"/>
                <w:b w:val="0"/>
                <w:bCs w:val="0"/>
                <w:color w:val="auto"/>
                <w:sz w:val="22"/>
                <w:szCs w:val="22"/>
                <w:highlight w:val="none"/>
                <w:u w:val="none"/>
                <w:lang w:eastAsia="zh-CN"/>
              </w:rPr>
              <w:t>。</w:t>
            </w:r>
            <w:r>
              <w:rPr>
                <w:rFonts w:hint="eastAsia" w:ascii="微软雅黑" w:hAnsi="微软雅黑" w:eastAsia="微软雅黑" w:cs="微软雅黑"/>
                <w:b w:val="0"/>
                <w:bCs w:val="0"/>
                <w:color w:val="auto"/>
                <w:sz w:val="22"/>
                <w:szCs w:val="22"/>
                <w:highlight w:val="none"/>
                <w:u w:val="none"/>
              </w:rPr>
              <w:t>（投标人须严格按照政采云电子投标流程制作并上传电子投标文件，投标人应承担上传失误产生的任何后果。）</w:t>
            </w:r>
          </w:p>
          <w:p w14:paraId="63B4D895">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w:t>
            </w:r>
            <w:r>
              <w:rPr>
                <w:rFonts w:hint="eastAsia" w:ascii="微软雅黑" w:hAnsi="微软雅黑" w:eastAsia="微软雅黑" w:cs="微软雅黑"/>
                <w:b w:val="0"/>
                <w:bCs w:val="0"/>
                <w:color w:val="auto"/>
                <w:sz w:val="22"/>
                <w:szCs w:val="22"/>
                <w:highlight w:val="none"/>
                <w:u w:val="none"/>
                <w:lang w:val="en-US" w:eastAsia="zh-CN"/>
              </w:rPr>
              <w:t>8</w:t>
            </w:r>
            <w:r>
              <w:rPr>
                <w:rFonts w:hint="eastAsia" w:ascii="微软雅黑" w:hAnsi="微软雅黑" w:eastAsia="微软雅黑" w:cs="微软雅黑"/>
                <w:b w:val="0"/>
                <w:bCs w:val="0"/>
                <w:color w:val="auto"/>
                <w:sz w:val="22"/>
                <w:szCs w:val="22"/>
                <w:highlight w:val="none"/>
                <w:u w:val="none"/>
              </w:rPr>
              <w:t>)各供应商在投标截止时间前将“.jmbs”格式“投标文件”上传至政采云平台。投标文件应按照</w:t>
            </w:r>
            <w:r>
              <w:rPr>
                <w:rFonts w:hint="eastAsia" w:ascii="微软雅黑" w:hAnsi="微软雅黑" w:eastAsia="微软雅黑" w:cs="微软雅黑"/>
                <w:b w:val="0"/>
                <w:bCs w:val="0"/>
                <w:color w:val="auto"/>
                <w:sz w:val="22"/>
                <w:szCs w:val="22"/>
                <w:highlight w:val="none"/>
                <w:u w:val="none"/>
                <w:lang w:eastAsia="zh-CN"/>
              </w:rPr>
              <w:t>招标文件</w:t>
            </w:r>
            <w:r>
              <w:rPr>
                <w:rFonts w:hint="eastAsia" w:ascii="微软雅黑" w:hAnsi="微软雅黑" w:eastAsia="微软雅黑" w:cs="微软雅黑"/>
                <w:b w:val="0"/>
                <w:bCs w:val="0"/>
                <w:color w:val="auto"/>
                <w:sz w:val="22"/>
                <w:szCs w:val="22"/>
                <w:highlight w:val="none"/>
                <w:u w:val="none"/>
              </w:rPr>
              <w:t>规定的格式填写、签署和盖章。</w:t>
            </w:r>
          </w:p>
          <w:p w14:paraId="112A19B7">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b w:val="0"/>
                <w:bCs w:val="0"/>
                <w:color w:val="auto"/>
                <w:sz w:val="22"/>
                <w:szCs w:val="22"/>
                <w:highlight w:val="none"/>
                <w:u w:val="none"/>
              </w:rPr>
              <w:t>(</w:t>
            </w:r>
            <w:r>
              <w:rPr>
                <w:rFonts w:hint="eastAsia" w:ascii="微软雅黑" w:hAnsi="微软雅黑" w:eastAsia="微软雅黑" w:cs="微软雅黑"/>
                <w:b w:val="0"/>
                <w:bCs w:val="0"/>
                <w:color w:val="auto"/>
                <w:sz w:val="22"/>
                <w:szCs w:val="22"/>
                <w:highlight w:val="none"/>
                <w:u w:val="none"/>
                <w:lang w:val="en-US" w:eastAsia="zh-CN"/>
              </w:rPr>
              <w:t>9</w:t>
            </w:r>
            <w:r>
              <w:rPr>
                <w:rFonts w:hint="eastAsia" w:ascii="微软雅黑" w:hAnsi="微软雅黑" w:eastAsia="微软雅黑" w:cs="微软雅黑"/>
                <w:b w:val="0"/>
                <w:bCs w:val="0"/>
                <w:color w:val="auto"/>
                <w:sz w:val="22"/>
                <w:szCs w:val="22"/>
                <w:highlight w:val="none"/>
                <w:u w:val="none"/>
              </w:rPr>
              <w:t>)解密时长为30分钟</w:t>
            </w:r>
            <w:r>
              <w:rPr>
                <w:rFonts w:hint="eastAsia" w:ascii="微软雅黑" w:hAnsi="微软雅黑" w:eastAsia="微软雅黑" w:cs="微软雅黑"/>
                <w:b w:val="0"/>
                <w:bCs w:val="0"/>
                <w:color w:val="auto"/>
                <w:sz w:val="22"/>
                <w:szCs w:val="22"/>
                <w:highlight w:val="none"/>
                <w:u w:val="none"/>
                <w:lang w:eastAsia="zh-CN"/>
              </w:rPr>
              <w:t>，超出解密时长，作无效投标处理。</w:t>
            </w:r>
          </w:p>
        </w:tc>
      </w:tr>
      <w:tr w14:paraId="2F6D8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6" w:hRule="atLeast"/>
        </w:trPr>
        <w:tc>
          <w:tcPr>
            <w:tcW w:w="940" w:type="dxa"/>
            <w:noWrap w:val="0"/>
            <w:vAlign w:val="center"/>
          </w:tcPr>
          <w:p w14:paraId="5DC23F58">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16.1</w:t>
            </w:r>
          </w:p>
        </w:tc>
        <w:tc>
          <w:tcPr>
            <w:tcW w:w="8892" w:type="dxa"/>
            <w:noWrap w:val="0"/>
            <w:vAlign w:val="center"/>
          </w:tcPr>
          <w:p w14:paraId="5EA8B599">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bCs/>
                <w:color w:val="auto"/>
                <w:sz w:val="22"/>
                <w:szCs w:val="22"/>
                <w:highlight w:val="none"/>
                <w:lang w:eastAsia="zh-CN"/>
              </w:rPr>
              <w:t>投标截止时间：</w:t>
            </w:r>
            <w:r>
              <w:rPr>
                <w:rFonts w:hint="eastAsia" w:ascii="微软雅黑" w:hAnsi="微软雅黑" w:eastAsia="微软雅黑" w:cs="微软雅黑"/>
                <w:b/>
                <w:bCs/>
                <w:color w:val="auto"/>
                <w:sz w:val="22"/>
                <w:szCs w:val="22"/>
                <w:highlight w:val="none"/>
                <w:lang w:val="en-US" w:eastAsia="zh-CN"/>
              </w:rPr>
              <w:t>2025</w:t>
            </w:r>
            <w:r>
              <w:rPr>
                <w:rFonts w:hint="eastAsia" w:ascii="微软雅黑" w:hAnsi="微软雅黑" w:eastAsia="微软雅黑" w:cs="微软雅黑"/>
                <w:b/>
                <w:bCs/>
                <w:color w:val="auto"/>
                <w:sz w:val="22"/>
                <w:szCs w:val="22"/>
                <w:highlight w:val="none"/>
                <w:lang w:eastAsia="zh-CN"/>
              </w:rPr>
              <w:t>年</w:t>
            </w:r>
            <w:r>
              <w:rPr>
                <w:rFonts w:hint="eastAsia" w:ascii="微软雅黑" w:hAnsi="微软雅黑" w:eastAsia="微软雅黑" w:cs="微软雅黑"/>
                <w:b/>
                <w:bCs/>
                <w:color w:val="auto"/>
                <w:sz w:val="22"/>
                <w:szCs w:val="22"/>
                <w:highlight w:val="none"/>
                <w:lang w:val="en-US" w:eastAsia="zh-CN"/>
              </w:rPr>
              <w:t>08</w:t>
            </w:r>
            <w:r>
              <w:rPr>
                <w:rFonts w:hint="eastAsia" w:ascii="微软雅黑" w:hAnsi="微软雅黑" w:eastAsia="微软雅黑" w:cs="微软雅黑"/>
                <w:b/>
                <w:bCs/>
                <w:color w:val="auto"/>
                <w:sz w:val="22"/>
                <w:szCs w:val="22"/>
                <w:highlight w:val="none"/>
                <w:lang w:eastAsia="zh-CN"/>
              </w:rPr>
              <w:t>月</w:t>
            </w:r>
            <w:r>
              <w:rPr>
                <w:rFonts w:hint="eastAsia" w:ascii="微软雅黑" w:hAnsi="微软雅黑" w:eastAsia="微软雅黑" w:cs="微软雅黑"/>
                <w:b/>
                <w:bCs/>
                <w:color w:val="auto"/>
                <w:sz w:val="22"/>
                <w:szCs w:val="22"/>
                <w:highlight w:val="none"/>
                <w:lang w:val="en-US" w:eastAsia="zh-CN"/>
              </w:rPr>
              <w:t>06</w:t>
            </w:r>
            <w:r>
              <w:rPr>
                <w:rFonts w:hint="eastAsia" w:ascii="微软雅黑" w:hAnsi="微软雅黑" w:eastAsia="微软雅黑" w:cs="微软雅黑"/>
                <w:b/>
                <w:bCs/>
                <w:color w:val="auto"/>
                <w:sz w:val="22"/>
                <w:szCs w:val="22"/>
                <w:highlight w:val="none"/>
                <w:lang w:eastAsia="zh-CN"/>
              </w:rPr>
              <w:t>日1</w:t>
            </w:r>
            <w:r>
              <w:rPr>
                <w:rFonts w:hint="eastAsia" w:ascii="微软雅黑" w:hAnsi="微软雅黑" w:eastAsia="微软雅黑" w:cs="微软雅黑"/>
                <w:b/>
                <w:bCs/>
                <w:color w:val="auto"/>
                <w:sz w:val="22"/>
                <w:szCs w:val="22"/>
                <w:highlight w:val="none"/>
                <w:lang w:val="en-US" w:eastAsia="zh-CN"/>
              </w:rPr>
              <w:t>1</w:t>
            </w:r>
            <w:r>
              <w:rPr>
                <w:rFonts w:hint="eastAsia" w:ascii="微软雅黑" w:hAnsi="微软雅黑" w:eastAsia="微软雅黑" w:cs="微软雅黑"/>
                <w:b/>
                <w:bCs/>
                <w:color w:val="auto"/>
                <w:sz w:val="22"/>
                <w:szCs w:val="22"/>
                <w:highlight w:val="none"/>
                <w:lang w:eastAsia="zh-CN"/>
              </w:rPr>
              <w:t>：</w:t>
            </w:r>
            <w:r>
              <w:rPr>
                <w:rFonts w:hint="eastAsia" w:ascii="微软雅黑" w:hAnsi="微软雅黑" w:eastAsia="微软雅黑" w:cs="微软雅黑"/>
                <w:b/>
                <w:bCs/>
                <w:color w:val="auto"/>
                <w:sz w:val="22"/>
                <w:szCs w:val="22"/>
                <w:highlight w:val="none"/>
                <w:lang w:val="en-US" w:eastAsia="zh-CN"/>
              </w:rPr>
              <w:t>0</w:t>
            </w:r>
            <w:r>
              <w:rPr>
                <w:rFonts w:hint="eastAsia" w:ascii="微软雅黑" w:hAnsi="微软雅黑" w:eastAsia="微软雅黑" w:cs="微软雅黑"/>
                <w:b/>
                <w:bCs/>
                <w:color w:val="auto"/>
                <w:sz w:val="22"/>
                <w:szCs w:val="22"/>
                <w:highlight w:val="none"/>
                <w:lang w:eastAsia="zh-CN"/>
              </w:rPr>
              <w:t>0（北京时间）</w:t>
            </w:r>
          </w:p>
          <w:p w14:paraId="2DF684AE">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bCs/>
                <w:color w:val="auto"/>
                <w:sz w:val="22"/>
                <w:szCs w:val="22"/>
                <w:highlight w:val="none"/>
                <w:lang w:eastAsia="zh-CN"/>
              </w:rPr>
              <w:t>递交地点：请登录政采云投标客户端投标</w:t>
            </w:r>
          </w:p>
        </w:tc>
      </w:tr>
      <w:tr w14:paraId="6BEEA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940" w:type="dxa"/>
            <w:noWrap w:val="0"/>
            <w:vAlign w:val="center"/>
          </w:tcPr>
          <w:p w14:paraId="501C6F7D">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18.1</w:t>
            </w:r>
          </w:p>
        </w:tc>
        <w:tc>
          <w:tcPr>
            <w:tcW w:w="8892" w:type="dxa"/>
            <w:noWrap w:val="0"/>
            <w:vAlign w:val="center"/>
          </w:tcPr>
          <w:p w14:paraId="54495913">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bCs/>
                <w:color w:val="auto"/>
                <w:sz w:val="22"/>
                <w:szCs w:val="22"/>
                <w:highlight w:val="none"/>
                <w:lang w:eastAsia="zh-CN"/>
              </w:rPr>
              <w:t>开标时间：</w:t>
            </w:r>
            <w:r>
              <w:rPr>
                <w:rFonts w:hint="eastAsia" w:ascii="微软雅黑" w:hAnsi="微软雅黑" w:eastAsia="微软雅黑" w:cs="微软雅黑"/>
                <w:b/>
                <w:bCs/>
                <w:color w:val="auto"/>
                <w:sz w:val="22"/>
                <w:szCs w:val="22"/>
                <w:highlight w:val="none"/>
                <w:lang w:val="en-US" w:eastAsia="zh-CN"/>
              </w:rPr>
              <w:t>2025</w:t>
            </w:r>
            <w:r>
              <w:rPr>
                <w:rFonts w:hint="eastAsia" w:ascii="微软雅黑" w:hAnsi="微软雅黑" w:eastAsia="微软雅黑" w:cs="微软雅黑"/>
                <w:b/>
                <w:bCs/>
                <w:color w:val="auto"/>
                <w:sz w:val="22"/>
                <w:szCs w:val="22"/>
                <w:highlight w:val="none"/>
                <w:lang w:eastAsia="zh-CN"/>
              </w:rPr>
              <w:t>年</w:t>
            </w:r>
            <w:r>
              <w:rPr>
                <w:rFonts w:hint="eastAsia" w:ascii="微软雅黑" w:hAnsi="微软雅黑" w:eastAsia="微软雅黑" w:cs="微软雅黑"/>
                <w:b/>
                <w:bCs/>
                <w:color w:val="auto"/>
                <w:sz w:val="22"/>
                <w:szCs w:val="22"/>
                <w:highlight w:val="none"/>
                <w:lang w:val="en-US" w:eastAsia="zh-CN"/>
              </w:rPr>
              <w:t>08</w:t>
            </w:r>
            <w:r>
              <w:rPr>
                <w:rFonts w:hint="eastAsia" w:ascii="微软雅黑" w:hAnsi="微软雅黑" w:eastAsia="微软雅黑" w:cs="微软雅黑"/>
                <w:b/>
                <w:bCs/>
                <w:color w:val="auto"/>
                <w:sz w:val="22"/>
                <w:szCs w:val="22"/>
                <w:highlight w:val="none"/>
                <w:lang w:eastAsia="zh-CN"/>
              </w:rPr>
              <w:t>月</w:t>
            </w:r>
            <w:r>
              <w:rPr>
                <w:rFonts w:hint="eastAsia" w:ascii="微软雅黑" w:hAnsi="微软雅黑" w:eastAsia="微软雅黑" w:cs="微软雅黑"/>
                <w:b/>
                <w:bCs/>
                <w:color w:val="auto"/>
                <w:sz w:val="22"/>
                <w:szCs w:val="22"/>
                <w:highlight w:val="none"/>
                <w:lang w:val="en-US" w:eastAsia="zh-CN"/>
              </w:rPr>
              <w:t>06</w:t>
            </w:r>
            <w:r>
              <w:rPr>
                <w:rFonts w:hint="eastAsia" w:ascii="微软雅黑" w:hAnsi="微软雅黑" w:eastAsia="微软雅黑" w:cs="微软雅黑"/>
                <w:b/>
                <w:bCs/>
                <w:color w:val="auto"/>
                <w:sz w:val="22"/>
                <w:szCs w:val="22"/>
                <w:highlight w:val="none"/>
                <w:lang w:eastAsia="zh-CN"/>
              </w:rPr>
              <w:t>日1</w:t>
            </w:r>
            <w:r>
              <w:rPr>
                <w:rFonts w:hint="eastAsia" w:ascii="微软雅黑" w:hAnsi="微软雅黑" w:eastAsia="微软雅黑" w:cs="微软雅黑"/>
                <w:b/>
                <w:bCs/>
                <w:color w:val="auto"/>
                <w:sz w:val="22"/>
                <w:szCs w:val="22"/>
                <w:highlight w:val="none"/>
                <w:lang w:val="en-US" w:eastAsia="zh-CN"/>
              </w:rPr>
              <w:t>1</w:t>
            </w:r>
            <w:r>
              <w:rPr>
                <w:rFonts w:hint="eastAsia" w:ascii="微软雅黑" w:hAnsi="微软雅黑" w:eastAsia="微软雅黑" w:cs="微软雅黑"/>
                <w:b/>
                <w:bCs/>
                <w:color w:val="auto"/>
                <w:sz w:val="22"/>
                <w:szCs w:val="22"/>
                <w:highlight w:val="none"/>
                <w:lang w:eastAsia="zh-CN"/>
              </w:rPr>
              <w:t>：</w:t>
            </w:r>
            <w:r>
              <w:rPr>
                <w:rFonts w:hint="eastAsia" w:ascii="微软雅黑" w:hAnsi="微软雅黑" w:eastAsia="微软雅黑" w:cs="微软雅黑"/>
                <w:b/>
                <w:bCs/>
                <w:color w:val="auto"/>
                <w:sz w:val="22"/>
                <w:szCs w:val="22"/>
                <w:highlight w:val="none"/>
                <w:lang w:val="en-US" w:eastAsia="zh-CN"/>
              </w:rPr>
              <w:t>0</w:t>
            </w:r>
            <w:r>
              <w:rPr>
                <w:rFonts w:hint="eastAsia" w:ascii="微软雅黑" w:hAnsi="微软雅黑" w:eastAsia="微软雅黑" w:cs="微软雅黑"/>
                <w:b/>
                <w:bCs/>
                <w:color w:val="auto"/>
                <w:sz w:val="22"/>
                <w:szCs w:val="22"/>
                <w:highlight w:val="none"/>
                <w:lang w:eastAsia="zh-CN"/>
              </w:rPr>
              <w:t>0（北京时间）</w:t>
            </w:r>
          </w:p>
          <w:p w14:paraId="3CD2B58C">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bCs/>
                <w:color w:val="auto"/>
                <w:sz w:val="22"/>
                <w:szCs w:val="22"/>
                <w:highlight w:val="none"/>
                <w:lang w:eastAsia="zh-CN"/>
              </w:rPr>
              <w:t>开标地点：</w:t>
            </w:r>
            <w:r>
              <w:rPr>
                <w:rFonts w:hint="eastAsia" w:ascii="微软雅黑" w:hAnsi="微软雅黑" w:eastAsia="微软雅黑" w:cs="微软雅黑"/>
                <w:b/>
                <w:bCs/>
                <w:color w:val="auto"/>
                <w:kern w:val="2"/>
                <w:sz w:val="22"/>
                <w:szCs w:val="22"/>
                <w:highlight w:val="none"/>
                <w:u w:val="none"/>
                <w:lang w:val="en-US" w:eastAsia="zh-CN" w:bidi="ar-SA"/>
              </w:rPr>
              <w:t>政采云平台（https://www.zcygov.cn/）不见面开标</w:t>
            </w:r>
          </w:p>
        </w:tc>
      </w:tr>
      <w:tr w14:paraId="56C97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3" w:hRule="atLeast"/>
        </w:trPr>
        <w:tc>
          <w:tcPr>
            <w:tcW w:w="940" w:type="dxa"/>
            <w:noWrap w:val="0"/>
            <w:vAlign w:val="center"/>
          </w:tcPr>
          <w:p w14:paraId="76BE4B6D">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20.5</w:t>
            </w:r>
          </w:p>
        </w:tc>
        <w:tc>
          <w:tcPr>
            <w:tcW w:w="8892" w:type="dxa"/>
            <w:noWrap w:val="0"/>
            <w:vAlign w:val="center"/>
          </w:tcPr>
          <w:p w14:paraId="3AA55A88">
            <w:pPr>
              <w:keepNext w:val="0"/>
              <w:keepLines w:val="0"/>
              <w:pageBreakBefore w:val="0"/>
              <w:kinsoku/>
              <w:wordWrap/>
              <w:overflowPunct/>
              <w:topLinePunct w:val="0"/>
              <w:autoSpaceDE/>
              <w:autoSpaceDN/>
              <w:bidi w:val="0"/>
              <w:adjustRightInd w:val="0"/>
              <w:snapToGrid w:val="0"/>
              <w:spacing w:line="312" w:lineRule="auto"/>
              <w:textAlignment w:val="auto"/>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核心产品：8.5米纯电动公交车</w:t>
            </w:r>
          </w:p>
        </w:tc>
      </w:tr>
      <w:tr w14:paraId="38A59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07" w:hRule="atLeast"/>
        </w:trPr>
        <w:tc>
          <w:tcPr>
            <w:tcW w:w="940" w:type="dxa"/>
            <w:noWrap w:val="0"/>
            <w:vAlign w:val="center"/>
          </w:tcPr>
          <w:p w14:paraId="32A03114">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23.2</w:t>
            </w:r>
          </w:p>
        </w:tc>
        <w:tc>
          <w:tcPr>
            <w:tcW w:w="8892" w:type="dxa"/>
            <w:noWrap w:val="0"/>
            <w:vAlign w:val="center"/>
          </w:tcPr>
          <w:p w14:paraId="370D342F">
            <w:pPr>
              <w:keepNext w:val="0"/>
              <w:keepLines w:val="0"/>
              <w:pageBreakBefore w:val="0"/>
              <w:kinsoku/>
              <w:wordWrap/>
              <w:topLinePunct w:val="0"/>
              <w:bidi w:val="0"/>
              <w:snapToGrid w:val="0"/>
              <w:spacing w:line="312" w:lineRule="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评标方法：适用中华人民共和国财政部令第87号--政府采购货物和服务招标投标管理办法第五十五条</w:t>
            </w:r>
            <w:r>
              <w:rPr>
                <w:rFonts w:hint="eastAsia" w:ascii="微软雅黑" w:hAnsi="微软雅黑" w:eastAsia="微软雅黑" w:cs="微软雅黑"/>
                <w:b w:val="0"/>
                <w:bCs w:val="0"/>
                <w:color w:val="auto"/>
                <w:sz w:val="22"/>
                <w:szCs w:val="22"/>
                <w:highlight w:val="none"/>
                <w:u w:val="none"/>
              </w:rPr>
              <w:t>综合评分法</w:t>
            </w:r>
            <w:r>
              <w:rPr>
                <w:rFonts w:hint="eastAsia" w:ascii="微软雅黑" w:hAnsi="微软雅黑" w:eastAsia="微软雅黑" w:cs="微软雅黑"/>
                <w:b w:val="0"/>
                <w:bCs w:val="0"/>
                <w:color w:val="auto"/>
                <w:sz w:val="22"/>
                <w:szCs w:val="22"/>
                <w:highlight w:val="none"/>
                <w:u w:val="none"/>
                <w:lang w:eastAsia="zh-CN"/>
              </w:rPr>
              <w:t>：</w:t>
            </w:r>
            <w:r>
              <w:rPr>
                <w:rFonts w:hint="eastAsia" w:ascii="微软雅黑" w:hAnsi="微软雅黑" w:eastAsia="微软雅黑" w:cs="微软雅黑"/>
                <w:b w:val="0"/>
                <w:bCs w:val="0"/>
                <w:color w:val="auto"/>
                <w:sz w:val="22"/>
                <w:szCs w:val="22"/>
                <w:highlight w:val="none"/>
                <w:u w:val="single"/>
                <w:lang w:eastAsia="zh-CN"/>
              </w:rPr>
              <w:t>根据投标文件满足招标文件全部实质性要求，且按照评审因素的量化指标评审得分最高的原则确定中标候选人。</w:t>
            </w:r>
          </w:p>
        </w:tc>
      </w:tr>
      <w:tr w14:paraId="00D81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0" w:type="dxa"/>
            <w:noWrap w:val="0"/>
            <w:vAlign w:val="center"/>
          </w:tcPr>
          <w:p w14:paraId="78C2E2E6">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27</w:t>
            </w:r>
          </w:p>
        </w:tc>
        <w:tc>
          <w:tcPr>
            <w:tcW w:w="8892" w:type="dxa"/>
            <w:noWrap w:val="0"/>
            <w:vAlign w:val="center"/>
          </w:tcPr>
          <w:p w14:paraId="4D95EC1D">
            <w:pPr>
              <w:keepNext w:val="0"/>
              <w:keepLines w:val="0"/>
              <w:pageBreakBefore w:val="0"/>
              <w:kinsoku/>
              <w:wordWrap/>
              <w:topLinePunct w:val="0"/>
              <w:bidi w:val="0"/>
              <w:snapToGrid w:val="0"/>
              <w:spacing w:line="312" w:lineRule="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推荐中标候选</w:t>
            </w:r>
            <w:r>
              <w:rPr>
                <w:rFonts w:hint="eastAsia" w:ascii="微软雅黑" w:hAnsi="微软雅黑" w:eastAsia="微软雅黑" w:cs="微软雅黑"/>
                <w:b w:val="0"/>
                <w:bCs w:val="0"/>
                <w:color w:val="auto"/>
                <w:sz w:val="22"/>
                <w:szCs w:val="22"/>
                <w:highlight w:val="none"/>
                <w:lang w:eastAsia="zh-CN"/>
              </w:rPr>
              <w:t>投标人</w:t>
            </w:r>
            <w:r>
              <w:rPr>
                <w:rFonts w:hint="eastAsia" w:ascii="微软雅黑" w:hAnsi="微软雅黑" w:eastAsia="微软雅黑" w:cs="微软雅黑"/>
                <w:b w:val="0"/>
                <w:bCs w:val="0"/>
                <w:color w:val="auto"/>
                <w:sz w:val="22"/>
                <w:szCs w:val="22"/>
                <w:highlight w:val="none"/>
              </w:rPr>
              <w:t>的数量：三</w:t>
            </w:r>
            <w:r>
              <w:rPr>
                <w:rFonts w:hint="eastAsia" w:ascii="微软雅黑" w:hAnsi="微软雅黑" w:eastAsia="微软雅黑" w:cs="微软雅黑"/>
                <w:b w:val="0"/>
                <w:bCs w:val="0"/>
                <w:color w:val="auto"/>
                <w:sz w:val="22"/>
                <w:szCs w:val="22"/>
                <w:highlight w:val="none"/>
                <w:lang w:val="en-US" w:eastAsia="zh-CN"/>
              </w:rPr>
              <w:t>家</w:t>
            </w:r>
            <w:r>
              <w:rPr>
                <w:rFonts w:hint="eastAsia" w:ascii="微软雅黑" w:hAnsi="微软雅黑" w:eastAsia="微软雅黑" w:cs="微软雅黑"/>
                <w:b w:val="0"/>
                <w:bCs w:val="0"/>
                <w:color w:val="auto"/>
                <w:sz w:val="22"/>
                <w:szCs w:val="22"/>
                <w:highlight w:val="none"/>
              </w:rPr>
              <w:t>　</w:t>
            </w:r>
          </w:p>
        </w:tc>
      </w:tr>
      <w:tr w14:paraId="668B0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0" w:type="dxa"/>
            <w:noWrap w:val="0"/>
            <w:vAlign w:val="center"/>
          </w:tcPr>
          <w:p w14:paraId="2BFEC5D3">
            <w:pPr>
              <w:spacing w:line="36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27.1</w:t>
            </w:r>
          </w:p>
        </w:tc>
        <w:tc>
          <w:tcPr>
            <w:tcW w:w="8892" w:type="dxa"/>
            <w:noWrap w:val="0"/>
            <w:vAlign w:val="center"/>
          </w:tcPr>
          <w:p w14:paraId="6C8ECC82">
            <w:pPr>
              <w:keepNext w:val="0"/>
              <w:keepLines w:val="0"/>
              <w:pageBreakBefore w:val="0"/>
              <w:kinsoku/>
              <w:wordWrap/>
              <w:topLinePunct w:val="0"/>
              <w:bidi w:val="0"/>
              <w:snapToGrid w:val="0"/>
              <w:spacing w:line="312" w:lineRule="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lang w:eastAsia="zh-CN"/>
              </w:rPr>
              <w:t>采购人</w:t>
            </w:r>
            <w:r>
              <w:rPr>
                <w:rFonts w:hint="eastAsia" w:ascii="微软雅黑" w:hAnsi="微软雅黑" w:eastAsia="微软雅黑" w:cs="微软雅黑"/>
                <w:b w:val="0"/>
                <w:bCs w:val="0"/>
                <w:color w:val="auto"/>
                <w:sz w:val="22"/>
                <w:szCs w:val="22"/>
                <w:highlight w:val="none"/>
              </w:rPr>
              <w:t>是否委托评标委员会直接确定中标人：</w:t>
            </w:r>
            <w:r>
              <w:rPr>
                <w:rFonts w:hint="eastAsia" w:ascii="微软雅黑" w:hAnsi="微软雅黑" w:eastAsia="微软雅黑" w:cs="微软雅黑"/>
                <w:b w:val="0"/>
                <w:bCs w:val="0"/>
                <w:color w:val="auto"/>
                <w:sz w:val="22"/>
                <w:szCs w:val="22"/>
                <w:highlight w:val="none"/>
                <w:u w:val="single"/>
              </w:rPr>
              <w:t xml:space="preserve"> 否 </w:t>
            </w:r>
            <w:r>
              <w:rPr>
                <w:rFonts w:hint="eastAsia" w:ascii="微软雅黑" w:hAnsi="微软雅黑" w:eastAsia="微软雅黑" w:cs="微软雅黑"/>
                <w:b w:val="0"/>
                <w:bCs w:val="0"/>
                <w:i/>
                <w:color w:val="auto"/>
                <w:sz w:val="22"/>
                <w:szCs w:val="22"/>
                <w:highlight w:val="none"/>
              </w:rPr>
              <w:t>（是、否）</w:t>
            </w:r>
          </w:p>
        </w:tc>
      </w:tr>
      <w:tr w14:paraId="392A25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2" w:hRule="atLeast"/>
        </w:trPr>
        <w:tc>
          <w:tcPr>
            <w:tcW w:w="940" w:type="dxa"/>
            <w:noWrap w:val="0"/>
            <w:vAlign w:val="center"/>
          </w:tcPr>
          <w:p w14:paraId="5C6F3210">
            <w:pPr>
              <w:spacing w:line="24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31.1</w:t>
            </w:r>
          </w:p>
        </w:tc>
        <w:tc>
          <w:tcPr>
            <w:tcW w:w="8892" w:type="dxa"/>
            <w:noWrap w:val="0"/>
            <w:vAlign w:val="center"/>
          </w:tcPr>
          <w:p w14:paraId="11039168">
            <w:pPr>
              <w:pStyle w:val="92"/>
              <w:keepNext w:val="0"/>
              <w:keepLines w:val="0"/>
              <w:pageBreakBefore w:val="0"/>
              <w:kinsoku/>
              <w:wordWrap/>
              <w:topLinePunct w:val="0"/>
              <w:bidi w:val="0"/>
              <w:snapToGrid w:val="0"/>
              <w:spacing w:line="312" w:lineRule="auto"/>
              <w:jc w:val="both"/>
              <w:rPr>
                <w:rFonts w:hint="eastAsia" w:ascii="微软雅黑" w:hAnsi="微软雅黑" w:eastAsia="微软雅黑" w:cs="微软雅黑"/>
                <w:b w:val="0"/>
                <w:bCs w:val="0"/>
                <w:color w:val="auto"/>
                <w:kern w:val="0"/>
                <w:sz w:val="22"/>
                <w:szCs w:val="22"/>
                <w:highlight w:val="none"/>
                <w:lang w:val="en-US" w:eastAsia="zh-CN" w:bidi="ar-SA"/>
              </w:rPr>
            </w:pPr>
            <w:r>
              <w:rPr>
                <w:rFonts w:hint="eastAsia" w:ascii="微软雅黑" w:hAnsi="微软雅黑" w:eastAsia="微软雅黑" w:cs="微软雅黑"/>
                <w:b w:val="0"/>
                <w:bCs w:val="0"/>
                <w:color w:val="auto"/>
                <w:kern w:val="0"/>
                <w:sz w:val="22"/>
                <w:szCs w:val="22"/>
                <w:highlight w:val="none"/>
                <w:lang w:val="en-US" w:eastAsia="zh-CN" w:bidi="ar-SA"/>
              </w:rPr>
              <w:t>履约保证金金额：</w:t>
            </w:r>
            <w:r>
              <w:rPr>
                <w:rFonts w:hint="eastAsia" w:ascii="微软雅黑" w:hAnsi="微软雅黑" w:eastAsia="微软雅黑" w:cs="微软雅黑"/>
                <w:color w:val="auto"/>
                <w:sz w:val="22"/>
                <w:szCs w:val="22"/>
                <w:highlight w:val="none"/>
                <w:u w:val="single"/>
              </w:rPr>
              <w:t>中标金额的</w:t>
            </w:r>
            <w:r>
              <w:rPr>
                <w:rFonts w:hint="eastAsia" w:ascii="微软雅黑" w:hAnsi="微软雅黑" w:eastAsia="微软雅黑" w:cs="微软雅黑"/>
                <w:color w:val="auto"/>
                <w:sz w:val="22"/>
                <w:szCs w:val="22"/>
                <w:highlight w:val="none"/>
                <w:u w:val="single"/>
                <w:lang w:val="en-US" w:eastAsia="zh-CN"/>
              </w:rPr>
              <w:t>5</w:t>
            </w:r>
            <w:r>
              <w:rPr>
                <w:rFonts w:hint="eastAsia" w:ascii="微软雅黑" w:hAnsi="微软雅黑" w:eastAsia="微软雅黑" w:cs="微软雅黑"/>
                <w:color w:val="auto"/>
                <w:sz w:val="22"/>
                <w:szCs w:val="22"/>
                <w:highlight w:val="none"/>
                <w:u w:val="single"/>
              </w:rPr>
              <w:t>%</w:t>
            </w:r>
            <w:r>
              <w:rPr>
                <w:rFonts w:hint="eastAsia" w:ascii="微软雅黑" w:hAnsi="微软雅黑" w:eastAsia="微软雅黑" w:cs="微软雅黑"/>
                <w:color w:val="auto"/>
                <w:sz w:val="22"/>
                <w:szCs w:val="22"/>
                <w:highlight w:val="none"/>
                <w:u w:val="single"/>
                <w:lang w:val="en-US" w:eastAsia="zh-CN"/>
              </w:rPr>
              <w:t xml:space="preserve"> （具体以签订合同为准）</w:t>
            </w:r>
          </w:p>
          <w:p w14:paraId="1B2E7E23">
            <w:pPr>
              <w:pStyle w:val="92"/>
              <w:keepNext w:val="0"/>
              <w:keepLines w:val="0"/>
              <w:pageBreakBefore w:val="0"/>
              <w:kinsoku/>
              <w:wordWrap/>
              <w:topLinePunct w:val="0"/>
              <w:bidi w:val="0"/>
              <w:snapToGrid w:val="0"/>
              <w:spacing w:line="312" w:lineRule="auto"/>
              <w:jc w:val="both"/>
              <w:rPr>
                <w:rFonts w:hint="eastAsia" w:ascii="微软雅黑" w:hAnsi="微软雅黑" w:eastAsia="微软雅黑" w:cs="微软雅黑"/>
                <w:b w:val="0"/>
                <w:bCs w:val="0"/>
                <w:color w:val="auto"/>
                <w:kern w:val="0"/>
                <w:sz w:val="22"/>
                <w:szCs w:val="22"/>
                <w:highlight w:val="none"/>
                <w:lang w:val="en-US" w:eastAsia="zh-CN" w:bidi="ar-SA"/>
              </w:rPr>
            </w:pPr>
            <w:r>
              <w:rPr>
                <w:rFonts w:hint="eastAsia" w:ascii="微软雅黑" w:hAnsi="微软雅黑" w:eastAsia="微软雅黑" w:cs="微软雅黑"/>
                <w:b w:val="0"/>
                <w:bCs w:val="0"/>
                <w:color w:val="auto"/>
                <w:kern w:val="0"/>
                <w:sz w:val="22"/>
                <w:szCs w:val="22"/>
                <w:highlight w:val="none"/>
                <w:lang w:val="en-US" w:eastAsia="zh-CN" w:bidi="ar-SA"/>
              </w:rPr>
              <w:t>履约保证金形式：</w:t>
            </w:r>
            <w:r>
              <w:rPr>
                <w:rFonts w:hint="eastAsia" w:ascii="微软雅黑" w:hAnsi="微软雅黑" w:eastAsia="微软雅黑" w:cs="微软雅黑"/>
                <w:color w:val="auto"/>
                <w:sz w:val="22"/>
                <w:szCs w:val="22"/>
                <w:highlight w:val="none"/>
                <w:u w:val="single"/>
              </w:rPr>
              <w:t>☑保函</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rPr>
              <w:t>☑电汇</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rPr>
              <w:t>☑支票</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rPr>
              <w:t>☑汇票</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rPr>
              <w:t>☑本票</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rPr>
              <w:t>☑对公转账</w:t>
            </w:r>
            <w:r>
              <w:rPr>
                <w:rFonts w:hint="eastAsia" w:ascii="微软雅黑" w:hAnsi="微软雅黑" w:eastAsia="微软雅黑" w:cs="微软雅黑"/>
                <w:color w:val="auto"/>
                <w:sz w:val="22"/>
                <w:szCs w:val="22"/>
                <w:highlight w:val="none"/>
              </w:rPr>
              <w:t>等非现金形式提交</w:t>
            </w:r>
          </w:p>
          <w:p w14:paraId="24F72F52">
            <w:pPr>
              <w:pStyle w:val="92"/>
              <w:keepNext w:val="0"/>
              <w:keepLines w:val="0"/>
              <w:pageBreakBefore w:val="0"/>
              <w:kinsoku/>
              <w:wordWrap/>
              <w:topLinePunct w:val="0"/>
              <w:bidi w:val="0"/>
              <w:snapToGrid w:val="0"/>
              <w:spacing w:line="312" w:lineRule="auto"/>
              <w:jc w:val="both"/>
              <w:rPr>
                <w:rFonts w:hint="eastAsia" w:ascii="微软雅黑" w:hAnsi="微软雅黑" w:eastAsia="微软雅黑" w:cs="微软雅黑"/>
                <w:b w:val="0"/>
                <w:bCs w:val="0"/>
                <w:color w:val="auto"/>
                <w:kern w:val="0"/>
                <w:sz w:val="22"/>
                <w:szCs w:val="22"/>
                <w:highlight w:val="none"/>
                <w:lang w:val="en-US" w:eastAsia="zh-CN" w:bidi="ar-SA"/>
              </w:rPr>
            </w:pPr>
            <w:r>
              <w:rPr>
                <w:rFonts w:hint="eastAsia" w:ascii="微软雅黑" w:hAnsi="微软雅黑" w:eastAsia="微软雅黑" w:cs="微软雅黑"/>
                <w:b w:val="0"/>
                <w:bCs w:val="0"/>
                <w:color w:val="auto"/>
                <w:kern w:val="0"/>
                <w:sz w:val="22"/>
                <w:szCs w:val="22"/>
                <w:highlight w:val="none"/>
                <w:lang w:val="en-US" w:eastAsia="zh-CN" w:bidi="ar-SA"/>
              </w:rPr>
              <w:t>提交履约保证金的时间：签订合同前</w:t>
            </w:r>
          </w:p>
          <w:p w14:paraId="7F395BF8">
            <w:pPr>
              <w:pStyle w:val="92"/>
              <w:keepNext w:val="0"/>
              <w:keepLines w:val="0"/>
              <w:pageBreakBefore w:val="0"/>
              <w:kinsoku/>
              <w:wordWrap/>
              <w:topLinePunct w:val="0"/>
              <w:bidi w:val="0"/>
              <w:snapToGrid w:val="0"/>
              <w:spacing w:line="312" w:lineRule="auto"/>
              <w:jc w:val="both"/>
              <w:rPr>
                <w:rFonts w:hint="eastAsia" w:ascii="微软雅黑" w:hAnsi="微软雅黑" w:eastAsia="微软雅黑" w:cs="微软雅黑"/>
                <w:b w:val="0"/>
                <w:bCs w:val="0"/>
                <w:color w:val="auto"/>
                <w:sz w:val="22"/>
                <w:szCs w:val="22"/>
                <w:highlight w:val="none"/>
                <w:u w:val="single"/>
                <w:lang w:val="en-US" w:eastAsia="zh-CN"/>
              </w:rPr>
            </w:pPr>
            <w:r>
              <w:rPr>
                <w:rFonts w:hint="eastAsia" w:ascii="微软雅黑" w:hAnsi="微软雅黑" w:eastAsia="微软雅黑" w:cs="微软雅黑"/>
                <w:b w:val="0"/>
                <w:bCs w:val="0"/>
                <w:color w:val="auto"/>
                <w:kern w:val="0"/>
                <w:sz w:val="22"/>
                <w:szCs w:val="22"/>
                <w:highlight w:val="none"/>
                <w:lang w:val="en-US" w:eastAsia="zh-CN" w:bidi="ar-SA"/>
              </w:rPr>
              <w:t>备注：中华人民共和国财政部令第87号--《政府采购货物和服务招标投标管理办法》第五章第四十八条　招标文件要求中标或者成交供应商提交履约保证金的，供应商应当以支票、汇票、本票或者金融机构、担保机构出具的保函等非现金形式提交。履约保证金的数额不得超过政府采购合同金额的10%。</w:t>
            </w:r>
          </w:p>
        </w:tc>
      </w:tr>
      <w:tr w14:paraId="1191E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2" w:hRule="atLeast"/>
        </w:trPr>
        <w:tc>
          <w:tcPr>
            <w:tcW w:w="940" w:type="dxa"/>
            <w:noWrap w:val="0"/>
            <w:vAlign w:val="center"/>
          </w:tcPr>
          <w:p w14:paraId="78AE5377">
            <w:pPr>
              <w:pStyle w:val="92"/>
              <w:spacing w:line="460" w:lineRule="exact"/>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lang w:val="en-US" w:eastAsia="zh-CN"/>
              </w:rPr>
              <w:t>32</w:t>
            </w:r>
          </w:p>
        </w:tc>
        <w:tc>
          <w:tcPr>
            <w:tcW w:w="8892" w:type="dxa"/>
            <w:noWrap w:val="0"/>
            <w:vAlign w:val="center"/>
          </w:tcPr>
          <w:p w14:paraId="76C3563C">
            <w:pPr>
              <w:pStyle w:val="28"/>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中标服务费：</w:t>
            </w:r>
            <w:r>
              <w:rPr>
                <w:rFonts w:hint="eastAsia" w:ascii="微软雅黑" w:hAnsi="微软雅黑" w:eastAsia="微软雅黑" w:cs="微软雅黑"/>
                <w:color w:val="auto"/>
                <w:sz w:val="22"/>
                <w:szCs w:val="22"/>
                <w:lang w:eastAsia="zh-CN"/>
              </w:rPr>
              <w:t>根据《国家发展改革委关于进一步放开建设项目专业服务价格的通知》发改价格(2015)299号经与采购人协商，以中标价为基准计算，采用差额定率累进计法</w:t>
            </w:r>
            <w:r>
              <w:rPr>
                <w:rFonts w:hint="eastAsia" w:ascii="微软雅黑" w:hAnsi="微软雅黑" w:eastAsia="微软雅黑" w:cs="微软雅黑"/>
                <w:color w:val="auto"/>
                <w:sz w:val="22"/>
                <w:szCs w:val="22"/>
                <w:lang w:val="en-US" w:eastAsia="zh-CN"/>
              </w:rPr>
              <w:t>下浮20%</w:t>
            </w:r>
            <w:r>
              <w:rPr>
                <w:rFonts w:hint="eastAsia" w:ascii="微软雅黑" w:hAnsi="微软雅黑" w:eastAsia="微软雅黑" w:cs="微软雅黑"/>
                <w:color w:val="auto"/>
                <w:sz w:val="22"/>
                <w:szCs w:val="22"/>
                <w:lang w:eastAsia="zh-CN"/>
              </w:rPr>
              <w:t>计取：100万元以下，费率为1.</w:t>
            </w:r>
            <w:r>
              <w:rPr>
                <w:rFonts w:hint="eastAsia" w:ascii="微软雅黑" w:hAnsi="微软雅黑" w:eastAsia="微软雅黑" w:cs="微软雅黑"/>
                <w:color w:val="auto"/>
                <w:sz w:val="22"/>
                <w:szCs w:val="22"/>
                <w:lang w:val="en-US" w:eastAsia="zh-CN"/>
              </w:rPr>
              <w:t>5</w:t>
            </w:r>
            <w:r>
              <w:rPr>
                <w:rFonts w:hint="eastAsia" w:ascii="微软雅黑" w:hAnsi="微软雅黑" w:eastAsia="微软雅黑" w:cs="微软雅黑"/>
                <w:color w:val="auto"/>
                <w:sz w:val="22"/>
                <w:szCs w:val="22"/>
                <w:lang w:eastAsia="zh-CN"/>
              </w:rPr>
              <w:t>%；100-500万元，费率为</w:t>
            </w:r>
            <w:r>
              <w:rPr>
                <w:rFonts w:hint="eastAsia" w:ascii="微软雅黑" w:hAnsi="微软雅黑" w:eastAsia="微软雅黑" w:cs="微软雅黑"/>
                <w:color w:val="auto"/>
                <w:sz w:val="22"/>
                <w:szCs w:val="22"/>
                <w:lang w:val="en-US" w:eastAsia="zh-CN"/>
              </w:rPr>
              <w:t>1.1</w:t>
            </w:r>
            <w:r>
              <w:rPr>
                <w:rFonts w:hint="eastAsia" w:ascii="微软雅黑" w:hAnsi="微软雅黑" w:eastAsia="微软雅黑" w:cs="微软雅黑"/>
                <w:color w:val="auto"/>
                <w:sz w:val="22"/>
                <w:szCs w:val="22"/>
                <w:lang w:eastAsia="zh-CN"/>
              </w:rPr>
              <w:t>%；500-1000万元，费率为</w:t>
            </w:r>
            <w:r>
              <w:rPr>
                <w:rFonts w:hint="eastAsia" w:ascii="微软雅黑" w:hAnsi="微软雅黑" w:eastAsia="微软雅黑" w:cs="微软雅黑"/>
                <w:color w:val="auto"/>
                <w:sz w:val="22"/>
                <w:szCs w:val="22"/>
                <w:lang w:val="en-US" w:eastAsia="zh-CN"/>
              </w:rPr>
              <w:t>0.8</w:t>
            </w:r>
            <w:r>
              <w:rPr>
                <w:rFonts w:hint="eastAsia" w:ascii="微软雅黑" w:hAnsi="微软雅黑" w:eastAsia="微软雅黑" w:cs="微软雅黑"/>
                <w:color w:val="auto"/>
                <w:sz w:val="22"/>
                <w:szCs w:val="22"/>
                <w:lang w:eastAsia="zh-CN"/>
              </w:rPr>
              <w:t xml:space="preserve">%；1000-5000万元，费率为 </w:t>
            </w:r>
            <w:r>
              <w:rPr>
                <w:rFonts w:hint="eastAsia" w:ascii="微软雅黑" w:hAnsi="微软雅黑" w:eastAsia="微软雅黑" w:cs="微软雅黑"/>
                <w:color w:val="auto"/>
                <w:sz w:val="22"/>
                <w:szCs w:val="22"/>
                <w:lang w:val="en-US" w:eastAsia="zh-CN"/>
              </w:rPr>
              <w:t>0.5</w:t>
            </w:r>
            <w:r>
              <w:rPr>
                <w:rFonts w:hint="eastAsia" w:ascii="微软雅黑" w:hAnsi="微软雅黑" w:eastAsia="微软雅黑" w:cs="微软雅黑"/>
                <w:color w:val="auto"/>
                <w:sz w:val="22"/>
                <w:szCs w:val="22"/>
                <w:lang w:eastAsia="zh-CN"/>
              </w:rPr>
              <w:t>%；由中标单位领取中标通知书时一次性支付。</w:t>
            </w:r>
          </w:p>
          <w:p w14:paraId="7D779838">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支付形式：</w:t>
            </w:r>
            <w:r>
              <w:rPr>
                <w:rFonts w:hint="eastAsia" w:ascii="微软雅黑" w:hAnsi="微软雅黑" w:eastAsia="微软雅黑" w:cs="微软雅黑"/>
                <w:color w:val="auto"/>
                <w:sz w:val="22"/>
                <w:szCs w:val="22"/>
                <w:highlight w:val="none"/>
                <w:u w:val="single"/>
              </w:rPr>
              <w:t xml:space="preserve"> 转账  </w:t>
            </w:r>
          </w:p>
          <w:p w14:paraId="505C92CE">
            <w:pPr>
              <w:pStyle w:val="92"/>
              <w:keepNext w:val="0"/>
              <w:keepLines w:val="0"/>
              <w:pageBreakBefore w:val="0"/>
              <w:kinsoku/>
              <w:wordWrap/>
              <w:topLinePunct w:val="0"/>
              <w:bidi w:val="0"/>
              <w:snapToGrid w:val="0"/>
              <w:spacing w:line="312" w:lineRule="auto"/>
              <w:jc w:val="both"/>
              <w:rPr>
                <w:rFonts w:hint="eastAsia" w:ascii="微软雅黑" w:hAnsi="微软雅黑" w:eastAsia="微软雅黑" w:cs="微软雅黑"/>
                <w:b w:val="0"/>
                <w:bCs w:val="0"/>
                <w:color w:val="auto"/>
                <w:sz w:val="22"/>
                <w:szCs w:val="22"/>
                <w:highlight w:val="none"/>
                <w:lang w:eastAsia="zh-CN"/>
              </w:rPr>
            </w:pPr>
            <w:r>
              <w:rPr>
                <w:rFonts w:hint="eastAsia" w:ascii="微软雅黑" w:hAnsi="微软雅黑" w:eastAsia="微软雅黑" w:cs="微软雅黑"/>
                <w:color w:val="auto"/>
                <w:sz w:val="22"/>
                <w:szCs w:val="22"/>
                <w:highlight w:val="none"/>
              </w:rPr>
              <w:t xml:space="preserve">支付时间： </w:t>
            </w:r>
            <w:r>
              <w:rPr>
                <w:rFonts w:hint="eastAsia" w:ascii="微软雅黑" w:hAnsi="微软雅黑" w:eastAsia="微软雅黑" w:cs="微软雅黑"/>
                <w:color w:val="auto"/>
                <w:sz w:val="22"/>
                <w:szCs w:val="22"/>
                <w:highlight w:val="none"/>
                <w:u w:val="single"/>
              </w:rPr>
              <w:t>领取</w:t>
            </w:r>
            <w:r>
              <w:rPr>
                <w:rFonts w:hint="eastAsia" w:ascii="微软雅黑" w:hAnsi="微软雅黑" w:eastAsia="微软雅黑" w:cs="微软雅黑"/>
                <w:color w:val="auto"/>
                <w:sz w:val="22"/>
                <w:szCs w:val="22"/>
                <w:highlight w:val="none"/>
                <w:u w:val="single"/>
                <w:lang w:eastAsia="zh-CN"/>
              </w:rPr>
              <w:t>中标</w:t>
            </w:r>
            <w:r>
              <w:rPr>
                <w:rFonts w:hint="eastAsia" w:ascii="微软雅黑" w:hAnsi="微软雅黑" w:eastAsia="微软雅黑" w:cs="微软雅黑"/>
                <w:color w:val="auto"/>
                <w:sz w:val="22"/>
                <w:szCs w:val="22"/>
                <w:highlight w:val="none"/>
                <w:u w:val="single"/>
              </w:rPr>
              <w:t>通知书时</w:t>
            </w:r>
          </w:p>
        </w:tc>
      </w:tr>
      <w:tr w14:paraId="56718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8" w:hRule="atLeast"/>
        </w:trPr>
        <w:tc>
          <w:tcPr>
            <w:tcW w:w="940" w:type="dxa"/>
            <w:noWrap w:val="0"/>
            <w:vAlign w:val="center"/>
          </w:tcPr>
          <w:p w14:paraId="1E911D53">
            <w:pPr>
              <w:spacing w:line="240" w:lineRule="auto"/>
              <w:jc w:val="center"/>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33.1</w:t>
            </w:r>
          </w:p>
        </w:tc>
        <w:tc>
          <w:tcPr>
            <w:tcW w:w="8892" w:type="dxa"/>
            <w:noWrap w:val="0"/>
            <w:vAlign w:val="center"/>
          </w:tcPr>
          <w:p w14:paraId="71A191A0">
            <w:pPr>
              <w:keepNext w:val="0"/>
              <w:keepLines w:val="0"/>
              <w:pageBreakBefore w:val="0"/>
              <w:kinsoku/>
              <w:wordWrap/>
              <w:topLinePunct w:val="0"/>
              <w:bidi w:val="0"/>
              <w:snapToGrid w:val="0"/>
              <w:spacing w:line="312" w:lineRule="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本项目是否属于信用担保试点范围：</w:t>
            </w:r>
            <w:r>
              <w:rPr>
                <w:rFonts w:hint="eastAsia" w:ascii="微软雅黑" w:hAnsi="微软雅黑" w:eastAsia="微软雅黑" w:cs="微软雅黑"/>
                <w:b w:val="0"/>
                <w:bCs w:val="0"/>
                <w:color w:val="auto"/>
                <w:sz w:val="22"/>
                <w:szCs w:val="22"/>
                <w:highlight w:val="none"/>
                <w:u w:val="single"/>
              </w:rPr>
              <w:t xml:space="preserve"> </w:t>
            </w:r>
            <w:r>
              <w:rPr>
                <w:rFonts w:hint="eastAsia" w:ascii="微软雅黑" w:hAnsi="微软雅黑" w:eastAsia="微软雅黑" w:cs="微软雅黑"/>
                <w:b w:val="0"/>
                <w:bCs w:val="0"/>
                <w:color w:val="auto"/>
                <w:sz w:val="22"/>
                <w:szCs w:val="22"/>
                <w:highlight w:val="none"/>
                <w:u w:val="single"/>
                <w:lang w:val="en-US" w:eastAsia="zh-CN"/>
              </w:rPr>
              <w:t>否</w:t>
            </w:r>
            <w:r>
              <w:rPr>
                <w:rFonts w:hint="eastAsia" w:ascii="微软雅黑" w:hAnsi="微软雅黑" w:eastAsia="微软雅黑" w:cs="微软雅黑"/>
                <w:b w:val="0"/>
                <w:bCs w:val="0"/>
                <w:color w:val="auto"/>
                <w:sz w:val="22"/>
                <w:szCs w:val="22"/>
                <w:highlight w:val="none"/>
                <w:u w:val="single"/>
              </w:rPr>
              <w:t xml:space="preserve"> </w:t>
            </w:r>
            <w:r>
              <w:rPr>
                <w:rFonts w:hint="eastAsia" w:ascii="微软雅黑" w:hAnsi="微软雅黑" w:eastAsia="微软雅黑" w:cs="微软雅黑"/>
                <w:b w:val="0"/>
                <w:bCs w:val="0"/>
                <w:color w:val="auto"/>
                <w:sz w:val="22"/>
                <w:szCs w:val="22"/>
                <w:highlight w:val="none"/>
              </w:rPr>
              <w:t xml:space="preserve"> </w:t>
            </w:r>
            <w:r>
              <w:rPr>
                <w:rFonts w:hint="eastAsia" w:ascii="微软雅黑" w:hAnsi="微软雅黑" w:eastAsia="微软雅黑" w:cs="微软雅黑"/>
                <w:b w:val="0"/>
                <w:bCs w:val="0"/>
                <w:i/>
                <w:color w:val="auto"/>
                <w:sz w:val="22"/>
                <w:szCs w:val="22"/>
                <w:highlight w:val="none"/>
              </w:rPr>
              <w:t>（是、否）</w:t>
            </w:r>
          </w:p>
        </w:tc>
      </w:tr>
      <w:tr w14:paraId="66ACF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trPr>
        <w:tc>
          <w:tcPr>
            <w:tcW w:w="940" w:type="dxa"/>
            <w:noWrap w:val="0"/>
            <w:vAlign w:val="center"/>
          </w:tcPr>
          <w:p w14:paraId="3EF73B95">
            <w:pPr>
              <w:spacing w:line="240" w:lineRule="auto"/>
              <w:jc w:val="center"/>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36.5</w:t>
            </w:r>
          </w:p>
        </w:tc>
        <w:tc>
          <w:tcPr>
            <w:tcW w:w="8892" w:type="dxa"/>
            <w:noWrap w:val="0"/>
            <w:vAlign w:val="center"/>
          </w:tcPr>
          <w:p w14:paraId="4B36023A">
            <w:pPr>
              <w:pStyle w:val="92"/>
              <w:keepNext w:val="0"/>
              <w:keepLines w:val="0"/>
              <w:pageBreakBefore w:val="0"/>
              <w:kinsoku/>
              <w:wordWrap/>
              <w:topLinePunct w:val="0"/>
              <w:bidi w:val="0"/>
              <w:snapToGrid w:val="0"/>
              <w:spacing w:line="312" w:lineRule="auto"/>
              <w:jc w:val="both"/>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 xml:space="preserve">接收部门：招标项目部  </w:t>
            </w:r>
          </w:p>
          <w:p w14:paraId="688CFD2B">
            <w:pPr>
              <w:pStyle w:val="92"/>
              <w:keepNext w:val="0"/>
              <w:keepLines w:val="0"/>
              <w:pageBreakBefore w:val="0"/>
              <w:kinsoku/>
              <w:wordWrap/>
              <w:topLinePunct w:val="0"/>
              <w:bidi w:val="0"/>
              <w:snapToGrid w:val="0"/>
              <w:spacing w:line="312" w:lineRule="auto"/>
              <w:jc w:val="both"/>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联系电话：0998-5655557</w:t>
            </w:r>
          </w:p>
          <w:p w14:paraId="2DBD4DF0">
            <w:pPr>
              <w:pStyle w:val="92"/>
              <w:keepNext w:val="0"/>
              <w:keepLines w:val="0"/>
              <w:pageBreakBefore w:val="0"/>
              <w:kinsoku/>
              <w:wordWrap/>
              <w:topLinePunct w:val="0"/>
              <w:bidi w:val="0"/>
              <w:snapToGrid w:val="0"/>
              <w:spacing w:line="312" w:lineRule="auto"/>
              <w:jc w:val="both"/>
              <w:rPr>
                <w:rFonts w:hint="eastAsia" w:ascii="微软雅黑" w:hAnsi="微软雅黑" w:eastAsia="微软雅黑" w:cs="微软雅黑"/>
                <w:b w:val="0"/>
                <w:bCs w:val="0"/>
                <w:color w:val="auto"/>
                <w:sz w:val="22"/>
                <w:szCs w:val="22"/>
                <w:highlight w:val="none"/>
                <w:lang w:eastAsia="zh-CN"/>
              </w:rPr>
            </w:pPr>
            <w:r>
              <w:rPr>
                <w:rFonts w:hint="eastAsia" w:ascii="微软雅黑" w:hAnsi="微软雅黑" w:eastAsia="微软雅黑" w:cs="微软雅黑"/>
                <w:b w:val="0"/>
                <w:bCs w:val="0"/>
                <w:color w:val="auto"/>
                <w:sz w:val="22"/>
                <w:szCs w:val="22"/>
                <w:highlight w:val="none"/>
              </w:rPr>
              <w:t>通讯地址：喀什市新城南路5号院金洋芋大厦11楼</w:t>
            </w:r>
          </w:p>
        </w:tc>
      </w:tr>
      <w:tr w14:paraId="1B94D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3" w:hRule="atLeast"/>
        </w:trPr>
        <w:tc>
          <w:tcPr>
            <w:tcW w:w="940" w:type="dxa"/>
            <w:noWrap w:val="0"/>
            <w:vAlign w:val="center"/>
          </w:tcPr>
          <w:p w14:paraId="54CAF61E">
            <w:pPr>
              <w:spacing w:line="240" w:lineRule="auto"/>
              <w:jc w:val="center"/>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国家规定的优先、强制采购范围（节能、环保）</w:t>
            </w:r>
          </w:p>
        </w:tc>
        <w:tc>
          <w:tcPr>
            <w:tcW w:w="8892" w:type="dxa"/>
            <w:noWrap w:val="0"/>
            <w:vAlign w:val="center"/>
          </w:tcPr>
          <w:p w14:paraId="2B2ADDC8">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1.根据《国家市场监督管理总局关于发布强制性产品认证目录描述与界定表的公告》（2023年第36号）要求，本项目采购产品如属于《强制性产品认证目录》、《强制性产品认证目录描述与界定表（2023年修订）》范围内产品的，应取得有效期内的强制性认证证书（CCC认证证书），供应商须在投标文件提供认证证书复印件（加盖公章），否则将被视为无效投标。</w:t>
            </w:r>
          </w:p>
          <w:p w14:paraId="3C069DD9">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default"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2.根据财政部、发展改革委、生态环境部、市场监管总局联合发布的《关于调整优化节能产品、环境标志产品政府采购执行机制的通知》(财库[2019]9号)要求,本项目采购产品如属于《关于印发节能产品政府采购品目清单的通知》（财库[2019]19号）范围内的政府强制采购产品的，应取得有效期内的节能产品认证证书，供应商须在投标文件提供认证证书复印件（加盖公章），否则将被视为无效投标。</w:t>
            </w:r>
          </w:p>
        </w:tc>
      </w:tr>
      <w:tr w14:paraId="43941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3" w:hRule="atLeast"/>
        </w:trPr>
        <w:tc>
          <w:tcPr>
            <w:tcW w:w="940" w:type="dxa"/>
            <w:noWrap w:val="0"/>
            <w:vAlign w:val="center"/>
          </w:tcPr>
          <w:p w14:paraId="003B0FF1">
            <w:pPr>
              <w:spacing w:line="240" w:lineRule="auto"/>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lang w:val="en-US" w:eastAsia="zh-CN"/>
              </w:rPr>
              <w:t>低于成本价不正当竞争预防措施</w:t>
            </w:r>
          </w:p>
        </w:tc>
        <w:tc>
          <w:tcPr>
            <w:tcW w:w="8892" w:type="dxa"/>
            <w:noWrap w:val="0"/>
            <w:vAlign w:val="center"/>
          </w:tcPr>
          <w:p w14:paraId="00F3AC5F">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549DEB">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2.投标人书面说明应当签字确认并且加盖公章，否则无效。书面说明的签字确认，投标人为法人的，由其法定代表人或者代理人签字确认；投标人为其他组织的，由其主要负责人或者代理人签字确认；投标人为自然人的，由其本人或者代理人签字确认。</w:t>
            </w:r>
          </w:p>
          <w:p w14:paraId="411656D3">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lang w:val="en-US" w:eastAsia="zh-CN"/>
              </w:rPr>
              <w:t>3.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5CE20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1" w:hRule="atLeast"/>
        </w:trPr>
        <w:tc>
          <w:tcPr>
            <w:tcW w:w="940" w:type="dxa"/>
            <w:noWrap w:val="0"/>
            <w:vAlign w:val="center"/>
          </w:tcPr>
          <w:p w14:paraId="0204A630">
            <w:pPr>
              <w:spacing w:line="240" w:lineRule="auto"/>
              <w:jc w:val="center"/>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补充</w:t>
            </w:r>
          </w:p>
        </w:tc>
        <w:tc>
          <w:tcPr>
            <w:tcW w:w="8892" w:type="dxa"/>
            <w:noWrap w:val="0"/>
            <w:vAlign w:val="center"/>
          </w:tcPr>
          <w:p w14:paraId="22430B20">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注意事项：</w:t>
            </w:r>
          </w:p>
          <w:p w14:paraId="0A7FD109">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1.电子标书加盖法人章的两种方式:一种为法人 (企业负责人) 电子章；另一种为纸质手写版盖章后扫描，两种方式的任意一种在评审时均予认可。</w:t>
            </w:r>
          </w:p>
          <w:p w14:paraId="4F0B3170">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2.供应商操作指南详见 (新疆政府采购网 (ccgp-xinjiang.gov.cn) ）—办事指南—操作指南。</w:t>
            </w:r>
          </w:p>
          <w:p w14:paraId="0C65069B">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3.系统操作问题请咨询技术支持电话 400-881-7190，CA办理问题请咨询新疆CA服务电话 0991-2819290。</w:t>
            </w:r>
          </w:p>
          <w:p w14:paraId="640DCC91">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4.开标注意事项：</w:t>
            </w:r>
          </w:p>
          <w:p w14:paraId="0D2F7926">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(1)开标时推荐使用Chrome浏览器或360浏览器，且使用的电脑已经安装最新的CA驱动；</w:t>
            </w:r>
          </w:p>
          <w:p w14:paraId="1204C9B7">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(2) 开标时请使用您本次加密使用的CA进行解密；开标及电子保函解密时需使用CA的密码，并确认开标人员已知晓正确的密码。</w:t>
            </w:r>
          </w:p>
          <w:p w14:paraId="090F26B9">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(3) 推荐使用制作生成电子标书的电脑进行解密。</w:t>
            </w:r>
          </w:p>
          <w:p w14:paraId="58CD9D0C">
            <w:pPr>
              <w:pStyle w:val="92"/>
              <w:keepNext w:val="0"/>
              <w:keepLines w:val="0"/>
              <w:pageBreakBefore w:val="0"/>
              <w:widowControl/>
              <w:kinsoku/>
              <w:wordWrap/>
              <w:overflowPunct w:val="0"/>
              <w:topLinePunct w:val="0"/>
              <w:bidi w:val="0"/>
              <w:adjustRightInd w:val="0"/>
              <w:snapToGrid w:val="0"/>
              <w:spacing w:line="312" w:lineRule="auto"/>
              <w:jc w:val="both"/>
              <w:textAlignment w:val="baseline"/>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lang w:val="en-US" w:eastAsia="zh-CN"/>
              </w:rPr>
              <w:t>(4) 开标解密路径：登录政采云平台，进入【项目采购】应用—【开标评标】菜单—【进入开标大厅】页面，找到当天开标的项目。</w:t>
            </w:r>
          </w:p>
        </w:tc>
      </w:tr>
    </w:tbl>
    <w:p w14:paraId="5A96D5FE">
      <w:pPr>
        <w:spacing w:line="240" w:lineRule="atLeast"/>
        <w:rPr>
          <w:rFonts w:hint="eastAsia" w:ascii="宋体" w:hAnsi="宋体" w:eastAsia="宋体" w:cs="宋体"/>
          <w:b/>
          <w:bCs/>
          <w:color w:val="auto"/>
          <w:sz w:val="28"/>
          <w:szCs w:val="28"/>
          <w:highlight w:val="none"/>
        </w:rPr>
        <w:sectPr>
          <w:pgSz w:w="11906" w:h="16838"/>
          <w:pgMar w:top="1440" w:right="1080" w:bottom="1440" w:left="1080" w:header="851" w:footer="992" w:gutter="0"/>
          <w:pgNumType w:fmt="decimal"/>
          <w:cols w:space="720" w:num="1"/>
          <w:docGrid w:linePitch="312" w:charSpace="0"/>
        </w:sectPr>
      </w:pPr>
    </w:p>
    <w:p w14:paraId="7EA8C301">
      <w:pPr>
        <w:pStyle w:val="2"/>
        <w:tabs>
          <w:tab w:val="left" w:pos="0"/>
        </w:tabs>
        <w:spacing w:before="0" w:after="0" w:line="240" w:lineRule="atLeast"/>
        <w:jc w:val="center"/>
        <w:rPr>
          <w:rFonts w:hint="eastAsia" w:ascii="宋体" w:hAnsi="宋体" w:eastAsia="宋体" w:cs="宋体"/>
          <w:b/>
          <w:color w:val="auto"/>
          <w:sz w:val="24"/>
          <w:szCs w:val="24"/>
          <w:highlight w:val="none"/>
        </w:rPr>
      </w:pPr>
      <w:bookmarkStart w:id="491" w:name="_Toc19605"/>
      <w:bookmarkStart w:id="492" w:name="_Toc22779"/>
      <w:bookmarkStart w:id="493" w:name="_Toc512937852"/>
      <w:bookmarkStart w:id="494" w:name="_Toc7095"/>
      <w:bookmarkStart w:id="495" w:name="_Toc31413"/>
      <w:bookmarkStart w:id="496" w:name="_Toc23695"/>
      <w:r>
        <w:rPr>
          <w:rFonts w:hint="eastAsia" w:ascii="微软雅黑" w:hAnsi="微软雅黑" w:eastAsia="微软雅黑" w:cs="微软雅黑"/>
          <w:color w:val="auto"/>
          <w:kern w:val="0"/>
          <w:sz w:val="32"/>
          <w:szCs w:val="32"/>
          <w:highlight w:val="none"/>
        </w:rPr>
        <w:t>第</w:t>
      </w:r>
      <w:r>
        <w:rPr>
          <w:rFonts w:hint="eastAsia" w:ascii="微软雅黑" w:hAnsi="微软雅黑" w:eastAsia="微软雅黑" w:cs="微软雅黑"/>
          <w:color w:val="auto"/>
          <w:kern w:val="0"/>
          <w:sz w:val="32"/>
          <w:szCs w:val="32"/>
          <w:highlight w:val="none"/>
          <w:lang w:val="en-US" w:eastAsia="zh-CN"/>
        </w:rPr>
        <w:t>5</w:t>
      </w:r>
      <w:r>
        <w:rPr>
          <w:rFonts w:hint="eastAsia" w:ascii="微软雅黑" w:hAnsi="微软雅黑" w:eastAsia="微软雅黑" w:cs="微软雅黑"/>
          <w:color w:val="auto"/>
          <w:kern w:val="0"/>
          <w:sz w:val="32"/>
          <w:szCs w:val="32"/>
          <w:highlight w:val="none"/>
        </w:rPr>
        <w:t>章</w:t>
      </w:r>
      <w:r>
        <w:rPr>
          <w:rFonts w:hint="eastAsia" w:ascii="微软雅黑" w:hAnsi="微软雅黑" w:eastAsia="微软雅黑" w:cs="微软雅黑"/>
          <w:color w:val="auto"/>
          <w:kern w:val="0"/>
          <w:sz w:val="32"/>
          <w:szCs w:val="32"/>
          <w:highlight w:val="none"/>
          <w:lang w:val="en-US" w:eastAsia="zh-CN"/>
        </w:rPr>
        <w:t xml:space="preserve">  </w:t>
      </w:r>
      <w:bookmarkEnd w:id="491"/>
      <w:bookmarkEnd w:id="492"/>
      <w:bookmarkEnd w:id="493"/>
      <w:bookmarkEnd w:id="494"/>
      <w:bookmarkEnd w:id="495"/>
      <w:bookmarkEnd w:id="496"/>
      <w:bookmarkStart w:id="497" w:name="_Toc9311_WPSOffice_Level2"/>
      <w:bookmarkStart w:id="498" w:name="_Toc17128"/>
      <w:bookmarkStart w:id="499" w:name="_Toc2221"/>
      <w:bookmarkStart w:id="500" w:name="_Toc13668"/>
      <w:bookmarkStart w:id="501" w:name="_Toc6847"/>
      <w:bookmarkStart w:id="502" w:name="_Toc2846"/>
      <w:bookmarkStart w:id="503" w:name="_Toc19304"/>
      <w:bookmarkStart w:id="504" w:name="_Toc32071"/>
      <w:bookmarkStart w:id="505" w:name="_Toc18574"/>
      <w:r>
        <w:rPr>
          <w:rFonts w:hint="eastAsia" w:ascii="微软雅黑" w:hAnsi="微软雅黑" w:eastAsia="微软雅黑" w:cs="微软雅黑"/>
          <w:b/>
          <w:color w:val="auto"/>
          <w:kern w:val="0"/>
          <w:sz w:val="32"/>
          <w:szCs w:val="32"/>
          <w:highlight w:val="none"/>
          <w:lang w:val="en-US" w:eastAsia="zh-CN"/>
        </w:rPr>
        <w:t>货物内容及项目要求</w:t>
      </w:r>
    </w:p>
    <w:bookmarkEnd w:id="497"/>
    <w:p w14:paraId="45402EDB">
      <w:pPr>
        <w:keepNext w:val="0"/>
        <w:keepLines w:val="0"/>
        <w:pageBreakBefore w:val="0"/>
        <w:widowControl/>
        <w:suppressLineNumbers w:val="0"/>
        <w:kinsoku/>
        <w:wordWrap/>
        <w:overflowPunct/>
        <w:topLinePunct w:val="0"/>
        <w:autoSpaceDE/>
        <w:autoSpaceDN/>
        <w:bidi w:val="0"/>
        <w:adjustRightInd/>
        <w:snapToGrid w:val="0"/>
        <w:spacing w:line="264" w:lineRule="auto"/>
        <w:jc w:val="left"/>
        <w:textAlignment w:val="auto"/>
        <w:rPr>
          <w:rFonts w:hint="eastAsia" w:ascii="微软雅黑" w:hAnsi="微软雅黑" w:eastAsia="微软雅黑" w:cs="微软雅黑"/>
          <w:b/>
          <w:bCs/>
          <w:color w:val="auto"/>
          <w:kern w:val="2"/>
          <w:sz w:val="28"/>
          <w:szCs w:val="21"/>
          <w:highlight w:val="none"/>
          <w:lang w:val="en-US" w:eastAsia="zh-CN" w:bidi="ar-SA"/>
        </w:rPr>
      </w:pPr>
      <w:r>
        <w:rPr>
          <w:rFonts w:hint="eastAsia" w:ascii="微软雅黑" w:hAnsi="微软雅黑" w:eastAsia="微软雅黑" w:cs="微软雅黑"/>
          <w:b/>
          <w:bCs/>
          <w:color w:val="auto"/>
          <w:kern w:val="2"/>
          <w:sz w:val="24"/>
          <w:szCs w:val="20"/>
          <w:highlight w:val="none"/>
          <w:lang w:val="en-US" w:eastAsia="zh-CN" w:bidi="ar-SA"/>
        </w:rPr>
        <w:t>一、总则</w:t>
      </w:r>
      <w:r>
        <w:rPr>
          <w:rFonts w:hint="eastAsia" w:ascii="微软雅黑" w:hAnsi="微软雅黑" w:eastAsia="微软雅黑" w:cs="微软雅黑"/>
          <w:b/>
          <w:bCs/>
          <w:color w:val="auto"/>
          <w:kern w:val="2"/>
          <w:sz w:val="28"/>
          <w:szCs w:val="21"/>
          <w:highlight w:val="none"/>
          <w:lang w:val="en-US" w:eastAsia="zh-CN" w:bidi="ar-SA"/>
        </w:rPr>
        <w:t xml:space="preserve"> </w:t>
      </w:r>
    </w:p>
    <w:p w14:paraId="4848A54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1.本章条款仅限于</w:t>
      </w:r>
      <w:r>
        <w:rPr>
          <w:rFonts w:hint="eastAsia" w:ascii="微软雅黑" w:hAnsi="微软雅黑" w:eastAsia="微软雅黑" w:cs="微软雅黑"/>
          <w:b w:val="0"/>
          <w:bCs w:val="0"/>
          <w:color w:val="auto"/>
          <w:kern w:val="2"/>
          <w:sz w:val="22"/>
          <w:szCs w:val="18"/>
          <w:highlight w:val="none"/>
          <w:lang w:eastAsia="zh-CN" w:bidi="ar-SA"/>
        </w:rPr>
        <w:t>喀什市新能源公交车采购项目（二次）</w:t>
      </w:r>
      <w:r>
        <w:rPr>
          <w:rFonts w:hint="eastAsia" w:ascii="微软雅黑" w:hAnsi="微软雅黑" w:eastAsia="微软雅黑" w:cs="微软雅黑"/>
          <w:b w:val="0"/>
          <w:bCs w:val="0"/>
          <w:color w:val="auto"/>
          <w:kern w:val="2"/>
          <w:sz w:val="22"/>
          <w:szCs w:val="18"/>
          <w:highlight w:val="none"/>
          <w:lang w:val="en-US" w:eastAsia="zh-CN" w:bidi="ar-SA"/>
        </w:rPr>
        <w:t xml:space="preserve">。 </w:t>
      </w:r>
    </w:p>
    <w:p w14:paraId="10BC542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2.项目实施方向：贯彻落实国家公共交通优先发展战略，缓解城市交通拥堵和资源环境压力，推进新时期我国城市公共交通又好又快发展的重大举措，也是落实科学发展观和生态文明建设理念的具体行动。较好的满足广大人民群众的基本出行需求。</w:t>
      </w:r>
    </w:p>
    <w:p w14:paraId="556217D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 xml:space="preserve">3.本章条款提出的是最低限度的技术要求，并未对一切技术细节做出规定，也未引述有关规范条文，投标人不得以本文件未提出要求为理由而规避国家和行业强制规范、标准的规定，投标人应保证提供符合本章条款和相关标准的服务。 </w:t>
      </w:r>
    </w:p>
    <w:p w14:paraId="3902E39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 xml:space="preserve">4.如果投标人没有以书面形式对本章条款提出异议，采购人就可以认为投标人提供的成果符合本章条款的要求。 </w:t>
      </w:r>
    </w:p>
    <w:p w14:paraId="5028833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 xml:space="preserve">5.投标人在投标文件中，应对招标文件中的货物进行详细的说明。 </w:t>
      </w:r>
    </w:p>
    <w:p w14:paraId="15FA2E1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 xml:space="preserve">6.在签订合同之后，采购人有权提出因规范标准有变化而产生的一些补充要求。 </w:t>
      </w:r>
    </w:p>
    <w:p w14:paraId="527FDEB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7.本章条款使用标准如与投标人所执行标准发生矛盾时，按较高标准执行。</w:t>
      </w:r>
    </w:p>
    <w:p w14:paraId="616A7D0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8.本项目不接受进口产品参与（进口产品是指通过中国海关报关，验放进入中国境内，且产自关境外的产品）。</w:t>
      </w:r>
    </w:p>
    <w:p w14:paraId="10D97B44">
      <w:pPr>
        <w:pStyle w:val="12"/>
        <w:numPr>
          <w:ilvl w:val="0"/>
          <w:numId w:val="0"/>
        </w:numPr>
        <w:rPr>
          <w:rFonts w:hint="eastAsia" w:ascii="微软雅黑" w:hAnsi="微软雅黑" w:eastAsia="微软雅黑" w:cs="微软雅黑"/>
          <w:b/>
          <w:bCs/>
          <w:color w:val="auto"/>
          <w:kern w:val="2"/>
          <w:sz w:val="24"/>
          <w:szCs w:val="20"/>
          <w:highlight w:val="none"/>
          <w:lang w:val="en-US" w:eastAsia="zh-CN" w:bidi="ar-SA"/>
        </w:rPr>
      </w:pPr>
    </w:p>
    <w:p w14:paraId="7048D663">
      <w:pPr>
        <w:pStyle w:val="12"/>
        <w:numPr>
          <w:ilvl w:val="0"/>
          <w:numId w:val="0"/>
        </w:numPr>
        <w:rPr>
          <w:rFonts w:hint="eastAsia" w:ascii="微软雅黑" w:hAnsi="微软雅黑" w:eastAsia="微软雅黑" w:cs="微软雅黑"/>
          <w:b/>
          <w:bCs/>
          <w:color w:val="auto"/>
          <w:kern w:val="2"/>
          <w:sz w:val="24"/>
          <w:szCs w:val="20"/>
          <w:highlight w:val="none"/>
          <w:lang w:val="en-US" w:eastAsia="zh-CN" w:bidi="ar-SA"/>
        </w:rPr>
        <w:sectPr>
          <w:headerReference r:id="rId25" w:type="default"/>
          <w:footerReference r:id="rId26" w:type="default"/>
          <w:pgSz w:w="11906" w:h="16838"/>
          <w:pgMar w:top="1440" w:right="1080" w:bottom="1440" w:left="1080" w:header="0" w:footer="996" w:gutter="0"/>
          <w:pgNumType w:fmt="decimal"/>
          <w:cols w:space="720" w:num="1"/>
        </w:sectPr>
      </w:pPr>
    </w:p>
    <w:p w14:paraId="3E709654">
      <w:pPr>
        <w:keepNext w:val="0"/>
        <w:keepLines w:val="0"/>
        <w:pageBreakBefore w:val="0"/>
        <w:widowControl/>
        <w:suppressLineNumbers w:val="0"/>
        <w:kinsoku/>
        <w:wordWrap/>
        <w:overflowPunct/>
        <w:topLinePunct w:val="0"/>
        <w:autoSpaceDE/>
        <w:autoSpaceDN/>
        <w:bidi w:val="0"/>
        <w:adjustRightInd/>
        <w:snapToGrid w:val="0"/>
        <w:spacing w:line="264" w:lineRule="auto"/>
        <w:jc w:val="left"/>
        <w:textAlignment w:val="auto"/>
        <w:rPr>
          <w:rFonts w:hint="eastAsia"/>
          <w:color w:val="auto"/>
        </w:rPr>
      </w:pPr>
      <w:r>
        <w:rPr>
          <w:rFonts w:hint="eastAsia" w:ascii="微软雅黑" w:hAnsi="微软雅黑" w:eastAsia="微软雅黑" w:cs="微软雅黑"/>
          <w:b/>
          <w:bCs/>
          <w:color w:val="auto"/>
          <w:kern w:val="2"/>
          <w:sz w:val="24"/>
          <w:szCs w:val="20"/>
          <w:highlight w:val="none"/>
          <w:lang w:val="en-US" w:eastAsia="zh-CN" w:bidi="ar-SA"/>
        </w:rPr>
        <w:t>二、车辆技术配置</w:t>
      </w:r>
    </w:p>
    <w:p w14:paraId="07DDFE56">
      <w:pPr>
        <w:spacing w:line="240" w:lineRule="auto"/>
        <w:jc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8.5米纯电动公交车</w:t>
      </w:r>
    </w:p>
    <w:tbl>
      <w:tblPr>
        <w:tblStyle w:val="41"/>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6202"/>
        <w:gridCol w:w="1732"/>
      </w:tblGrid>
      <w:tr w14:paraId="4A35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4" w:type="dxa"/>
            <w:noWrap w:val="0"/>
            <w:vAlign w:val="center"/>
          </w:tcPr>
          <w:p w14:paraId="58B5A1FE">
            <w:pPr>
              <w:spacing w:line="240" w:lineRule="auto"/>
              <w:ind w:firstLine="315" w:firstLineChars="150"/>
              <w:jc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项目</w:t>
            </w:r>
          </w:p>
        </w:tc>
        <w:tc>
          <w:tcPr>
            <w:tcW w:w="6202" w:type="dxa"/>
            <w:noWrap w:val="0"/>
            <w:vAlign w:val="center"/>
          </w:tcPr>
          <w:p w14:paraId="7C5BA0BA">
            <w:pPr>
              <w:spacing w:line="240" w:lineRule="auto"/>
              <w:ind w:firstLine="315" w:firstLineChars="150"/>
              <w:jc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技术要求</w:t>
            </w:r>
          </w:p>
        </w:tc>
        <w:tc>
          <w:tcPr>
            <w:tcW w:w="1732" w:type="dxa"/>
            <w:noWrap w:val="0"/>
            <w:vAlign w:val="center"/>
          </w:tcPr>
          <w:p w14:paraId="1DA9214D">
            <w:pPr>
              <w:spacing w:line="240" w:lineRule="auto"/>
              <w:jc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质保及其他要求</w:t>
            </w:r>
          </w:p>
        </w:tc>
      </w:tr>
      <w:tr w14:paraId="04E6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738" w:type="dxa"/>
            <w:gridSpan w:val="3"/>
            <w:noWrap w:val="0"/>
            <w:vAlign w:val="center"/>
          </w:tcPr>
          <w:p w14:paraId="1AFB3C85">
            <w:pPr>
              <w:spacing w:line="240" w:lineRule="auto"/>
              <w:jc w:val="center"/>
              <w:rPr>
                <w:rFonts w:hint="eastAsia" w:ascii="微软雅黑" w:hAnsi="微软雅黑" w:eastAsia="微软雅黑" w:cs="微软雅黑"/>
                <w:bCs/>
                <w:color w:val="auto"/>
                <w:sz w:val="21"/>
                <w:szCs w:val="21"/>
              </w:rPr>
            </w:pPr>
            <w:r>
              <w:rPr>
                <w:rFonts w:hint="eastAsia" w:ascii="微软雅黑" w:hAnsi="微软雅黑" w:eastAsia="微软雅黑" w:cs="微软雅黑"/>
                <w:color w:val="auto"/>
                <w:sz w:val="21"/>
                <w:szCs w:val="21"/>
              </w:rPr>
              <w:t>一、整车基本技术参数</w:t>
            </w:r>
          </w:p>
        </w:tc>
      </w:tr>
      <w:tr w14:paraId="7C4A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804" w:type="dxa"/>
            <w:noWrap w:val="0"/>
            <w:vAlign w:val="center"/>
          </w:tcPr>
          <w:p w14:paraId="1C756A8E">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1.车辆长、宽、高</w:t>
            </w:r>
          </w:p>
        </w:tc>
        <w:tc>
          <w:tcPr>
            <w:tcW w:w="6202" w:type="dxa"/>
            <w:noWrap w:val="0"/>
            <w:vAlign w:val="center"/>
          </w:tcPr>
          <w:p w14:paraId="3054D57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w:t>
            </w: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00mm≤长≤8700mm；2</w:t>
            </w: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rPr>
              <w:t>00mm</w:t>
            </w:r>
            <w:r>
              <w:rPr>
                <w:rFonts w:hint="eastAsia" w:ascii="微软雅黑" w:hAnsi="微软雅黑" w:eastAsia="微软雅黑" w:cs="微软雅黑"/>
                <w:color w:val="auto"/>
                <w:sz w:val="21"/>
                <w:szCs w:val="21"/>
              </w:rPr>
              <w:t>≤宽≤2600mm；3050mm≤高≤3</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50。</w:t>
            </w:r>
          </w:p>
        </w:tc>
        <w:tc>
          <w:tcPr>
            <w:tcW w:w="1732" w:type="dxa"/>
            <w:noWrap w:val="0"/>
            <w:vAlign w:val="center"/>
          </w:tcPr>
          <w:p w14:paraId="1A9AF5FB">
            <w:pPr>
              <w:spacing w:line="240" w:lineRule="auto"/>
              <w:jc w:val="left"/>
              <w:rPr>
                <w:rFonts w:hint="eastAsia" w:ascii="微软雅黑" w:hAnsi="微软雅黑" w:eastAsia="微软雅黑" w:cs="微软雅黑"/>
                <w:bCs/>
                <w:color w:val="auto"/>
                <w:sz w:val="21"/>
                <w:szCs w:val="21"/>
              </w:rPr>
            </w:pPr>
          </w:p>
        </w:tc>
      </w:tr>
      <w:tr w14:paraId="3CF3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804" w:type="dxa"/>
            <w:noWrap w:val="0"/>
            <w:vAlign w:val="center"/>
          </w:tcPr>
          <w:p w14:paraId="5F5F59D7">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2.车辆轴距</w:t>
            </w:r>
          </w:p>
        </w:tc>
        <w:tc>
          <w:tcPr>
            <w:tcW w:w="6202" w:type="dxa"/>
            <w:noWrap w:val="0"/>
            <w:vAlign w:val="center"/>
          </w:tcPr>
          <w:p w14:paraId="7496E065">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00mm≤轴距≤5600mm</w:t>
            </w:r>
          </w:p>
        </w:tc>
        <w:tc>
          <w:tcPr>
            <w:tcW w:w="1732" w:type="dxa"/>
            <w:noWrap w:val="0"/>
            <w:vAlign w:val="center"/>
          </w:tcPr>
          <w:p w14:paraId="2E0EDBE0">
            <w:pPr>
              <w:spacing w:line="240" w:lineRule="auto"/>
              <w:jc w:val="left"/>
              <w:rPr>
                <w:rFonts w:hint="eastAsia" w:ascii="微软雅黑" w:hAnsi="微软雅黑" w:eastAsia="微软雅黑" w:cs="微软雅黑"/>
                <w:bCs/>
                <w:color w:val="auto"/>
                <w:sz w:val="21"/>
                <w:szCs w:val="21"/>
              </w:rPr>
            </w:pPr>
          </w:p>
        </w:tc>
      </w:tr>
      <w:tr w14:paraId="3445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691970A4">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3.车身结构</w:t>
            </w:r>
          </w:p>
        </w:tc>
        <w:tc>
          <w:tcPr>
            <w:tcW w:w="6202" w:type="dxa"/>
            <w:noWrap w:val="0"/>
            <w:vAlign w:val="center"/>
          </w:tcPr>
          <w:p w14:paraId="533F97B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全承载式车身</w:t>
            </w:r>
          </w:p>
        </w:tc>
        <w:tc>
          <w:tcPr>
            <w:tcW w:w="1732" w:type="dxa"/>
            <w:noWrap w:val="0"/>
            <w:vAlign w:val="center"/>
          </w:tcPr>
          <w:p w14:paraId="19F329DB">
            <w:pPr>
              <w:spacing w:line="240" w:lineRule="auto"/>
              <w:jc w:val="center"/>
              <w:rPr>
                <w:rFonts w:hint="eastAsia" w:ascii="微软雅黑" w:hAnsi="微软雅黑" w:eastAsia="微软雅黑" w:cs="微软雅黑"/>
                <w:bCs/>
                <w:color w:val="auto"/>
                <w:sz w:val="21"/>
                <w:szCs w:val="21"/>
              </w:rPr>
            </w:pPr>
          </w:p>
        </w:tc>
      </w:tr>
      <w:tr w14:paraId="1CD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7FA4492B">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4.踏步</w:t>
            </w:r>
          </w:p>
        </w:tc>
        <w:tc>
          <w:tcPr>
            <w:tcW w:w="6202" w:type="dxa"/>
            <w:noWrap w:val="0"/>
            <w:vAlign w:val="center"/>
          </w:tcPr>
          <w:p w14:paraId="6B4DCC6A">
            <w:pPr>
              <w:spacing w:line="240" w:lineRule="auto"/>
              <w:jc w:val="both"/>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二</w:t>
            </w:r>
            <w:r>
              <w:rPr>
                <w:rFonts w:hint="eastAsia" w:ascii="微软雅黑" w:hAnsi="微软雅黑" w:eastAsia="微软雅黑" w:cs="微软雅黑"/>
                <w:color w:val="auto"/>
                <w:sz w:val="21"/>
                <w:szCs w:val="21"/>
              </w:rPr>
              <w:t>级踏步</w:t>
            </w:r>
          </w:p>
        </w:tc>
        <w:tc>
          <w:tcPr>
            <w:tcW w:w="1732" w:type="dxa"/>
            <w:noWrap w:val="0"/>
            <w:vAlign w:val="center"/>
          </w:tcPr>
          <w:p w14:paraId="7C5BB951">
            <w:pPr>
              <w:spacing w:line="240" w:lineRule="auto"/>
              <w:jc w:val="center"/>
              <w:rPr>
                <w:rFonts w:hint="eastAsia" w:ascii="微软雅黑" w:hAnsi="微软雅黑" w:eastAsia="微软雅黑" w:cs="微软雅黑"/>
                <w:bCs/>
                <w:color w:val="auto"/>
                <w:sz w:val="21"/>
                <w:szCs w:val="21"/>
                <w:highlight w:val="yellow"/>
              </w:rPr>
            </w:pPr>
          </w:p>
        </w:tc>
      </w:tr>
      <w:tr w14:paraId="3BD9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378F10CB">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5.续驶里程</w:t>
            </w:r>
          </w:p>
        </w:tc>
        <w:tc>
          <w:tcPr>
            <w:tcW w:w="6202" w:type="dxa"/>
            <w:noWrap w:val="0"/>
            <w:vAlign w:val="center"/>
          </w:tcPr>
          <w:p w14:paraId="2A51C341">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t>电动汽车城市综合工况续驶里程</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rPr>
              <w:t>240km</w:t>
            </w:r>
            <w:r>
              <w:rPr>
                <w:rFonts w:hint="eastAsia" w:ascii="微软雅黑" w:hAnsi="微软雅黑" w:eastAsia="微软雅黑" w:cs="微软雅黑"/>
                <w:color w:val="auto"/>
                <w:sz w:val="21"/>
                <w:szCs w:val="21"/>
                <w:highlight w:val="none"/>
                <w:lang w:eastAsia="zh-CN"/>
              </w:rPr>
              <w:t>。</w:t>
            </w:r>
          </w:p>
        </w:tc>
        <w:tc>
          <w:tcPr>
            <w:tcW w:w="1732" w:type="dxa"/>
            <w:noWrap w:val="0"/>
            <w:vAlign w:val="center"/>
          </w:tcPr>
          <w:p w14:paraId="1D556976">
            <w:pPr>
              <w:spacing w:line="240" w:lineRule="auto"/>
              <w:jc w:val="left"/>
              <w:rPr>
                <w:rFonts w:hint="eastAsia" w:ascii="微软雅黑" w:hAnsi="微软雅黑" w:eastAsia="微软雅黑" w:cs="微软雅黑"/>
                <w:bCs/>
                <w:color w:val="auto"/>
                <w:sz w:val="21"/>
                <w:szCs w:val="21"/>
              </w:rPr>
            </w:pPr>
          </w:p>
        </w:tc>
      </w:tr>
      <w:tr w14:paraId="6BC4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04" w:type="dxa"/>
            <w:noWrap w:val="0"/>
            <w:vAlign w:val="center"/>
          </w:tcPr>
          <w:p w14:paraId="22801A6A">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6.安全性</w:t>
            </w:r>
          </w:p>
        </w:tc>
        <w:tc>
          <w:tcPr>
            <w:tcW w:w="6202" w:type="dxa"/>
            <w:noWrap w:val="0"/>
            <w:vAlign w:val="center"/>
          </w:tcPr>
          <w:p w14:paraId="28C65B6E">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一、整体安全要求：车辆技术安全性能均应符合</w:t>
            </w:r>
            <w:r>
              <w:rPr>
                <w:rFonts w:hint="eastAsia" w:ascii="微软雅黑" w:hAnsi="微软雅黑" w:eastAsia="微软雅黑" w:cs="微软雅黑"/>
                <w:color w:val="auto"/>
                <w:sz w:val="21"/>
                <w:szCs w:val="21"/>
                <w:lang w:eastAsia="zh-CN"/>
              </w:rPr>
              <w:t>GB 7258-2023</w:t>
            </w:r>
            <w:r>
              <w:rPr>
                <w:rFonts w:hint="eastAsia" w:ascii="微软雅黑" w:hAnsi="微软雅黑" w:eastAsia="微软雅黑" w:cs="微软雅黑"/>
                <w:color w:val="auto"/>
                <w:sz w:val="21"/>
                <w:szCs w:val="21"/>
              </w:rPr>
              <w:t xml:space="preserve"> 《机动车运行安全技术条件》、GB13094-2017 《客车结构安全要求》、GB38032-2020 《电动客车安全要求》、GB18384-2020 《电动汽车安全要求》、GB 38262-2019《客车内饰材料的燃烧特性》等国家相关标准外，还应满足以下要求：</w:t>
            </w:r>
          </w:p>
          <w:p w14:paraId="1EF95154">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1.车辆的设计必须有良好的防火性能，以便最大限度地防止火灾发生。车辆的设计、制造及所选用的材料、部件必须满足防火、耐火及防烟、防毒的要求；</w:t>
            </w:r>
          </w:p>
          <w:p w14:paraId="2CB52BC0">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2.车辆所使用的电线和电缆应符合国家标准；车辆上所用材料应采用非延燃性材料和防火材料，并提供所选用材料达到相应防火要求的证明；</w:t>
            </w:r>
          </w:p>
          <w:p w14:paraId="2B10A1E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3.高压电气设备应具有人身安全防护措施和警示标识；客车企业应提交整车防火设计方案和技术说明；</w:t>
            </w:r>
          </w:p>
          <w:p w14:paraId="66F4FFA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4.客车企业应提交车辆、各系统和主要部件发生火灾时可能产生的最大发热量的估算值；</w:t>
            </w:r>
          </w:p>
          <w:p w14:paraId="7AC24CB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5.应设置火灾自动报警装置，并与车辆后台系统联动。</w:t>
            </w:r>
          </w:p>
        </w:tc>
        <w:tc>
          <w:tcPr>
            <w:tcW w:w="1732" w:type="dxa"/>
            <w:noWrap w:val="0"/>
            <w:vAlign w:val="center"/>
          </w:tcPr>
          <w:p w14:paraId="34189682">
            <w:pPr>
              <w:spacing w:line="240" w:lineRule="auto"/>
              <w:jc w:val="left"/>
              <w:rPr>
                <w:rFonts w:hint="eastAsia" w:ascii="微软雅黑" w:hAnsi="微软雅黑" w:eastAsia="微软雅黑" w:cs="微软雅黑"/>
                <w:bCs/>
                <w:color w:val="auto"/>
                <w:sz w:val="21"/>
                <w:szCs w:val="21"/>
              </w:rPr>
            </w:pPr>
          </w:p>
        </w:tc>
      </w:tr>
      <w:tr w14:paraId="57D4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9738" w:type="dxa"/>
            <w:gridSpan w:val="3"/>
            <w:noWrap w:val="0"/>
            <w:vAlign w:val="center"/>
          </w:tcPr>
          <w:p w14:paraId="39E00F5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以上整车基本技术参数需提供车型公告或第三方检测报告，未能提供车辆公告或第三方检测报告的，投标人须在投标文件中提供承诺函（承诺所投车型在车辆交付要求的时间节点前获得并提供车辆公告及证明，没有提供的视为无效响应。</w:t>
            </w:r>
          </w:p>
        </w:tc>
      </w:tr>
      <w:tr w14:paraId="3871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9738" w:type="dxa"/>
            <w:gridSpan w:val="3"/>
            <w:noWrap w:val="0"/>
            <w:vAlign w:val="center"/>
          </w:tcPr>
          <w:p w14:paraId="4E5D64BF">
            <w:pPr>
              <w:spacing w:line="240" w:lineRule="auto"/>
              <w:jc w:val="both"/>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二、电机、电池及控制部分</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“三电”系统所有零部件及相关联的总成及附件（含易损件）均质保8年，主要部件明细见质保承诺书。</w:t>
            </w:r>
          </w:p>
        </w:tc>
      </w:tr>
      <w:tr w14:paraId="4D48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587B26F5">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7.驱动电机</w:t>
            </w:r>
          </w:p>
        </w:tc>
        <w:tc>
          <w:tcPr>
            <w:tcW w:w="6202" w:type="dxa"/>
            <w:noWrap w:val="0"/>
            <w:vAlign w:val="center"/>
          </w:tcPr>
          <w:p w14:paraId="07B99C3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永磁同步电机</w:t>
            </w:r>
          </w:p>
          <w:p w14:paraId="018EABD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电机额定功率≥</w:t>
            </w:r>
            <w:r>
              <w:rPr>
                <w:rFonts w:hint="eastAsia" w:ascii="微软雅黑" w:hAnsi="微软雅黑" w:eastAsia="微软雅黑" w:cs="微软雅黑"/>
                <w:color w:val="auto"/>
                <w:sz w:val="21"/>
                <w:szCs w:val="21"/>
                <w:lang w:val="en-US" w:eastAsia="zh-CN"/>
              </w:rPr>
              <w:t>9</w:t>
            </w:r>
            <w:r>
              <w:rPr>
                <w:rFonts w:hint="eastAsia" w:ascii="微软雅黑" w:hAnsi="微软雅黑" w:eastAsia="微软雅黑" w:cs="微软雅黑"/>
                <w:color w:val="auto"/>
                <w:sz w:val="21"/>
                <w:szCs w:val="21"/>
              </w:rPr>
              <w:t>0kW，峰值功率≥16</w:t>
            </w: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 xml:space="preserve">kW </w:t>
            </w:r>
          </w:p>
          <w:p w14:paraId="68A9BBE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防护等级≥IP68（提供第三方机构检测报告）</w:t>
            </w:r>
          </w:p>
          <w:p w14:paraId="7EF7B60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具备缓速器和能量回收功能。 </w:t>
            </w:r>
          </w:p>
          <w:p w14:paraId="029A0BE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采用轻量化驱动电机，性能须满足喀什地区道路满载情况下的运行要求，如不能满足运行要求，供应商承担全部责任。</w:t>
            </w:r>
          </w:p>
          <w:p w14:paraId="5EACB7D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驱动电机冷却系统性能可靠、水箱方便加注冷却液。</w:t>
            </w:r>
          </w:p>
        </w:tc>
        <w:tc>
          <w:tcPr>
            <w:tcW w:w="1732" w:type="dxa"/>
            <w:noWrap w:val="0"/>
            <w:vAlign w:val="center"/>
          </w:tcPr>
          <w:p w14:paraId="52B13BE9">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驱动电机、驱动电机冷却系统、水箱等（整机，含所有材料和保养）质保8年</w:t>
            </w:r>
          </w:p>
        </w:tc>
      </w:tr>
      <w:tr w14:paraId="617B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04" w:type="dxa"/>
            <w:noWrap w:val="0"/>
            <w:vAlign w:val="center"/>
          </w:tcPr>
          <w:p w14:paraId="012FE40D">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8.动力电池</w:t>
            </w:r>
          </w:p>
        </w:tc>
        <w:tc>
          <w:tcPr>
            <w:tcW w:w="6202" w:type="dxa"/>
            <w:noWrap w:val="0"/>
            <w:vAlign w:val="center"/>
          </w:tcPr>
          <w:p w14:paraId="2406DEC1">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动力电池选用质量稳定性及安全性较高的磷酸铁锂</w:t>
            </w:r>
            <w:r>
              <w:rPr>
                <w:rFonts w:hint="eastAsia" w:ascii="微软雅黑" w:hAnsi="微软雅黑" w:eastAsia="微软雅黑" w:cs="微软雅黑"/>
                <w:color w:val="auto"/>
                <w:sz w:val="21"/>
                <w:szCs w:val="21"/>
                <w:lang w:val="en-US" w:eastAsia="zh-CN"/>
              </w:rPr>
              <w:t>电池220度电</w:t>
            </w:r>
            <w:r>
              <w:rPr>
                <w:rFonts w:hint="eastAsia" w:ascii="微软雅黑" w:hAnsi="微软雅黑" w:eastAsia="微软雅黑" w:cs="微软雅黑"/>
                <w:color w:val="auto"/>
                <w:sz w:val="21"/>
                <w:szCs w:val="21"/>
              </w:rPr>
              <w:t>，电池液冷+电池保暖+电池自加热系统；电池</w:t>
            </w:r>
            <w:r>
              <w:rPr>
                <w:rFonts w:hint="eastAsia" w:ascii="微软雅黑" w:hAnsi="微软雅黑" w:eastAsia="微软雅黑" w:cs="微软雅黑"/>
                <w:color w:val="auto"/>
                <w:sz w:val="21"/>
                <w:szCs w:val="21"/>
                <w:lang w:eastAsia="zh-CN"/>
              </w:rPr>
              <w:t>产品</w:t>
            </w:r>
            <w:r>
              <w:rPr>
                <w:rFonts w:hint="eastAsia" w:ascii="微软雅黑" w:hAnsi="微软雅黑" w:eastAsia="微软雅黑" w:cs="微软雅黑"/>
                <w:color w:val="auto"/>
                <w:sz w:val="21"/>
                <w:szCs w:val="21"/>
              </w:rPr>
              <w:t>具备≥IP6</w:t>
            </w:r>
            <w:r>
              <w:rPr>
                <w:rFonts w:hint="eastAsia" w:ascii="微软雅黑" w:hAnsi="微软雅黑" w:eastAsia="微软雅黑" w:cs="微软雅黑"/>
                <w:color w:val="auto"/>
                <w:sz w:val="21"/>
                <w:szCs w:val="21"/>
                <w:lang w:val="en-US" w:eastAsia="zh-CN"/>
              </w:rPr>
              <w:t>7</w:t>
            </w:r>
            <w:r>
              <w:rPr>
                <w:rFonts w:hint="eastAsia" w:ascii="微软雅黑" w:hAnsi="微软雅黑" w:eastAsia="微软雅黑" w:cs="微软雅黑"/>
                <w:color w:val="auto"/>
                <w:sz w:val="21"/>
                <w:szCs w:val="21"/>
              </w:rPr>
              <w:t>防护等级要求（提供证书），电箱集成液冷管道，</w:t>
            </w:r>
            <w:r>
              <w:rPr>
                <w:rFonts w:hint="eastAsia" w:ascii="微软雅黑" w:hAnsi="微软雅黑" w:eastAsia="微软雅黑" w:cs="微软雅黑"/>
                <w:color w:val="auto"/>
                <w:sz w:val="21"/>
                <w:szCs w:val="21"/>
                <w:highlight w:val="none"/>
              </w:rPr>
              <w:t>采用液冷方案，满足</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年或</w:t>
            </w:r>
            <w:r>
              <w:rPr>
                <w:rFonts w:hint="eastAsia" w:ascii="微软雅黑" w:hAnsi="微软雅黑" w:eastAsia="微软雅黑" w:cs="微软雅黑"/>
                <w:color w:val="auto"/>
                <w:sz w:val="21"/>
                <w:szCs w:val="21"/>
                <w:highlight w:val="none"/>
                <w:lang w:val="en-US" w:eastAsia="zh-CN"/>
              </w:rPr>
              <w:t>60</w:t>
            </w:r>
            <w:r>
              <w:rPr>
                <w:rFonts w:hint="eastAsia" w:ascii="微软雅黑" w:hAnsi="微软雅黑" w:eastAsia="微软雅黑" w:cs="微软雅黑"/>
                <w:color w:val="auto"/>
                <w:sz w:val="21"/>
                <w:szCs w:val="21"/>
                <w:highlight w:val="none"/>
              </w:rPr>
              <w:t>万公里衰减不超过30%需求。</w:t>
            </w:r>
          </w:p>
          <w:p w14:paraId="72C7001B">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配电容量≥220kWh。</w:t>
            </w:r>
          </w:p>
          <w:p w14:paraId="1724FB6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能量密度≥1</w:t>
            </w:r>
            <w:r>
              <w:rPr>
                <w:rFonts w:hint="eastAsia" w:ascii="微软雅黑" w:hAnsi="微软雅黑" w:eastAsia="微软雅黑" w:cs="微软雅黑"/>
                <w:color w:val="auto"/>
                <w:sz w:val="21"/>
                <w:szCs w:val="21"/>
                <w:lang w:val="en-US" w:eastAsia="zh-CN"/>
              </w:rPr>
              <w:t>7</w:t>
            </w:r>
            <w:r>
              <w:rPr>
                <w:rFonts w:hint="eastAsia" w:ascii="微软雅黑" w:hAnsi="微软雅黑" w:eastAsia="微软雅黑" w:cs="微软雅黑"/>
                <w:color w:val="auto"/>
                <w:sz w:val="21"/>
                <w:szCs w:val="21"/>
              </w:rPr>
              <w:t>0Wh/kg，</w:t>
            </w:r>
            <w:r>
              <w:rPr>
                <w:rFonts w:hint="eastAsia" w:ascii="微软雅黑" w:hAnsi="微软雅黑" w:eastAsia="微软雅黑" w:cs="微软雅黑"/>
                <w:color w:val="auto"/>
                <w:sz w:val="21"/>
                <w:szCs w:val="21"/>
                <w:highlight w:val="none"/>
              </w:rPr>
              <w:t>电池电芯与电池系统为同一动力电池企业生产</w:t>
            </w:r>
            <w:r>
              <w:rPr>
                <w:rFonts w:hint="eastAsia" w:ascii="微软雅黑" w:hAnsi="微软雅黑" w:eastAsia="微软雅黑" w:cs="微软雅黑"/>
                <w:color w:val="auto"/>
                <w:sz w:val="21"/>
                <w:szCs w:val="21"/>
              </w:rPr>
              <w:t>。</w:t>
            </w:r>
          </w:p>
          <w:p w14:paraId="59F7597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最高工作温度：≥55℃</w:t>
            </w:r>
          </w:p>
          <w:p w14:paraId="03C9E095">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冷却方式：集成液冷</w:t>
            </w:r>
          </w:p>
          <w:p w14:paraId="2290909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质保要求：</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年或</w:t>
            </w:r>
            <w:r>
              <w:rPr>
                <w:rFonts w:hint="eastAsia" w:ascii="微软雅黑" w:hAnsi="微软雅黑" w:eastAsia="微软雅黑" w:cs="微软雅黑"/>
                <w:color w:val="auto"/>
                <w:sz w:val="21"/>
                <w:szCs w:val="21"/>
                <w:highlight w:val="none"/>
                <w:lang w:val="en-US" w:eastAsia="zh-CN"/>
              </w:rPr>
              <w:t>60</w:t>
            </w:r>
            <w:r>
              <w:rPr>
                <w:rFonts w:hint="eastAsia" w:ascii="微软雅黑" w:hAnsi="微软雅黑" w:eastAsia="微软雅黑" w:cs="微软雅黑"/>
                <w:color w:val="auto"/>
                <w:sz w:val="21"/>
                <w:szCs w:val="21"/>
                <w:highlight w:val="none"/>
              </w:rPr>
              <w:t>万公里衰减度不超过总储电量30%</w:t>
            </w:r>
            <w:r>
              <w:rPr>
                <w:rFonts w:hint="eastAsia" w:ascii="微软雅黑" w:hAnsi="微软雅黑" w:eastAsia="微软雅黑" w:cs="微软雅黑"/>
                <w:color w:val="auto"/>
                <w:sz w:val="21"/>
                <w:szCs w:val="21"/>
              </w:rPr>
              <w:t>；当衰减度超过总储电量的30%时，非人为因素导致的性能衰减，应更换电池。单体电压满足一致性要求，因单体电压过低、过高、压差过大等因素造成续航里程减少的，视同电池衰减，存在安全隐患的立即更换。</w:t>
            </w:r>
          </w:p>
          <w:p w14:paraId="1A563484">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电池箱应拆卸方便。电池性能需满足本地区高温、多雨、多雷电等环境的安全使用需求。</w:t>
            </w:r>
          </w:p>
          <w:p w14:paraId="2090840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电池管理系统：具备关电源总闸充电功能</w:t>
            </w:r>
          </w:p>
          <w:p w14:paraId="5BBE169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产品名称：动力电池液冷热管理系统</w:t>
            </w:r>
          </w:p>
        </w:tc>
        <w:tc>
          <w:tcPr>
            <w:tcW w:w="1732" w:type="dxa"/>
            <w:noWrap w:val="0"/>
            <w:vAlign w:val="center"/>
          </w:tcPr>
          <w:p w14:paraId="4768A178">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电池管理系统（包括感应器、模块、保险、电池冷却系统部件）质保</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年或</w:t>
            </w:r>
            <w:r>
              <w:rPr>
                <w:rFonts w:hint="eastAsia" w:ascii="微软雅黑" w:hAnsi="微软雅黑" w:eastAsia="微软雅黑" w:cs="微软雅黑"/>
                <w:color w:val="auto"/>
                <w:sz w:val="21"/>
                <w:szCs w:val="21"/>
                <w:highlight w:val="none"/>
                <w:lang w:val="en-US" w:eastAsia="zh-CN"/>
              </w:rPr>
              <w:t>60</w:t>
            </w:r>
            <w:r>
              <w:rPr>
                <w:rFonts w:hint="eastAsia" w:ascii="微软雅黑" w:hAnsi="微软雅黑" w:eastAsia="微软雅黑" w:cs="微软雅黑"/>
                <w:color w:val="auto"/>
                <w:sz w:val="21"/>
                <w:szCs w:val="21"/>
                <w:highlight w:val="none"/>
              </w:rPr>
              <w:t>万公里</w:t>
            </w:r>
            <w:r>
              <w:rPr>
                <w:rFonts w:hint="eastAsia" w:ascii="微软雅黑" w:hAnsi="微软雅黑" w:eastAsia="微软雅黑" w:cs="微软雅黑"/>
                <w:color w:val="auto"/>
                <w:sz w:val="21"/>
                <w:szCs w:val="21"/>
              </w:rPr>
              <w:t>。</w:t>
            </w:r>
          </w:p>
          <w:p w14:paraId="11D90235">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电池报废后</w:t>
            </w:r>
            <w:r>
              <w:rPr>
                <w:rFonts w:hint="eastAsia" w:ascii="微软雅黑" w:hAnsi="微软雅黑" w:eastAsia="微软雅黑" w:cs="微软雅黑"/>
                <w:color w:val="auto"/>
                <w:sz w:val="21"/>
                <w:szCs w:val="21"/>
                <w:lang w:val="en-US" w:eastAsia="zh-CN"/>
              </w:rPr>
              <w:t>应</w:t>
            </w:r>
            <w:r>
              <w:rPr>
                <w:rFonts w:hint="eastAsia" w:ascii="微软雅黑" w:hAnsi="微软雅黑" w:eastAsia="微软雅黑" w:cs="微软雅黑"/>
                <w:color w:val="auto"/>
                <w:sz w:val="21"/>
                <w:szCs w:val="21"/>
              </w:rPr>
              <w:t>按当期国家规范进行处置。</w:t>
            </w:r>
          </w:p>
          <w:p w14:paraId="26AAAF21">
            <w:pPr>
              <w:spacing w:line="240" w:lineRule="auto"/>
              <w:ind w:firstLine="315" w:firstLineChars="150"/>
              <w:jc w:val="left"/>
              <w:rPr>
                <w:rFonts w:hint="eastAsia" w:ascii="微软雅黑" w:hAnsi="微软雅黑" w:eastAsia="微软雅黑" w:cs="微软雅黑"/>
                <w:color w:val="auto"/>
                <w:sz w:val="21"/>
                <w:szCs w:val="21"/>
              </w:rPr>
            </w:pPr>
          </w:p>
        </w:tc>
      </w:tr>
      <w:tr w14:paraId="4772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1804" w:type="dxa"/>
            <w:noWrap w:val="0"/>
            <w:vAlign w:val="center"/>
          </w:tcPr>
          <w:p w14:paraId="420014E6">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9.电池箱</w:t>
            </w:r>
          </w:p>
        </w:tc>
        <w:tc>
          <w:tcPr>
            <w:tcW w:w="6202" w:type="dxa"/>
            <w:noWrap w:val="0"/>
            <w:vAlign w:val="center"/>
          </w:tcPr>
          <w:p w14:paraId="1D8E672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动力电池箱具备防水、防尘功能，并应安装热失控预警、火灾报警、火灾抑制等功能的电池箱专用自动灭火装置，具有早期火灾检测自动报警功能，应在驾驶区给驾驶员提供声或光报警信号，确保在热事故信号发生后5分钟内不发生外部起火或爆炸情况，防护等级≥IP68。（须提供第三方检测机构出具检测报告等证明材料）。</w:t>
            </w:r>
          </w:p>
          <w:p w14:paraId="219F9C78">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灭火装置和探测装置都需取得《消防产品技术鉴定证书》，灭火装置和灭火剂应符合现行国家标准（须出具证书），电池舱按标准配备具有火灾报警功能和灭火功能的自动灭火系统。</w:t>
            </w:r>
          </w:p>
        </w:tc>
        <w:tc>
          <w:tcPr>
            <w:tcW w:w="1732" w:type="dxa"/>
            <w:noWrap w:val="0"/>
            <w:vAlign w:val="center"/>
          </w:tcPr>
          <w:p w14:paraId="08432CD9">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电池箱专用自动报警、灭火装置质保8年。</w:t>
            </w:r>
          </w:p>
        </w:tc>
      </w:tr>
      <w:tr w14:paraId="1F0C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804" w:type="dxa"/>
            <w:noWrap w:val="0"/>
            <w:vAlign w:val="center"/>
          </w:tcPr>
          <w:p w14:paraId="77F376DD">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10.电池舱</w:t>
            </w:r>
          </w:p>
        </w:tc>
        <w:tc>
          <w:tcPr>
            <w:tcW w:w="6202" w:type="dxa"/>
            <w:noWrap w:val="0"/>
            <w:vAlign w:val="center"/>
          </w:tcPr>
          <w:p w14:paraId="394EF69B">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符合包括但不限于以下国家技术标准及行业标准要求（如有更新，应符合最新文件要求），电池舱与乘客舱完全隔离，并在电池舱内壁加装隔热防火材料，隔热防火材料满足GB 38262-2019《客车内饰材料的燃烧特性》的要求，电池安装部位加装防撞梁；</w:t>
            </w:r>
          </w:p>
          <w:p w14:paraId="74B82632">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XF 602-2023《干粉灭火装置》</w:t>
            </w:r>
            <w:r>
              <w:rPr>
                <w:rFonts w:hint="eastAsia" w:ascii="微软雅黑" w:hAnsi="微软雅黑" w:eastAsia="微软雅黑" w:cs="微软雅黑"/>
                <w:color w:val="auto"/>
                <w:sz w:val="21"/>
                <w:szCs w:val="21"/>
              </w:rPr>
              <w:t>、XF578-2023《超细干粉灭火剂》、</w:t>
            </w:r>
            <w:r>
              <w:rPr>
                <w:rFonts w:hint="eastAsia" w:ascii="微软雅黑" w:hAnsi="微软雅黑" w:eastAsia="微软雅黑" w:cs="微软雅黑"/>
                <w:color w:val="auto"/>
                <w:sz w:val="21"/>
                <w:szCs w:val="21"/>
                <w:lang w:eastAsia="zh-CN"/>
              </w:rPr>
              <w:t>GB 7258-2023</w:t>
            </w:r>
            <w:r>
              <w:rPr>
                <w:rFonts w:hint="eastAsia" w:ascii="微软雅黑" w:hAnsi="微软雅黑" w:eastAsia="微软雅黑" w:cs="微软雅黑"/>
                <w:color w:val="auto"/>
                <w:sz w:val="21"/>
                <w:szCs w:val="21"/>
              </w:rPr>
              <w:t>《机动车运行安全技术条件》、JT/T1240-2019《城市公共汽电车车辆专用安全设施技术要求》等。</w:t>
            </w:r>
          </w:p>
          <w:p w14:paraId="46C434E1">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灭火剂喷射时间≤5S；</w:t>
            </w:r>
          </w:p>
          <w:p w14:paraId="6CA64096">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直喷式全淹没保护容积≥1.6m³；管(道)网式全淹没保护容积≥2.5m³；</w:t>
            </w:r>
          </w:p>
          <w:p w14:paraId="658C9C16">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喷射剩余率不得大于5%；</w:t>
            </w:r>
          </w:p>
          <w:p w14:paraId="3DD18135">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灭火剂</w:t>
            </w:r>
            <w:r>
              <w:rPr>
                <w:rFonts w:hint="eastAsia" w:ascii="微软雅黑" w:hAnsi="微软雅黑" w:eastAsia="微软雅黑" w:cs="微软雅黑"/>
                <w:color w:val="auto"/>
                <w:sz w:val="21"/>
                <w:szCs w:val="21"/>
                <w:lang w:val="en-US" w:eastAsia="zh-CN"/>
              </w:rPr>
              <w:t>符合国家标准灭火效能</w:t>
            </w:r>
            <w:r>
              <w:rPr>
                <w:rFonts w:hint="eastAsia" w:ascii="微软雅黑" w:hAnsi="微软雅黑" w:eastAsia="微软雅黑" w:cs="微软雅黑"/>
                <w:color w:val="auto"/>
                <w:sz w:val="21"/>
                <w:szCs w:val="21"/>
              </w:rPr>
              <w:t>；</w:t>
            </w:r>
          </w:p>
          <w:p w14:paraId="6347E292">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 具备十年有效期检验报告</w:t>
            </w:r>
          </w:p>
          <w:p w14:paraId="57610520">
            <w:pPr>
              <w:spacing w:line="240" w:lineRule="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7.采用非储压自动灭火装置。</w:t>
            </w:r>
          </w:p>
        </w:tc>
        <w:tc>
          <w:tcPr>
            <w:tcW w:w="1732" w:type="dxa"/>
            <w:noWrap w:val="0"/>
            <w:vAlign w:val="center"/>
          </w:tcPr>
          <w:p w14:paraId="315CC001">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自动灭火系统</w:t>
            </w:r>
            <w:r>
              <w:rPr>
                <w:rFonts w:hint="eastAsia" w:ascii="微软雅黑" w:hAnsi="微软雅黑" w:eastAsia="微软雅黑" w:cs="微软雅黑"/>
                <w:color w:val="auto"/>
                <w:sz w:val="21"/>
                <w:szCs w:val="21"/>
                <w:highlight w:val="none"/>
              </w:rPr>
              <w:t>质保终身</w:t>
            </w:r>
            <w:r>
              <w:rPr>
                <w:rFonts w:hint="eastAsia" w:ascii="微软雅黑" w:hAnsi="微软雅黑" w:eastAsia="微软雅黑" w:cs="微软雅黑"/>
                <w:color w:val="auto"/>
                <w:sz w:val="21"/>
                <w:szCs w:val="21"/>
              </w:rPr>
              <w:t>，设备质保8年。</w:t>
            </w:r>
          </w:p>
        </w:tc>
      </w:tr>
      <w:tr w14:paraId="75AC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4FBC227A">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11.电控部分</w:t>
            </w:r>
          </w:p>
        </w:tc>
        <w:tc>
          <w:tcPr>
            <w:tcW w:w="6202" w:type="dxa"/>
            <w:noWrap w:val="0"/>
            <w:vAlign w:val="center"/>
          </w:tcPr>
          <w:p w14:paraId="733E883E">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1、控制系统：高度集成</w:t>
            </w:r>
            <w:r>
              <w:rPr>
                <w:rFonts w:hint="eastAsia" w:ascii="微软雅黑" w:hAnsi="微软雅黑" w:eastAsia="微软雅黑" w:cs="微软雅黑"/>
                <w:color w:val="auto"/>
                <w:sz w:val="21"/>
                <w:szCs w:val="21"/>
                <w:highlight w:val="none"/>
              </w:rPr>
              <w:t>五合一控制器</w:t>
            </w:r>
            <w:r>
              <w:rPr>
                <w:rFonts w:hint="eastAsia" w:ascii="微软雅黑" w:hAnsi="微软雅黑" w:eastAsia="微软雅黑" w:cs="微软雅黑"/>
                <w:color w:val="auto"/>
                <w:sz w:val="21"/>
                <w:szCs w:val="21"/>
              </w:rPr>
              <w:t>，防护等级≥IP68；</w:t>
            </w:r>
          </w:p>
          <w:p w14:paraId="76E45A6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2、采用双手柄集成式维修开关，分别控制整车电池的正、负两极的通断，车辆维修或发生异常时，可手动断开供电正负极机械开关，保证高压安全。</w:t>
            </w:r>
          </w:p>
          <w:p w14:paraId="1467D29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采用优质产品，配置集成控制器，所有高压零部件及系统防护等级≥IP68；高压线束和控制线束单独铺设，用波纹管包裹，排列整齐，防震动设计，固定牢固，绝缘防护良好，设高压断电开关便于维修。尾仓有电控防撞保护装置，按规范安装自动灭火装置。配置上坡辅助系统，保证车辆上坡起步不能后滑。具备机械电源开关断开状态充电安全性能。</w:t>
            </w:r>
          </w:p>
          <w:p w14:paraId="3B2AD9BB">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车辆应通过涉水试验，涉水深度不低于300mm（提供证明材料）。</w:t>
            </w:r>
          </w:p>
        </w:tc>
        <w:tc>
          <w:tcPr>
            <w:tcW w:w="1732" w:type="dxa"/>
            <w:noWrap w:val="0"/>
            <w:vAlign w:val="center"/>
          </w:tcPr>
          <w:p w14:paraId="373C4AE1">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电控线束、高压保险、继电器散热装置、插接件、控制器、上坡辅助系统及相关所有零部件质保8年</w:t>
            </w:r>
          </w:p>
        </w:tc>
      </w:tr>
      <w:tr w14:paraId="6FC8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04" w:type="dxa"/>
            <w:noWrap w:val="0"/>
            <w:vAlign w:val="center"/>
          </w:tcPr>
          <w:p w14:paraId="6CE62AF7">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12.低压配电盒</w:t>
            </w:r>
          </w:p>
        </w:tc>
        <w:tc>
          <w:tcPr>
            <w:tcW w:w="6202" w:type="dxa"/>
            <w:noWrap w:val="0"/>
            <w:vAlign w:val="center"/>
          </w:tcPr>
          <w:p w14:paraId="6C99A91B">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中央电器盒及后封闭电器盒质保8年</w:t>
            </w:r>
          </w:p>
        </w:tc>
        <w:tc>
          <w:tcPr>
            <w:tcW w:w="1732" w:type="dxa"/>
            <w:noWrap w:val="0"/>
            <w:vAlign w:val="center"/>
          </w:tcPr>
          <w:p w14:paraId="0B4B287F">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41F7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04" w:type="dxa"/>
            <w:noWrap w:val="0"/>
            <w:vAlign w:val="center"/>
          </w:tcPr>
          <w:p w14:paraId="2273CAE3">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13.充电口</w:t>
            </w:r>
          </w:p>
        </w:tc>
        <w:tc>
          <w:tcPr>
            <w:tcW w:w="6202" w:type="dxa"/>
            <w:noWrap w:val="0"/>
            <w:vAlign w:val="center"/>
          </w:tcPr>
          <w:p w14:paraId="09520A0A">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符合GB/T20234.3</w:t>
            </w:r>
            <w:r>
              <w:rPr>
                <w:rFonts w:hint="eastAsia" w:ascii="微软雅黑" w:hAnsi="微软雅黑" w:eastAsia="微软雅黑" w:cs="微软雅黑"/>
                <w:color w:val="auto"/>
                <w:sz w:val="21"/>
                <w:szCs w:val="21"/>
                <w:lang w:val="en-US" w:eastAsia="zh-CN"/>
              </w:rPr>
              <w:t>-2023</w:t>
            </w:r>
            <w:r>
              <w:rPr>
                <w:rFonts w:hint="eastAsia" w:ascii="微软雅黑" w:hAnsi="微软雅黑" w:eastAsia="微软雅黑" w:cs="微软雅黑"/>
                <w:color w:val="auto"/>
                <w:sz w:val="21"/>
                <w:szCs w:val="21"/>
              </w:rPr>
              <w:t>《电动汽车传导充电用连接装置 第3部分：直流充电接口》标准。</w:t>
            </w:r>
          </w:p>
          <w:p w14:paraId="254BC13A">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在充电枪插入充电口的情况下车辆不能启动，充电完成后所有高低压电自动断电，充电口粘贴高压警示标志，设计合理，防止充电座湿水。充电口维修方便。</w:t>
            </w:r>
          </w:p>
        </w:tc>
        <w:tc>
          <w:tcPr>
            <w:tcW w:w="1732" w:type="dxa"/>
            <w:noWrap w:val="0"/>
            <w:vAlign w:val="center"/>
          </w:tcPr>
          <w:p w14:paraId="0BFB9A1E">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充电口及相关所有零部件质保8年</w:t>
            </w:r>
          </w:p>
        </w:tc>
      </w:tr>
      <w:tr w14:paraId="5F38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1804" w:type="dxa"/>
            <w:noWrap w:val="0"/>
            <w:vAlign w:val="center"/>
          </w:tcPr>
          <w:p w14:paraId="517726AC">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14.远程监控</w:t>
            </w:r>
          </w:p>
        </w:tc>
        <w:tc>
          <w:tcPr>
            <w:tcW w:w="6202" w:type="dxa"/>
            <w:noWrap w:val="0"/>
            <w:vAlign w:val="center"/>
          </w:tcPr>
          <w:p w14:paraId="7ECE5AD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配置符合国家规定的三级远程监控平台及终端系统，提供企业账户给采购人使用至车辆报废，可实时监控，实现数据储存、数据分析、车辆定位、故障报警及统计、能耗分析、安全预警、驾驶行为规范等功能。向采购人监控平台提供以上数据供查询。</w:t>
            </w:r>
          </w:p>
        </w:tc>
        <w:tc>
          <w:tcPr>
            <w:tcW w:w="1732" w:type="dxa"/>
            <w:noWrap w:val="0"/>
            <w:vAlign w:val="center"/>
          </w:tcPr>
          <w:p w14:paraId="2B4C1AD1">
            <w:pPr>
              <w:spacing w:line="240" w:lineRule="auto"/>
              <w:ind w:firstLine="315" w:firstLineChars="150"/>
              <w:jc w:val="left"/>
              <w:rPr>
                <w:rFonts w:hint="eastAsia" w:ascii="微软雅黑" w:hAnsi="微软雅黑" w:eastAsia="微软雅黑" w:cs="微软雅黑"/>
                <w:color w:val="auto"/>
                <w:sz w:val="21"/>
                <w:szCs w:val="21"/>
              </w:rPr>
            </w:pPr>
          </w:p>
        </w:tc>
      </w:tr>
      <w:tr w14:paraId="4D3B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8" w:type="dxa"/>
            <w:gridSpan w:val="3"/>
            <w:noWrap w:val="0"/>
            <w:vAlign w:val="center"/>
          </w:tcPr>
          <w:p w14:paraId="28A91F0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三、底盘</w:t>
            </w:r>
          </w:p>
          <w:p w14:paraId="332AA99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要求：性能可靠、经久耐用、通过性好、噪音低、便于维修保养、便于驾驶员日常维护检查并带上坡辅助功能。</w:t>
            </w:r>
          </w:p>
        </w:tc>
      </w:tr>
      <w:tr w14:paraId="3B3D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04" w:type="dxa"/>
            <w:noWrap w:val="0"/>
            <w:vAlign w:val="center"/>
          </w:tcPr>
          <w:p w14:paraId="1BD5119E">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15.转向系统</w:t>
            </w:r>
          </w:p>
        </w:tc>
        <w:tc>
          <w:tcPr>
            <w:tcW w:w="6202" w:type="dxa"/>
            <w:noWrap w:val="0"/>
            <w:vAlign w:val="center"/>
          </w:tcPr>
          <w:p w14:paraId="780D115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高低压双源助力转向油泵，带延时保障功能（车速大于5km/h，整车高压断电异常情况时，短时间保持转向系统维持助力状态（≥30秒），绝缘性能达到H级。</w:t>
            </w:r>
          </w:p>
        </w:tc>
        <w:tc>
          <w:tcPr>
            <w:tcW w:w="1732" w:type="dxa"/>
            <w:noWrap w:val="0"/>
            <w:vAlign w:val="center"/>
          </w:tcPr>
          <w:p w14:paraId="7E1EC32D">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整体及所有零部件（含油封、油管等易损件）质保8年。</w:t>
            </w:r>
          </w:p>
        </w:tc>
      </w:tr>
      <w:tr w14:paraId="2096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1AB9C2C7">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16.横直拉杆</w:t>
            </w:r>
          </w:p>
        </w:tc>
        <w:tc>
          <w:tcPr>
            <w:tcW w:w="6202" w:type="dxa"/>
            <w:noWrap w:val="0"/>
            <w:vAlign w:val="center"/>
          </w:tcPr>
          <w:p w14:paraId="0D6D8A8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横直拉杆为免维护型；横拉杆两端可拆卸，横直拉杆球头球头总成应为免维护结构。横直拉杆尾节采用可拆卸式。</w:t>
            </w:r>
          </w:p>
        </w:tc>
        <w:tc>
          <w:tcPr>
            <w:tcW w:w="1732" w:type="dxa"/>
            <w:noWrap w:val="0"/>
            <w:vAlign w:val="center"/>
          </w:tcPr>
          <w:p w14:paraId="7D3CD0A0">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质保4年</w:t>
            </w:r>
          </w:p>
        </w:tc>
      </w:tr>
      <w:tr w14:paraId="6C72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04" w:type="dxa"/>
            <w:noWrap w:val="0"/>
            <w:vAlign w:val="center"/>
          </w:tcPr>
          <w:p w14:paraId="27F5A799">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17.电动空压机</w:t>
            </w:r>
          </w:p>
        </w:tc>
        <w:tc>
          <w:tcPr>
            <w:tcW w:w="6202" w:type="dxa"/>
            <w:noWrap w:val="0"/>
            <w:vAlign w:val="center"/>
          </w:tcPr>
          <w:p w14:paraId="7243E05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w:t>
            </w:r>
            <w:r>
              <w:rPr>
                <w:rFonts w:hint="eastAsia" w:ascii="微软雅黑" w:hAnsi="微软雅黑" w:eastAsia="微软雅黑" w:cs="微软雅黑"/>
                <w:color w:val="auto"/>
                <w:sz w:val="21"/>
                <w:szCs w:val="21"/>
                <w:highlight w:val="none"/>
              </w:rPr>
              <w:t>‌GB19153-2019《容积式空气压缩机能效限定值及能效等级》</w:t>
            </w:r>
            <w:r>
              <w:rPr>
                <w:rFonts w:hint="eastAsia" w:ascii="微软雅黑" w:hAnsi="微软雅黑" w:eastAsia="微软雅黑" w:cs="微软雅黑"/>
                <w:color w:val="auto"/>
                <w:sz w:val="21"/>
                <w:szCs w:val="21"/>
              </w:rPr>
              <w:t>标准要求。采取轻量化的设计，其中电机壳体、空压机机体、气缸、缸盖等均为强度铝合金。绝缘等级要达到H级以上，</w:t>
            </w:r>
            <w:r>
              <w:rPr>
                <w:rFonts w:hint="eastAsia" w:ascii="微软雅黑" w:hAnsi="微软雅黑" w:eastAsia="微软雅黑" w:cs="微软雅黑"/>
                <w:color w:val="auto"/>
                <w:sz w:val="21"/>
                <w:szCs w:val="21"/>
                <w:highlight w:val="none"/>
              </w:rPr>
              <w:t>防护等级不低于IP68。</w:t>
            </w:r>
            <w:r>
              <w:rPr>
                <w:rFonts w:hint="eastAsia" w:ascii="微软雅黑" w:hAnsi="微软雅黑" w:eastAsia="微软雅黑" w:cs="微软雅黑"/>
                <w:color w:val="auto"/>
                <w:sz w:val="21"/>
                <w:szCs w:val="21"/>
              </w:rPr>
              <w:t>机组带有超压保护装置（安全阀）。可以在最高工作压力的情况下满负荷连续24时工作。同一车辆1年内因相同故障出现2次维修或2年不同故障3次维修的需要进行全部整体更换，所需费用由供应商承担。</w:t>
            </w:r>
          </w:p>
        </w:tc>
        <w:tc>
          <w:tcPr>
            <w:tcW w:w="1732" w:type="dxa"/>
            <w:noWrap w:val="0"/>
            <w:vAlign w:val="center"/>
          </w:tcPr>
          <w:p w14:paraId="4A48BB50">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2438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804" w:type="dxa"/>
            <w:noWrap w:val="0"/>
            <w:vAlign w:val="center"/>
          </w:tcPr>
          <w:p w14:paraId="07BB5742">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18.制动器</w:t>
            </w:r>
          </w:p>
        </w:tc>
        <w:tc>
          <w:tcPr>
            <w:tcW w:w="6202" w:type="dxa"/>
            <w:noWrap w:val="0"/>
            <w:vAlign w:val="center"/>
          </w:tcPr>
          <w:p w14:paraId="6B3310EE">
            <w:pPr>
              <w:pStyle w:val="11"/>
              <w:spacing w:line="24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前盘，后盘。制动器应具备制动间隙自动调整功能，当行车制动器制动衬片需要更换时，应采用光学或声学的报警装置向在驾驶座上的驾驶人报警。行车制动为前后独立双回路制动系统，采用四回路保护阀。泵、阀件须使用国产优质品牌。制动器采用前、后盘式制动器。制动阀采用吊挂式制动阀。手动截止阀安装在副仪表台前面的位置，方便司机操作。在车头安装单向输气管接头供拖车使用。</w:t>
            </w:r>
          </w:p>
          <w:p w14:paraId="0155B3D2">
            <w:pPr>
              <w:pStyle w:val="11"/>
              <w:spacing w:line="24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2、制动总泵方便维修，驻车功能可通过手刹和EPB按钮操作，自动间隙调整臂，带EBS系统（含ABS制动防抱死系统，确保制动安全；质保按国家标准执行）、蹄片厚度报警系统。</w:t>
            </w:r>
          </w:p>
        </w:tc>
        <w:tc>
          <w:tcPr>
            <w:tcW w:w="1732" w:type="dxa"/>
            <w:noWrap w:val="0"/>
            <w:vAlign w:val="center"/>
          </w:tcPr>
          <w:p w14:paraId="52DB104B">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盘式制动器、EBS 系统质保 3 年（摩擦片除外）</w:t>
            </w:r>
          </w:p>
        </w:tc>
      </w:tr>
      <w:tr w14:paraId="6D6B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804" w:type="dxa"/>
            <w:noWrap w:val="0"/>
            <w:vAlign w:val="center"/>
          </w:tcPr>
          <w:p w14:paraId="7A12664D">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19.制动管路</w:t>
            </w:r>
          </w:p>
        </w:tc>
        <w:tc>
          <w:tcPr>
            <w:tcW w:w="6202" w:type="dxa"/>
            <w:noWrap w:val="0"/>
            <w:vAlign w:val="center"/>
          </w:tcPr>
          <w:p w14:paraId="3AFB356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气管道用铜管，并配置油水分离器、冷凝器，采用双回路气压，整车所有管路固定码应采用螺栓螺母固定，管路排列整齐，相邻固定码间隔不大于800mm；车辆前部安装续气接头。安装储气罐智能排污系统，按储气罐个数（包括再生罐、冷凝罐）配置。</w:t>
            </w:r>
          </w:p>
        </w:tc>
        <w:tc>
          <w:tcPr>
            <w:tcW w:w="1732" w:type="dxa"/>
            <w:noWrap w:val="0"/>
            <w:vAlign w:val="center"/>
          </w:tcPr>
          <w:p w14:paraId="6704EDA6">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储气罐智能排污系统（包括再生罐、冷凝罐）质保8年</w:t>
            </w:r>
          </w:p>
          <w:p w14:paraId="185EB34C">
            <w:pPr>
              <w:spacing w:line="240" w:lineRule="auto"/>
              <w:ind w:firstLine="315" w:firstLineChars="150"/>
              <w:jc w:val="left"/>
              <w:rPr>
                <w:rFonts w:hint="eastAsia" w:ascii="微软雅黑" w:hAnsi="微软雅黑" w:eastAsia="微软雅黑" w:cs="微软雅黑"/>
                <w:color w:val="auto"/>
                <w:sz w:val="21"/>
                <w:szCs w:val="21"/>
              </w:rPr>
            </w:pPr>
          </w:p>
        </w:tc>
      </w:tr>
      <w:tr w14:paraId="4F59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00E01F0F">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20.自动驻车</w:t>
            </w:r>
          </w:p>
        </w:tc>
        <w:tc>
          <w:tcPr>
            <w:tcW w:w="6202" w:type="dxa"/>
            <w:noWrap w:val="0"/>
            <w:vAlign w:val="center"/>
          </w:tcPr>
          <w:p w14:paraId="16810FF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车辆具备停车制动功能，车辆停稳后不拉手刹也能够实现车辆制动，不会溜坡。轻踩油门踏板输出达到最小扭矩即可解除制动，降低司机拥堵跟车时频率拉手刹的驾驶疲劳</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 xml:space="preserve"> </w:t>
            </w:r>
          </w:p>
        </w:tc>
        <w:tc>
          <w:tcPr>
            <w:tcW w:w="1732" w:type="dxa"/>
            <w:noWrap w:val="0"/>
            <w:vAlign w:val="center"/>
          </w:tcPr>
          <w:p w14:paraId="40B70C47">
            <w:pPr>
              <w:spacing w:line="240" w:lineRule="auto"/>
              <w:ind w:firstLine="315" w:firstLineChars="150"/>
              <w:jc w:val="left"/>
              <w:rPr>
                <w:rFonts w:hint="eastAsia" w:ascii="微软雅黑" w:hAnsi="微软雅黑" w:eastAsia="微软雅黑" w:cs="微软雅黑"/>
                <w:color w:val="auto"/>
                <w:sz w:val="21"/>
                <w:szCs w:val="21"/>
              </w:rPr>
            </w:pPr>
          </w:p>
        </w:tc>
      </w:tr>
      <w:tr w14:paraId="20AE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804" w:type="dxa"/>
            <w:noWrap w:val="0"/>
            <w:vAlign w:val="center"/>
          </w:tcPr>
          <w:p w14:paraId="59480A16">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21.智能排水</w:t>
            </w:r>
          </w:p>
        </w:tc>
        <w:tc>
          <w:tcPr>
            <w:tcW w:w="6202" w:type="dxa"/>
            <w:noWrap w:val="0"/>
            <w:vAlign w:val="center"/>
          </w:tcPr>
          <w:p w14:paraId="6559A501">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每个储气筒配电控排水阀一只，通过整车仪表can来控制与识别。外置式结构或内置式结构，外置式排水阀在储气筒外部通过接头引至离地安全距离的部位；内置式排水阀镶嵌于储气筒内部，外露部分只有螺母厚度。防护等级达到IP67以上，具有恒温加热功能，强制排水及电控智能排水功能。性能可靠、电控操作方便、排放快速、布局合理（必须符合国家相关要求）。</w:t>
            </w:r>
          </w:p>
        </w:tc>
        <w:tc>
          <w:tcPr>
            <w:tcW w:w="1732" w:type="dxa"/>
            <w:noWrap w:val="0"/>
            <w:vAlign w:val="center"/>
          </w:tcPr>
          <w:p w14:paraId="13040F28">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52E6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4F258B48">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22.车桥</w:t>
            </w:r>
          </w:p>
        </w:tc>
        <w:tc>
          <w:tcPr>
            <w:tcW w:w="6202" w:type="dxa"/>
            <w:noWrap w:val="0"/>
            <w:vAlign w:val="center"/>
          </w:tcPr>
          <w:p w14:paraId="1E1B9F6A">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前桥额定载荷≥5T，后桥额定载荷≥7T前后桥一体化轴承单元（免维护）。</w:t>
            </w:r>
          </w:p>
        </w:tc>
        <w:tc>
          <w:tcPr>
            <w:tcW w:w="1732" w:type="dxa"/>
            <w:noWrap w:val="0"/>
            <w:vAlign w:val="center"/>
          </w:tcPr>
          <w:p w14:paraId="3F6665F4">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t>车桥整体终身质保</w:t>
            </w:r>
            <w:r>
              <w:rPr>
                <w:rFonts w:hint="eastAsia" w:ascii="微软雅黑" w:hAnsi="微软雅黑" w:eastAsia="微软雅黑" w:cs="微软雅黑"/>
                <w:color w:val="auto"/>
                <w:sz w:val="21"/>
                <w:szCs w:val="21"/>
              </w:rPr>
              <w:t>，免维护（含主减、轮毂）</w:t>
            </w:r>
          </w:p>
        </w:tc>
      </w:tr>
      <w:tr w14:paraId="667F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04" w:type="dxa"/>
            <w:noWrap w:val="0"/>
            <w:vAlign w:val="center"/>
          </w:tcPr>
          <w:p w14:paraId="7E6F2244">
            <w:pPr>
              <w:spacing w:line="240" w:lineRule="auto"/>
              <w:ind w:firstLine="315" w:firstLineChars="15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23.悬挂</w:t>
            </w:r>
          </w:p>
        </w:tc>
        <w:tc>
          <w:tcPr>
            <w:tcW w:w="6202" w:type="dxa"/>
            <w:noWrap w:val="0"/>
            <w:vAlign w:val="center"/>
          </w:tcPr>
          <w:p w14:paraId="47A01581">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复合悬架系统或气囊悬架系统；采用优质强度钢材、高强度紧固件、气囊、高度阀等，配置轻量化铝合金气囊座、双向作用筒式减震器。结构合理，隔振性、平顺性、稳定性好。气囊跨距和气囊高度应适宜于公交车车厢地板的平面布置及地板高度最大限度降底，提高车辆行驶的稳定性、舒适性。气囊、减震器、高度阀、推力杆等悬架系统零部件须满足公交车高峰运行时必要的承载负荷要求。保证车辆前轮定位准确，无摆头和吃胎现象。双向作用筒式减震器；推力杆；前后均装横向稳定杆，高度控制阀。</w:t>
            </w:r>
          </w:p>
        </w:tc>
        <w:tc>
          <w:tcPr>
            <w:tcW w:w="1732" w:type="dxa"/>
            <w:noWrap w:val="0"/>
            <w:vAlign w:val="center"/>
          </w:tcPr>
          <w:p w14:paraId="414FBE57">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气囊总成及相关联附件质保8年</w:t>
            </w:r>
          </w:p>
        </w:tc>
      </w:tr>
      <w:tr w14:paraId="5A65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804" w:type="dxa"/>
            <w:noWrap w:val="0"/>
            <w:vAlign w:val="center"/>
          </w:tcPr>
          <w:p w14:paraId="17E8F46C">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24.轮胎</w:t>
            </w:r>
          </w:p>
        </w:tc>
        <w:tc>
          <w:tcPr>
            <w:tcW w:w="6202" w:type="dxa"/>
            <w:noWrap w:val="0"/>
            <w:vAlign w:val="center"/>
          </w:tcPr>
          <w:p w14:paraId="7D607A2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层级≥16 真空子午胎，符合公交专用轮胎</w:t>
            </w:r>
          </w:p>
        </w:tc>
        <w:tc>
          <w:tcPr>
            <w:tcW w:w="1732" w:type="dxa"/>
            <w:noWrap w:val="0"/>
            <w:vAlign w:val="center"/>
          </w:tcPr>
          <w:p w14:paraId="6AD014FB">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质保18万公里（达不到的更换同规格新轮胎）</w:t>
            </w:r>
          </w:p>
        </w:tc>
      </w:tr>
      <w:tr w14:paraId="4485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04" w:type="dxa"/>
            <w:noWrap w:val="0"/>
            <w:vAlign w:val="center"/>
          </w:tcPr>
          <w:p w14:paraId="09F35F82">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25.轮辋</w:t>
            </w:r>
          </w:p>
        </w:tc>
        <w:tc>
          <w:tcPr>
            <w:tcW w:w="6202" w:type="dxa"/>
            <w:noWrap w:val="0"/>
            <w:vAlign w:val="center"/>
          </w:tcPr>
          <w:p w14:paraId="142FF835">
            <w:pPr>
              <w:spacing w:line="240" w:lineRule="auto"/>
              <w:jc w:val="left"/>
              <w:rPr>
                <w:highlight w:val="none"/>
              </w:rPr>
            </w:pPr>
            <w:r>
              <w:rPr>
                <w:rFonts w:hint="eastAsia" w:ascii="微软雅黑" w:hAnsi="微软雅黑" w:eastAsia="微软雅黑" w:cs="微软雅黑"/>
                <w:color w:val="auto"/>
                <w:sz w:val="21"/>
                <w:szCs w:val="21"/>
                <w:highlight w:val="none"/>
              </w:rPr>
              <w:t>钢制轮辋。</w:t>
            </w:r>
          </w:p>
          <w:p w14:paraId="47DD0F1E">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w:t>
            </w:r>
            <w:r>
              <w:rPr>
                <w:rFonts w:ascii="微软雅黑" w:hAnsi="微软雅黑" w:eastAsia="微软雅黑" w:cs="微软雅黑"/>
                <w:i w:val="0"/>
                <w:iCs w:val="0"/>
                <w:caps w:val="0"/>
                <w:color w:val="auto"/>
                <w:spacing w:val="0"/>
                <w:sz w:val="22"/>
                <w:szCs w:val="22"/>
                <w:shd w:val="clear" w:fill="FFFFFF"/>
              </w:rPr>
              <w:t>GB/T 3487-</w:t>
            </w:r>
            <w:r>
              <w:rPr>
                <w:rFonts w:hint="eastAsia" w:ascii="微软雅黑" w:hAnsi="微软雅黑" w:eastAsia="微软雅黑" w:cs="微软雅黑"/>
                <w:i w:val="0"/>
                <w:iCs w:val="0"/>
                <w:caps w:val="0"/>
                <w:color w:val="auto"/>
                <w:spacing w:val="0"/>
                <w:sz w:val="22"/>
                <w:szCs w:val="22"/>
                <w:shd w:val="clear" w:fill="FFFFFF"/>
                <w:lang w:val="en-US" w:eastAsia="zh-CN"/>
              </w:rPr>
              <w:t>2024</w:t>
            </w:r>
            <w:r>
              <w:rPr>
                <w:rFonts w:hint="eastAsia" w:ascii="微软雅黑" w:hAnsi="微软雅黑" w:eastAsia="微软雅黑" w:cs="微软雅黑"/>
                <w:color w:val="auto"/>
                <w:sz w:val="21"/>
                <w:szCs w:val="21"/>
              </w:rPr>
              <w:t>《乘用车轮辋规格系列》、GB/T 9769-2015 《轮辋轮廓检测》要求；安装面抗拉强度:≥310Mpa、屈服强度:≥280MPa、延伸率:≥10%、硬度:≥100HB、单一轴向跳动：≤0.5mm，单一径向跳动：≤0.5mm安装面平面度0‐100μm；轮毂表面不允许存在裂纹、针孔，所有产品出厂前必须全部进行荧光探伤或着色探伤；不同规格轮毂重量满足国家标准，同时按国家标准进行动平衡测试和耐久性试验。符合国家或相关行业标准。</w:t>
            </w:r>
          </w:p>
        </w:tc>
        <w:tc>
          <w:tcPr>
            <w:tcW w:w="1732" w:type="dxa"/>
            <w:noWrap w:val="0"/>
            <w:vAlign w:val="center"/>
          </w:tcPr>
          <w:p w14:paraId="28CBC860">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锻造工艺，质保终身</w:t>
            </w:r>
          </w:p>
        </w:tc>
      </w:tr>
      <w:tr w14:paraId="4833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04" w:type="dxa"/>
            <w:noWrap w:val="0"/>
            <w:vAlign w:val="center"/>
          </w:tcPr>
          <w:p w14:paraId="52EDB366">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26胎压监测</w:t>
            </w:r>
          </w:p>
        </w:tc>
        <w:tc>
          <w:tcPr>
            <w:tcW w:w="6202" w:type="dxa"/>
            <w:noWrap w:val="0"/>
            <w:vAlign w:val="center"/>
          </w:tcPr>
          <w:p w14:paraId="5C894A7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全车安装胎压监测系统，符合JT/T1240-2019城市公共汽电车车辆专用安全设施技术要求；采用内置式传感器，对整车胎压胎温进行实时监测，并能直观显示仪表台上。</w:t>
            </w:r>
          </w:p>
        </w:tc>
        <w:tc>
          <w:tcPr>
            <w:tcW w:w="1732" w:type="dxa"/>
            <w:noWrap w:val="0"/>
            <w:vAlign w:val="center"/>
          </w:tcPr>
          <w:p w14:paraId="5307FD50">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8年质保</w:t>
            </w:r>
          </w:p>
        </w:tc>
      </w:tr>
      <w:tr w14:paraId="3612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804" w:type="dxa"/>
            <w:noWrap w:val="0"/>
            <w:vAlign w:val="center"/>
          </w:tcPr>
          <w:p w14:paraId="1539A100">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27.自动润滑系统</w:t>
            </w:r>
          </w:p>
        </w:tc>
        <w:tc>
          <w:tcPr>
            <w:tcW w:w="6202" w:type="dxa"/>
            <w:noWrap w:val="0"/>
            <w:vAlign w:val="center"/>
          </w:tcPr>
          <w:p w14:paraId="6EBB4315">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高寒集中润滑，ECU微电脑程序控制，具备智能故障诊断显示功能，适用润滑点数量≤60。符合QC/T 696</w:t>
            </w:r>
            <w:r>
              <w:rPr>
                <w:rFonts w:hint="eastAsia" w:ascii="微软雅黑" w:hAnsi="微软雅黑" w:eastAsia="微软雅黑" w:cs="微软雅黑"/>
                <w:color w:val="auto"/>
                <w:sz w:val="21"/>
                <w:szCs w:val="21"/>
                <w:lang w:val="en-US" w:eastAsia="zh-CN"/>
              </w:rPr>
              <w:t>-2018</w:t>
            </w:r>
            <w:r>
              <w:rPr>
                <w:rFonts w:hint="eastAsia" w:ascii="微软雅黑" w:hAnsi="微软雅黑" w:eastAsia="微软雅黑" w:cs="微软雅黑"/>
                <w:color w:val="auto"/>
                <w:sz w:val="21"/>
                <w:szCs w:val="21"/>
              </w:rPr>
              <w:t>《汽车底盘集中润滑供油系统》。</w:t>
            </w:r>
          </w:p>
        </w:tc>
        <w:tc>
          <w:tcPr>
            <w:tcW w:w="1732" w:type="dxa"/>
            <w:noWrap w:val="0"/>
            <w:vAlign w:val="center"/>
          </w:tcPr>
          <w:p w14:paraId="31656E33">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整机及相关联附件质保8年</w:t>
            </w:r>
          </w:p>
        </w:tc>
      </w:tr>
      <w:tr w14:paraId="4B7F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4" w:type="dxa"/>
            <w:noWrap w:val="0"/>
            <w:vAlign w:val="center"/>
          </w:tcPr>
          <w:p w14:paraId="27736522">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28.防冻液</w:t>
            </w:r>
          </w:p>
        </w:tc>
        <w:tc>
          <w:tcPr>
            <w:tcW w:w="6202" w:type="dxa"/>
            <w:noWrap w:val="0"/>
            <w:vAlign w:val="center"/>
          </w:tcPr>
          <w:p w14:paraId="32564402">
            <w:pPr>
              <w:spacing w:line="240" w:lineRule="auto"/>
              <w:jc w:val="left"/>
              <w:rPr>
                <w:rFonts w:hint="eastAsia" w:ascii="微软雅黑" w:hAnsi="微软雅黑" w:eastAsia="微软雅黑" w:cs="微软雅黑"/>
                <w:color w:val="auto"/>
                <w:sz w:val="21"/>
                <w:szCs w:val="21"/>
                <w:highlight w:val="yellow"/>
              </w:rPr>
            </w:pPr>
            <w:r>
              <w:rPr>
                <w:rFonts w:hint="eastAsia" w:ascii="微软雅黑" w:hAnsi="微软雅黑" w:eastAsia="微软雅黑" w:cs="微软雅黑"/>
                <w:color w:val="auto"/>
                <w:sz w:val="21"/>
                <w:szCs w:val="21"/>
                <w:highlight w:val="none"/>
              </w:rPr>
              <w:t>冰点≤-35℃</w:t>
            </w:r>
          </w:p>
        </w:tc>
        <w:tc>
          <w:tcPr>
            <w:tcW w:w="1732" w:type="dxa"/>
            <w:noWrap w:val="0"/>
            <w:vAlign w:val="center"/>
          </w:tcPr>
          <w:p w14:paraId="65F0215C">
            <w:pPr>
              <w:spacing w:line="240" w:lineRule="auto"/>
              <w:ind w:firstLine="315" w:firstLineChars="150"/>
              <w:jc w:val="left"/>
              <w:rPr>
                <w:rFonts w:hint="eastAsia" w:ascii="微软雅黑" w:hAnsi="微软雅黑" w:eastAsia="微软雅黑" w:cs="微软雅黑"/>
                <w:color w:val="auto"/>
                <w:sz w:val="21"/>
                <w:szCs w:val="21"/>
              </w:rPr>
            </w:pPr>
          </w:p>
        </w:tc>
      </w:tr>
      <w:tr w14:paraId="5666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738" w:type="dxa"/>
            <w:gridSpan w:val="3"/>
            <w:noWrap w:val="0"/>
            <w:vAlign w:val="center"/>
          </w:tcPr>
          <w:p w14:paraId="7B6E5122">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四、电器、空调</w:t>
            </w:r>
          </w:p>
          <w:p w14:paraId="54385C98">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要求：所有线路走向合理，不能与油路、高温部件接触或干涉；元器件使用、检查、维修、操作方便；接插件性能可靠。</w:t>
            </w:r>
          </w:p>
        </w:tc>
      </w:tr>
      <w:tr w14:paraId="32C6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4" w:type="dxa"/>
            <w:noWrap w:val="0"/>
            <w:vAlign w:val="center"/>
          </w:tcPr>
          <w:p w14:paraId="03B22563">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29.蓄电池</w:t>
            </w:r>
          </w:p>
        </w:tc>
        <w:tc>
          <w:tcPr>
            <w:tcW w:w="6202" w:type="dxa"/>
            <w:noWrap w:val="0"/>
            <w:vAlign w:val="center"/>
          </w:tcPr>
          <w:p w14:paraId="53909D35">
            <w:pPr>
              <w:spacing w:line="240" w:lineRule="auto"/>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免维护，</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rPr>
              <w:t>90Ah铅酸蓄电池</w:t>
            </w:r>
          </w:p>
          <w:p w14:paraId="6F4BF303">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lang w:eastAsia="zh-CN"/>
              </w:rPr>
              <w:t>故障率≤1次/3年</w:t>
            </w:r>
          </w:p>
        </w:tc>
        <w:tc>
          <w:tcPr>
            <w:tcW w:w="1732" w:type="dxa"/>
            <w:noWrap w:val="0"/>
            <w:vAlign w:val="center"/>
          </w:tcPr>
          <w:p w14:paraId="4E64DF81">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质保期不低于18万公里/3年</w:t>
            </w:r>
          </w:p>
        </w:tc>
      </w:tr>
      <w:tr w14:paraId="4FA6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804" w:type="dxa"/>
            <w:noWrap w:val="0"/>
            <w:vAlign w:val="center"/>
          </w:tcPr>
          <w:p w14:paraId="362E57D1">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30.整车线束</w:t>
            </w:r>
          </w:p>
        </w:tc>
        <w:tc>
          <w:tcPr>
            <w:tcW w:w="6202" w:type="dxa"/>
            <w:noWrap w:val="0"/>
            <w:vAlign w:val="center"/>
          </w:tcPr>
          <w:p w14:paraId="08BDE083">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全车电气线束为100℃辐照阻燃线；</w:t>
            </w:r>
          </w:p>
          <w:p w14:paraId="723D95DA">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全车采用优质接插件，底盘线束符合IP67防护等级的防水接插件；防护等级IP67。（提供证明材料或第三方检测报告）</w:t>
            </w:r>
          </w:p>
          <w:p w14:paraId="63925ADB">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所有线路不得有中间接驳，不能与高温部件接触或干涉。</w:t>
            </w:r>
          </w:p>
          <w:p w14:paraId="27DCF09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所有线束插头和插座以及线束在穿孔处应有阻燃耐磨绝缘套管保护且编号。</w:t>
            </w:r>
          </w:p>
        </w:tc>
        <w:tc>
          <w:tcPr>
            <w:tcW w:w="1732" w:type="dxa"/>
            <w:noWrap w:val="0"/>
            <w:vAlign w:val="center"/>
          </w:tcPr>
          <w:p w14:paraId="7B2DDC34">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整车线束质保终身（插接件退针等故障属于质保范围）</w:t>
            </w:r>
          </w:p>
        </w:tc>
      </w:tr>
      <w:tr w14:paraId="19FD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804" w:type="dxa"/>
            <w:noWrap w:val="0"/>
            <w:vAlign w:val="center"/>
          </w:tcPr>
          <w:p w14:paraId="18E248DE">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31.CAN总线</w:t>
            </w:r>
          </w:p>
        </w:tc>
        <w:tc>
          <w:tcPr>
            <w:tcW w:w="6202" w:type="dxa"/>
            <w:noWrap w:val="0"/>
            <w:vAlign w:val="center"/>
          </w:tcPr>
          <w:p w14:paraId="4622344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CAN总线组合仪表，仪表显示为7寸全液晶彩显仪表，配前、后通用模块。要求所有输出管脚均有保护，性能稳定，安全可靠；模块封闭性好。能够实现车门关闭后起步、停稳后开门的控制功能和乘客门抑制功能。</w:t>
            </w:r>
          </w:p>
        </w:tc>
        <w:tc>
          <w:tcPr>
            <w:tcW w:w="1732" w:type="dxa"/>
            <w:noWrap w:val="0"/>
            <w:vAlign w:val="center"/>
          </w:tcPr>
          <w:p w14:paraId="7AC8BEED">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整体线束、仪表、模块及相关联附件质保8年（插接件退针等故障属于质保范围）</w:t>
            </w:r>
          </w:p>
        </w:tc>
      </w:tr>
      <w:tr w14:paraId="22D5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1B76096D">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32.仪表信息</w:t>
            </w:r>
          </w:p>
        </w:tc>
        <w:tc>
          <w:tcPr>
            <w:tcW w:w="6202" w:type="dxa"/>
            <w:noWrap w:val="0"/>
            <w:vAlign w:val="center"/>
          </w:tcPr>
          <w:p w14:paraId="18AEFD94">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仪表上要有车辆行驶状态信息（车速、电机转速、气压、总电流）、电池信息（电池SOC、电池组电压及温度）、车厢前后门开闭状态、气压报警红色指示灯（前、后管路制动气压分别显示；驻车管路制动气压单独显示）、转向指示灯和蜂鸣装置（包括气压、电池温度高、电池舱烟雾报警）等。满足驾驶员驾驶时能够观察各类仪表或指示，能够通过仪表上的按钮查阅车辆及电池等相关信息用于参考。</w:t>
            </w:r>
          </w:p>
        </w:tc>
        <w:tc>
          <w:tcPr>
            <w:tcW w:w="1732" w:type="dxa"/>
            <w:noWrap w:val="0"/>
            <w:vAlign w:val="center"/>
          </w:tcPr>
          <w:p w14:paraId="3E2AA86E">
            <w:pPr>
              <w:spacing w:line="240" w:lineRule="auto"/>
              <w:ind w:firstLine="315" w:firstLineChars="150"/>
              <w:jc w:val="left"/>
              <w:rPr>
                <w:rFonts w:hint="eastAsia" w:ascii="微软雅黑" w:hAnsi="微软雅黑" w:eastAsia="微软雅黑" w:cs="微软雅黑"/>
                <w:color w:val="auto"/>
                <w:sz w:val="21"/>
                <w:szCs w:val="21"/>
              </w:rPr>
            </w:pPr>
          </w:p>
        </w:tc>
      </w:tr>
      <w:tr w14:paraId="6609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804" w:type="dxa"/>
            <w:noWrap w:val="0"/>
            <w:vAlign w:val="center"/>
          </w:tcPr>
          <w:p w14:paraId="29F4FD55">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33厢灯</w:t>
            </w:r>
          </w:p>
        </w:tc>
        <w:tc>
          <w:tcPr>
            <w:tcW w:w="6202" w:type="dxa"/>
            <w:noWrap w:val="0"/>
            <w:vAlign w:val="center"/>
          </w:tcPr>
          <w:p w14:paraId="59BC6B30">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左右贯通式LED 厢灯，灯罩采用雾化 PC 透明材料，左右共分4组，厢灯控制为左右两组、每组二档分别控制，开灯时，前挡玻璃不能产生眩目光。</w:t>
            </w:r>
          </w:p>
        </w:tc>
        <w:tc>
          <w:tcPr>
            <w:tcW w:w="1732" w:type="dxa"/>
            <w:noWrap w:val="0"/>
            <w:vAlign w:val="center"/>
          </w:tcPr>
          <w:p w14:paraId="59BC83E7">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质保3年</w:t>
            </w:r>
          </w:p>
        </w:tc>
      </w:tr>
      <w:tr w14:paraId="0165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1804" w:type="dxa"/>
            <w:noWrap w:val="0"/>
            <w:vAlign w:val="center"/>
          </w:tcPr>
          <w:p w14:paraId="3B5362FE">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34电子路牌</w:t>
            </w:r>
          </w:p>
        </w:tc>
        <w:tc>
          <w:tcPr>
            <w:tcW w:w="6202" w:type="dxa"/>
            <w:noWrap w:val="0"/>
            <w:vAlign w:val="center"/>
          </w:tcPr>
          <w:p w14:paraId="2626C94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全彩前、侧、后路牌24点阵，前后11个字，侧牌9个字滚动显示（可随时通过远程更改显示内容并且与前后路牌区分控制），后牌带刹车转向显示功能。</w:t>
            </w:r>
          </w:p>
          <w:p w14:paraId="5D5B6BE4">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车内显示屏8字，红色，与调度机联动，安装在车内前部头顶上方。（具备远程推送LED内容的功能，具有自主路牌数据生成软件资质）。注：必须与公交公司现有调度系统能够实现对接。</w:t>
            </w:r>
          </w:p>
        </w:tc>
        <w:tc>
          <w:tcPr>
            <w:tcW w:w="1732" w:type="dxa"/>
            <w:noWrap w:val="0"/>
            <w:vAlign w:val="center"/>
          </w:tcPr>
          <w:p w14:paraId="26BE8AB5">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1EF8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804" w:type="dxa"/>
            <w:noWrap w:val="0"/>
            <w:vAlign w:val="center"/>
          </w:tcPr>
          <w:p w14:paraId="23624D5D">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35.5G/4G视频系统</w:t>
            </w:r>
          </w:p>
        </w:tc>
        <w:tc>
          <w:tcPr>
            <w:tcW w:w="6202" w:type="dxa"/>
            <w:noWrap w:val="0"/>
            <w:vAlign w:val="center"/>
          </w:tcPr>
          <w:p w14:paraId="4FEDF594">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为符合购车方现有智能监控和调度设备及系统的兼容，此视频监控及刷卡系统，客车供应商采购的品牌要与公司现有的软、硬件无缝衔接（最新款），并在出厂前安装完毕, 且能正常使用，必须符合国家要求。注：视频监控系统可选能接入现有采购方调度系统的更优产品。</w:t>
            </w:r>
          </w:p>
        </w:tc>
        <w:tc>
          <w:tcPr>
            <w:tcW w:w="1732" w:type="dxa"/>
            <w:noWrap w:val="0"/>
            <w:vAlign w:val="center"/>
          </w:tcPr>
          <w:p w14:paraId="7A98B19E">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7E97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804" w:type="dxa"/>
            <w:noWrap w:val="0"/>
            <w:vAlign w:val="center"/>
          </w:tcPr>
          <w:p w14:paraId="5B4D37EA">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36.车载电视</w:t>
            </w:r>
          </w:p>
        </w:tc>
        <w:tc>
          <w:tcPr>
            <w:tcW w:w="6202" w:type="dxa"/>
            <w:noWrap w:val="0"/>
            <w:vAlign w:val="center"/>
          </w:tcPr>
          <w:p w14:paraId="4CAC516A">
            <w:pPr>
              <w:pStyle w:val="11"/>
              <w:spacing w:line="24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2台19英寸以上显示器，扶手安装（一块位于中门后扶手杆，一块司机包围后扶手杆）</w:t>
            </w:r>
          </w:p>
          <w:p w14:paraId="57F9A86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注：必须与公交公司现有调度系统能够实现对接。</w:t>
            </w:r>
          </w:p>
        </w:tc>
        <w:tc>
          <w:tcPr>
            <w:tcW w:w="1732" w:type="dxa"/>
            <w:noWrap w:val="0"/>
            <w:vAlign w:val="center"/>
          </w:tcPr>
          <w:p w14:paraId="1DA901F9">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792C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804" w:type="dxa"/>
            <w:noWrap w:val="0"/>
            <w:vAlign w:val="center"/>
          </w:tcPr>
          <w:p w14:paraId="48217F89">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37.倒车、后门监控系统</w:t>
            </w:r>
          </w:p>
        </w:tc>
        <w:tc>
          <w:tcPr>
            <w:tcW w:w="6202" w:type="dxa"/>
            <w:noWrap w:val="0"/>
            <w:vAlign w:val="center"/>
          </w:tcPr>
          <w:p w14:paraId="4F9B9B53">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监控系统：10寸液晶显示屏，显示器安装位置应便于驾驶员操作及观察。安装6路高清1080P x200万像素高清摄像头，要求视频保存90天，带对讲</w:t>
            </w:r>
            <w:r>
              <w:rPr>
                <w:rFonts w:hint="eastAsia" w:ascii="微软雅黑" w:hAnsi="微软雅黑" w:eastAsia="微软雅黑" w:cs="微软雅黑"/>
                <w:color w:val="auto"/>
                <w:sz w:val="21"/>
                <w:szCs w:val="21"/>
                <w:lang w:val="en-US" w:eastAsia="zh-CN"/>
              </w:rPr>
              <w:t>手机</w:t>
            </w:r>
            <w:r>
              <w:rPr>
                <w:rFonts w:hint="eastAsia" w:ascii="微软雅黑" w:hAnsi="微软雅黑" w:eastAsia="微软雅黑" w:cs="微软雅黑"/>
                <w:color w:val="auto"/>
                <w:sz w:val="21"/>
                <w:szCs w:val="21"/>
              </w:rPr>
              <w:t>功能，调度，客流统计、智能分析（抽烟、打电话、疲劳驾驶）超速报警、电子围栏、人脸抓拍等功能，并兼容公安系统和公司智能调度平台。加装后门监控及后门显示器，安装行车记录仪，安装视频监控系统，实现司机、整车、前路况、乘客门、倒车监控，车辆纳入新能源车辆远程监控平台，能够通过对车辆地理位置、零部件运行工况的监控，实现故障预警、绝缘监测、温度预警；后门安装监控显示系统及摄像头。加装360环视系统，具有高级辅助驾驶功能。同时将现有设备改造接入公司智能调度平台。（质保八年，包摄机）</w:t>
            </w:r>
          </w:p>
        </w:tc>
        <w:tc>
          <w:tcPr>
            <w:tcW w:w="1732" w:type="dxa"/>
            <w:noWrap w:val="0"/>
            <w:vAlign w:val="center"/>
          </w:tcPr>
          <w:p w14:paraId="1AA5FF8E">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整套系统及相关零部件质保8年</w:t>
            </w:r>
          </w:p>
        </w:tc>
      </w:tr>
      <w:tr w14:paraId="7073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04" w:type="dxa"/>
            <w:noWrap w:val="0"/>
            <w:vAlign w:val="center"/>
          </w:tcPr>
          <w:p w14:paraId="26532207">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38.倒车雷达</w:t>
            </w:r>
          </w:p>
        </w:tc>
        <w:tc>
          <w:tcPr>
            <w:tcW w:w="6202" w:type="dxa"/>
            <w:noWrap w:val="0"/>
            <w:vAlign w:val="center"/>
          </w:tcPr>
          <w:p w14:paraId="7A3E9EF1">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性能可靠、安装美观。</w:t>
            </w:r>
          </w:p>
        </w:tc>
        <w:tc>
          <w:tcPr>
            <w:tcW w:w="1732" w:type="dxa"/>
            <w:noWrap w:val="0"/>
            <w:vAlign w:val="center"/>
          </w:tcPr>
          <w:p w14:paraId="4BE4CECB">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4073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804" w:type="dxa"/>
            <w:noWrap w:val="0"/>
            <w:vAlign w:val="center"/>
          </w:tcPr>
          <w:p w14:paraId="0722FB3B">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39.调度机、刷卡机</w:t>
            </w:r>
          </w:p>
        </w:tc>
        <w:tc>
          <w:tcPr>
            <w:tcW w:w="6202" w:type="dxa"/>
            <w:noWrap w:val="0"/>
            <w:vAlign w:val="center"/>
          </w:tcPr>
          <w:p w14:paraId="4FE7635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为符合购车方现有智能监控和调度设备及系统的兼容，安装智能调度系统，客流统计系统，防碰撞和车道偏离预警系统，人脸识别系统，此视频监控及刷卡系统，客车供应商采购的品牌要与公司现有的软、硬件无缝衔接（最新款），并在出厂前安装完毕。必须符合国家要求。</w:t>
            </w:r>
          </w:p>
        </w:tc>
        <w:tc>
          <w:tcPr>
            <w:tcW w:w="1732" w:type="dxa"/>
            <w:noWrap w:val="0"/>
            <w:vAlign w:val="center"/>
          </w:tcPr>
          <w:p w14:paraId="5686D0A6">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3370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04" w:type="dxa"/>
            <w:noWrap w:val="0"/>
            <w:vAlign w:val="center"/>
          </w:tcPr>
          <w:p w14:paraId="5C8D7144">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40.冷暖空调</w:t>
            </w:r>
          </w:p>
        </w:tc>
        <w:tc>
          <w:tcPr>
            <w:tcW w:w="6202" w:type="dxa"/>
            <w:noWrap w:val="0"/>
            <w:vAlign w:val="center"/>
          </w:tcPr>
          <w:p w14:paraId="338C9793">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冷暖一体纯电动专用空调，制冷量达到</w:t>
            </w:r>
            <w:r>
              <w:rPr>
                <w:rFonts w:hint="eastAsia" w:ascii="微软雅黑" w:hAnsi="微软雅黑" w:eastAsia="微软雅黑" w:cs="微软雅黑"/>
                <w:color w:val="auto"/>
                <w:sz w:val="21"/>
                <w:szCs w:val="21"/>
                <w:lang w:val="en-US" w:eastAsia="zh-CN"/>
              </w:rPr>
              <w:t>1.46</w:t>
            </w:r>
            <w:r>
              <w:rPr>
                <w:rFonts w:hint="eastAsia" w:ascii="微软雅黑" w:hAnsi="微软雅黑" w:eastAsia="微软雅黑" w:cs="微软雅黑"/>
                <w:color w:val="auto"/>
                <w:sz w:val="21"/>
                <w:szCs w:val="21"/>
              </w:rPr>
              <w:t>万大卡；制热量不低于</w:t>
            </w:r>
            <w:r>
              <w:rPr>
                <w:rFonts w:hint="eastAsia" w:ascii="微软雅黑" w:hAnsi="微软雅黑" w:eastAsia="微软雅黑" w:cs="微软雅黑"/>
                <w:color w:val="auto"/>
                <w:sz w:val="21"/>
                <w:szCs w:val="21"/>
                <w:lang w:val="en-US" w:eastAsia="zh-CN"/>
              </w:rPr>
              <w:t>1.29</w:t>
            </w:r>
            <w:r>
              <w:rPr>
                <w:rFonts w:hint="eastAsia" w:ascii="微软雅黑" w:hAnsi="微软雅黑" w:eastAsia="微软雅黑" w:cs="微软雅黑"/>
                <w:color w:val="auto"/>
                <w:sz w:val="21"/>
                <w:szCs w:val="21"/>
              </w:rPr>
              <w:t>万大卡。</w:t>
            </w:r>
          </w:p>
          <w:p w14:paraId="2D9BF638">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1：壳体采用铝合金底座及玻璃钢外壳组合体；</w:t>
            </w:r>
          </w:p>
          <w:p w14:paraId="413CFB5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2：带集成冷却系统；</w:t>
            </w:r>
          </w:p>
          <w:p w14:paraId="02482A3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3：质保8年；</w:t>
            </w:r>
          </w:p>
        </w:tc>
        <w:tc>
          <w:tcPr>
            <w:tcW w:w="1732" w:type="dxa"/>
            <w:noWrap w:val="0"/>
            <w:vAlign w:val="center"/>
          </w:tcPr>
          <w:p w14:paraId="2DA8CD0B">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整机质保8年(含所有零部件)</w:t>
            </w:r>
          </w:p>
        </w:tc>
      </w:tr>
      <w:tr w14:paraId="3FF4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23481868">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41</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锅炉</w:t>
            </w:r>
          </w:p>
        </w:tc>
        <w:tc>
          <w:tcPr>
            <w:tcW w:w="6202" w:type="dxa"/>
            <w:noWrap w:val="0"/>
            <w:vAlign w:val="center"/>
          </w:tcPr>
          <w:p w14:paraId="01CC6C05">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安装具有符合工信部标准的取暖锅炉（燃油）并提供相关上牌手续 （含附属件，电机功率符合整车取暖国标要求）</w:t>
            </w:r>
          </w:p>
        </w:tc>
        <w:tc>
          <w:tcPr>
            <w:tcW w:w="1732" w:type="dxa"/>
            <w:noWrap w:val="0"/>
            <w:vAlign w:val="center"/>
          </w:tcPr>
          <w:p w14:paraId="3DD08DDA">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4E88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04" w:type="dxa"/>
            <w:noWrap w:val="0"/>
            <w:vAlign w:val="center"/>
          </w:tcPr>
          <w:p w14:paraId="0D9AF96C">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42.除霜</w:t>
            </w:r>
          </w:p>
        </w:tc>
        <w:tc>
          <w:tcPr>
            <w:tcW w:w="6202" w:type="dxa"/>
            <w:noWrap w:val="0"/>
            <w:vAlign w:val="center"/>
          </w:tcPr>
          <w:p w14:paraId="56357A44">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前挡大功率独立除霜系统。</w:t>
            </w:r>
          </w:p>
        </w:tc>
        <w:tc>
          <w:tcPr>
            <w:tcW w:w="1732" w:type="dxa"/>
            <w:noWrap w:val="0"/>
            <w:vAlign w:val="center"/>
          </w:tcPr>
          <w:p w14:paraId="1EA24516">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0A98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04" w:type="dxa"/>
            <w:noWrap w:val="0"/>
            <w:vAlign w:val="center"/>
          </w:tcPr>
          <w:p w14:paraId="168B542C">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43.转弯、报站等喇叭</w:t>
            </w:r>
          </w:p>
        </w:tc>
        <w:tc>
          <w:tcPr>
            <w:tcW w:w="6202" w:type="dxa"/>
            <w:noWrap w:val="0"/>
            <w:vAlign w:val="center"/>
          </w:tcPr>
          <w:p w14:paraId="03B4AFF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安装带定位功能语音报站器。胶盘喇叭8个（车辆所有喇叭的质量、设置和噪音标准需要符合国家要求），不安装收音机、MP3等外界媒体设备。注：必须与公交公司现有调度系统能够实现对接。</w:t>
            </w:r>
          </w:p>
        </w:tc>
        <w:tc>
          <w:tcPr>
            <w:tcW w:w="1732" w:type="dxa"/>
            <w:noWrap w:val="0"/>
            <w:vAlign w:val="center"/>
          </w:tcPr>
          <w:p w14:paraId="24344024">
            <w:pPr>
              <w:spacing w:line="240" w:lineRule="auto"/>
              <w:ind w:firstLine="315" w:firstLineChars="150"/>
              <w:jc w:val="left"/>
              <w:rPr>
                <w:rFonts w:hint="eastAsia" w:ascii="微软雅黑" w:hAnsi="微软雅黑" w:eastAsia="微软雅黑" w:cs="微软雅黑"/>
                <w:color w:val="auto"/>
                <w:sz w:val="21"/>
                <w:szCs w:val="21"/>
              </w:rPr>
            </w:pPr>
          </w:p>
        </w:tc>
      </w:tr>
      <w:tr w14:paraId="1040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804" w:type="dxa"/>
            <w:noWrap w:val="0"/>
            <w:vAlign w:val="center"/>
          </w:tcPr>
          <w:p w14:paraId="7AFC1CFA">
            <w:pPr>
              <w:spacing w:line="240" w:lineRule="auto"/>
              <w:ind w:firstLine="315" w:firstLineChars="15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44.灯光</w:t>
            </w:r>
          </w:p>
        </w:tc>
        <w:tc>
          <w:tcPr>
            <w:tcW w:w="6202" w:type="dxa"/>
            <w:noWrap w:val="0"/>
            <w:vAlign w:val="center"/>
          </w:tcPr>
          <w:p w14:paraId="7A1CAE75">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前大灯近光亮度≤12000 CD ，面罩、反射面质量可靠，耐热性能良好，不应氧化、变色、变形、脱空；除前照灯、雾灯外使用LED 节能灯；各种灯具安装牢靠，安装结构应能满足维修方便（符合国家要求）。</w:t>
            </w:r>
          </w:p>
        </w:tc>
        <w:tc>
          <w:tcPr>
            <w:tcW w:w="1732" w:type="dxa"/>
            <w:noWrap w:val="0"/>
            <w:vAlign w:val="center"/>
          </w:tcPr>
          <w:p w14:paraId="43B356A3">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前大灯总成质保3年</w:t>
            </w:r>
          </w:p>
        </w:tc>
      </w:tr>
      <w:tr w14:paraId="07F4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804" w:type="dxa"/>
            <w:noWrap w:val="0"/>
            <w:vAlign w:val="center"/>
          </w:tcPr>
          <w:p w14:paraId="5734AC00">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45.刷卡机</w:t>
            </w:r>
          </w:p>
        </w:tc>
        <w:tc>
          <w:tcPr>
            <w:tcW w:w="6202" w:type="dxa"/>
            <w:noWrap w:val="0"/>
            <w:vAlign w:val="center"/>
          </w:tcPr>
          <w:p w14:paraId="53D4C121">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客车供应商采购的品牌要与公司现有的软、硬件无缝衔接，（最新款），并在合适位置安装好，方便驾驶员观看并且不能影响乘客上车。集成GPS，支持支付方式：全支付系统。（设备除支持公交IC卡刷卡支付方式以外，必须支持其他支付方式，如：支持微信、支付宝、翼支付、云闪付、一卡通企业自发码等二维码扫码及NFC支付等）需要与车载调度终端对接 实现新旧车辆与新旧平台相互兼容，数据均接入公交智能调度平台。</w:t>
            </w:r>
          </w:p>
        </w:tc>
        <w:tc>
          <w:tcPr>
            <w:tcW w:w="1732" w:type="dxa"/>
            <w:noWrap w:val="0"/>
            <w:vAlign w:val="center"/>
          </w:tcPr>
          <w:p w14:paraId="6629F131">
            <w:pPr>
              <w:spacing w:line="240" w:lineRule="auto"/>
              <w:ind w:firstLine="315" w:firstLineChars="150"/>
              <w:jc w:val="left"/>
              <w:rPr>
                <w:rFonts w:hint="eastAsia" w:ascii="微软雅黑" w:hAnsi="微软雅黑" w:eastAsia="微软雅黑" w:cs="微软雅黑"/>
                <w:color w:val="auto"/>
                <w:sz w:val="21"/>
                <w:szCs w:val="21"/>
              </w:rPr>
            </w:pPr>
          </w:p>
        </w:tc>
      </w:tr>
      <w:tr w14:paraId="4677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804" w:type="dxa"/>
            <w:noWrap w:val="0"/>
            <w:vAlign w:val="center"/>
          </w:tcPr>
          <w:p w14:paraId="3955B474">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46.低速行驶警示音系统</w:t>
            </w:r>
          </w:p>
        </w:tc>
        <w:tc>
          <w:tcPr>
            <w:tcW w:w="6202" w:type="dxa"/>
            <w:noWrap w:val="0"/>
            <w:vAlign w:val="center"/>
          </w:tcPr>
          <w:p w14:paraId="750C657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车辆起步且车速低于20km/h时，应能给车外人员发出适当的提示性声响（智能分时段，按国标符合安全环保要求），并能手动开关（开关需利驾驶员操作）。</w:t>
            </w:r>
          </w:p>
        </w:tc>
        <w:tc>
          <w:tcPr>
            <w:tcW w:w="1732" w:type="dxa"/>
            <w:noWrap w:val="0"/>
            <w:vAlign w:val="center"/>
          </w:tcPr>
          <w:p w14:paraId="29273C49">
            <w:pPr>
              <w:spacing w:line="240" w:lineRule="auto"/>
              <w:ind w:firstLine="315" w:firstLineChars="150"/>
              <w:jc w:val="left"/>
              <w:rPr>
                <w:rFonts w:hint="eastAsia" w:ascii="微软雅黑" w:hAnsi="微软雅黑" w:eastAsia="微软雅黑" w:cs="微软雅黑"/>
                <w:color w:val="auto"/>
                <w:sz w:val="21"/>
                <w:szCs w:val="21"/>
              </w:rPr>
            </w:pPr>
          </w:p>
        </w:tc>
      </w:tr>
      <w:tr w14:paraId="6C5B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04" w:type="dxa"/>
            <w:noWrap w:val="0"/>
            <w:vAlign w:val="center"/>
          </w:tcPr>
          <w:p w14:paraId="3B572063">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47.易燃挥发物防控设备</w:t>
            </w:r>
          </w:p>
        </w:tc>
        <w:tc>
          <w:tcPr>
            <w:tcW w:w="6202" w:type="dxa"/>
            <w:noWrap w:val="0"/>
            <w:vAlign w:val="center"/>
          </w:tcPr>
          <w:p w14:paraId="02C2E95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易燃挥发物报警系统：该设备由一个主控面板、一个通讯模块、多个接收端和多个发送端组成。对汽油、松香水、香蕉水和酒精等易燃液体的挥发气体进行快速、准确、高灵敏的非接触式监测，采用声光分级告警方式向驾驶员发出易燃挥发物存在及所在位置的提示，提醒司机及时停车开门和疏散人群。硬件无缝衔接，并在合适位置安装。</w:t>
            </w:r>
          </w:p>
        </w:tc>
        <w:tc>
          <w:tcPr>
            <w:tcW w:w="1732" w:type="dxa"/>
            <w:noWrap w:val="0"/>
            <w:vAlign w:val="center"/>
          </w:tcPr>
          <w:p w14:paraId="5D3C5B0B">
            <w:pPr>
              <w:spacing w:line="240" w:lineRule="auto"/>
              <w:ind w:firstLine="315" w:firstLineChars="150"/>
              <w:jc w:val="left"/>
              <w:rPr>
                <w:rFonts w:hint="eastAsia" w:ascii="微软雅黑" w:hAnsi="微软雅黑" w:eastAsia="微软雅黑" w:cs="微软雅黑"/>
                <w:color w:val="auto"/>
                <w:sz w:val="21"/>
                <w:szCs w:val="21"/>
              </w:rPr>
            </w:pPr>
          </w:p>
        </w:tc>
      </w:tr>
      <w:tr w14:paraId="4952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738" w:type="dxa"/>
            <w:gridSpan w:val="3"/>
            <w:noWrap w:val="0"/>
            <w:vAlign w:val="center"/>
          </w:tcPr>
          <w:p w14:paraId="5B9DED8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五、车身要求</w:t>
            </w:r>
          </w:p>
          <w:p w14:paraId="47EB5D71">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车身防锈能力好、坚固耐用；隔热、降噪性能好；窗体与车身粘贴要牢固可靠。</w:t>
            </w:r>
          </w:p>
        </w:tc>
      </w:tr>
      <w:tr w14:paraId="557A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jc w:val="center"/>
        </w:trPr>
        <w:tc>
          <w:tcPr>
            <w:tcW w:w="1804" w:type="dxa"/>
            <w:noWrap w:val="0"/>
            <w:vAlign w:val="center"/>
          </w:tcPr>
          <w:p w14:paraId="365491ED">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48.车身结构</w:t>
            </w:r>
          </w:p>
        </w:tc>
        <w:tc>
          <w:tcPr>
            <w:tcW w:w="6202" w:type="dxa"/>
            <w:noWrap w:val="0"/>
            <w:vAlign w:val="center"/>
          </w:tcPr>
          <w:p w14:paraId="78FFB54B">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全承载式，整车骨架</w:t>
            </w:r>
          </w:p>
          <w:p w14:paraId="5AE61C1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全车应有可靠的防腐、隔热、隔音措施，特别是前、后门上顶骨架和轮拱部位要加强处理，防止乘客受到爆胎的损伤。车辆左前、右前、右中、右后粘贴300mm涉水深度线；车辆高压舱、电池百叶窗统一粘贴“严禁直接水冲”字样。</w:t>
            </w:r>
          </w:p>
        </w:tc>
        <w:tc>
          <w:tcPr>
            <w:tcW w:w="1732" w:type="dxa"/>
            <w:noWrap w:val="0"/>
            <w:vAlign w:val="center"/>
          </w:tcPr>
          <w:p w14:paraId="498D33B2">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t>质保终身</w:t>
            </w:r>
            <w:r>
              <w:rPr>
                <w:rFonts w:hint="eastAsia" w:ascii="微软雅黑" w:hAnsi="微软雅黑" w:eastAsia="微软雅黑" w:cs="微软雅黑"/>
                <w:color w:val="auto"/>
                <w:sz w:val="21"/>
                <w:szCs w:val="21"/>
              </w:rPr>
              <w:t>，质保期内，如发生骨架、断裂、车顶漏水，或由骨架的强度、刚度造成的其它部件损失，由供方负全部责任。</w:t>
            </w:r>
          </w:p>
        </w:tc>
      </w:tr>
      <w:tr w14:paraId="25FB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04" w:type="dxa"/>
            <w:noWrap w:val="0"/>
            <w:vAlign w:val="center"/>
          </w:tcPr>
          <w:p w14:paraId="03E63336">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49.车身面漆</w:t>
            </w:r>
          </w:p>
        </w:tc>
        <w:tc>
          <w:tcPr>
            <w:tcW w:w="6202" w:type="dxa"/>
            <w:noWrap w:val="0"/>
            <w:vAlign w:val="center"/>
          </w:tcPr>
          <w:p w14:paraId="483485E1">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按照购买方要求喷漆，面漆不出现因高温或质量原因产生的龟裂。</w:t>
            </w:r>
          </w:p>
        </w:tc>
        <w:tc>
          <w:tcPr>
            <w:tcW w:w="1732" w:type="dxa"/>
            <w:noWrap w:val="0"/>
            <w:vAlign w:val="center"/>
          </w:tcPr>
          <w:p w14:paraId="44743E72">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质保3年</w:t>
            </w:r>
          </w:p>
        </w:tc>
      </w:tr>
      <w:tr w14:paraId="27DF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04" w:type="dxa"/>
            <w:noWrap w:val="0"/>
            <w:vAlign w:val="center"/>
          </w:tcPr>
          <w:p w14:paraId="31C907D7">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50.车窗、整车玻璃</w:t>
            </w:r>
          </w:p>
        </w:tc>
        <w:tc>
          <w:tcPr>
            <w:tcW w:w="6202" w:type="dxa"/>
            <w:noWrap w:val="0"/>
            <w:vAlign w:val="center"/>
          </w:tcPr>
          <w:p w14:paraId="2330025B">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侧窗为全玻璃面内置推拉窗，采用浅色玻璃，应开启方便、锁止可靠、密封良好。驾驶员侧窗为前、后推拉。</w:t>
            </w:r>
          </w:p>
          <w:p w14:paraId="1AF6862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驾驶侧窗安装自锁遮阳帘（不影响视线，符合安全驾驶要求），前风挡半幅下拉自锁遮阳帘。</w:t>
            </w:r>
          </w:p>
        </w:tc>
        <w:tc>
          <w:tcPr>
            <w:tcW w:w="1732" w:type="dxa"/>
            <w:noWrap w:val="0"/>
            <w:vAlign w:val="center"/>
          </w:tcPr>
          <w:p w14:paraId="26FECADA">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配件质保3年，其中整车车窗玻璃绒槽质保≥3年</w:t>
            </w:r>
          </w:p>
        </w:tc>
      </w:tr>
      <w:tr w14:paraId="52E7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804" w:type="dxa"/>
            <w:noWrap w:val="0"/>
            <w:vAlign w:val="center"/>
          </w:tcPr>
          <w:p w14:paraId="38D737DB">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51.天窗、逃生窗</w:t>
            </w:r>
          </w:p>
        </w:tc>
        <w:tc>
          <w:tcPr>
            <w:tcW w:w="6202" w:type="dxa"/>
            <w:noWrap w:val="0"/>
            <w:vAlign w:val="center"/>
          </w:tcPr>
          <w:p w14:paraId="22CC3C43">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按国家标准要求安装，运行中不发生异响。</w:t>
            </w:r>
          </w:p>
        </w:tc>
        <w:tc>
          <w:tcPr>
            <w:tcW w:w="1732" w:type="dxa"/>
            <w:noWrap w:val="0"/>
            <w:vAlign w:val="center"/>
          </w:tcPr>
          <w:p w14:paraId="394035E9">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3805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804" w:type="dxa"/>
            <w:noWrap w:val="0"/>
            <w:vAlign w:val="center"/>
          </w:tcPr>
          <w:p w14:paraId="4C23CA93">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52.检视门</w:t>
            </w:r>
          </w:p>
        </w:tc>
        <w:tc>
          <w:tcPr>
            <w:tcW w:w="6202" w:type="dxa"/>
            <w:noWrap w:val="0"/>
            <w:vAlign w:val="center"/>
          </w:tcPr>
          <w:p w14:paraId="75932A6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各种检视门用锁芯锁，钥匙通用，配置误开限位拉绳，后舱门采用液压撑杆，其他舱门采用手动撑杆。高压部件舱门单独用钥匙开启。</w:t>
            </w:r>
          </w:p>
          <w:p w14:paraId="5BF0180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电源总开关配检视小门，方便操作。</w:t>
            </w:r>
          </w:p>
        </w:tc>
        <w:tc>
          <w:tcPr>
            <w:tcW w:w="1732" w:type="dxa"/>
            <w:noWrap w:val="0"/>
            <w:vAlign w:val="center"/>
          </w:tcPr>
          <w:p w14:paraId="7CDCC49F">
            <w:pPr>
              <w:spacing w:line="240" w:lineRule="auto"/>
              <w:ind w:firstLine="315" w:firstLineChars="150"/>
              <w:jc w:val="left"/>
              <w:rPr>
                <w:rFonts w:hint="eastAsia" w:ascii="微软雅黑" w:hAnsi="微软雅黑" w:eastAsia="微软雅黑" w:cs="微软雅黑"/>
                <w:color w:val="auto"/>
                <w:sz w:val="21"/>
                <w:szCs w:val="21"/>
              </w:rPr>
            </w:pPr>
          </w:p>
        </w:tc>
      </w:tr>
      <w:tr w14:paraId="7E7A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04" w:type="dxa"/>
            <w:noWrap w:val="0"/>
            <w:vAlign w:val="center"/>
          </w:tcPr>
          <w:p w14:paraId="2E0BC1AE">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53.拖车钩</w:t>
            </w:r>
          </w:p>
        </w:tc>
        <w:tc>
          <w:tcPr>
            <w:tcW w:w="6202" w:type="dxa"/>
            <w:noWrap w:val="0"/>
            <w:vAlign w:val="center"/>
          </w:tcPr>
          <w:p w14:paraId="59306205">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车辆前部安装配置拖车钩。</w:t>
            </w:r>
          </w:p>
        </w:tc>
        <w:tc>
          <w:tcPr>
            <w:tcW w:w="1732" w:type="dxa"/>
            <w:noWrap w:val="0"/>
            <w:vAlign w:val="center"/>
          </w:tcPr>
          <w:p w14:paraId="17AD5CE9">
            <w:pPr>
              <w:spacing w:line="240" w:lineRule="auto"/>
              <w:ind w:firstLine="315" w:firstLineChars="150"/>
              <w:jc w:val="left"/>
              <w:rPr>
                <w:rFonts w:hint="eastAsia" w:ascii="微软雅黑" w:hAnsi="微软雅黑" w:eastAsia="微软雅黑" w:cs="微软雅黑"/>
                <w:color w:val="auto"/>
                <w:sz w:val="21"/>
                <w:szCs w:val="21"/>
              </w:rPr>
            </w:pPr>
          </w:p>
        </w:tc>
      </w:tr>
      <w:tr w14:paraId="7807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804" w:type="dxa"/>
            <w:noWrap w:val="0"/>
            <w:vAlign w:val="center"/>
          </w:tcPr>
          <w:p w14:paraId="53F9A2CF">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54.内墙板、顶板</w:t>
            </w:r>
          </w:p>
        </w:tc>
        <w:tc>
          <w:tcPr>
            <w:tcW w:w="6202" w:type="dxa"/>
            <w:noWrap w:val="0"/>
            <w:vAlign w:val="center"/>
          </w:tcPr>
          <w:p w14:paraId="353DEF16">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车顶板须采用铝塑板或PVC板，内墙板须采用阻燃、环保性能符合国家最新标准要求，驾驶区与乘客区之间安装中顶隔断（玄关）装饰。内墙板、顶板、风道、驾驶区防护隔离设施颜色基本协调。</w:t>
            </w:r>
          </w:p>
        </w:tc>
        <w:tc>
          <w:tcPr>
            <w:tcW w:w="1732" w:type="dxa"/>
            <w:noWrap w:val="0"/>
            <w:vAlign w:val="center"/>
          </w:tcPr>
          <w:p w14:paraId="5B1C728A">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质保终身</w:t>
            </w:r>
          </w:p>
        </w:tc>
      </w:tr>
      <w:tr w14:paraId="3ECB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804" w:type="dxa"/>
            <w:noWrap w:val="0"/>
            <w:vAlign w:val="center"/>
          </w:tcPr>
          <w:p w14:paraId="7B5A16E7">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55.风道扶手</w:t>
            </w:r>
          </w:p>
        </w:tc>
        <w:tc>
          <w:tcPr>
            <w:tcW w:w="6202" w:type="dxa"/>
            <w:noWrap w:val="0"/>
            <w:vAlign w:val="center"/>
          </w:tcPr>
          <w:p w14:paraId="1DEF96BE">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铝合金组合风道加不锈钢拉丝弯弧扶手，采用下出风可调、侧出风不可调的形式。左右侧风道上各布置LED 发光广告牌，铝合金扣边。直径32mm不锈钢防滑扶手及扶手座并配有防寒护套；间距30cm配广告吊环（包括升台位置）。投币机位置安装IC刷卡机固定杆，前门扶手杆上设1.2米标线。</w:t>
            </w:r>
          </w:p>
        </w:tc>
        <w:tc>
          <w:tcPr>
            <w:tcW w:w="1732" w:type="dxa"/>
            <w:noWrap w:val="0"/>
            <w:vAlign w:val="center"/>
          </w:tcPr>
          <w:p w14:paraId="1665B440">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质保终身</w:t>
            </w:r>
          </w:p>
        </w:tc>
      </w:tr>
      <w:tr w14:paraId="4316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804" w:type="dxa"/>
            <w:noWrap w:val="0"/>
            <w:vAlign w:val="center"/>
          </w:tcPr>
          <w:p w14:paraId="5FE7D1DA">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56.驾驶区防护隔离设施</w:t>
            </w:r>
          </w:p>
        </w:tc>
        <w:tc>
          <w:tcPr>
            <w:tcW w:w="6202" w:type="dxa"/>
            <w:noWrap w:val="0"/>
            <w:vAlign w:val="center"/>
          </w:tcPr>
          <w:p w14:paraId="7322A3BE">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整体设计安装要符合JT/T1240-2019、JT/T1241-2019相关标准。玻璃：应符合GB 9656</w:t>
            </w:r>
            <w:r>
              <w:rPr>
                <w:rFonts w:hint="eastAsia" w:ascii="微软雅黑" w:hAnsi="微软雅黑" w:eastAsia="微软雅黑" w:cs="微软雅黑"/>
                <w:color w:val="auto"/>
                <w:sz w:val="21"/>
                <w:szCs w:val="21"/>
                <w:lang w:val="en-US" w:eastAsia="zh-CN"/>
              </w:rPr>
              <w:t>-2021</w:t>
            </w:r>
            <w:r>
              <w:rPr>
                <w:rFonts w:hint="eastAsia" w:ascii="微软雅黑" w:hAnsi="微软雅黑" w:eastAsia="微软雅黑" w:cs="微软雅黑"/>
                <w:color w:val="auto"/>
                <w:sz w:val="21"/>
                <w:szCs w:val="21"/>
              </w:rPr>
              <w:t>中钢化玻璃的相关要求。</w:t>
            </w:r>
          </w:p>
        </w:tc>
        <w:tc>
          <w:tcPr>
            <w:tcW w:w="1732" w:type="dxa"/>
            <w:noWrap w:val="0"/>
            <w:vAlign w:val="bottom"/>
          </w:tcPr>
          <w:p w14:paraId="16C53C42">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门锁质保3年，其余配件质保终</w:t>
            </w:r>
          </w:p>
          <w:p w14:paraId="393C223E">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身</w:t>
            </w:r>
          </w:p>
        </w:tc>
      </w:tr>
      <w:tr w14:paraId="2559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jc w:val="center"/>
        </w:trPr>
        <w:tc>
          <w:tcPr>
            <w:tcW w:w="1804" w:type="dxa"/>
            <w:noWrap w:val="0"/>
            <w:vAlign w:val="center"/>
          </w:tcPr>
          <w:p w14:paraId="3B2F8564">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57.乘客门及门泵</w:t>
            </w:r>
          </w:p>
        </w:tc>
        <w:tc>
          <w:tcPr>
            <w:tcW w:w="6202" w:type="dxa"/>
            <w:noWrap w:val="0"/>
            <w:vAlign w:val="center"/>
          </w:tcPr>
          <w:p w14:paraId="187CA8D2">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内摆门机构采用定速气缸，通过一套连杆机构来实现车门开关动作。每扇车门是由一只定速气缸独立控制的，开关门都具备可调缓冲功能，以降低因惯性致门的寿命程度。开关门全过程中采用安装（气囊防夹装置）。开关门是由二位五通电磁阀控制气缸动作，电磁阀只需点击通电即可改变工作状态。当车门开关时，针对双门结构的运动做有先后之分，可通过调节各气缸的排气量来实现。当关门过程中车门如遇人或物的阻力时，设在门泵总成上的防夹机构开始工作，致电磁阀换向使车门重新打开。如遇紧急情况，可通过应急阀切断气源，手动打开车门。</w:t>
            </w:r>
          </w:p>
        </w:tc>
        <w:tc>
          <w:tcPr>
            <w:tcW w:w="1732" w:type="dxa"/>
            <w:noWrap w:val="0"/>
            <w:vAlign w:val="center"/>
          </w:tcPr>
          <w:p w14:paraId="683DC428">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整体及附件质保3年</w:t>
            </w:r>
          </w:p>
        </w:tc>
      </w:tr>
      <w:tr w14:paraId="7F35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04" w:type="dxa"/>
            <w:noWrap w:val="0"/>
            <w:vAlign w:val="center"/>
          </w:tcPr>
          <w:p w14:paraId="53AFFD81">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58.乘客门应急开关</w:t>
            </w:r>
          </w:p>
        </w:tc>
        <w:tc>
          <w:tcPr>
            <w:tcW w:w="6202" w:type="dxa"/>
            <w:noWrap w:val="0"/>
            <w:vAlign w:val="center"/>
          </w:tcPr>
          <w:p w14:paraId="032D16DA">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分别在驾驶区域和前后门内、外侧设置乘客门应急阀，外侧应急开关应内嵌式安装，安装位置方便使用、开闭灵活。车内应急开关离地板高度不大于</w:t>
            </w:r>
            <w:r>
              <w:rPr>
                <w:rFonts w:hint="eastAsia" w:ascii="微软雅黑" w:hAnsi="微软雅黑" w:eastAsia="微软雅黑" w:cs="微软雅黑"/>
                <w:color w:val="auto"/>
                <w:sz w:val="21"/>
                <w:szCs w:val="21"/>
                <w:lang w:val="en-US" w:eastAsia="zh-CN"/>
              </w:rPr>
              <w:t>2100</w:t>
            </w:r>
            <w:r>
              <w:rPr>
                <w:rFonts w:hint="eastAsia" w:ascii="微软雅黑" w:hAnsi="微软雅黑" w:eastAsia="微软雅黑" w:cs="微软雅黑"/>
                <w:color w:val="auto"/>
                <w:sz w:val="21"/>
                <w:szCs w:val="21"/>
              </w:rPr>
              <w:t>mm。符合最新标准。</w:t>
            </w:r>
          </w:p>
        </w:tc>
        <w:tc>
          <w:tcPr>
            <w:tcW w:w="1732" w:type="dxa"/>
            <w:noWrap w:val="0"/>
            <w:vAlign w:val="center"/>
          </w:tcPr>
          <w:p w14:paraId="7D8A30BA">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质保8年</w:t>
            </w:r>
          </w:p>
        </w:tc>
      </w:tr>
      <w:tr w14:paraId="03D8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04" w:type="dxa"/>
            <w:noWrap w:val="0"/>
            <w:vAlign w:val="center"/>
          </w:tcPr>
          <w:p w14:paraId="05DABA12">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59.地板</w:t>
            </w:r>
          </w:p>
        </w:tc>
        <w:tc>
          <w:tcPr>
            <w:tcW w:w="6202" w:type="dxa"/>
            <w:noWrap w:val="0"/>
            <w:vAlign w:val="center"/>
          </w:tcPr>
          <w:p w14:paraId="6755AA45">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表面密度、邵氏硬度、简支梁冲击强度、维卡软化点、弯曲强度、弯曲弹性模量和吸水率指标要符合国标。具有质轻、阻燃环保、隔热防水等特点，具有“甲醛；总碳挥发；苯；甲苯；二甲苯”检测合格报告及阻燃测试检测合格报告；符合国家或相关行业标准。</w:t>
            </w:r>
          </w:p>
        </w:tc>
        <w:tc>
          <w:tcPr>
            <w:tcW w:w="1732" w:type="dxa"/>
            <w:noWrap w:val="0"/>
            <w:vAlign w:val="center"/>
          </w:tcPr>
          <w:p w14:paraId="4D45DFF7">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终身质保</w:t>
            </w:r>
          </w:p>
        </w:tc>
      </w:tr>
      <w:tr w14:paraId="1B93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804" w:type="dxa"/>
            <w:noWrap w:val="0"/>
            <w:vAlign w:val="center"/>
          </w:tcPr>
          <w:p w14:paraId="7DA9FA36">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60.地板革</w:t>
            </w:r>
          </w:p>
        </w:tc>
        <w:tc>
          <w:tcPr>
            <w:tcW w:w="6202" w:type="dxa"/>
            <w:noWrap w:val="0"/>
            <w:vAlign w:val="center"/>
          </w:tcPr>
          <w:p w14:paraId="26CDD974">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2.0mm*2.0m*80m，具体花色及型号由双方协商确定</w:t>
            </w:r>
            <w:r>
              <w:rPr>
                <w:rFonts w:hint="eastAsia" w:ascii="微软雅黑" w:hAnsi="微软雅黑" w:eastAsia="微软雅黑" w:cs="微软雅黑"/>
                <w:color w:val="auto"/>
                <w:sz w:val="21"/>
                <w:szCs w:val="21"/>
                <w:u w:val="none"/>
                <w:lang w:val="en-US" w:eastAsia="zh-CN"/>
              </w:rPr>
              <w:t>。</w:t>
            </w:r>
            <w:r>
              <w:rPr>
                <w:rFonts w:hint="eastAsia" w:ascii="微软雅黑" w:hAnsi="微软雅黑" w:eastAsia="微软雅黑" w:cs="微软雅黑"/>
                <w:strike w:val="0"/>
                <w:dstrike w:val="0"/>
                <w:color w:val="auto"/>
                <w:sz w:val="21"/>
                <w:szCs w:val="21"/>
                <w:highlight w:val="none"/>
                <w:u w:val="none"/>
              </w:rPr>
              <w:t>防火等级达到国标燃烧特性标准</w:t>
            </w:r>
            <w:r>
              <w:rPr>
                <w:rFonts w:hint="eastAsia" w:ascii="微软雅黑" w:hAnsi="微软雅黑" w:eastAsia="微软雅黑" w:cs="微软雅黑"/>
                <w:color w:val="auto"/>
                <w:sz w:val="21"/>
                <w:szCs w:val="21"/>
              </w:rPr>
              <w:t>，燃烧速度A-0mm/min，阻燃性能、环保要求符合国家标准要求，防滑等级R10,铺设采用焊接工艺，应均匀牢固平整无凸起。符合GB18586等国家或相关行业标准。</w:t>
            </w:r>
          </w:p>
          <w:p w14:paraId="74212A5C">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驾驶脚踏区铺装铝花地板，并进行防滑处理。前后门踏步区喷涂橘黄色，印刷“严禁站立”红字字样，后升台台阶立面设置“小心台阶”字样。</w:t>
            </w:r>
          </w:p>
        </w:tc>
        <w:tc>
          <w:tcPr>
            <w:tcW w:w="1732" w:type="dxa"/>
            <w:noWrap w:val="0"/>
            <w:vAlign w:val="center"/>
          </w:tcPr>
          <w:p w14:paraId="40346798">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地板革及焊缝连接处质保8年</w:t>
            </w:r>
          </w:p>
        </w:tc>
      </w:tr>
      <w:tr w14:paraId="7175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04" w:type="dxa"/>
            <w:noWrap w:val="0"/>
            <w:vAlign w:val="center"/>
          </w:tcPr>
          <w:p w14:paraId="12483849">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61.座椅</w:t>
            </w:r>
          </w:p>
        </w:tc>
        <w:tc>
          <w:tcPr>
            <w:tcW w:w="6202" w:type="dxa"/>
            <w:noWrap w:val="0"/>
            <w:vAlign w:val="center"/>
          </w:tcPr>
          <w:p w14:paraId="6A82F392">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座位数</w:t>
            </w:r>
            <w:r>
              <w:rPr>
                <w:rFonts w:hint="eastAsia" w:ascii="微软雅黑" w:hAnsi="微软雅黑" w:eastAsia="微软雅黑" w:cs="微软雅黑"/>
                <w:color w:val="auto"/>
                <w:sz w:val="21"/>
                <w:szCs w:val="21"/>
                <w:lang w:val="en-US" w:eastAsia="zh-CN"/>
              </w:rPr>
              <w:t>≥20</w:t>
            </w:r>
            <w:r>
              <w:rPr>
                <w:rFonts w:hint="eastAsia" w:ascii="微软雅黑" w:hAnsi="微软雅黑" w:eastAsia="微软雅黑" w:cs="微软雅黑"/>
                <w:color w:val="auto"/>
                <w:sz w:val="21"/>
                <w:szCs w:val="21"/>
              </w:rPr>
              <w:t>座，</w:t>
            </w:r>
            <w:r>
              <w:rPr>
                <w:rFonts w:hint="eastAsia" w:ascii="微软雅黑" w:hAnsi="微软雅黑" w:eastAsia="微软雅黑" w:cs="微软雅黑"/>
                <w:color w:val="auto"/>
                <w:sz w:val="21"/>
                <w:szCs w:val="21"/>
                <w:lang w:val="en-US" w:eastAsia="zh-CN"/>
              </w:rPr>
              <w:t>所有座椅必须配置安全带，</w:t>
            </w:r>
            <w:r>
              <w:rPr>
                <w:rFonts w:hint="eastAsia" w:ascii="微软雅黑" w:hAnsi="微软雅黑" w:eastAsia="微软雅黑" w:cs="微软雅黑"/>
                <w:color w:val="auto"/>
                <w:sz w:val="21"/>
                <w:szCs w:val="21"/>
              </w:rPr>
              <w:t>乘客座椅采用防滑环保座椅。应配置2席老幼病残孕专座、2席军人优先专座并在座椅显眼位置加装金属质标识标志，中门后2+2座排列。</w:t>
            </w:r>
          </w:p>
          <w:p w14:paraId="6A6E132A">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驾驶员座椅：六向可调带缓冲式，按照国家规定配置安全带。</w:t>
            </w:r>
          </w:p>
          <w:p w14:paraId="2EF991D7">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乘客座椅和驾驶员座椅在车辆运行中不发生异响。</w:t>
            </w:r>
          </w:p>
        </w:tc>
        <w:tc>
          <w:tcPr>
            <w:tcW w:w="1732" w:type="dxa"/>
            <w:noWrap w:val="0"/>
            <w:vAlign w:val="center"/>
          </w:tcPr>
          <w:p w14:paraId="2EA43BB5">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乘客座椅和驾驶员座椅质保终身。</w:t>
            </w:r>
          </w:p>
          <w:p w14:paraId="75CF54B8">
            <w:pPr>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座椅式样供应商提供样品图案，供采购人选择</w:t>
            </w:r>
          </w:p>
        </w:tc>
      </w:tr>
      <w:tr w14:paraId="5ED9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04" w:type="dxa"/>
            <w:noWrap w:val="0"/>
            <w:vAlign w:val="center"/>
          </w:tcPr>
          <w:p w14:paraId="0EF4D95E">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62.司机风扇</w:t>
            </w:r>
          </w:p>
        </w:tc>
        <w:tc>
          <w:tcPr>
            <w:tcW w:w="6202" w:type="dxa"/>
            <w:noWrap w:val="0"/>
            <w:vAlign w:val="center"/>
          </w:tcPr>
          <w:p w14:paraId="7CBA7A9E">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在驾驶员前顶适当位置安装软包风扇（不得影响驾驶员视线）。</w:t>
            </w:r>
          </w:p>
        </w:tc>
        <w:tc>
          <w:tcPr>
            <w:tcW w:w="1732" w:type="dxa"/>
            <w:noWrap w:val="0"/>
            <w:vAlign w:val="center"/>
          </w:tcPr>
          <w:p w14:paraId="28FF2287">
            <w:pPr>
              <w:spacing w:line="240" w:lineRule="auto"/>
              <w:ind w:firstLine="315" w:firstLineChars="150"/>
              <w:jc w:val="left"/>
              <w:rPr>
                <w:rFonts w:hint="eastAsia" w:ascii="微软雅黑" w:hAnsi="微软雅黑" w:eastAsia="微软雅黑" w:cs="微软雅黑"/>
                <w:color w:val="auto"/>
                <w:sz w:val="21"/>
                <w:szCs w:val="21"/>
              </w:rPr>
            </w:pPr>
          </w:p>
        </w:tc>
      </w:tr>
      <w:tr w14:paraId="0D36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04" w:type="dxa"/>
            <w:noWrap w:val="0"/>
            <w:vAlign w:val="center"/>
          </w:tcPr>
          <w:p w14:paraId="5FDADFEB">
            <w:pPr>
              <w:spacing w:line="240" w:lineRule="auto"/>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63.车内后视镜</w:t>
            </w:r>
            <w:r>
              <w:rPr>
                <w:rFonts w:hint="eastAsia" w:ascii="微软雅黑" w:hAnsi="微软雅黑" w:eastAsia="微软雅黑" w:cs="微软雅黑"/>
                <w:color w:val="auto"/>
                <w:sz w:val="21"/>
                <w:szCs w:val="21"/>
                <w:lang w:val="en-US" w:eastAsia="zh-CN"/>
              </w:rPr>
              <w:t>,</w:t>
            </w:r>
          </w:p>
        </w:tc>
        <w:tc>
          <w:tcPr>
            <w:tcW w:w="6202" w:type="dxa"/>
            <w:noWrap w:val="0"/>
            <w:vAlign w:val="center"/>
          </w:tcPr>
          <w:p w14:paraId="4327279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配置凸面镜。</w:t>
            </w:r>
          </w:p>
        </w:tc>
        <w:tc>
          <w:tcPr>
            <w:tcW w:w="1732" w:type="dxa"/>
            <w:noWrap w:val="0"/>
            <w:vAlign w:val="center"/>
          </w:tcPr>
          <w:p w14:paraId="6D61CED3">
            <w:pPr>
              <w:spacing w:line="240" w:lineRule="auto"/>
              <w:ind w:firstLine="315" w:firstLineChars="150"/>
              <w:jc w:val="left"/>
              <w:rPr>
                <w:rFonts w:hint="eastAsia" w:ascii="微软雅黑" w:hAnsi="微软雅黑" w:eastAsia="微软雅黑" w:cs="微软雅黑"/>
                <w:color w:val="auto"/>
                <w:sz w:val="21"/>
                <w:szCs w:val="21"/>
              </w:rPr>
            </w:pPr>
          </w:p>
        </w:tc>
      </w:tr>
      <w:tr w14:paraId="20F5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57A65481">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64.灭火器</w:t>
            </w:r>
          </w:p>
        </w:tc>
        <w:tc>
          <w:tcPr>
            <w:tcW w:w="6202" w:type="dxa"/>
            <w:noWrap w:val="0"/>
            <w:vAlign w:val="center"/>
          </w:tcPr>
          <w:p w14:paraId="5E3391E8">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按国家相关公交车辆安全技术规范、要求进行配置，要求方便取用。</w:t>
            </w:r>
          </w:p>
        </w:tc>
        <w:tc>
          <w:tcPr>
            <w:tcW w:w="1732" w:type="dxa"/>
            <w:noWrap w:val="0"/>
            <w:vAlign w:val="center"/>
          </w:tcPr>
          <w:p w14:paraId="3F1F7440">
            <w:pPr>
              <w:spacing w:line="240" w:lineRule="auto"/>
              <w:ind w:firstLine="315" w:firstLineChars="150"/>
              <w:jc w:val="left"/>
              <w:rPr>
                <w:rFonts w:hint="eastAsia" w:ascii="微软雅黑" w:hAnsi="微软雅黑" w:eastAsia="微软雅黑" w:cs="微软雅黑"/>
                <w:color w:val="auto"/>
                <w:sz w:val="21"/>
                <w:szCs w:val="21"/>
              </w:rPr>
            </w:pPr>
          </w:p>
        </w:tc>
      </w:tr>
      <w:tr w14:paraId="3286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04" w:type="dxa"/>
            <w:noWrap w:val="0"/>
            <w:vAlign w:val="center"/>
          </w:tcPr>
          <w:p w14:paraId="0BB4FEA4">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65.投币机</w:t>
            </w:r>
          </w:p>
        </w:tc>
        <w:tc>
          <w:tcPr>
            <w:tcW w:w="6202" w:type="dxa"/>
            <w:noWrap w:val="0"/>
            <w:vAlign w:val="center"/>
          </w:tcPr>
          <w:p w14:paraId="55679BD4">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安装不锈钢投币机（每车配2个高强度塑料投币内胆）,内锁通用，外锁一一对应。</w:t>
            </w:r>
          </w:p>
        </w:tc>
        <w:tc>
          <w:tcPr>
            <w:tcW w:w="1732" w:type="dxa"/>
            <w:noWrap w:val="0"/>
            <w:vAlign w:val="center"/>
          </w:tcPr>
          <w:p w14:paraId="4D38CDD5">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8年质保</w:t>
            </w:r>
          </w:p>
        </w:tc>
      </w:tr>
      <w:tr w14:paraId="237F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804" w:type="dxa"/>
            <w:noWrap w:val="0"/>
            <w:vAlign w:val="center"/>
          </w:tcPr>
          <w:p w14:paraId="530CB909">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66.安全锤</w:t>
            </w:r>
          </w:p>
        </w:tc>
        <w:tc>
          <w:tcPr>
            <w:tcW w:w="6202" w:type="dxa"/>
            <w:noWrap w:val="0"/>
            <w:vAlign w:val="center"/>
          </w:tcPr>
          <w:p w14:paraId="12924FF0">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按标准安装声光报警防盗消防安全锤，其中司机窗后立柱上配置1个消防安全锤。</w:t>
            </w:r>
          </w:p>
        </w:tc>
        <w:tc>
          <w:tcPr>
            <w:tcW w:w="1732" w:type="dxa"/>
            <w:noWrap w:val="0"/>
            <w:vAlign w:val="center"/>
          </w:tcPr>
          <w:p w14:paraId="3950060B">
            <w:pPr>
              <w:spacing w:line="240" w:lineRule="auto"/>
              <w:ind w:firstLine="315" w:firstLineChars="150"/>
              <w:jc w:val="left"/>
              <w:rPr>
                <w:rFonts w:hint="eastAsia" w:ascii="微软雅黑" w:hAnsi="微软雅黑" w:eastAsia="微软雅黑" w:cs="微软雅黑"/>
                <w:color w:val="auto"/>
                <w:sz w:val="21"/>
                <w:szCs w:val="21"/>
              </w:rPr>
            </w:pPr>
          </w:p>
        </w:tc>
      </w:tr>
      <w:tr w14:paraId="6A9F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04" w:type="dxa"/>
            <w:noWrap w:val="0"/>
            <w:vAlign w:val="center"/>
          </w:tcPr>
          <w:p w14:paraId="636259E2">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67.电器设备箱</w:t>
            </w:r>
          </w:p>
        </w:tc>
        <w:tc>
          <w:tcPr>
            <w:tcW w:w="6202" w:type="dxa"/>
            <w:noWrap w:val="0"/>
            <w:vAlign w:val="center"/>
          </w:tcPr>
          <w:p w14:paraId="4938C637">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钢板喷塑，有通风孔，规格为技术合理设置。仅用于安装车载电子设备（调度机、主动安全、视频监控、CAN线主机应集中安装）。</w:t>
            </w:r>
          </w:p>
        </w:tc>
        <w:tc>
          <w:tcPr>
            <w:tcW w:w="1732" w:type="dxa"/>
            <w:noWrap w:val="0"/>
            <w:vAlign w:val="center"/>
          </w:tcPr>
          <w:p w14:paraId="1AF77D66">
            <w:pPr>
              <w:spacing w:line="240" w:lineRule="auto"/>
              <w:ind w:firstLine="315" w:firstLineChars="150"/>
              <w:jc w:val="left"/>
              <w:rPr>
                <w:rFonts w:hint="eastAsia" w:ascii="微软雅黑" w:hAnsi="微软雅黑" w:eastAsia="微软雅黑" w:cs="微软雅黑"/>
                <w:color w:val="auto"/>
                <w:sz w:val="21"/>
                <w:szCs w:val="21"/>
              </w:rPr>
            </w:pPr>
          </w:p>
        </w:tc>
      </w:tr>
      <w:tr w14:paraId="2386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804" w:type="dxa"/>
            <w:noWrap w:val="0"/>
            <w:vAlign w:val="center"/>
          </w:tcPr>
          <w:p w14:paraId="6694AD28">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68安全性能要求</w:t>
            </w:r>
          </w:p>
        </w:tc>
        <w:tc>
          <w:tcPr>
            <w:tcW w:w="6202" w:type="dxa"/>
            <w:noWrap w:val="0"/>
            <w:vAlign w:val="center"/>
          </w:tcPr>
          <w:p w14:paraId="2A48559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充电锁止：充电枪连接时，车辆未拔出充电枪之前不能启动高压，车辆不能进行驱动，在确保车辆安全的情况下才允许驱动车辆（质保期限8年）。</w:t>
            </w:r>
          </w:p>
          <w:p w14:paraId="3DDBE567">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离座高压安全：驾驶员离座</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秒后仪表显示+报警提醒；离座15分钟后自动断掉车辆高压电；易于检查维修（如：安装拉链）。质保期限3年。</w:t>
            </w:r>
          </w:p>
          <w:p w14:paraId="104FEC69">
            <w:pPr>
              <w:spacing w:line="240" w:lineRule="auto"/>
              <w:jc w:val="left"/>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烟雾监测报警装置：配备烟雾报警系统，包括但不限于以下部位：高压舱、动力电池舱、除霜机，每处至少设置1个有效感应点，且与CAN总线对接，声和光（仪表红色）信号报警。质保期限8年</w:t>
            </w:r>
            <w:r>
              <w:rPr>
                <w:rFonts w:hint="eastAsia" w:ascii="微软雅黑" w:hAnsi="微软雅黑" w:eastAsia="微软雅黑" w:cs="微软雅黑"/>
                <w:color w:val="auto"/>
                <w:sz w:val="21"/>
                <w:szCs w:val="21"/>
                <w:lang w:eastAsia="zh-CN"/>
              </w:rPr>
              <w:t>。</w:t>
            </w:r>
          </w:p>
          <w:p w14:paraId="366E8C0B">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可以识别并区分酒精、汽油等气体分子并发出不同的语音报警提示。有国家权威部门检测报告， 需要与车载调度终端对接（质保按国家标准执行）。</w:t>
            </w:r>
          </w:p>
          <w:p w14:paraId="19438492">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智能辅助驾驶碰撞缓解系统+油门防误踩功能系统+全车盲区监测系统一体机</w:t>
            </w:r>
          </w:p>
        </w:tc>
        <w:tc>
          <w:tcPr>
            <w:tcW w:w="1732" w:type="dxa"/>
            <w:noWrap w:val="0"/>
            <w:vAlign w:val="center"/>
          </w:tcPr>
          <w:p w14:paraId="7C2E4340">
            <w:pPr>
              <w:spacing w:line="240" w:lineRule="auto"/>
              <w:ind w:firstLine="315" w:firstLineChars="150"/>
              <w:jc w:val="left"/>
              <w:rPr>
                <w:rFonts w:hint="eastAsia" w:ascii="微软雅黑" w:hAnsi="微软雅黑" w:eastAsia="微软雅黑" w:cs="微软雅黑"/>
                <w:color w:val="auto"/>
                <w:sz w:val="21"/>
                <w:szCs w:val="21"/>
              </w:rPr>
            </w:pPr>
          </w:p>
        </w:tc>
      </w:tr>
      <w:tr w14:paraId="75EE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804" w:type="dxa"/>
            <w:noWrap w:val="0"/>
            <w:vAlign w:val="center"/>
          </w:tcPr>
          <w:p w14:paraId="3B4A9C46">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69垃圾桶</w:t>
            </w:r>
          </w:p>
        </w:tc>
        <w:tc>
          <w:tcPr>
            <w:tcW w:w="6202" w:type="dxa"/>
            <w:noWrap w:val="0"/>
            <w:vAlign w:val="center"/>
          </w:tcPr>
          <w:p w14:paraId="326F0630">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304#不锈钢手按式分类摇盖桶，外桶直径24.5cm，高30cm。安装牢固。（内胆使用不锈钢材质）</w:t>
            </w:r>
          </w:p>
        </w:tc>
        <w:tc>
          <w:tcPr>
            <w:tcW w:w="1732" w:type="dxa"/>
            <w:noWrap w:val="0"/>
            <w:vAlign w:val="center"/>
          </w:tcPr>
          <w:p w14:paraId="1422D2D0">
            <w:pPr>
              <w:spacing w:line="240" w:lineRule="auto"/>
              <w:ind w:firstLine="315" w:firstLineChars="150"/>
              <w:jc w:val="left"/>
              <w:rPr>
                <w:rFonts w:hint="eastAsia" w:ascii="微软雅黑" w:hAnsi="微软雅黑" w:eastAsia="微软雅黑" w:cs="微软雅黑"/>
                <w:color w:val="auto"/>
                <w:sz w:val="21"/>
                <w:szCs w:val="21"/>
              </w:rPr>
            </w:pPr>
          </w:p>
        </w:tc>
      </w:tr>
      <w:tr w14:paraId="0346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14:paraId="41AD2852">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70.其他</w:t>
            </w:r>
          </w:p>
        </w:tc>
        <w:tc>
          <w:tcPr>
            <w:tcW w:w="6202" w:type="dxa"/>
            <w:noWrap w:val="0"/>
            <w:vAlign w:val="center"/>
          </w:tcPr>
          <w:p w14:paraId="38ECF4D1">
            <w:pPr>
              <w:spacing w:line="240" w:lineRule="auto"/>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1、靠近驾驶区域安装物品柜1个，杯托1个，尺寸以采购人要求为准，适配本车随车工具1套、反光背心1件、三角警示牌1个、防滑型三角木2个</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备胎1个（带钢圈）。</w:t>
            </w:r>
          </w:p>
          <w:p w14:paraId="78324C5F">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安装驾驶员管理牌，手机放置盒，杂物盒。</w:t>
            </w:r>
          </w:p>
          <w:p w14:paraId="36E68379">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2、根据车型结构车厢内合适安全位置装工具箱。</w:t>
            </w:r>
          </w:p>
          <w:p w14:paraId="60A0D1D8">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3、所有车辆的电子设备箱、电池箱采用统一钥匙，单车其他箱、柜钥匙为本车通用钥匙。</w:t>
            </w:r>
          </w:p>
          <w:p w14:paraId="6D48FA50">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4、车辆上下客门台阶、车内台阶及车内有菱角的地方要软化处理，防止人员碰撞受伤（软化材质质保2年）</w:t>
            </w:r>
          </w:p>
        </w:tc>
        <w:tc>
          <w:tcPr>
            <w:tcW w:w="1732" w:type="dxa"/>
            <w:noWrap w:val="0"/>
            <w:vAlign w:val="center"/>
          </w:tcPr>
          <w:p w14:paraId="00602007">
            <w:pPr>
              <w:spacing w:line="240" w:lineRule="auto"/>
              <w:ind w:firstLine="315" w:firstLineChars="150"/>
              <w:jc w:val="left"/>
              <w:rPr>
                <w:rFonts w:hint="eastAsia" w:ascii="微软雅黑" w:hAnsi="微软雅黑" w:eastAsia="微软雅黑" w:cs="微软雅黑"/>
                <w:color w:val="auto"/>
                <w:sz w:val="21"/>
                <w:szCs w:val="21"/>
              </w:rPr>
            </w:pPr>
          </w:p>
        </w:tc>
      </w:tr>
      <w:tr w14:paraId="09AC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804" w:type="dxa"/>
            <w:noWrap w:val="0"/>
            <w:vAlign w:val="center"/>
          </w:tcPr>
          <w:p w14:paraId="5A1ADC34">
            <w:pPr>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71.标志、符号</w:t>
            </w:r>
          </w:p>
        </w:tc>
        <w:tc>
          <w:tcPr>
            <w:tcW w:w="6202" w:type="dxa"/>
            <w:noWrap w:val="0"/>
            <w:vAlign w:val="center"/>
          </w:tcPr>
          <w:p w14:paraId="30C7398D">
            <w:pPr>
              <w:spacing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喷涂符合GB/T5845.2</w:t>
            </w:r>
            <w:r>
              <w:rPr>
                <w:rFonts w:hint="eastAsia" w:ascii="微软雅黑" w:hAnsi="微软雅黑" w:eastAsia="微软雅黑" w:cs="微软雅黑"/>
                <w:color w:val="auto"/>
                <w:sz w:val="21"/>
                <w:szCs w:val="21"/>
                <w:lang w:val="en-US" w:eastAsia="zh-CN"/>
              </w:rPr>
              <w:t>-2008</w:t>
            </w:r>
            <w:r>
              <w:rPr>
                <w:rFonts w:hint="eastAsia" w:ascii="微软雅黑" w:hAnsi="微软雅黑" w:eastAsia="微软雅黑" w:cs="微软雅黑"/>
                <w:color w:val="auto"/>
                <w:sz w:val="21"/>
                <w:szCs w:val="21"/>
              </w:rPr>
              <w:t>和其他标准规范要求的标志、符号。车辆徽记、编号及车内各类标识由采购人提供制作标准，供应商负责制作安装。</w:t>
            </w:r>
          </w:p>
        </w:tc>
        <w:tc>
          <w:tcPr>
            <w:tcW w:w="1732" w:type="dxa"/>
            <w:noWrap w:val="0"/>
            <w:vAlign w:val="center"/>
          </w:tcPr>
          <w:p w14:paraId="4F7A257A">
            <w:pPr>
              <w:spacing w:line="240" w:lineRule="auto"/>
              <w:ind w:firstLine="315" w:firstLineChars="150"/>
              <w:jc w:val="left"/>
              <w:rPr>
                <w:rFonts w:hint="eastAsia" w:ascii="微软雅黑" w:hAnsi="微软雅黑" w:eastAsia="微软雅黑" w:cs="微软雅黑"/>
                <w:color w:val="auto"/>
                <w:sz w:val="21"/>
                <w:szCs w:val="21"/>
              </w:rPr>
            </w:pPr>
          </w:p>
        </w:tc>
      </w:tr>
    </w:tbl>
    <w:p w14:paraId="7A6F7E57">
      <w:pPr>
        <w:rPr>
          <w:color w:val="auto"/>
        </w:rPr>
      </w:pPr>
    </w:p>
    <w:p w14:paraId="6FDBEB4E">
      <w:pPr>
        <w:keepNext w:val="0"/>
        <w:keepLines w:val="0"/>
        <w:pageBreakBefore w:val="0"/>
        <w:widowControl/>
        <w:suppressLineNumbers w:val="0"/>
        <w:kinsoku/>
        <w:wordWrap/>
        <w:overflowPunct/>
        <w:topLinePunct w:val="0"/>
        <w:autoSpaceDE/>
        <w:autoSpaceDN/>
        <w:bidi w:val="0"/>
        <w:adjustRightInd/>
        <w:snapToGrid w:val="0"/>
        <w:spacing w:line="264" w:lineRule="auto"/>
        <w:jc w:val="left"/>
        <w:textAlignment w:val="auto"/>
        <w:rPr>
          <w:rFonts w:hint="eastAsia" w:ascii="微软雅黑" w:hAnsi="微软雅黑" w:eastAsia="微软雅黑" w:cs="微软雅黑"/>
          <w:b/>
          <w:bCs/>
          <w:color w:val="auto"/>
          <w:kern w:val="2"/>
          <w:sz w:val="24"/>
          <w:szCs w:val="20"/>
          <w:highlight w:val="none"/>
          <w:lang w:val="en-US" w:eastAsia="zh-CN" w:bidi="ar-SA"/>
        </w:rPr>
        <w:sectPr>
          <w:pgSz w:w="11906" w:h="16838"/>
          <w:pgMar w:top="1440" w:right="1080" w:bottom="1440" w:left="1080" w:header="0" w:footer="996" w:gutter="0"/>
          <w:pgNumType w:fmt="decimal"/>
          <w:cols w:space="720" w:num="1"/>
        </w:sectPr>
      </w:pPr>
    </w:p>
    <w:p w14:paraId="2B73B24F">
      <w:pPr>
        <w:keepNext w:val="0"/>
        <w:keepLines w:val="0"/>
        <w:pageBreakBefore w:val="0"/>
        <w:widowControl/>
        <w:suppressLineNumbers w:val="0"/>
        <w:kinsoku/>
        <w:wordWrap/>
        <w:overflowPunct/>
        <w:topLinePunct w:val="0"/>
        <w:autoSpaceDE/>
        <w:autoSpaceDN/>
        <w:bidi w:val="0"/>
        <w:adjustRightInd/>
        <w:snapToGrid w:val="0"/>
        <w:spacing w:line="264" w:lineRule="auto"/>
        <w:jc w:val="left"/>
        <w:textAlignment w:val="auto"/>
        <w:rPr>
          <w:rFonts w:hint="default" w:ascii="微软雅黑" w:hAnsi="微软雅黑" w:eastAsia="微软雅黑" w:cs="微软雅黑"/>
          <w:b/>
          <w:bCs/>
          <w:color w:val="auto"/>
          <w:kern w:val="2"/>
          <w:sz w:val="24"/>
          <w:szCs w:val="20"/>
          <w:highlight w:val="none"/>
          <w:lang w:val="en-US" w:eastAsia="zh-CN" w:bidi="ar-SA"/>
        </w:rPr>
      </w:pPr>
      <w:r>
        <w:rPr>
          <w:rFonts w:hint="eastAsia" w:ascii="微软雅黑" w:hAnsi="微软雅黑" w:eastAsia="微软雅黑" w:cs="微软雅黑"/>
          <w:b/>
          <w:bCs/>
          <w:color w:val="auto"/>
          <w:kern w:val="2"/>
          <w:sz w:val="24"/>
          <w:szCs w:val="20"/>
          <w:highlight w:val="none"/>
          <w:lang w:val="en-US" w:eastAsia="zh-CN" w:bidi="ar-SA"/>
        </w:rPr>
        <w:t>三、商务要求</w:t>
      </w:r>
    </w:p>
    <w:tbl>
      <w:tblPr>
        <w:tblStyle w:val="41"/>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4"/>
        <w:gridCol w:w="7902"/>
      </w:tblGrid>
      <w:tr w14:paraId="1FD5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74" w:type="dxa"/>
            <w:noWrap w:val="0"/>
            <w:vAlign w:val="center"/>
          </w:tcPr>
          <w:p w14:paraId="207BAA44">
            <w:pPr>
              <w:spacing w:line="240" w:lineRule="auto"/>
              <w:jc w:val="center"/>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1</w:t>
            </w:r>
          </w:p>
        </w:tc>
        <w:tc>
          <w:tcPr>
            <w:tcW w:w="1134" w:type="dxa"/>
            <w:noWrap w:val="0"/>
            <w:vAlign w:val="center"/>
          </w:tcPr>
          <w:p w14:paraId="17B8A556">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en-US" w:bidi="ar-SA"/>
              </w:rPr>
            </w:pPr>
            <w:r>
              <w:rPr>
                <w:rFonts w:hint="eastAsia" w:ascii="微软雅黑" w:hAnsi="微软雅黑" w:eastAsia="微软雅黑" w:cs="微软雅黑"/>
                <w:color w:val="auto"/>
                <w:kern w:val="0"/>
                <w:sz w:val="21"/>
                <w:szCs w:val="21"/>
                <w:highlight w:val="none"/>
                <w:lang w:val="en-US" w:eastAsia="en-US" w:bidi="ar-SA"/>
              </w:rPr>
              <w:t>报价要求</w:t>
            </w:r>
          </w:p>
        </w:tc>
        <w:tc>
          <w:tcPr>
            <w:tcW w:w="7902" w:type="dxa"/>
            <w:noWrap w:val="0"/>
            <w:vAlign w:val="top"/>
          </w:tcPr>
          <w:p w14:paraId="43E30351">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kern w:val="2"/>
                <w:sz w:val="21"/>
                <w:szCs w:val="21"/>
                <w:highlight w:val="none"/>
                <w:lang w:val="en-US" w:eastAsia="en-US" w:bidi="ar-SA"/>
              </w:rPr>
            </w:pPr>
            <w:r>
              <w:rPr>
                <w:rFonts w:hint="eastAsia" w:ascii="微软雅黑" w:hAnsi="微软雅黑" w:eastAsia="微软雅黑" w:cs="微软雅黑"/>
                <w:color w:val="auto"/>
                <w:spacing w:val="7"/>
                <w:sz w:val="21"/>
                <w:szCs w:val="21"/>
                <w:highlight w:val="none"/>
                <w:lang w:val="en-US" w:eastAsia="zh-CN"/>
              </w:rPr>
              <w:t>本次报价为人民币报价，投标报价应包括：车辆本身价格、安装、调试、运输、运输保险、配件、备品备件、培训、税金、随产品资料、质保、售后服务、合同实施过程中不可预见费用等一切费用，以供应商中标价签订本项目采购合同，除签约价款采购方不再支付任何费用。</w:t>
            </w:r>
          </w:p>
        </w:tc>
      </w:tr>
      <w:tr w14:paraId="4D3B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4" w:type="dxa"/>
            <w:noWrap w:val="0"/>
            <w:vAlign w:val="center"/>
          </w:tcPr>
          <w:p w14:paraId="22527511">
            <w:pPr>
              <w:spacing w:line="240" w:lineRule="auto"/>
              <w:jc w:val="center"/>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2</w:t>
            </w:r>
          </w:p>
        </w:tc>
        <w:tc>
          <w:tcPr>
            <w:tcW w:w="1134" w:type="dxa"/>
            <w:noWrap w:val="0"/>
            <w:vAlign w:val="center"/>
          </w:tcPr>
          <w:p w14:paraId="295C3487">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en-US" w:bidi="ar-SA"/>
              </w:rPr>
            </w:pPr>
            <w:r>
              <w:rPr>
                <w:rFonts w:hint="eastAsia" w:ascii="微软雅黑" w:hAnsi="微软雅黑" w:eastAsia="微软雅黑" w:cs="微软雅黑"/>
                <w:color w:val="auto"/>
                <w:kern w:val="0"/>
                <w:sz w:val="21"/>
                <w:szCs w:val="21"/>
                <w:highlight w:val="none"/>
                <w:lang w:val="en-US" w:eastAsia="en-US" w:bidi="ar-SA"/>
              </w:rPr>
              <w:t>交货期</w:t>
            </w:r>
          </w:p>
        </w:tc>
        <w:tc>
          <w:tcPr>
            <w:tcW w:w="7902" w:type="dxa"/>
            <w:noWrap w:val="0"/>
            <w:vAlign w:val="center"/>
          </w:tcPr>
          <w:p w14:paraId="33DA04B8">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sz w:val="21"/>
                <w:szCs w:val="21"/>
                <w:highlight w:val="none"/>
                <w:lang w:val="en-US" w:eastAsia="zh-CN"/>
              </w:rPr>
            </w:pPr>
            <w:r>
              <w:rPr>
                <w:rFonts w:hint="eastAsia" w:ascii="微软雅黑" w:hAnsi="微软雅黑" w:eastAsia="微软雅黑" w:cs="微软雅黑"/>
                <w:color w:val="auto"/>
                <w:spacing w:val="7"/>
                <w:sz w:val="21"/>
                <w:szCs w:val="21"/>
                <w:highlight w:val="none"/>
                <w:lang w:val="en-US" w:eastAsia="zh-CN"/>
              </w:rPr>
              <w:t>签订合同之日起45日内完成供货。</w:t>
            </w:r>
          </w:p>
        </w:tc>
      </w:tr>
      <w:tr w14:paraId="60C1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74" w:type="dxa"/>
            <w:noWrap w:val="0"/>
            <w:vAlign w:val="center"/>
          </w:tcPr>
          <w:p w14:paraId="41212984">
            <w:pPr>
              <w:spacing w:line="240" w:lineRule="auto"/>
              <w:jc w:val="center"/>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3</w:t>
            </w:r>
          </w:p>
        </w:tc>
        <w:tc>
          <w:tcPr>
            <w:tcW w:w="1134" w:type="dxa"/>
            <w:noWrap w:val="0"/>
            <w:vAlign w:val="center"/>
          </w:tcPr>
          <w:p w14:paraId="68FA39CC">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en-US" w:bidi="ar-SA"/>
              </w:rPr>
            </w:pPr>
            <w:r>
              <w:rPr>
                <w:rFonts w:hint="eastAsia" w:ascii="微软雅黑" w:hAnsi="微软雅黑" w:eastAsia="微软雅黑" w:cs="微软雅黑"/>
                <w:color w:val="auto"/>
                <w:kern w:val="0"/>
                <w:sz w:val="21"/>
                <w:szCs w:val="21"/>
                <w:highlight w:val="none"/>
                <w:lang w:val="en-US" w:eastAsia="en-US" w:bidi="ar-SA"/>
              </w:rPr>
              <w:t>交货地点</w:t>
            </w:r>
          </w:p>
        </w:tc>
        <w:tc>
          <w:tcPr>
            <w:tcW w:w="7902" w:type="dxa"/>
            <w:noWrap w:val="0"/>
            <w:vAlign w:val="center"/>
          </w:tcPr>
          <w:p w14:paraId="752DEC44">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sz w:val="21"/>
                <w:szCs w:val="21"/>
                <w:highlight w:val="none"/>
                <w:lang w:val="en-US" w:eastAsia="zh-CN"/>
              </w:rPr>
            </w:pPr>
            <w:r>
              <w:rPr>
                <w:rFonts w:hint="eastAsia" w:ascii="微软雅黑" w:hAnsi="微软雅黑" w:eastAsia="微软雅黑" w:cs="微软雅黑"/>
                <w:color w:val="auto"/>
                <w:spacing w:val="7"/>
                <w:sz w:val="21"/>
                <w:szCs w:val="21"/>
                <w:highlight w:val="none"/>
                <w:lang w:val="en-US" w:eastAsia="zh-CN"/>
              </w:rPr>
              <w:t>采购人指定地点。</w:t>
            </w:r>
          </w:p>
        </w:tc>
      </w:tr>
      <w:tr w14:paraId="1755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74" w:type="dxa"/>
            <w:noWrap w:val="0"/>
            <w:vAlign w:val="center"/>
          </w:tcPr>
          <w:p w14:paraId="15A14C39">
            <w:pPr>
              <w:spacing w:line="240" w:lineRule="auto"/>
              <w:jc w:val="center"/>
              <w:rPr>
                <w:rFonts w:hint="default"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4</w:t>
            </w:r>
          </w:p>
        </w:tc>
        <w:tc>
          <w:tcPr>
            <w:tcW w:w="1134" w:type="dxa"/>
            <w:noWrap w:val="0"/>
            <w:vAlign w:val="center"/>
          </w:tcPr>
          <w:p w14:paraId="44BA1DF1">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en-US" w:bidi="ar-SA"/>
              </w:rPr>
            </w:pPr>
            <w:r>
              <w:rPr>
                <w:rFonts w:hint="eastAsia" w:ascii="微软雅黑" w:hAnsi="微软雅黑" w:eastAsia="微软雅黑" w:cs="微软雅黑"/>
                <w:color w:val="auto"/>
                <w:kern w:val="0"/>
                <w:sz w:val="21"/>
                <w:szCs w:val="21"/>
                <w:highlight w:val="none"/>
                <w:lang w:val="en-US" w:eastAsia="zh-CN" w:bidi="ar-SA"/>
              </w:rPr>
              <w:t>付款方式</w:t>
            </w:r>
          </w:p>
        </w:tc>
        <w:tc>
          <w:tcPr>
            <w:tcW w:w="7902" w:type="dxa"/>
            <w:noWrap w:val="0"/>
            <w:vAlign w:val="center"/>
          </w:tcPr>
          <w:p w14:paraId="71970B6F">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sz w:val="21"/>
                <w:szCs w:val="21"/>
                <w:highlight w:val="none"/>
                <w:lang w:val="en-US" w:eastAsia="zh-CN"/>
              </w:rPr>
            </w:pPr>
            <w:r>
              <w:rPr>
                <w:rFonts w:hint="eastAsia" w:ascii="微软雅黑" w:hAnsi="微软雅黑" w:eastAsia="微软雅黑" w:cs="微软雅黑"/>
                <w:color w:val="auto"/>
                <w:spacing w:val="7"/>
                <w:sz w:val="21"/>
                <w:szCs w:val="21"/>
                <w:highlight w:val="none"/>
                <w:lang w:val="en-US" w:eastAsia="zh-CN"/>
              </w:rPr>
              <w:t>签订合同后甲方向乙方支付30%预付款，全部货物供货、安装、调试、验收并交付完后支付至100%。</w:t>
            </w:r>
          </w:p>
        </w:tc>
      </w:tr>
      <w:tr w14:paraId="4040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74" w:type="dxa"/>
            <w:noWrap w:val="0"/>
            <w:vAlign w:val="center"/>
          </w:tcPr>
          <w:p w14:paraId="793B7626">
            <w:pPr>
              <w:spacing w:line="240" w:lineRule="auto"/>
              <w:jc w:val="center"/>
              <w:rPr>
                <w:rFonts w:hint="default"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5</w:t>
            </w:r>
          </w:p>
        </w:tc>
        <w:tc>
          <w:tcPr>
            <w:tcW w:w="1134" w:type="dxa"/>
            <w:noWrap w:val="0"/>
            <w:vAlign w:val="center"/>
          </w:tcPr>
          <w:p w14:paraId="66321F15">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en-US" w:bidi="ar-SA"/>
              </w:rPr>
            </w:pPr>
            <w:r>
              <w:rPr>
                <w:rFonts w:hint="eastAsia" w:ascii="微软雅黑" w:hAnsi="微软雅黑" w:eastAsia="微软雅黑" w:cs="微软雅黑"/>
                <w:color w:val="auto"/>
                <w:kern w:val="0"/>
                <w:sz w:val="21"/>
                <w:szCs w:val="21"/>
                <w:highlight w:val="none"/>
                <w:lang w:val="en-US" w:eastAsia="en-US" w:bidi="ar-SA"/>
              </w:rPr>
              <w:t>签订合同</w:t>
            </w:r>
          </w:p>
        </w:tc>
        <w:tc>
          <w:tcPr>
            <w:tcW w:w="7902" w:type="dxa"/>
            <w:noWrap w:val="0"/>
            <w:vAlign w:val="top"/>
          </w:tcPr>
          <w:p w14:paraId="4D0D6499">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sz w:val="21"/>
                <w:szCs w:val="21"/>
                <w:highlight w:val="none"/>
                <w:lang w:val="en-US" w:eastAsia="zh-CN"/>
              </w:rPr>
            </w:pPr>
            <w:r>
              <w:rPr>
                <w:rFonts w:hint="eastAsia" w:ascii="微软雅黑" w:hAnsi="微软雅黑" w:eastAsia="微软雅黑" w:cs="微软雅黑"/>
                <w:color w:val="auto"/>
                <w:spacing w:val="7"/>
                <w:sz w:val="21"/>
                <w:szCs w:val="21"/>
                <w:highlight w:val="none"/>
                <w:lang w:val="en-US" w:eastAsia="zh-CN"/>
              </w:rPr>
              <w:t>中标通知书发出后在5日内签订政府采购合同，同时须按采购人要求缴纳5%履约保证金。若第一中标人拒绝签订政府采购合同，将取消中标资格，应当承担相应的法律责任，采购人可以按照评审报告推荐的中标候选人名单排序，确定下一候选人为中标人，也可以重新开展政府采购活动。</w:t>
            </w:r>
          </w:p>
        </w:tc>
      </w:tr>
      <w:tr w14:paraId="7680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74" w:type="dxa"/>
            <w:noWrap w:val="0"/>
            <w:vAlign w:val="center"/>
          </w:tcPr>
          <w:p w14:paraId="6E483A00">
            <w:pPr>
              <w:spacing w:line="240" w:lineRule="auto"/>
              <w:jc w:val="center"/>
              <w:rPr>
                <w:rFonts w:hint="default"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6</w:t>
            </w:r>
          </w:p>
        </w:tc>
        <w:tc>
          <w:tcPr>
            <w:tcW w:w="1134" w:type="dxa"/>
            <w:noWrap w:val="0"/>
            <w:vAlign w:val="center"/>
          </w:tcPr>
          <w:p w14:paraId="3C183E05">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en-US" w:bidi="ar-SA"/>
              </w:rPr>
            </w:pPr>
            <w:r>
              <w:rPr>
                <w:rFonts w:hint="eastAsia" w:ascii="微软雅黑" w:hAnsi="微软雅黑" w:eastAsia="微软雅黑" w:cs="微软雅黑"/>
                <w:color w:val="auto"/>
                <w:sz w:val="21"/>
                <w:szCs w:val="21"/>
                <w:highlight w:val="none"/>
              </w:rPr>
              <w:t>供货要求</w:t>
            </w:r>
          </w:p>
        </w:tc>
        <w:tc>
          <w:tcPr>
            <w:tcW w:w="7902" w:type="dxa"/>
            <w:noWrap w:val="0"/>
            <w:vAlign w:val="top"/>
          </w:tcPr>
          <w:p w14:paraId="353FC4D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1、中标供应商提供的所有车辆必须保证是正品。</w:t>
            </w:r>
          </w:p>
          <w:p w14:paraId="11EB202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2、中标供应商所供车辆的型号、数量、规格及技术要求必须与合同中所规定的技术要求条款相一致。</w:t>
            </w:r>
          </w:p>
          <w:p w14:paraId="3A2E98F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3、采购单位对所有车辆均进行验收，若发现产品不属正品、质量有问题，甲方拒绝付款。</w:t>
            </w:r>
          </w:p>
          <w:p w14:paraId="2F65C29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4、在质保期内若发现设备有缺陷(包括潜在的缺陷或不符合要求的材料等)，采购单位将以书面形式通知中标供应商，中标供应商应在约定的时间内弥补缺陷，价格仍按合同价。</w:t>
            </w:r>
          </w:p>
          <w:p w14:paraId="3D34FAA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5、中标供应商提供的产品若出现厂家停产并已升级，中标供应商应按升级产品的配置提供产品，价格仍按合同价。</w:t>
            </w:r>
          </w:p>
          <w:p w14:paraId="5F6B2BB6">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6、中标供应商保证所供货物应按厂家承诺的保修服务条款，提供因设备质量问题而必须更换的零部件或整车，价格仍按合同价。</w:t>
            </w:r>
          </w:p>
        </w:tc>
      </w:tr>
      <w:tr w14:paraId="6533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74" w:type="dxa"/>
            <w:noWrap w:val="0"/>
            <w:vAlign w:val="center"/>
          </w:tcPr>
          <w:p w14:paraId="4BD3FA96">
            <w:pPr>
              <w:spacing w:line="240" w:lineRule="auto"/>
              <w:jc w:val="center"/>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7</w:t>
            </w:r>
          </w:p>
        </w:tc>
        <w:tc>
          <w:tcPr>
            <w:tcW w:w="1134" w:type="dxa"/>
            <w:noWrap w:val="0"/>
            <w:vAlign w:val="center"/>
          </w:tcPr>
          <w:p w14:paraId="4EBD58F3">
            <w:pPr>
              <w:spacing w:line="240" w:lineRule="auto"/>
              <w:jc w:val="center"/>
              <w:rPr>
                <w:rFonts w:hint="eastAsia" w:ascii="微软雅黑" w:hAnsi="微软雅黑" w:eastAsia="微软雅黑" w:cs="微软雅黑"/>
                <w:color w:val="auto"/>
                <w:kern w:val="0"/>
                <w:sz w:val="21"/>
                <w:szCs w:val="21"/>
                <w:highlight w:val="none"/>
                <w:lang w:val="en-US" w:eastAsia="en-US" w:bidi="ar-SA"/>
              </w:rPr>
            </w:pPr>
            <w:r>
              <w:rPr>
                <w:rFonts w:hint="eastAsia" w:ascii="微软雅黑" w:hAnsi="微软雅黑" w:eastAsia="微软雅黑" w:cs="微软雅黑"/>
                <w:color w:val="auto"/>
                <w:kern w:val="0"/>
                <w:sz w:val="21"/>
                <w:szCs w:val="21"/>
                <w:highlight w:val="none"/>
                <w:lang w:val="en-US" w:eastAsia="en-US" w:bidi="ar-SA"/>
              </w:rPr>
              <w:t>售后服务要求</w:t>
            </w:r>
          </w:p>
          <w:p w14:paraId="14135653">
            <w:pPr>
              <w:spacing w:line="240" w:lineRule="auto"/>
              <w:ind w:firstLine="420" w:firstLineChars="200"/>
              <w:rPr>
                <w:rFonts w:hint="eastAsia" w:ascii="微软雅黑" w:hAnsi="微软雅黑" w:eastAsia="微软雅黑" w:cs="微软雅黑"/>
                <w:b/>
                <w:bCs/>
                <w:color w:val="auto"/>
                <w:sz w:val="21"/>
                <w:szCs w:val="21"/>
                <w:highlight w:val="none"/>
              </w:rPr>
            </w:pPr>
          </w:p>
        </w:tc>
        <w:tc>
          <w:tcPr>
            <w:tcW w:w="7902" w:type="dxa"/>
            <w:noWrap w:val="0"/>
            <w:vAlign w:val="center"/>
          </w:tcPr>
          <w:p w14:paraId="42AFEF1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一、承诺交车后，在整车质保期内，供货方车辆提供“整车售后”服务，按照车辆运营在岗原则缩短售后服务的响应时间。质保期内出现质量问题，供货方在接到通知后1小时内作出响应，2小时内到场，1天内完成维修或更换。</w:t>
            </w:r>
          </w:p>
          <w:p w14:paraId="1C396D2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二、中标单位必须按照采购人的要求和验货标准进行供货，采购质量过硬的零部件，车辆所需配件须有明确的生产厂、名称、规格型号。除标书中技术要求特别规定的质保期外，因设计、装配、产品质量等原因发生故障、事故造成的损失，由中标单位承担责任。</w:t>
            </w:r>
          </w:p>
          <w:p w14:paraId="781C46F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三、为便于采购人相关人员熟练操作和维护车辆，保证车辆的良好运行，中标人需提供操作和维护技术的培训服务，对采购人的有关驾驶员、维修技工和技术管理人员进行全面的技术培训，对驾驶员的培训要求每人不少于两次(使用前、使用中)。</w:t>
            </w:r>
          </w:p>
          <w:p w14:paraId="5C45A35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四、中标单位交付采购人的车辆应与招标文件要求相符。提供各类合格证(总成合格证、底盘合格证、整车合格证等)；4联购车发票 (用户联、上户联、报税联、抵扣联)，内容规范不压线；每辆车拓印3份发动机号码和底盘号码；提供彩色打印的车辆照片。</w:t>
            </w:r>
          </w:p>
          <w:p w14:paraId="1FB73BD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五、车辆在采购人签收前的维修、保养、安全责任由供应商自行承担。</w:t>
            </w:r>
          </w:p>
          <w:p w14:paraId="61EE6CA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六、供方应培训车辆维修保养人员,被培训人员的业务水平逐步达到技师的级别同时安排一名专业技术人员提供现场服务，如因厂家未安排人，导致车辆未得到维修，产生的经济损失由厂家承担。</w:t>
            </w:r>
          </w:p>
          <w:p w14:paraId="50F0BAE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七、建立每一台车辆终身档案,对车辆的运行维修情况进行实时记载及跟踪,终身提供技术指导。</w:t>
            </w:r>
          </w:p>
          <w:p w14:paraId="451619C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八、提供全车维修电路图、线束、产品说明书:提供车辆附属配件的说明书。</w:t>
            </w:r>
          </w:p>
          <w:p w14:paraId="6BBC795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九、配置两个干粉灭火器具有ABC线路灭火功能执行国家标准，每车的维修手册,维修使用说明书,整车线路图空调、电子设备、取暖设备说明书,取暖钢瓶档案。并配备电机保养工具两套；绝缘表两个，万用表两个；绝缘工具等两套；周立功CAN卡两套；五合一检修面板两套；笔记本电脑1台（安装车辆故障排查系统，如有系统升级须提供服务）；</w:t>
            </w:r>
          </w:p>
          <w:p w14:paraId="1F0E2F4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十、为了保证车辆落户,厂家提供整车一致性产品认证书,车辆(车头45度、侧身90度、车内车头到车尾)照片上加印车辆车架号，每车两张、车辆限速证明、动力电池合格证,驱动电机号拓号。厂家配合使用方车管所上牌。</w:t>
            </w:r>
          </w:p>
          <w:p w14:paraId="5133C75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十一、厂家按车管所上牌要求喷后盖（不到喀什 不算到新疆），车门喷单位名称，反光贴按车管所要求张贴，以便及时上户。</w:t>
            </w:r>
          </w:p>
          <w:p w14:paraId="4D6EA19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十二、厂家必须提供电机、驱动电机、五合一控制器、轮边减速器、锅炉、空压机总成备件1套。</w:t>
            </w:r>
          </w:p>
          <w:p w14:paraId="423777F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十三、中标供应商在供货时提供的其他相关资料：</w:t>
            </w:r>
          </w:p>
          <w:p w14:paraId="5EA1C93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(1)按购置的车辆数为采购人提供完整的用户使用手册、主要零部件目录、整车电路图等相关技术资料。</w:t>
            </w:r>
          </w:p>
          <w:p w14:paraId="28C40BA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(2)提供配套厂家通讯地址、提供整车各总成、部件及所用各类润滑油的生产厂家、品牌、型号和联系人及联系电话。</w:t>
            </w:r>
          </w:p>
          <w:p w14:paraId="03691FF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(3)除采购人特殊要求外,同一批次同一型号车辆所使用的零配件必须为同一厂家、同一型号的。供应商确保维修配件的供应。</w:t>
            </w:r>
          </w:p>
          <w:p w14:paraId="33688F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(4)车身图案及车厢内外标识按采购人要求。</w:t>
            </w:r>
          </w:p>
          <w:p w14:paraId="4F87374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(5)该批车辆提供一份电子表格，内容包括：自编号、车架号、动力电池箱编号、电机编号，空调厂牌。</w:t>
            </w:r>
          </w:p>
          <w:p w14:paraId="2264F2D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十四、相应部件的质保按招标文件要求执行。</w:t>
            </w:r>
          </w:p>
        </w:tc>
      </w:tr>
      <w:tr w14:paraId="4868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74" w:type="dxa"/>
            <w:noWrap w:val="0"/>
            <w:vAlign w:val="center"/>
          </w:tcPr>
          <w:p w14:paraId="484C998A">
            <w:pPr>
              <w:spacing w:line="240" w:lineRule="auto"/>
              <w:jc w:val="center"/>
              <w:rPr>
                <w:rFonts w:hint="default"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8</w:t>
            </w:r>
          </w:p>
        </w:tc>
        <w:tc>
          <w:tcPr>
            <w:tcW w:w="1134" w:type="dxa"/>
            <w:noWrap w:val="0"/>
            <w:vAlign w:val="center"/>
          </w:tcPr>
          <w:p w14:paraId="01D86C69">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en-US" w:bidi="ar-SA"/>
              </w:rPr>
              <w:t>验收要求</w:t>
            </w:r>
          </w:p>
        </w:tc>
        <w:tc>
          <w:tcPr>
            <w:tcW w:w="7902" w:type="dxa"/>
            <w:noWrap w:val="0"/>
            <w:vAlign w:val="top"/>
          </w:tcPr>
          <w:p w14:paraId="354382CA">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1.交付验收标准依次序对照适用标准为：①符合中华人民共和国国家安全质量标准、环保标准或行业标准；②符合招标文件和响应承诺中采购人认可的合理最佳配置、参数及各项要求。</w:t>
            </w:r>
          </w:p>
          <w:p w14:paraId="03C5B78C">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2.验收时中标人负责将全部有关技术文件、资料、安装、测试、验收报告等到文档汇集成册交付采购人，使用操作及安全须知等重要资料应附有中文说明。</w:t>
            </w:r>
          </w:p>
          <w:p w14:paraId="0ED4303D">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3.采购人组成验收小组按国家有关规定、规范进行验收，必要时邀请相关的专业人员或机构参与验收。</w:t>
            </w:r>
          </w:p>
        </w:tc>
      </w:tr>
      <w:tr w14:paraId="439E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74" w:type="dxa"/>
            <w:noWrap w:val="0"/>
            <w:vAlign w:val="center"/>
          </w:tcPr>
          <w:p w14:paraId="411C63D9">
            <w:pPr>
              <w:spacing w:line="240" w:lineRule="auto"/>
              <w:jc w:val="center"/>
              <w:rPr>
                <w:rFonts w:hint="default"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9</w:t>
            </w:r>
          </w:p>
        </w:tc>
        <w:tc>
          <w:tcPr>
            <w:tcW w:w="1134" w:type="dxa"/>
            <w:noWrap w:val="0"/>
            <w:vAlign w:val="center"/>
          </w:tcPr>
          <w:p w14:paraId="1688FB90">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color w:val="auto"/>
                <w:kern w:val="0"/>
                <w:sz w:val="21"/>
                <w:szCs w:val="21"/>
                <w:highlight w:val="none"/>
                <w:lang w:val="en-US" w:eastAsia="en-US" w:bidi="ar-SA"/>
              </w:rPr>
            </w:pPr>
            <w:r>
              <w:rPr>
                <w:rFonts w:hint="eastAsia" w:ascii="微软雅黑" w:hAnsi="微软雅黑" w:eastAsia="微软雅黑" w:cs="微软雅黑"/>
                <w:color w:val="auto"/>
                <w:kern w:val="0"/>
                <w:sz w:val="21"/>
                <w:szCs w:val="21"/>
                <w:highlight w:val="none"/>
                <w:lang w:val="en-US" w:eastAsia="en-US" w:bidi="ar-SA"/>
              </w:rPr>
              <w:t>产品专利</w:t>
            </w:r>
          </w:p>
        </w:tc>
        <w:tc>
          <w:tcPr>
            <w:tcW w:w="7902" w:type="dxa"/>
            <w:noWrap w:val="0"/>
            <w:vAlign w:val="center"/>
          </w:tcPr>
          <w:p w14:paraId="78487133">
            <w:pPr>
              <w:pStyle w:val="10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color w:val="auto"/>
                <w:spacing w:val="7"/>
                <w:kern w:val="2"/>
                <w:sz w:val="21"/>
                <w:szCs w:val="21"/>
                <w:highlight w:val="none"/>
                <w:lang w:val="en-US" w:eastAsia="zh-CN" w:bidi="ar-SA"/>
              </w:rPr>
            </w:pPr>
            <w:r>
              <w:rPr>
                <w:rFonts w:hint="eastAsia" w:ascii="微软雅黑" w:hAnsi="微软雅黑" w:eastAsia="微软雅黑" w:cs="微软雅黑"/>
                <w:color w:val="auto"/>
                <w:spacing w:val="7"/>
                <w:kern w:val="2"/>
                <w:sz w:val="21"/>
                <w:szCs w:val="21"/>
                <w:highlight w:val="none"/>
                <w:lang w:val="en-US" w:eastAsia="zh-CN" w:bidi="ar-SA"/>
              </w:rPr>
              <w:t>中标方保证合同项下提供的货物不侵犯任何第三方的专利或商标或版权。否则，中标人须承担对第三方的专利或版权的侵权责任并承担因此而违约责任。</w:t>
            </w:r>
          </w:p>
        </w:tc>
      </w:tr>
    </w:tbl>
    <w:p w14:paraId="1C1D333A">
      <w:pPr>
        <w:pStyle w:val="2"/>
        <w:pageBreakBefore w:val="0"/>
        <w:widowControl w:val="0"/>
        <w:numPr>
          <w:ilvl w:val="0"/>
          <w:numId w:val="0"/>
        </w:numPr>
        <w:tabs>
          <w:tab w:val="left" w:pos="0"/>
        </w:tabs>
        <w:kinsoku/>
        <w:wordWrap/>
        <w:overflowPunct/>
        <w:topLinePunct w:val="0"/>
        <w:bidi w:val="0"/>
        <w:snapToGrid w:val="0"/>
        <w:spacing w:before="0" w:after="0" w:line="312" w:lineRule="auto"/>
        <w:jc w:val="center"/>
        <w:textAlignment w:val="auto"/>
        <w:rPr>
          <w:rFonts w:hint="eastAsia" w:ascii="微软雅黑" w:hAnsi="微软雅黑" w:eastAsia="微软雅黑" w:cs="微软雅黑"/>
          <w:color w:val="auto"/>
          <w:sz w:val="32"/>
          <w:szCs w:val="32"/>
          <w:highlight w:val="none"/>
          <w:lang w:eastAsia="zh-CN"/>
        </w:rPr>
        <w:sectPr>
          <w:headerReference r:id="rId27" w:type="default"/>
          <w:footerReference r:id="rId28" w:type="default"/>
          <w:pgSz w:w="11907" w:h="16840"/>
          <w:pgMar w:top="1440" w:right="1080" w:bottom="1440" w:left="1080" w:header="851" w:footer="992" w:gutter="0"/>
          <w:pgNumType w:fmt="decimal"/>
          <w:cols w:space="720" w:num="1"/>
          <w:docGrid w:linePitch="312" w:charSpace="0"/>
        </w:sectPr>
      </w:pPr>
    </w:p>
    <w:p w14:paraId="515002CE">
      <w:pPr>
        <w:pStyle w:val="2"/>
        <w:pageBreakBefore w:val="0"/>
        <w:widowControl w:val="0"/>
        <w:numPr>
          <w:ilvl w:val="0"/>
          <w:numId w:val="0"/>
        </w:numPr>
        <w:tabs>
          <w:tab w:val="left" w:pos="0"/>
        </w:tabs>
        <w:kinsoku/>
        <w:wordWrap/>
        <w:overflowPunct/>
        <w:topLinePunct w:val="0"/>
        <w:bidi w:val="0"/>
        <w:snapToGrid w:val="0"/>
        <w:spacing w:before="0" w:after="0" w:line="312" w:lineRule="auto"/>
        <w:jc w:val="center"/>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lang w:eastAsia="zh-CN"/>
        </w:rPr>
        <w:t>第</w:t>
      </w:r>
      <w:r>
        <w:rPr>
          <w:rFonts w:hint="eastAsia" w:ascii="微软雅黑" w:hAnsi="微软雅黑" w:eastAsia="微软雅黑" w:cs="微软雅黑"/>
          <w:color w:val="auto"/>
          <w:sz w:val="32"/>
          <w:szCs w:val="32"/>
          <w:highlight w:val="none"/>
          <w:lang w:val="en-US" w:eastAsia="zh-CN"/>
        </w:rPr>
        <w:t>6</w:t>
      </w:r>
      <w:r>
        <w:rPr>
          <w:rFonts w:hint="eastAsia" w:ascii="微软雅黑" w:hAnsi="微软雅黑" w:eastAsia="微软雅黑" w:cs="微软雅黑"/>
          <w:color w:val="auto"/>
          <w:sz w:val="32"/>
          <w:szCs w:val="32"/>
          <w:highlight w:val="none"/>
          <w:lang w:eastAsia="zh-CN"/>
        </w:rPr>
        <w:t>章</w:t>
      </w:r>
      <w:r>
        <w:rPr>
          <w:rFonts w:hint="eastAsia" w:ascii="微软雅黑" w:hAnsi="微软雅黑" w:eastAsia="微软雅黑" w:cs="微软雅黑"/>
          <w:color w:val="auto"/>
          <w:sz w:val="32"/>
          <w:szCs w:val="32"/>
          <w:highlight w:val="none"/>
        </w:rPr>
        <w:t xml:space="preserve"> 评标方法和标准</w:t>
      </w:r>
      <w:bookmarkEnd w:id="498"/>
      <w:bookmarkEnd w:id="499"/>
      <w:bookmarkEnd w:id="500"/>
      <w:bookmarkEnd w:id="501"/>
    </w:p>
    <w:p w14:paraId="49D2EB77">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bCs/>
          <w:color w:val="auto"/>
          <w:sz w:val="22"/>
          <w:szCs w:val="22"/>
          <w:highlight w:val="none"/>
          <w:u w:val="single"/>
        </w:rPr>
      </w:pPr>
      <w:r>
        <w:rPr>
          <w:rFonts w:hint="eastAsia" w:ascii="微软雅黑" w:hAnsi="微软雅黑" w:eastAsia="微软雅黑" w:cs="微软雅黑"/>
          <w:b/>
          <w:bCs/>
          <w:color w:val="auto"/>
          <w:sz w:val="22"/>
          <w:szCs w:val="22"/>
          <w:highlight w:val="none"/>
          <w:u w:val="single"/>
        </w:rPr>
        <w:t>本次评标采用综合评分法，即评委会在符合有效投标范畴且最大限度地满足</w:t>
      </w:r>
      <w:r>
        <w:rPr>
          <w:rFonts w:hint="eastAsia" w:ascii="微软雅黑" w:hAnsi="微软雅黑" w:eastAsia="微软雅黑" w:cs="微软雅黑"/>
          <w:b/>
          <w:bCs/>
          <w:color w:val="auto"/>
          <w:sz w:val="22"/>
          <w:szCs w:val="22"/>
          <w:highlight w:val="none"/>
          <w:u w:val="single"/>
          <w:lang w:eastAsia="zh-CN"/>
        </w:rPr>
        <w:t>招标文件</w:t>
      </w:r>
      <w:r>
        <w:rPr>
          <w:rFonts w:hint="eastAsia" w:ascii="微软雅黑" w:hAnsi="微软雅黑" w:eastAsia="微软雅黑" w:cs="微软雅黑"/>
          <w:b/>
          <w:bCs/>
          <w:color w:val="auto"/>
          <w:sz w:val="22"/>
          <w:szCs w:val="22"/>
          <w:highlight w:val="none"/>
          <w:u w:val="single"/>
        </w:rPr>
        <w:t>实质性要求前提下，对投标人的价格、技术、商务三部分进行综合评审和独立评分。</w:t>
      </w:r>
    </w:p>
    <w:p w14:paraId="08257AFE">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eastAsia="zh-CN"/>
        </w:rPr>
      </w:pPr>
      <w:r>
        <w:rPr>
          <w:rFonts w:hint="eastAsia" w:ascii="微软雅黑" w:hAnsi="微软雅黑" w:eastAsia="微软雅黑" w:cs="微软雅黑"/>
          <w:b w:val="0"/>
          <w:bCs/>
          <w:color w:val="auto"/>
          <w:sz w:val="22"/>
          <w:szCs w:val="22"/>
          <w:highlight w:val="none"/>
          <w:lang w:val="en-US" w:eastAsia="zh-CN"/>
        </w:rPr>
        <w:t>1.</w:t>
      </w:r>
      <w:r>
        <w:rPr>
          <w:rFonts w:hint="eastAsia" w:ascii="微软雅黑" w:hAnsi="微软雅黑" w:eastAsia="微软雅黑" w:cs="微软雅黑"/>
          <w:b w:val="0"/>
          <w:bCs/>
          <w:color w:val="auto"/>
          <w:sz w:val="22"/>
          <w:szCs w:val="22"/>
          <w:highlight w:val="none"/>
          <w:lang w:eastAsia="zh-CN"/>
        </w:rPr>
        <w:t>本项目</w:t>
      </w:r>
      <w:r>
        <w:rPr>
          <w:rFonts w:hint="eastAsia" w:ascii="微软雅黑" w:hAnsi="微软雅黑" w:eastAsia="微软雅黑" w:cs="微软雅黑"/>
          <w:b w:val="0"/>
          <w:bCs/>
          <w:color w:val="auto"/>
          <w:sz w:val="22"/>
          <w:szCs w:val="22"/>
          <w:highlight w:val="none"/>
          <w:lang w:val="en-US" w:eastAsia="zh-CN"/>
        </w:rPr>
        <w:t>根据《政府采购促进中小企业发展管理办法》（财库[2020]46 号）、关于进一步加大政府采购支持中小企业力度的通知财库〔2022〕19号，《财政部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号）的规定，对满足价格扣除条件且在投标文件中提交了《中小企业声明函》或省级以上监狱管理局、戒毒管理局（含新疆生产建设兵团）出具的属于监狱企业的证明文件的投标人，其投标报价扣除</w:t>
      </w:r>
      <w:r>
        <w:rPr>
          <w:rFonts w:hint="eastAsia" w:ascii="微软雅黑" w:hAnsi="微软雅黑" w:eastAsia="微软雅黑" w:cs="微软雅黑"/>
          <w:b w:val="0"/>
          <w:bCs/>
          <w:color w:val="auto"/>
          <w:sz w:val="22"/>
          <w:szCs w:val="22"/>
          <w:highlight w:val="none"/>
          <w:u w:val="single"/>
          <w:lang w:val="en-US" w:eastAsia="zh-CN"/>
        </w:rPr>
        <w:t xml:space="preserve">  10%  </w:t>
      </w:r>
      <w:r>
        <w:rPr>
          <w:rFonts w:hint="eastAsia" w:ascii="微软雅黑" w:hAnsi="微软雅黑" w:eastAsia="微软雅黑" w:cs="微软雅黑"/>
          <w:b w:val="0"/>
          <w:bCs/>
          <w:color w:val="auto"/>
          <w:sz w:val="22"/>
          <w:szCs w:val="22"/>
          <w:highlight w:val="none"/>
          <w:lang w:val="en-US" w:eastAsia="zh-CN"/>
        </w:rPr>
        <w:t>后参与评审。对于同时属于小微企业、监狱企业或残疾人福利性单位的，不重复进行投标报价扣除。</w:t>
      </w:r>
    </w:p>
    <w:p w14:paraId="748F25BB">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b w:val="0"/>
          <w:bCs/>
          <w:color w:val="auto"/>
          <w:sz w:val="22"/>
          <w:szCs w:val="22"/>
          <w:highlight w:val="none"/>
        </w:rPr>
        <w:t>2.如采购人所采购产品为政府强制采购的节能产品，投标人所投产品的品牌及型号必须为清单中有效期内产品并提供证明文件，否则其投标将被认定为</w:t>
      </w:r>
      <w:r>
        <w:rPr>
          <w:rFonts w:hint="eastAsia" w:ascii="微软雅黑" w:hAnsi="微软雅黑" w:eastAsia="微软雅黑" w:cs="微软雅黑"/>
          <w:b/>
          <w:bCs w:val="0"/>
          <w:color w:val="auto"/>
          <w:sz w:val="22"/>
          <w:szCs w:val="22"/>
          <w:highlight w:val="none"/>
        </w:rPr>
        <w:t>投标无效</w:t>
      </w:r>
      <w:r>
        <w:rPr>
          <w:rFonts w:hint="eastAsia" w:ascii="微软雅黑" w:hAnsi="微软雅黑" w:eastAsia="微软雅黑" w:cs="微软雅黑"/>
          <w:b w:val="0"/>
          <w:bCs/>
          <w:color w:val="auto"/>
          <w:sz w:val="22"/>
          <w:szCs w:val="22"/>
          <w:highlight w:val="none"/>
        </w:rPr>
        <w:t>。</w:t>
      </w:r>
    </w:p>
    <w:p w14:paraId="23D97159">
      <w:pPr>
        <w:pStyle w:val="12"/>
        <w:keepNext w:val="0"/>
        <w:keepLines w:val="0"/>
        <w:pageBreakBefore w:val="0"/>
        <w:widowControl w:val="0"/>
        <w:kinsoku/>
        <w:wordWrap/>
        <w:overflowPunct/>
        <w:topLinePunct w:val="0"/>
        <w:autoSpaceDE/>
        <w:autoSpaceDN/>
        <w:bidi w:val="0"/>
        <w:adjustRightInd/>
        <w:snapToGrid w:val="0"/>
        <w:spacing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3</w:t>
      </w:r>
      <w:r>
        <w:rPr>
          <w:rFonts w:hint="eastAsia" w:ascii="微软雅黑" w:hAnsi="微软雅黑" w:eastAsia="微软雅黑" w:cs="微软雅黑"/>
          <w:b w:val="0"/>
          <w:bCs/>
          <w:color w:val="auto"/>
          <w:sz w:val="22"/>
          <w:szCs w:val="22"/>
          <w:highlight w:val="none"/>
        </w:rPr>
        <w:t>.对创新产品或创新性企业的优惠措施为：</w:t>
      </w:r>
      <w:r>
        <w:rPr>
          <w:rFonts w:hint="eastAsia" w:ascii="微软雅黑" w:hAnsi="微软雅黑" w:eastAsia="微软雅黑" w:cs="微软雅黑"/>
          <w:b w:val="0"/>
          <w:bCs/>
          <w:color w:val="auto"/>
          <w:sz w:val="22"/>
          <w:szCs w:val="22"/>
          <w:highlight w:val="none"/>
          <w:lang w:val="en-US" w:eastAsia="zh-CN"/>
        </w:rPr>
        <w:t>所投产品应优先选择《关于印发节能产品政府采购品目清单的通知》（财库〔2019〕19 号）、《关于印发环境标志产品政府采购品目清单的通知》（财库〔2019〕18 号）目录内的产品。</w:t>
      </w:r>
    </w:p>
    <w:p w14:paraId="2FD24873">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outlineLvl w:val="1"/>
        <w:rPr>
          <w:rFonts w:hint="eastAsia" w:ascii="微软雅黑" w:hAnsi="微软雅黑" w:eastAsia="微软雅黑" w:cs="微软雅黑"/>
          <w:b w:val="0"/>
          <w:bCs/>
          <w:color w:val="auto"/>
          <w:sz w:val="22"/>
          <w:szCs w:val="22"/>
          <w:highlight w:val="none"/>
        </w:rPr>
      </w:pPr>
      <w:bookmarkStart w:id="506" w:name="_Toc9664"/>
      <w:r>
        <w:rPr>
          <w:rFonts w:hint="eastAsia" w:ascii="微软雅黑" w:hAnsi="微软雅黑" w:eastAsia="微软雅黑" w:cs="微软雅黑"/>
          <w:b w:val="0"/>
          <w:bCs/>
          <w:color w:val="auto"/>
          <w:kern w:val="2"/>
          <w:sz w:val="22"/>
          <w:szCs w:val="22"/>
          <w:highlight w:val="none"/>
          <w:lang w:val="en-US" w:eastAsia="zh-CN" w:bidi="ar-SA"/>
        </w:rPr>
        <w:t>4.如发现下列情况之</w:t>
      </w:r>
      <w:r>
        <w:rPr>
          <w:rFonts w:hint="eastAsia" w:ascii="微软雅黑" w:hAnsi="微软雅黑" w:eastAsia="微软雅黑" w:cs="微软雅黑"/>
          <w:b w:val="0"/>
          <w:bCs/>
          <w:color w:val="auto"/>
          <w:sz w:val="22"/>
          <w:szCs w:val="22"/>
          <w:highlight w:val="none"/>
        </w:rPr>
        <w:t>一的，其投标将被认定为</w:t>
      </w:r>
      <w:r>
        <w:rPr>
          <w:rFonts w:hint="eastAsia" w:ascii="微软雅黑" w:hAnsi="微软雅黑" w:eastAsia="微软雅黑" w:cs="微软雅黑"/>
          <w:b/>
          <w:bCs w:val="0"/>
          <w:color w:val="auto"/>
          <w:sz w:val="22"/>
          <w:szCs w:val="22"/>
          <w:highlight w:val="none"/>
        </w:rPr>
        <w:t>投标无效：</w:t>
      </w:r>
      <w:bookmarkEnd w:id="506"/>
    </w:p>
    <w:p w14:paraId="77531130">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（1）单位负责人为同一人或者存在直接控股、管理关系的不同投标人，其相关投标将被认定为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5C3838FD">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（2）若投标人须知资料表中未写明允许采购进口产品，如投标人所投产品为进口产品，其投标将被认定为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70DE7F76">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（3）为本项目提供过整体设计、规范编制或者项目管理、监理、检测等服务的投标人，不得再参加本项目上述服务以外的其他采购活动。否则其投标将被认定为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364FCD8C">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投标人在投标过程中不得向采购人提供、给予任何有价值的物品，影响其正常决策行为。一经发现，其将被认定为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127500D2">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（4）投标人报价超过招标文件规定的预算金额或者分项、分包最高限价的，其投标将被认定为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73285F4E">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（5）投标人应认真阅读招标文件所有的事项、格式、条款和技术规范等。如投标人没有按照招标文件要求提交全部资料，或者投标文件没有对招标文件在各方面都做出实质性响应，可能导致其投标将被认定为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32A0E48F">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（6）投标人未按本须知第12.1和12.3条规定提交投标保证金的，其投标将被认定为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4F8DE251">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7）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4222BF94">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（8）投标人所报的各分项投标单价在合同履行过程中是固定不变的，不得以任何理由予以变更。任何包含价格调整要求的投标，其投标将被认定为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6ED76B90">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（9）投标应在投标人须知资料表中规定时间内保持有效。投标有效期不满足要求的投标，其投标将被认定为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0E2438DE">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（10）采购人或采购代理机构将在开标前1个工作日至投标截止后1小时的期间内查询投标人的信用记录。投标人存在不良信用记录的，其投标将被认定为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7DCC1B4F">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11）总价金额与按单价汇总金额不一致的，以单价金额计算结果为准。同时出现两种以上不一致的，按照前款规定的顺序修正。修正后的报价按照第20.2条的规定经投标人确认后产生约束力，投标人不确认的，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7C8A48A2">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12）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59FE4DD3">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（13）如发现下列情况之一的，其投标将被认定为</w:t>
      </w:r>
      <w:r>
        <w:rPr>
          <w:rFonts w:hint="eastAsia" w:ascii="微软雅黑" w:hAnsi="微软雅黑" w:eastAsia="微软雅黑" w:cs="微软雅黑"/>
          <w:b/>
          <w:bCs w:val="0"/>
          <w:color w:val="auto"/>
          <w:sz w:val="22"/>
          <w:szCs w:val="22"/>
          <w:highlight w:val="none"/>
          <w:lang w:val="en-US" w:eastAsia="zh-CN"/>
        </w:rPr>
        <w:t>投标无效</w:t>
      </w:r>
      <w:r>
        <w:rPr>
          <w:rFonts w:hint="eastAsia" w:ascii="微软雅黑" w:hAnsi="微软雅黑" w:eastAsia="微软雅黑" w:cs="微软雅黑"/>
          <w:b w:val="0"/>
          <w:bCs/>
          <w:color w:val="auto"/>
          <w:sz w:val="22"/>
          <w:szCs w:val="22"/>
          <w:highlight w:val="none"/>
          <w:lang w:val="en-US" w:eastAsia="zh-CN"/>
        </w:rPr>
        <w:t>：</w:t>
      </w:r>
    </w:p>
    <w:p w14:paraId="62348907">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bCs w:val="0"/>
          <w:color w:val="auto"/>
          <w:sz w:val="22"/>
          <w:szCs w:val="22"/>
          <w:highlight w:val="none"/>
          <w:lang w:val="en-US" w:eastAsia="zh-CN"/>
        </w:rPr>
      </w:pPr>
      <w:r>
        <w:rPr>
          <w:rFonts w:hint="eastAsia" w:ascii="微软雅黑" w:hAnsi="微软雅黑" w:eastAsia="微软雅黑" w:cs="微软雅黑"/>
          <w:b/>
          <w:bCs w:val="0"/>
          <w:color w:val="auto"/>
          <w:sz w:val="22"/>
          <w:szCs w:val="22"/>
          <w:highlight w:val="none"/>
          <w:lang w:val="en-US" w:eastAsia="zh-CN"/>
        </w:rPr>
        <w:t>未按招标文件规定的形式和金额提交投标保证金的；未按照招标文件规定要求签署、盖章的；未满足招标文件中技术条款的实质性要求；与其他投标人串通投标，或者与采购人串通投标；属于招标文件规定的其他投标无效情形；评标委员会认为投标人的报价明显低于其他通过符合性检查投标人的报价，有可能影响履约的，且投标人未按照规定证明其报价合理性的；投标文件含有采购人不能接受的附加条件的；不符合法规和招标文件中规定的其他实质性要求的。</w:t>
      </w:r>
    </w:p>
    <w:p w14:paraId="103D0DC8">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outlineLvl w:val="1"/>
        <w:rPr>
          <w:rFonts w:hint="eastAsia" w:ascii="微软雅黑" w:hAnsi="微软雅黑" w:eastAsia="微软雅黑" w:cs="微软雅黑"/>
          <w:b w:val="0"/>
          <w:bCs/>
          <w:color w:val="auto"/>
          <w:sz w:val="22"/>
          <w:szCs w:val="22"/>
          <w:highlight w:val="none"/>
          <w:lang w:val="en-US" w:eastAsia="zh-CN"/>
        </w:rPr>
      </w:pPr>
      <w:bookmarkStart w:id="507" w:name="_Toc23056"/>
      <w:r>
        <w:rPr>
          <w:rFonts w:hint="eastAsia" w:ascii="微软雅黑" w:hAnsi="微软雅黑" w:eastAsia="微软雅黑" w:cs="微软雅黑"/>
          <w:b w:val="0"/>
          <w:bCs/>
          <w:color w:val="auto"/>
          <w:sz w:val="22"/>
          <w:szCs w:val="22"/>
          <w:highlight w:val="none"/>
          <w:lang w:val="en-US" w:eastAsia="zh-CN"/>
        </w:rPr>
        <w:t>5.开评标过程</w:t>
      </w:r>
      <w:bookmarkEnd w:id="507"/>
    </w:p>
    <w:p w14:paraId="49224B9A">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（一）开标</w:t>
      </w:r>
    </w:p>
    <w:p w14:paraId="511C6BFE">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（1）开标准备：本项目开标的准备工作由采购组织机构负责落实，开标过程由采购组织机构负责记录；</w:t>
      </w:r>
    </w:p>
    <w:p w14:paraId="4A841E63">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（2）开标主持：本项目开标由采购人或者采购代理机构主持；</w:t>
      </w:r>
    </w:p>
    <w:p w14:paraId="167BBAF3">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（3）开标邀请：本项目采用电子交易，采购组织机构将按照招标文件规定的时间通过“新疆政府采购云平台，网址：www.zcygov.cn”组织开标、开启投标响应文件，所有供应商均应当准时在线参加。</w:t>
      </w:r>
    </w:p>
    <w:p w14:paraId="28276713">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响应文件无法按时解密等一切后果由供应商自行承担。</w:t>
      </w:r>
    </w:p>
    <w:p w14:paraId="57FB505E">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eastAsia="zh-CN"/>
        </w:rPr>
      </w:pPr>
      <w:bookmarkStart w:id="508" w:name="_Toc73975823"/>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lang w:eastAsia="zh-CN"/>
        </w:rPr>
        <w:t>开标程序</w:t>
      </w:r>
      <w:bookmarkEnd w:id="508"/>
    </w:p>
    <w:p w14:paraId="6EBE4DFA">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①开标时间到后，主持人宣布开标会议开始。</w:t>
      </w:r>
    </w:p>
    <w:p w14:paraId="224E4F3E">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②投标文件解密（解密规定见《供应商须知</w:t>
      </w:r>
      <w:r>
        <w:rPr>
          <w:rFonts w:hint="eastAsia" w:ascii="微软雅黑" w:hAnsi="微软雅黑" w:eastAsia="微软雅黑" w:cs="微软雅黑"/>
          <w:color w:val="auto"/>
          <w:sz w:val="22"/>
          <w:szCs w:val="22"/>
          <w:highlight w:val="none"/>
          <w:lang w:val="en-US" w:eastAsia="zh-CN"/>
        </w:rPr>
        <w:t>资料</w:t>
      </w:r>
      <w:r>
        <w:rPr>
          <w:rFonts w:hint="eastAsia" w:ascii="微软雅黑" w:hAnsi="微软雅黑" w:eastAsia="微软雅黑" w:cs="微软雅黑"/>
          <w:color w:val="auto"/>
          <w:sz w:val="22"/>
          <w:szCs w:val="22"/>
          <w:highlight w:val="none"/>
          <w:lang w:eastAsia="zh-CN"/>
        </w:rPr>
        <w:t>表》）。</w:t>
      </w:r>
    </w:p>
    <w:p w14:paraId="1A891B5E">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③投标文件解密异常情况处理（处理办法见《供应商须知</w:t>
      </w:r>
      <w:r>
        <w:rPr>
          <w:rFonts w:hint="eastAsia" w:ascii="微软雅黑" w:hAnsi="微软雅黑" w:eastAsia="微软雅黑" w:cs="微软雅黑"/>
          <w:color w:val="auto"/>
          <w:sz w:val="22"/>
          <w:szCs w:val="22"/>
          <w:highlight w:val="none"/>
          <w:lang w:val="en-US" w:eastAsia="zh-CN"/>
        </w:rPr>
        <w:t>资料</w:t>
      </w:r>
      <w:r>
        <w:rPr>
          <w:rFonts w:hint="eastAsia" w:ascii="微软雅黑" w:hAnsi="微软雅黑" w:eastAsia="微软雅黑" w:cs="微软雅黑"/>
          <w:color w:val="auto"/>
          <w:sz w:val="22"/>
          <w:szCs w:val="22"/>
          <w:highlight w:val="none"/>
          <w:lang w:eastAsia="zh-CN"/>
        </w:rPr>
        <w:t>表》）。</w:t>
      </w:r>
    </w:p>
    <w:p w14:paraId="07AE5297">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④公布投标文件解密情况（响应文件成功解密的供应商名单等信息）</w:t>
      </w:r>
    </w:p>
    <w:p w14:paraId="303F84D4">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eastAsia="zh-CN"/>
        </w:rPr>
        <w:t>⑤</w:t>
      </w:r>
      <w:r>
        <w:rPr>
          <w:rFonts w:hint="eastAsia" w:ascii="微软雅黑" w:hAnsi="微软雅黑" w:eastAsia="微软雅黑" w:cs="微软雅黑"/>
          <w:color w:val="auto"/>
          <w:sz w:val="22"/>
          <w:szCs w:val="22"/>
          <w:highlight w:val="none"/>
          <w:lang w:val="en-US" w:eastAsia="zh-CN"/>
        </w:rPr>
        <w:t>开启投标人的报价，公布投标人的名称、总报价、投标保证金、交货期限、交货地点、质保期。</w:t>
      </w:r>
      <w:r>
        <w:rPr>
          <w:rFonts w:hint="eastAsia" w:ascii="微软雅黑" w:hAnsi="微软雅黑" w:eastAsia="微软雅黑" w:cs="微软雅黑"/>
          <w:b w:val="0"/>
          <w:bCs/>
          <w:color w:val="auto"/>
          <w:sz w:val="22"/>
          <w:szCs w:val="22"/>
          <w:highlight w:val="none"/>
          <w:lang w:val="en-US" w:eastAsia="zh-CN"/>
        </w:rPr>
        <w:t>各投标单位对投标报价有无疑异，如果没有疑异，请签章确认。</w:t>
      </w:r>
    </w:p>
    <w:p w14:paraId="2671FF6E">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⑥</w:t>
      </w:r>
      <w:r>
        <w:rPr>
          <w:rFonts w:hint="eastAsia" w:ascii="微软雅黑" w:hAnsi="微软雅黑" w:eastAsia="微软雅黑" w:cs="微软雅黑"/>
          <w:color w:val="auto"/>
          <w:sz w:val="22"/>
          <w:szCs w:val="22"/>
          <w:highlight w:val="none"/>
          <w:lang w:eastAsia="zh-CN"/>
        </w:rPr>
        <w:t>开启标书信息（资格证明文件、商务技术文件）。标书信息开启后，首先由资格审查小组（采购人）依法对投标人的资格证明文件进行审查，审查结束公布投标供应商的资格符合情况。资格审查未获通过的供应商，其商务技术文件及报价文件不再进入评审。</w:t>
      </w:r>
    </w:p>
    <w:p w14:paraId="7EF41FD8">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（二）评标</w:t>
      </w:r>
    </w:p>
    <w:p w14:paraId="7F6D08D1">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1）本项目评标委员会由7人组成（依法从政采云平台专家库随机抽取7名专家），按照招标文件要求，评审专家按时到达指定评标会议室进行签到，由专家评委推荐评标委员会组长，并宣读评标纪律、统一保管评委手机、签署《政府采购评审专家承诺书》。</w:t>
      </w:r>
    </w:p>
    <w:p w14:paraId="48930F12">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（2）专家评审小组在政府采购活动中承担以下义务：</w:t>
      </w:r>
    </w:p>
    <w:p w14:paraId="32715834">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①遵守评审工作纪律；</w:t>
      </w:r>
    </w:p>
    <w:p w14:paraId="000A7A62">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②按照客观、公正、审慎的原则，根据招标文件规定的评审程序、评审方法和评审标准进行独立评审；</w:t>
      </w:r>
    </w:p>
    <w:p w14:paraId="3BF4D876">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③不得泄露评审文件、评审情况和在评审过程中获悉的商业秘密；</w:t>
      </w:r>
    </w:p>
    <w:p w14:paraId="75578A96">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④及时向财政部门报告评审过程中发现的采购人、招标代理机构向评审专家做倾向性、误导性的解释或者说明，以及投标人行贿、提供虚假材料或者串通等违法行为；</w:t>
      </w:r>
    </w:p>
    <w:p w14:paraId="7BE39866">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⑤发现招标文件内容违反国家有关强制性规定或者招标文件存在歧义、重大缺陷导致评审工作无法进行时，停止评审并向采购人或者招标代理机构书面说明情况；</w:t>
      </w:r>
    </w:p>
    <w:p w14:paraId="21D0BAE9">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⑥及时向财政、监察等部门举报在评审过程中受到非法干预的情况；</w:t>
      </w:r>
    </w:p>
    <w:p w14:paraId="705B6FDC">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⑦配合答复处理投标人的询问、质疑和投诉等事项；</w:t>
      </w:r>
    </w:p>
    <w:p w14:paraId="77878E34">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⑧法律、法规和规章规定的其他义务。</w:t>
      </w:r>
    </w:p>
    <w:p w14:paraId="6F1151CB">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（3）评审专家在政府采购活动中应当遵守以下工作纪律：</w:t>
      </w:r>
    </w:p>
    <w:p w14:paraId="25FB1A94">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①评审前，应当将通讯工具或者相关电子设备交由招标代理机构统一保管；</w:t>
      </w:r>
    </w:p>
    <w:p w14:paraId="0A4AEDFA">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②现清楚知道参加本项目的所有供应商情况，不得参加与自己有《中华人民共和国政府采购法实施条例》第九条规定的利害关系的政府采购项目的评标活动，之前也未参加过与本项目采购需求和招标文件等的咨询、论证工作。发现参加与自己有利害关系的评审活动，须主动提出回避，退出评审；</w:t>
      </w:r>
    </w:p>
    <w:p w14:paraId="31E4185D">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（利害关系包括: 参加评审活动前3年内曾是响应供应商的控股股东或实际控制人，曾在其中担任董事、监事，或者曾与其存在劳动关系;与响应供应商法定代表人或负责人或实际控制人有夫妻、直系血亲、三代以内旁系血亲、近姻亲关系；本人近三年内与响应供应商发生过法律纠纷；个人及家庭与响应供应商存在投资或入股关系；所在单位与响应供应商存在股份控制或实际控制关系、共同直接或间接投资设立子公司（联营企业和合营企业）情况关系分级代理或代销关系、管理关系、重要业务（占主营业务收入50%以上）或重要财务往来关系（如融资）等其他实质性控制关系；配偶或直系亲 属在响应供应商中担任高级职务或与采购业务相关的职务或担任顾问）。</w:t>
      </w:r>
    </w:p>
    <w:p w14:paraId="73876CF3">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③评审现场服从招标代理机构工作人员的管理，接受现场监督人员的合法监督；在评审活动过程中不得与外界联系，因发生不可预见情况，确实需要与外界联系的，应当在监督人员监督之下办理；</w:t>
      </w:r>
    </w:p>
    <w:p w14:paraId="2062B704">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④在评审活动过程中严格遵守政府采购法律、法规和政策的规定，遵循公平、公正、诚实信用原则，依据招标文件规定的办法、标准和要求，客观独立地开展评审工作。</w:t>
      </w:r>
    </w:p>
    <w:p w14:paraId="7881CD62">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⑤评审过程中，不得发表影响评审公正的倾向性、歧视性言论，不得征询或者接受采购人的倾向性意见，不得明示或暗示投标人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14:paraId="690DFF89">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⑥在评审过程中和评审结束后，不得记录、复制或带走任何评审资料，不得向外界透露评审内容；</w:t>
      </w:r>
    </w:p>
    <w:p w14:paraId="3A380949">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（4）评标委员会应当按照招标文件中规定的评标方法和标准，对所有投标文件进行符合性审查，以确定其是否满足招标文件的实质性要求。</w:t>
      </w:r>
    </w:p>
    <w:p w14:paraId="3580EF2F">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5）答疑澄清：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0805C0E0">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6）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2DDCE235">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7）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6BAD168C">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8）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569A05A9">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（9）评标委员会成员对需要共同认定的事项存在争议的，应当按照少数服从多数的原则作出结论。持不同意见的评标委员会成员应当在评标报告上签署不同意见及理由，否则视为同意评标报告。</w:t>
      </w:r>
    </w:p>
    <w:p w14:paraId="6ECE9273">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outlineLvl w:val="1"/>
        <w:rPr>
          <w:rFonts w:hint="eastAsia" w:ascii="微软雅黑" w:hAnsi="微软雅黑" w:eastAsia="微软雅黑" w:cs="微软雅黑"/>
          <w:b/>
          <w:bCs w:val="0"/>
          <w:color w:val="auto"/>
          <w:sz w:val="22"/>
          <w:szCs w:val="22"/>
          <w:highlight w:val="none"/>
          <w:lang w:val="en-US" w:eastAsia="zh-CN"/>
        </w:rPr>
      </w:pPr>
      <w:bookmarkStart w:id="509" w:name="_Toc5443"/>
      <w:r>
        <w:rPr>
          <w:rFonts w:hint="eastAsia" w:ascii="微软雅黑" w:hAnsi="微软雅黑" w:eastAsia="微软雅黑" w:cs="微软雅黑"/>
          <w:b w:val="0"/>
          <w:bCs/>
          <w:color w:val="auto"/>
          <w:sz w:val="22"/>
          <w:szCs w:val="22"/>
          <w:highlight w:val="none"/>
          <w:lang w:val="en-US" w:eastAsia="zh-CN"/>
        </w:rPr>
        <w:t>（三）</w:t>
      </w:r>
      <w:r>
        <w:rPr>
          <w:rFonts w:hint="eastAsia" w:ascii="微软雅黑" w:hAnsi="微软雅黑" w:eastAsia="微软雅黑" w:cs="微软雅黑"/>
          <w:b/>
          <w:bCs w:val="0"/>
          <w:color w:val="auto"/>
          <w:sz w:val="22"/>
          <w:szCs w:val="22"/>
          <w:highlight w:val="none"/>
          <w:lang w:val="en-US" w:eastAsia="zh-CN"/>
        </w:rPr>
        <w:t>确定中标人</w:t>
      </w:r>
      <w:bookmarkEnd w:id="509"/>
    </w:p>
    <w:p w14:paraId="4DFCA088">
      <w:pPr>
        <w:keepNext w:val="0"/>
        <w:keepLines w:val="0"/>
        <w:pageBreakBefore w:val="0"/>
        <w:widowControl w:val="0"/>
        <w:kinsoku/>
        <w:wordWrap/>
        <w:overflowPunct/>
        <w:topLinePunct w:val="0"/>
        <w:autoSpaceDE/>
        <w:autoSpaceDN/>
        <w:bidi w:val="0"/>
        <w:adjustRightInd/>
        <w:snapToGrid w:val="0"/>
        <w:spacing w:line="312" w:lineRule="auto"/>
        <w:ind w:firstLine="440" w:firstLineChars="200"/>
        <w:textAlignment w:val="auto"/>
        <w:rPr>
          <w:rFonts w:hint="eastAsia" w:ascii="微软雅黑" w:hAnsi="微软雅黑" w:eastAsia="微软雅黑" w:cs="微软雅黑"/>
          <w:b w:val="0"/>
          <w:bCs/>
          <w:color w:val="auto"/>
          <w:kern w:val="2"/>
          <w:sz w:val="22"/>
          <w:szCs w:val="22"/>
          <w:highlight w:val="none"/>
          <w:lang w:val="en-US" w:eastAsia="zh-CN" w:bidi="ar-SA"/>
        </w:rPr>
      </w:pPr>
      <w:r>
        <w:rPr>
          <w:rFonts w:hint="eastAsia" w:ascii="微软雅黑" w:hAnsi="微软雅黑" w:eastAsia="微软雅黑" w:cs="微软雅黑"/>
          <w:b w:val="0"/>
          <w:bCs/>
          <w:color w:val="auto"/>
          <w:kern w:val="2"/>
          <w:sz w:val="22"/>
          <w:szCs w:val="22"/>
          <w:highlight w:val="none"/>
          <w:lang w:val="en-US" w:eastAsia="zh-CN" w:bidi="ar-SA"/>
        </w:rPr>
        <w:t>（1）采购代理机构应当在评标结束后</w:t>
      </w:r>
      <w:r>
        <w:rPr>
          <w:rFonts w:hint="eastAsia" w:ascii="微软雅黑" w:hAnsi="微软雅黑" w:eastAsia="微软雅黑" w:cs="微软雅黑"/>
          <w:b w:val="0"/>
          <w:bCs/>
          <w:color w:val="auto"/>
          <w:kern w:val="2"/>
          <w:sz w:val="22"/>
          <w:szCs w:val="22"/>
          <w:highlight w:val="none"/>
          <w:u w:val="single"/>
          <w:lang w:val="en-US" w:eastAsia="zh-CN" w:bidi="ar-SA"/>
        </w:rPr>
        <w:t xml:space="preserve"> 2 </w:t>
      </w:r>
      <w:r>
        <w:rPr>
          <w:rFonts w:hint="eastAsia" w:ascii="微软雅黑" w:hAnsi="微软雅黑" w:eastAsia="微软雅黑" w:cs="微软雅黑"/>
          <w:b w:val="0"/>
          <w:bCs/>
          <w:color w:val="auto"/>
          <w:kern w:val="2"/>
          <w:sz w:val="22"/>
          <w:szCs w:val="22"/>
          <w:highlight w:val="none"/>
          <w:lang w:val="en-US" w:eastAsia="zh-CN" w:bidi="ar-SA"/>
        </w:rPr>
        <w:t>个工作日内将评标报告送采购人。</w:t>
      </w:r>
    </w:p>
    <w:p w14:paraId="432AD06D">
      <w:pPr>
        <w:keepNext w:val="0"/>
        <w:keepLines w:val="0"/>
        <w:pageBreakBefore w:val="0"/>
        <w:widowControl w:val="0"/>
        <w:kinsoku/>
        <w:wordWrap/>
        <w:overflowPunct/>
        <w:topLinePunct w:val="0"/>
        <w:autoSpaceDE/>
        <w:autoSpaceDN/>
        <w:bidi w:val="0"/>
        <w:adjustRightInd/>
        <w:snapToGrid w:val="0"/>
        <w:spacing w:line="312" w:lineRule="auto"/>
        <w:ind w:firstLine="440" w:firstLineChars="200"/>
        <w:textAlignment w:val="auto"/>
        <w:rPr>
          <w:rFonts w:hint="eastAsia" w:ascii="微软雅黑" w:hAnsi="微软雅黑" w:eastAsia="微软雅黑" w:cs="微软雅黑"/>
          <w:b w:val="0"/>
          <w:bCs/>
          <w:color w:val="auto"/>
          <w:kern w:val="2"/>
          <w:sz w:val="22"/>
          <w:szCs w:val="22"/>
          <w:highlight w:val="none"/>
          <w:lang w:val="en-US" w:eastAsia="zh-CN" w:bidi="ar-SA"/>
        </w:rPr>
      </w:pPr>
      <w:r>
        <w:rPr>
          <w:rFonts w:hint="eastAsia" w:ascii="微软雅黑" w:hAnsi="微软雅黑" w:eastAsia="微软雅黑" w:cs="微软雅黑"/>
          <w:b w:val="0"/>
          <w:bCs/>
          <w:color w:val="auto"/>
          <w:kern w:val="2"/>
          <w:sz w:val="22"/>
          <w:szCs w:val="22"/>
          <w:highlight w:val="none"/>
          <w:lang w:val="en-US" w:eastAsia="zh-CN" w:bidi="ar-SA"/>
        </w:rPr>
        <w:t xml:space="preserve">（2）采购人不委托评审小组直接确定中标人。评审小组推荐中标候选人的数量为 </w:t>
      </w:r>
      <w:r>
        <w:rPr>
          <w:rFonts w:hint="eastAsia" w:ascii="微软雅黑" w:hAnsi="微软雅黑" w:eastAsia="微软雅黑" w:cs="微软雅黑"/>
          <w:b w:val="0"/>
          <w:bCs/>
          <w:color w:val="auto"/>
          <w:kern w:val="2"/>
          <w:sz w:val="22"/>
          <w:szCs w:val="22"/>
          <w:highlight w:val="none"/>
          <w:u w:val="single"/>
          <w:lang w:val="en-US" w:eastAsia="zh-CN" w:bidi="ar-SA"/>
        </w:rPr>
        <w:t xml:space="preserve">3 </w:t>
      </w:r>
      <w:r>
        <w:rPr>
          <w:rFonts w:hint="eastAsia" w:ascii="微软雅黑" w:hAnsi="微软雅黑" w:eastAsia="微软雅黑" w:cs="微软雅黑"/>
          <w:b w:val="0"/>
          <w:bCs/>
          <w:color w:val="auto"/>
          <w:kern w:val="2"/>
          <w:sz w:val="22"/>
          <w:szCs w:val="22"/>
          <w:highlight w:val="none"/>
          <w:lang w:val="en-US" w:eastAsia="zh-CN" w:bidi="ar-SA"/>
        </w:rPr>
        <w:t>家。采购人应当自收到评标报告之日起5个工作日内，在评标报告确定的中标候选人名单中按顺序确定中标人。</w:t>
      </w:r>
    </w:p>
    <w:p w14:paraId="724D3092">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3）本项目采用的采购方式为公开招标，评分方法：综合评分法，投标文件满足招标文件全部实质性要求，且按照评审因素的量化指标，评审小组将根据评标标准进行评审，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BD5FD84">
      <w:pPr>
        <w:keepNext w:val="0"/>
        <w:keepLines w:val="0"/>
        <w:pageBreakBefore w:val="0"/>
        <w:widowControl w:val="0"/>
        <w:kinsoku/>
        <w:wordWrap/>
        <w:overflowPunct/>
        <w:topLinePunct w:val="0"/>
        <w:autoSpaceDE/>
        <w:autoSpaceDN/>
        <w:bidi w:val="0"/>
        <w:adjustRightInd/>
        <w:snapToGrid w:val="0"/>
        <w:spacing w:line="312" w:lineRule="auto"/>
        <w:ind w:firstLine="440" w:firstLineChars="200"/>
        <w:jc w:val="both"/>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4）采购人依据评审小组推荐的中标候选人确定中标人。采购人根据评审小组的评标报告，应以排名第一的中标候选人为中标人。排名第一的中标候选人放弃中标或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w:t>
      </w:r>
    </w:p>
    <w:p w14:paraId="6E222C84">
      <w:pPr>
        <w:pStyle w:val="12"/>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textAlignment w:val="auto"/>
        <w:rPr>
          <w:rFonts w:hint="eastAsia" w:ascii="微软雅黑" w:hAnsi="微软雅黑" w:eastAsia="微软雅黑" w:cs="微软雅黑"/>
          <w:b w:val="0"/>
          <w:bCs/>
          <w:color w:val="auto"/>
          <w:sz w:val="22"/>
          <w:szCs w:val="22"/>
          <w:highlight w:val="none"/>
          <w:lang w:val="en-US" w:eastAsia="zh-CN"/>
        </w:rPr>
        <w:sectPr>
          <w:pgSz w:w="11907" w:h="16840"/>
          <w:pgMar w:top="1440" w:right="1080" w:bottom="1440" w:left="1080" w:header="851" w:footer="992" w:gutter="0"/>
          <w:pgNumType w:fmt="decimal"/>
          <w:cols w:space="720" w:num="1"/>
          <w:docGrid w:linePitch="312" w:charSpace="0"/>
        </w:sectPr>
      </w:pPr>
    </w:p>
    <w:p w14:paraId="7F93100A">
      <w:pPr>
        <w:spacing w:line="360" w:lineRule="auto"/>
        <w:jc w:val="center"/>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资格审查表</w:t>
      </w:r>
    </w:p>
    <w:tbl>
      <w:tblPr>
        <w:tblStyle w:val="41"/>
        <w:tblW w:w="95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
        <w:gridCol w:w="6661"/>
        <w:gridCol w:w="809"/>
        <w:gridCol w:w="825"/>
        <w:gridCol w:w="781"/>
      </w:tblGrid>
      <w:tr w14:paraId="5B481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7174" w:type="dxa"/>
            <w:gridSpan w:val="2"/>
            <w:tcBorders>
              <w:top w:val="single" w:color="auto" w:sz="4" w:space="0"/>
              <w:left w:val="single" w:color="auto" w:sz="4" w:space="0"/>
              <w:bottom w:val="single" w:color="auto" w:sz="4" w:space="0"/>
              <w:right w:val="single" w:color="auto" w:sz="4" w:space="0"/>
            </w:tcBorders>
            <w:noWrap w:val="0"/>
            <w:vAlign w:val="center"/>
          </w:tcPr>
          <w:p w14:paraId="1FE19003">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lang w:eastAsia="zh-CN"/>
              </w:rPr>
              <w:t>审查</w:t>
            </w:r>
            <w:r>
              <w:rPr>
                <w:rFonts w:hint="eastAsia" w:ascii="微软雅黑" w:hAnsi="微软雅黑" w:eastAsia="微软雅黑" w:cs="微软雅黑"/>
                <w:b/>
                <w:color w:val="auto"/>
                <w:sz w:val="22"/>
                <w:szCs w:val="22"/>
                <w:highlight w:val="none"/>
              </w:rPr>
              <w:t>内容</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14:paraId="4EFF4F81">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投标人及审查情况</w:t>
            </w:r>
          </w:p>
        </w:tc>
      </w:tr>
      <w:tr w14:paraId="1159E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499F78E0">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1</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4911E57C">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b w:val="0"/>
                <w:bCs w:val="0"/>
                <w:color w:val="auto"/>
                <w:sz w:val="22"/>
                <w:szCs w:val="22"/>
                <w:highlight w:val="none"/>
                <w:lang w:eastAsia="zh-CN"/>
              </w:rPr>
            </w:pPr>
            <w:r>
              <w:rPr>
                <w:rFonts w:hint="eastAsia" w:ascii="微软雅黑" w:hAnsi="微软雅黑" w:eastAsia="微软雅黑" w:cs="微软雅黑"/>
                <w:b w:val="0"/>
                <w:bCs w:val="0"/>
                <w:color w:val="auto"/>
                <w:sz w:val="22"/>
                <w:szCs w:val="22"/>
                <w:highlight w:val="none"/>
                <w:lang w:eastAsia="zh-CN"/>
              </w:rPr>
              <w:t>法人或者其他组织的营业执照等证明文件；</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204D21E5">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0CFDBDA">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3AC7D68C">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23CF1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52A5F13A">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2</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08D73E8E">
            <w:pPr>
              <w:pStyle w:val="7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240" w:lineRule="auto"/>
              <w:ind w:left="0" w:leftChars="0" w:right="0" w:rightChars="0"/>
              <w:textAlignment w:val="auto"/>
              <w:rPr>
                <w:rFonts w:hint="eastAsia" w:ascii="微软雅黑" w:hAnsi="微软雅黑" w:eastAsia="微软雅黑" w:cs="微软雅黑"/>
                <w:b w:val="0"/>
                <w:bCs w:val="0"/>
                <w:color w:val="auto"/>
                <w:kern w:val="2"/>
                <w:sz w:val="22"/>
                <w:szCs w:val="22"/>
                <w:highlight w:val="none"/>
                <w:lang w:val="en-US" w:eastAsia="zh-CN" w:bidi="zh-CN"/>
              </w:rPr>
            </w:pPr>
            <w:r>
              <w:rPr>
                <w:rFonts w:hint="eastAsia" w:ascii="微软雅黑" w:hAnsi="微软雅黑" w:eastAsia="微软雅黑" w:cs="微软雅黑"/>
                <w:b w:val="0"/>
                <w:bCs w:val="0"/>
                <w:color w:val="auto"/>
                <w:kern w:val="2"/>
                <w:sz w:val="22"/>
                <w:szCs w:val="22"/>
                <w:highlight w:val="none"/>
                <w:lang w:val="en-US" w:eastAsia="zh-CN" w:bidi="zh-CN"/>
              </w:rPr>
              <w:t>法定代表人（单位负责人）投标需提供法定代表人（单位负责人）身份证明；授权人投标需提供法定代表人(单位负责人)身份证明及授权书；</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0186687D">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2D0C5B84">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0D579A25">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6F45D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0D6B554A">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3</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42DA3AC0">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微软雅黑" w:hAnsi="微软雅黑" w:eastAsia="微软雅黑" w:cs="微软雅黑"/>
                <w:b w:val="0"/>
                <w:bCs w:val="0"/>
                <w:color w:val="auto"/>
                <w:kern w:val="2"/>
                <w:sz w:val="22"/>
                <w:szCs w:val="22"/>
                <w:highlight w:val="none"/>
                <w:lang w:val="en-US" w:eastAsia="zh-CN" w:bidi="zh-CN"/>
              </w:rPr>
            </w:pPr>
            <w:r>
              <w:rPr>
                <w:rFonts w:hint="eastAsia" w:ascii="微软雅黑" w:hAnsi="微软雅黑" w:eastAsia="微软雅黑" w:cs="微软雅黑"/>
                <w:b w:val="0"/>
                <w:bCs w:val="0"/>
                <w:color w:val="auto"/>
                <w:kern w:val="2"/>
                <w:sz w:val="22"/>
                <w:szCs w:val="22"/>
                <w:highlight w:val="none"/>
                <w:lang w:val="en-US" w:eastAsia="zh-CN" w:bidi="zh-CN"/>
              </w:rPr>
              <w:t>提供2023年度或2024年度的财务审计报告（成立未满十二个月的新公司可提供近三个月内任意一个月的银行资信证明）；</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28C9695F">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6401468">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739F5CCE">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0411D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5B5C5D6F">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4</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5BF5A514">
            <w:pPr>
              <w:pStyle w:val="4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color w:val="auto"/>
                <w:sz w:val="24"/>
                <w:szCs w:val="24"/>
                <w:highlight w:val="none"/>
                <w:lang w:val="en-US" w:eastAsia="zh-CN"/>
              </w:rPr>
              <w:t>提供投标单位在社保部门或税务局出具依法缴纳近六个月任意一个月缴纳的社保证明</w:t>
            </w:r>
            <w:r>
              <w:rPr>
                <w:rFonts w:hint="eastAsia" w:ascii="微软雅黑" w:hAnsi="微软雅黑" w:eastAsia="微软雅黑" w:cs="微软雅黑"/>
                <w:b w:val="0"/>
                <w:bCs w:val="0"/>
                <w:color w:val="auto"/>
                <w:kern w:val="2"/>
                <w:sz w:val="22"/>
                <w:szCs w:val="22"/>
                <w:highlight w:val="none"/>
                <w:lang w:val="en-US" w:eastAsia="zh-CN" w:bidi="ar-SA"/>
              </w:rPr>
              <w:t>；</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6C201050">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AA7875A">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3BC1843D">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44BD7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12FBC15E">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5</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34B1B9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val="0"/>
                <w:color w:val="auto"/>
                <w:kern w:val="2"/>
                <w:sz w:val="22"/>
                <w:szCs w:val="22"/>
                <w:highlight w:val="none"/>
                <w:lang w:val="zh-CN" w:eastAsia="zh-CN" w:bidi="zh-CN"/>
              </w:rPr>
            </w:pPr>
            <w:r>
              <w:rPr>
                <w:rFonts w:hint="eastAsia" w:ascii="微软雅黑" w:hAnsi="微软雅黑" w:eastAsia="微软雅黑" w:cs="微软雅黑"/>
                <w:b w:val="0"/>
                <w:bCs w:val="0"/>
                <w:color w:val="auto"/>
                <w:sz w:val="22"/>
                <w:szCs w:val="22"/>
                <w:highlight w:val="none"/>
              </w:rPr>
              <w:t>提供税务部门出具的近6个月任意一个月的完税证明；</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7D7E160D">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7D35FE9A">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0EDABD3F">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65BC9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62B98888">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6</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4831F4B3">
            <w:pPr>
              <w:pStyle w:val="4"/>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textAlignment w:val="auto"/>
              <w:outlineLvl w:val="2"/>
              <w:rPr>
                <w:rFonts w:hint="eastAsia" w:ascii="微软雅黑" w:hAnsi="微软雅黑" w:eastAsia="微软雅黑" w:cs="微软雅黑"/>
                <w:b w:val="0"/>
                <w:bCs w:val="0"/>
                <w:color w:val="auto"/>
                <w:kern w:val="0"/>
                <w:sz w:val="22"/>
                <w:szCs w:val="22"/>
                <w:highlight w:val="none"/>
                <w:u w:val="none"/>
                <w:lang w:val="zh-CN" w:eastAsia="zh-CN" w:bidi="zh-CN"/>
              </w:rPr>
            </w:pPr>
            <w:r>
              <w:rPr>
                <w:rFonts w:hint="eastAsia" w:ascii="微软雅黑" w:hAnsi="微软雅黑" w:eastAsia="微软雅黑" w:cs="微软雅黑"/>
                <w:b w:val="0"/>
                <w:bCs w:val="0"/>
                <w:color w:val="auto"/>
                <w:kern w:val="0"/>
                <w:sz w:val="22"/>
                <w:szCs w:val="22"/>
                <w:highlight w:val="none"/>
                <w:u w:val="none"/>
                <w:lang w:val="zh-CN" w:eastAsia="zh-CN" w:bidi="zh-CN"/>
              </w:rPr>
              <w:t>根据《财政部关于在政府采购活动中查询及使用信用记录有关问题的通知》（财库﹝2016﹞125号）的要求，凡拟参加本次招标项目的投标人，如在“信用中国”网站被列入失信被执行人、重大税收违法失信主体(信用中国首页-点击信用服务-查询)、“中国政府采购网“严重违法失信行为记录名单的（尚在处罚期内的）、“ 国家企业信用信息公示系统”列入严重违法失信企业名单（黑名单）信息，将拒绝其参加本次招标活动；（开标现场查询核实）；</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0D3C8605">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832F74B">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3993A76B">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45A0C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7057B10B">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7</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501578A9">
            <w:pPr>
              <w:pStyle w:val="4"/>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textAlignment w:val="auto"/>
              <w:outlineLvl w:val="2"/>
              <w:rPr>
                <w:rFonts w:hint="eastAsia" w:ascii="微软雅黑" w:hAnsi="微软雅黑" w:eastAsia="微软雅黑" w:cs="微软雅黑"/>
                <w:b w:val="0"/>
                <w:bCs w:val="0"/>
                <w:color w:val="auto"/>
                <w:sz w:val="22"/>
                <w:szCs w:val="22"/>
                <w:highlight w:val="none"/>
                <w:u w:val="none"/>
              </w:rPr>
            </w:pPr>
            <w:r>
              <w:rPr>
                <w:rFonts w:hint="eastAsia" w:ascii="微软雅黑" w:hAnsi="微软雅黑" w:eastAsia="微软雅黑" w:cs="微软雅黑"/>
                <w:b w:val="0"/>
                <w:bCs w:val="0"/>
                <w:color w:val="auto"/>
                <w:sz w:val="22"/>
                <w:szCs w:val="22"/>
                <w:highlight w:val="none"/>
                <w:u w:val="none"/>
              </w:rPr>
              <w:t>具有履行合同所必需的设备和专业技术能力的承诺书；</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1C8B31C6">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6C9CF7E">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6F5C66BC">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3D0B8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4B000976">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lang w:eastAsia="zh-CN"/>
              </w:rPr>
            </w:pPr>
            <w:r>
              <w:rPr>
                <w:rFonts w:hint="eastAsia" w:ascii="微软雅黑" w:hAnsi="微软雅黑" w:eastAsia="微软雅黑" w:cs="微软雅黑"/>
                <w:color w:val="auto"/>
                <w:kern w:val="0"/>
                <w:sz w:val="22"/>
                <w:szCs w:val="22"/>
                <w:highlight w:val="none"/>
                <w:lang w:val="en-US" w:eastAsia="zh-CN"/>
              </w:rPr>
              <w:t>8</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576704A3">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微软雅黑" w:hAnsi="微软雅黑" w:eastAsia="微软雅黑" w:cs="微软雅黑"/>
                <w:b w:val="0"/>
                <w:bCs w:val="0"/>
                <w:color w:val="auto"/>
                <w:kern w:val="0"/>
                <w:sz w:val="22"/>
                <w:szCs w:val="22"/>
                <w:highlight w:val="none"/>
                <w:u w:val="none"/>
                <w:lang w:val="zh-CN" w:eastAsia="zh-CN" w:bidi="ar-SA"/>
              </w:rPr>
            </w:pPr>
            <w:r>
              <w:rPr>
                <w:rFonts w:hint="eastAsia" w:ascii="微软雅黑" w:hAnsi="微软雅黑" w:eastAsia="微软雅黑" w:cs="微软雅黑"/>
                <w:b w:val="0"/>
                <w:bCs w:val="0"/>
                <w:color w:val="auto"/>
                <w:sz w:val="22"/>
                <w:szCs w:val="22"/>
                <w:highlight w:val="none"/>
                <w:u w:val="none"/>
              </w:rPr>
              <w:t>提供针对本次项目《反商业贿赂承诺书》；</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19CE3063">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9BD9FC8">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3EF85D44">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57CF2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33877216">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2"/>
                <w:szCs w:val="22"/>
                <w:highlight w:val="none"/>
                <w:lang w:eastAsia="zh-CN"/>
              </w:rPr>
            </w:pPr>
            <w:r>
              <w:rPr>
                <w:rFonts w:hint="eastAsia" w:ascii="微软雅黑" w:hAnsi="微软雅黑" w:eastAsia="微软雅黑" w:cs="微软雅黑"/>
                <w:color w:val="auto"/>
                <w:kern w:val="0"/>
                <w:sz w:val="22"/>
                <w:szCs w:val="22"/>
                <w:highlight w:val="none"/>
                <w:lang w:val="en-US" w:eastAsia="zh-CN"/>
              </w:rPr>
              <w:t>9</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4974C88C">
            <w:pPr>
              <w:pStyle w:val="4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微软雅黑" w:hAnsi="微软雅黑" w:eastAsia="微软雅黑" w:cs="微软雅黑"/>
                <w:b w:val="0"/>
                <w:bCs w:val="0"/>
                <w:color w:val="auto"/>
                <w:kern w:val="0"/>
                <w:sz w:val="22"/>
                <w:szCs w:val="22"/>
                <w:highlight w:val="none"/>
                <w:u w:val="none"/>
                <w:lang w:val="zh-CN" w:eastAsia="zh-CN" w:bidi="ar-SA"/>
              </w:rPr>
            </w:pPr>
            <w:r>
              <w:rPr>
                <w:rFonts w:hint="eastAsia" w:ascii="微软雅黑" w:hAnsi="微软雅黑" w:eastAsia="微软雅黑" w:cs="微软雅黑"/>
                <w:b w:val="0"/>
                <w:bCs w:val="0"/>
                <w:color w:val="auto"/>
                <w:sz w:val="22"/>
                <w:szCs w:val="22"/>
                <w:highlight w:val="none"/>
                <w:u w:val="none"/>
              </w:rPr>
              <w:t>参加政府采购活动前3年内在经营活动中没有重大违法违规记录的书面声明；</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51484CB2">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D8C35FF">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1FFB041E">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507BB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6A938840">
            <w:pPr>
              <w:keepNext w:val="0"/>
              <w:keepLines w:val="0"/>
              <w:suppressLineNumbers w:val="0"/>
              <w:spacing w:before="0" w:beforeAutospacing="0" w:after="0" w:afterAutospacing="0" w:line="360" w:lineRule="auto"/>
              <w:ind w:left="0" w:right="0"/>
              <w:jc w:val="center"/>
              <w:rPr>
                <w:rFonts w:hint="default"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10</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661BEC97">
            <w:pPr>
              <w:pStyle w:val="4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微软雅黑" w:hAnsi="微软雅黑" w:eastAsia="微软雅黑" w:cs="微软雅黑"/>
                <w:b w:val="0"/>
                <w:bCs w:val="0"/>
                <w:color w:val="auto"/>
                <w:kern w:val="0"/>
                <w:sz w:val="22"/>
                <w:szCs w:val="22"/>
                <w:highlight w:val="none"/>
                <w:u w:val="none"/>
                <w:lang w:val="en-US" w:eastAsia="zh-CN" w:bidi="ar-SA"/>
              </w:rPr>
            </w:pPr>
            <w:r>
              <w:rPr>
                <w:rFonts w:hint="eastAsia" w:ascii="微软雅黑" w:hAnsi="微软雅黑" w:eastAsia="微软雅黑" w:cs="微软雅黑"/>
                <w:b w:val="0"/>
                <w:bCs w:val="0"/>
                <w:color w:val="auto"/>
                <w:sz w:val="22"/>
                <w:szCs w:val="22"/>
                <w:highlight w:val="none"/>
                <w:u w:val="none"/>
              </w:rPr>
              <w:t>投标保证金缴纳凭证；</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5E88158D">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1FE2F34">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588A2B3B">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r w14:paraId="64133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74" w:type="dxa"/>
            <w:gridSpan w:val="2"/>
            <w:tcBorders>
              <w:top w:val="single" w:color="auto" w:sz="4" w:space="0"/>
              <w:left w:val="single" w:color="auto" w:sz="4" w:space="0"/>
              <w:bottom w:val="single" w:color="auto" w:sz="4" w:space="0"/>
              <w:right w:val="single" w:color="auto" w:sz="4" w:space="0"/>
            </w:tcBorders>
            <w:noWrap w:val="0"/>
            <w:vAlign w:val="center"/>
          </w:tcPr>
          <w:p w14:paraId="5C99BF30">
            <w:pPr>
              <w:keepNext w:val="0"/>
              <w:keepLines w:val="0"/>
              <w:widowControl/>
              <w:suppressLineNumbers w:val="0"/>
              <w:spacing w:before="0" w:beforeAutospacing="0" w:after="0" w:afterAutospacing="0" w:line="240" w:lineRule="auto"/>
              <w:ind w:left="0" w:right="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结论：是否通过</w:t>
            </w:r>
            <w:r>
              <w:rPr>
                <w:rFonts w:hint="eastAsia" w:ascii="微软雅黑" w:hAnsi="微软雅黑" w:eastAsia="微软雅黑" w:cs="微软雅黑"/>
                <w:color w:val="auto"/>
                <w:sz w:val="22"/>
                <w:szCs w:val="22"/>
                <w:highlight w:val="none"/>
                <w:lang w:eastAsia="zh-CN"/>
              </w:rPr>
              <w:t>审查</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bCs/>
                <w:color w:val="auto"/>
                <w:sz w:val="22"/>
                <w:szCs w:val="22"/>
                <w:highlight w:val="none"/>
              </w:rPr>
              <w:t>填写通过或不通过）</w:t>
            </w:r>
          </w:p>
          <w:p w14:paraId="761EFE4F">
            <w:pPr>
              <w:keepNext w:val="0"/>
              <w:keepLines w:val="0"/>
              <w:widowControl/>
              <w:suppressLineNumbers w:val="0"/>
              <w:spacing w:before="0" w:beforeAutospacing="0" w:after="0" w:afterAutospacing="0" w:line="240" w:lineRule="auto"/>
              <w:ind w:left="0" w:right="0"/>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未通过</w:t>
            </w:r>
            <w:r>
              <w:rPr>
                <w:rFonts w:hint="eastAsia" w:ascii="微软雅黑" w:hAnsi="微软雅黑" w:eastAsia="微软雅黑" w:cs="微软雅黑"/>
                <w:color w:val="auto"/>
                <w:sz w:val="22"/>
                <w:szCs w:val="22"/>
                <w:highlight w:val="none"/>
                <w:lang w:eastAsia="zh-CN"/>
              </w:rPr>
              <w:t>资格审查</w:t>
            </w:r>
            <w:r>
              <w:rPr>
                <w:rFonts w:hint="eastAsia" w:ascii="微软雅黑" w:hAnsi="微软雅黑" w:eastAsia="微软雅黑" w:cs="微软雅黑"/>
                <w:color w:val="auto"/>
                <w:sz w:val="22"/>
                <w:szCs w:val="22"/>
                <w:highlight w:val="none"/>
              </w:rPr>
              <w:t>的，为无效投标。</w:t>
            </w:r>
          </w:p>
        </w:tc>
        <w:tc>
          <w:tcPr>
            <w:tcW w:w="809" w:type="dxa"/>
            <w:tcBorders>
              <w:top w:val="single" w:color="auto" w:sz="4" w:space="0"/>
              <w:left w:val="single" w:color="auto" w:sz="4" w:space="0"/>
              <w:bottom w:val="single" w:color="auto" w:sz="4" w:space="0"/>
              <w:right w:val="single" w:color="auto" w:sz="4" w:space="0"/>
            </w:tcBorders>
            <w:noWrap w:val="0"/>
            <w:vAlign w:val="top"/>
          </w:tcPr>
          <w:p w14:paraId="01BE1F43">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6A3A4D65">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c>
          <w:tcPr>
            <w:tcW w:w="781" w:type="dxa"/>
            <w:tcBorders>
              <w:top w:val="single" w:color="auto" w:sz="4" w:space="0"/>
              <w:left w:val="single" w:color="auto" w:sz="4" w:space="0"/>
              <w:bottom w:val="single" w:color="auto" w:sz="4" w:space="0"/>
              <w:right w:val="single" w:color="auto" w:sz="4" w:space="0"/>
            </w:tcBorders>
            <w:noWrap w:val="0"/>
            <w:vAlign w:val="top"/>
          </w:tcPr>
          <w:p w14:paraId="1E7DAB86">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highlight w:val="none"/>
              </w:rPr>
            </w:pPr>
          </w:p>
        </w:tc>
      </w:tr>
    </w:tbl>
    <w:p w14:paraId="157DE78E">
      <w:pPr>
        <w:pStyle w:val="3"/>
        <w:spacing w:line="240" w:lineRule="auto"/>
        <w:jc w:val="left"/>
        <w:rPr>
          <w:rFonts w:hint="eastAsia" w:ascii="微软雅黑" w:hAnsi="微软雅黑" w:eastAsia="微软雅黑" w:cs="微软雅黑"/>
          <w:b w:val="0"/>
          <w:bCs/>
          <w:color w:val="auto"/>
          <w:kern w:val="2"/>
          <w:sz w:val="22"/>
          <w:szCs w:val="22"/>
          <w:highlight w:val="none"/>
          <w:lang w:val="en-US" w:eastAsia="zh-CN" w:bidi="ar-SA"/>
        </w:rPr>
      </w:pPr>
      <w:bookmarkStart w:id="510" w:name="_Toc7157"/>
      <w:bookmarkStart w:id="511" w:name="_Toc24752"/>
      <w:r>
        <w:rPr>
          <w:rFonts w:hint="eastAsia" w:ascii="微软雅黑" w:hAnsi="微软雅黑" w:eastAsia="微软雅黑" w:cs="微软雅黑"/>
          <w:b w:val="0"/>
          <w:bCs/>
          <w:color w:val="auto"/>
          <w:kern w:val="2"/>
          <w:sz w:val="22"/>
          <w:szCs w:val="22"/>
          <w:highlight w:val="none"/>
          <w:lang w:val="en-US" w:eastAsia="zh-CN" w:bidi="ar-SA"/>
        </w:rPr>
        <w:t>说明：（1）上述各项中用“√”表示通过，“×”表示不通过；（2）上述各项中如有一项为“×”，则结论为“×”，表示该投标文件中存在重大偏差，不能通过资格审查；资格审查小组对某一分项审查认为不合格时，必须要写明原因。</w:t>
      </w:r>
      <w:bookmarkEnd w:id="510"/>
      <w:r>
        <w:rPr>
          <w:rFonts w:hint="eastAsia" w:ascii="微软雅黑" w:hAnsi="微软雅黑" w:eastAsia="微软雅黑" w:cs="微软雅黑"/>
          <w:b w:val="0"/>
          <w:bCs/>
          <w:color w:val="auto"/>
          <w:kern w:val="2"/>
          <w:sz w:val="22"/>
          <w:szCs w:val="22"/>
          <w:highlight w:val="none"/>
          <w:lang w:val="en-US" w:eastAsia="zh-CN" w:bidi="ar-SA"/>
        </w:rPr>
        <w:t>(3)审查意见中少数服从多数为原则定论。（4）未通过资格审查的供应商不进入评标；通过资格审查的供应商少于不足三家的，不得评标。</w:t>
      </w:r>
      <w:bookmarkEnd w:id="511"/>
    </w:p>
    <w:p w14:paraId="24AC263D">
      <w:pPr>
        <w:rPr>
          <w:rFonts w:hint="eastAsia" w:ascii="微软雅黑" w:hAnsi="微软雅黑" w:eastAsia="微软雅黑" w:cs="微软雅黑"/>
          <w:b w:val="0"/>
          <w:bCs/>
          <w:color w:val="auto"/>
          <w:kern w:val="2"/>
          <w:sz w:val="22"/>
          <w:szCs w:val="22"/>
          <w:highlight w:val="none"/>
          <w:lang w:val="en-US" w:eastAsia="zh-CN" w:bidi="ar-SA"/>
        </w:rPr>
      </w:pPr>
    </w:p>
    <w:p w14:paraId="1BB80B22">
      <w:pPr>
        <w:spacing w:line="360" w:lineRule="auto"/>
        <w:jc w:val="center"/>
        <w:rPr>
          <w:rFonts w:hint="eastAsia" w:ascii="微软雅黑" w:hAnsi="微软雅黑" w:eastAsia="微软雅黑" w:cs="微软雅黑"/>
          <w:b/>
          <w:color w:val="auto"/>
          <w:sz w:val="28"/>
          <w:szCs w:val="28"/>
          <w:highlight w:val="none"/>
        </w:rPr>
        <w:sectPr>
          <w:pgSz w:w="11907" w:h="16840"/>
          <w:pgMar w:top="1440" w:right="1080" w:bottom="1440" w:left="1080" w:header="851" w:footer="992" w:gutter="0"/>
          <w:pgNumType w:fmt="decimal"/>
          <w:cols w:space="720" w:num="1"/>
          <w:docGrid w:linePitch="312" w:charSpace="0"/>
        </w:sectPr>
      </w:pPr>
    </w:p>
    <w:p w14:paraId="3DF67282">
      <w:pPr>
        <w:spacing w:line="360" w:lineRule="auto"/>
        <w:jc w:val="center"/>
        <w:rPr>
          <w:rFonts w:hint="eastAsia" w:ascii="微软雅黑" w:hAnsi="微软雅黑" w:eastAsia="微软雅黑" w:cs="微软雅黑"/>
          <w:b/>
          <w:color w:val="auto"/>
          <w:sz w:val="28"/>
          <w:szCs w:val="28"/>
          <w:highlight w:val="none"/>
          <w:lang w:val="en-US" w:eastAsia="zh-CN"/>
        </w:rPr>
      </w:pPr>
      <w:r>
        <w:rPr>
          <w:rFonts w:hint="eastAsia" w:ascii="微软雅黑" w:hAnsi="微软雅黑" w:eastAsia="微软雅黑" w:cs="微软雅黑"/>
          <w:b/>
          <w:color w:val="auto"/>
          <w:sz w:val="28"/>
          <w:szCs w:val="28"/>
          <w:highlight w:val="none"/>
        </w:rPr>
        <w:t>符合性</w:t>
      </w:r>
      <w:r>
        <w:rPr>
          <w:rFonts w:hint="eastAsia" w:ascii="微软雅黑" w:hAnsi="微软雅黑" w:eastAsia="微软雅黑" w:cs="微软雅黑"/>
          <w:b/>
          <w:color w:val="auto"/>
          <w:sz w:val="28"/>
          <w:szCs w:val="28"/>
          <w:highlight w:val="none"/>
          <w:lang w:eastAsia="zh-CN"/>
        </w:rPr>
        <w:t>审</w:t>
      </w:r>
      <w:r>
        <w:rPr>
          <w:rFonts w:hint="eastAsia" w:ascii="微软雅黑" w:hAnsi="微软雅黑" w:eastAsia="微软雅黑" w:cs="微软雅黑"/>
          <w:b/>
          <w:color w:val="auto"/>
          <w:sz w:val="28"/>
          <w:szCs w:val="28"/>
          <w:highlight w:val="none"/>
        </w:rPr>
        <w:t>查</w:t>
      </w:r>
      <w:r>
        <w:rPr>
          <w:rFonts w:hint="eastAsia" w:ascii="微软雅黑" w:hAnsi="微软雅黑" w:eastAsia="微软雅黑" w:cs="微软雅黑"/>
          <w:b/>
          <w:color w:val="auto"/>
          <w:sz w:val="28"/>
          <w:szCs w:val="28"/>
          <w:highlight w:val="none"/>
          <w:lang w:eastAsia="zh-CN"/>
        </w:rPr>
        <w:t>表</w:t>
      </w:r>
    </w:p>
    <w:tbl>
      <w:tblPr>
        <w:tblStyle w:val="41"/>
        <w:tblpPr w:leftFromText="180" w:rightFromText="180" w:vertAnchor="text" w:horzAnchor="page" w:tblpX="1067" w:tblpY="71"/>
        <w:tblOverlap w:val="never"/>
        <w:tblW w:w="9856" w:type="dxa"/>
        <w:tblInd w:w="0" w:type="dxa"/>
        <w:tblLayout w:type="fixed"/>
        <w:tblCellMar>
          <w:top w:w="0" w:type="dxa"/>
          <w:left w:w="108" w:type="dxa"/>
          <w:bottom w:w="0" w:type="dxa"/>
          <w:right w:w="108" w:type="dxa"/>
        </w:tblCellMar>
      </w:tblPr>
      <w:tblGrid>
        <w:gridCol w:w="603"/>
        <w:gridCol w:w="7554"/>
        <w:gridCol w:w="568"/>
        <w:gridCol w:w="653"/>
        <w:gridCol w:w="478"/>
      </w:tblGrid>
      <w:tr w14:paraId="29BA5922">
        <w:tblPrEx>
          <w:tblCellMar>
            <w:top w:w="0" w:type="dxa"/>
            <w:left w:w="108" w:type="dxa"/>
            <w:bottom w:w="0" w:type="dxa"/>
            <w:right w:w="108" w:type="dxa"/>
          </w:tblCellMar>
        </w:tblPrEx>
        <w:trPr>
          <w:trHeight w:val="722" w:hRule="atLeast"/>
        </w:trPr>
        <w:tc>
          <w:tcPr>
            <w:tcW w:w="603" w:type="dxa"/>
            <w:vMerge w:val="restart"/>
            <w:tcBorders>
              <w:top w:val="single" w:color="auto" w:sz="4" w:space="0"/>
              <w:left w:val="single" w:color="auto" w:sz="4" w:space="0"/>
              <w:right w:val="single" w:color="auto" w:sz="4" w:space="0"/>
            </w:tcBorders>
            <w:noWrap w:val="0"/>
            <w:vAlign w:val="center"/>
          </w:tcPr>
          <w:p w14:paraId="3433E1D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lang w:eastAsia="zh-CN"/>
              </w:rPr>
            </w:pPr>
            <w:bookmarkStart w:id="512" w:name="_Toc9110"/>
            <w:bookmarkStart w:id="513" w:name="_Toc23870"/>
            <w:bookmarkStart w:id="514" w:name="_Toc19925"/>
            <w:r>
              <w:rPr>
                <w:rFonts w:hint="eastAsia" w:ascii="微软雅黑" w:hAnsi="微软雅黑" w:eastAsia="微软雅黑" w:cs="微软雅黑"/>
                <w:b/>
                <w:color w:val="auto"/>
                <w:kern w:val="0"/>
                <w:sz w:val="21"/>
                <w:szCs w:val="21"/>
                <w:highlight w:val="none"/>
                <w:lang w:eastAsia="zh-CN"/>
              </w:rPr>
              <w:t>序号</w:t>
            </w:r>
          </w:p>
        </w:tc>
        <w:tc>
          <w:tcPr>
            <w:tcW w:w="7554" w:type="dxa"/>
            <w:vMerge w:val="restart"/>
            <w:tcBorders>
              <w:top w:val="single" w:color="auto" w:sz="4" w:space="0"/>
              <w:left w:val="single" w:color="auto" w:sz="4" w:space="0"/>
              <w:right w:val="single" w:color="auto" w:sz="4" w:space="0"/>
            </w:tcBorders>
            <w:noWrap w:val="0"/>
            <w:vAlign w:val="center"/>
          </w:tcPr>
          <w:p w14:paraId="516DF9F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审查事项</w:t>
            </w:r>
          </w:p>
        </w:tc>
        <w:tc>
          <w:tcPr>
            <w:tcW w:w="1699" w:type="dxa"/>
            <w:gridSpan w:val="3"/>
            <w:tcBorders>
              <w:top w:val="single" w:color="auto" w:sz="4" w:space="0"/>
              <w:left w:val="single" w:color="auto" w:sz="4" w:space="0"/>
              <w:bottom w:val="single" w:color="auto" w:sz="4" w:space="0"/>
              <w:right w:val="single" w:color="auto" w:sz="4" w:space="0"/>
            </w:tcBorders>
            <w:noWrap w:val="0"/>
            <w:vAlign w:val="center"/>
          </w:tcPr>
          <w:p w14:paraId="5922DF5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投标单位名称及审查情况</w:t>
            </w:r>
          </w:p>
        </w:tc>
      </w:tr>
      <w:tr w14:paraId="207CE25D">
        <w:tblPrEx>
          <w:tblCellMar>
            <w:top w:w="0" w:type="dxa"/>
            <w:left w:w="108" w:type="dxa"/>
            <w:bottom w:w="0" w:type="dxa"/>
            <w:right w:w="108" w:type="dxa"/>
          </w:tblCellMar>
        </w:tblPrEx>
        <w:trPr>
          <w:trHeight w:val="335" w:hRule="atLeast"/>
        </w:trPr>
        <w:tc>
          <w:tcPr>
            <w:tcW w:w="603" w:type="dxa"/>
            <w:vMerge w:val="continue"/>
            <w:tcBorders>
              <w:left w:val="single" w:color="auto" w:sz="4" w:space="0"/>
              <w:bottom w:val="single" w:color="auto" w:sz="4" w:space="0"/>
              <w:right w:val="single" w:color="auto" w:sz="4" w:space="0"/>
            </w:tcBorders>
            <w:noWrap w:val="0"/>
            <w:vAlign w:val="center"/>
          </w:tcPr>
          <w:p w14:paraId="0CAEEA4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p>
        </w:tc>
        <w:tc>
          <w:tcPr>
            <w:tcW w:w="7554" w:type="dxa"/>
            <w:vMerge w:val="continue"/>
            <w:tcBorders>
              <w:left w:val="single" w:color="auto" w:sz="4" w:space="0"/>
              <w:bottom w:val="single" w:color="auto" w:sz="4" w:space="0"/>
              <w:right w:val="single" w:color="auto" w:sz="4" w:space="0"/>
            </w:tcBorders>
            <w:noWrap w:val="0"/>
            <w:vAlign w:val="center"/>
          </w:tcPr>
          <w:p w14:paraId="72EB56D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29EEA20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39AE0A89">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361E43A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6D35BCE2">
        <w:tblPrEx>
          <w:tblCellMar>
            <w:top w:w="0" w:type="dxa"/>
            <w:left w:w="108" w:type="dxa"/>
            <w:bottom w:w="0" w:type="dxa"/>
            <w:right w:w="108" w:type="dxa"/>
          </w:tblCellMar>
        </w:tblPrEx>
        <w:trPr>
          <w:trHeight w:val="51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8765B7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1</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3F8CB59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eastAsia="zh-CN"/>
              </w:rPr>
              <w:t>投标人的投标报价未超过标项最高限价；</w:t>
            </w:r>
          </w:p>
        </w:tc>
        <w:tc>
          <w:tcPr>
            <w:tcW w:w="568" w:type="dxa"/>
            <w:tcBorders>
              <w:top w:val="single" w:color="auto" w:sz="4" w:space="0"/>
              <w:left w:val="nil"/>
              <w:bottom w:val="single" w:color="auto" w:sz="4" w:space="0"/>
              <w:right w:val="single" w:color="auto" w:sz="4" w:space="0"/>
            </w:tcBorders>
            <w:noWrap w:val="0"/>
            <w:vAlign w:val="center"/>
          </w:tcPr>
          <w:p w14:paraId="15A2793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5E13A59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3F9F245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27B29102">
        <w:tblPrEx>
          <w:tblCellMar>
            <w:top w:w="0" w:type="dxa"/>
            <w:left w:w="108" w:type="dxa"/>
            <w:bottom w:w="0" w:type="dxa"/>
            <w:right w:w="108" w:type="dxa"/>
          </w:tblCellMar>
        </w:tblPrEx>
        <w:trPr>
          <w:trHeight w:val="585"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66C0A5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2</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23DC7F3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评标委员会认为供应商的报价无明显低于其他通过符合性审查供应商的报价的，供应商的报价不存在异常一致并成规律性的，其报价合理；</w:t>
            </w:r>
          </w:p>
        </w:tc>
        <w:tc>
          <w:tcPr>
            <w:tcW w:w="568" w:type="dxa"/>
            <w:tcBorders>
              <w:top w:val="single" w:color="auto" w:sz="4" w:space="0"/>
              <w:left w:val="nil"/>
              <w:bottom w:val="single" w:color="auto" w:sz="4" w:space="0"/>
              <w:right w:val="single" w:color="auto" w:sz="4" w:space="0"/>
            </w:tcBorders>
            <w:noWrap w:val="0"/>
            <w:vAlign w:val="center"/>
          </w:tcPr>
          <w:p w14:paraId="594D4BF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241A8F0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0547E71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7D770D45">
        <w:tblPrEx>
          <w:tblCellMar>
            <w:top w:w="0" w:type="dxa"/>
            <w:left w:w="108" w:type="dxa"/>
            <w:bottom w:w="0" w:type="dxa"/>
            <w:right w:w="108" w:type="dxa"/>
          </w:tblCellMar>
        </w:tblPrEx>
        <w:trPr>
          <w:trHeight w:val="52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080B292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0773CF1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在评标过程中，未发现供应商之间或者供应商与采购人串通投标的；</w:t>
            </w:r>
          </w:p>
        </w:tc>
        <w:tc>
          <w:tcPr>
            <w:tcW w:w="568" w:type="dxa"/>
            <w:tcBorders>
              <w:top w:val="single" w:color="auto" w:sz="4" w:space="0"/>
              <w:left w:val="nil"/>
              <w:bottom w:val="single" w:color="auto" w:sz="4" w:space="0"/>
              <w:right w:val="single" w:color="auto" w:sz="4" w:space="0"/>
            </w:tcBorders>
            <w:noWrap w:val="0"/>
            <w:vAlign w:val="center"/>
          </w:tcPr>
          <w:p w14:paraId="65F7B60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5A0242E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345CD4B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6B98852A">
        <w:tblPrEx>
          <w:tblCellMar>
            <w:top w:w="0" w:type="dxa"/>
            <w:left w:w="108" w:type="dxa"/>
            <w:bottom w:w="0" w:type="dxa"/>
            <w:right w:w="108" w:type="dxa"/>
          </w:tblCellMar>
        </w:tblPrEx>
        <w:trPr>
          <w:trHeight w:val="500"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4F272A9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4</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1C7FAF9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供应商在投标过程中未向采购人提供、给予任何有价值的物品，影响其正常决策行为；</w:t>
            </w:r>
          </w:p>
        </w:tc>
        <w:tc>
          <w:tcPr>
            <w:tcW w:w="568" w:type="dxa"/>
            <w:tcBorders>
              <w:top w:val="single" w:color="auto" w:sz="4" w:space="0"/>
              <w:left w:val="nil"/>
              <w:bottom w:val="single" w:color="auto" w:sz="4" w:space="0"/>
              <w:right w:val="single" w:color="auto" w:sz="4" w:space="0"/>
            </w:tcBorders>
            <w:noWrap w:val="0"/>
            <w:vAlign w:val="center"/>
          </w:tcPr>
          <w:p w14:paraId="0285891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5964DD4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091DD83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3158EE22">
        <w:tblPrEx>
          <w:tblCellMar>
            <w:top w:w="0" w:type="dxa"/>
            <w:left w:w="108" w:type="dxa"/>
            <w:bottom w:w="0" w:type="dxa"/>
            <w:right w:w="108" w:type="dxa"/>
          </w:tblCellMar>
        </w:tblPrEx>
        <w:trPr>
          <w:trHeight w:val="913"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AE6C1A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5</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66D7B52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投标报价按照招标文件要求进行报价，没有缺项、漏项（数量不符合将被视为漏项）的；</w:t>
            </w:r>
          </w:p>
        </w:tc>
        <w:tc>
          <w:tcPr>
            <w:tcW w:w="568" w:type="dxa"/>
            <w:tcBorders>
              <w:top w:val="single" w:color="auto" w:sz="4" w:space="0"/>
              <w:left w:val="nil"/>
              <w:bottom w:val="single" w:color="auto" w:sz="4" w:space="0"/>
              <w:right w:val="single" w:color="auto" w:sz="4" w:space="0"/>
            </w:tcBorders>
            <w:noWrap w:val="0"/>
            <w:vAlign w:val="center"/>
          </w:tcPr>
          <w:p w14:paraId="068AF52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7D321D6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367772C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64C9EC27">
        <w:tblPrEx>
          <w:tblCellMar>
            <w:top w:w="0" w:type="dxa"/>
            <w:left w:w="108" w:type="dxa"/>
            <w:bottom w:w="0" w:type="dxa"/>
            <w:right w:w="108" w:type="dxa"/>
          </w:tblCellMar>
        </w:tblPrEx>
        <w:trPr>
          <w:trHeight w:val="739"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7169BBB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6</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3FB361B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供应商所报的各分项投标报价在合同履行过程中是固定不变的，不得以任何理由予以变更；</w:t>
            </w:r>
          </w:p>
        </w:tc>
        <w:tc>
          <w:tcPr>
            <w:tcW w:w="568" w:type="dxa"/>
            <w:tcBorders>
              <w:top w:val="single" w:color="auto" w:sz="4" w:space="0"/>
              <w:left w:val="nil"/>
              <w:bottom w:val="single" w:color="auto" w:sz="4" w:space="0"/>
              <w:right w:val="single" w:color="auto" w:sz="4" w:space="0"/>
            </w:tcBorders>
            <w:noWrap w:val="0"/>
            <w:vAlign w:val="center"/>
          </w:tcPr>
          <w:p w14:paraId="396E70A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744CB26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124D3A4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58BAD7A2">
        <w:tblPrEx>
          <w:tblCellMar>
            <w:top w:w="0" w:type="dxa"/>
            <w:left w:w="108" w:type="dxa"/>
            <w:bottom w:w="0" w:type="dxa"/>
            <w:right w:w="108" w:type="dxa"/>
          </w:tblCellMar>
        </w:tblPrEx>
        <w:trPr>
          <w:trHeight w:val="477"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35C8415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7</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444BBE5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sz w:val="21"/>
                <w:szCs w:val="21"/>
                <w:highlight w:val="none"/>
                <w:lang w:eastAsia="zh-CN"/>
              </w:rPr>
              <w:t>所投产品的实质性条款与招标文件要求的条款相符；</w:t>
            </w:r>
          </w:p>
        </w:tc>
        <w:tc>
          <w:tcPr>
            <w:tcW w:w="568" w:type="dxa"/>
            <w:tcBorders>
              <w:top w:val="single" w:color="auto" w:sz="4" w:space="0"/>
              <w:left w:val="nil"/>
              <w:bottom w:val="single" w:color="auto" w:sz="4" w:space="0"/>
              <w:right w:val="single" w:color="auto" w:sz="4" w:space="0"/>
            </w:tcBorders>
            <w:noWrap w:val="0"/>
            <w:vAlign w:val="center"/>
          </w:tcPr>
          <w:p w14:paraId="63CC391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07CDF1C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201E0DE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2F1DB618">
        <w:tblPrEx>
          <w:tblCellMar>
            <w:top w:w="0" w:type="dxa"/>
            <w:left w:w="108" w:type="dxa"/>
            <w:bottom w:w="0" w:type="dxa"/>
            <w:right w:w="108" w:type="dxa"/>
          </w:tblCellMar>
        </w:tblPrEx>
        <w:trPr>
          <w:trHeight w:val="421"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4A931CC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733518B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投标有效期</w:t>
            </w:r>
            <w:r>
              <w:rPr>
                <w:rFonts w:hint="eastAsia" w:ascii="微软雅黑" w:hAnsi="微软雅黑" w:eastAsia="微软雅黑" w:cs="微软雅黑"/>
                <w:color w:val="auto"/>
                <w:sz w:val="21"/>
                <w:szCs w:val="21"/>
                <w:highlight w:val="none"/>
              </w:rPr>
              <w:t>自提交投标文件截止之日起</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color="000000"/>
              </w:rPr>
              <w:t xml:space="preserve">90 </w:t>
            </w:r>
            <w:r>
              <w:rPr>
                <w:rFonts w:hint="eastAsia" w:ascii="微软雅黑" w:hAnsi="微软雅黑" w:eastAsia="微软雅黑" w:cs="微软雅黑"/>
                <w:color w:val="auto"/>
                <w:sz w:val="21"/>
                <w:szCs w:val="21"/>
                <w:highlight w:val="none"/>
              </w:rPr>
              <w:t>日历日</w:t>
            </w:r>
            <w:r>
              <w:rPr>
                <w:rFonts w:hint="eastAsia" w:ascii="微软雅黑" w:hAnsi="微软雅黑" w:eastAsia="微软雅黑" w:cs="微软雅黑"/>
                <w:color w:val="auto"/>
                <w:sz w:val="21"/>
                <w:szCs w:val="21"/>
                <w:highlight w:val="none"/>
                <w:lang w:eastAsia="zh-CN"/>
              </w:rPr>
              <w:t>；</w:t>
            </w:r>
          </w:p>
        </w:tc>
        <w:tc>
          <w:tcPr>
            <w:tcW w:w="568" w:type="dxa"/>
            <w:tcBorders>
              <w:top w:val="single" w:color="auto" w:sz="4" w:space="0"/>
              <w:left w:val="nil"/>
              <w:bottom w:val="single" w:color="auto" w:sz="4" w:space="0"/>
              <w:right w:val="single" w:color="auto" w:sz="4" w:space="0"/>
            </w:tcBorders>
            <w:noWrap w:val="0"/>
            <w:vAlign w:val="center"/>
          </w:tcPr>
          <w:p w14:paraId="1E26DEC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732B02D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24A373F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1D182CFD">
        <w:tblPrEx>
          <w:tblCellMar>
            <w:top w:w="0" w:type="dxa"/>
            <w:left w:w="108" w:type="dxa"/>
            <w:bottom w:w="0" w:type="dxa"/>
            <w:right w:w="108" w:type="dxa"/>
          </w:tblCellMar>
        </w:tblPrEx>
        <w:trPr>
          <w:trHeight w:val="40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20EFF8F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9</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30079F9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sz w:val="21"/>
                <w:szCs w:val="21"/>
                <w:highlight w:val="none"/>
                <w:lang w:eastAsia="zh-CN"/>
              </w:rPr>
              <w:t>投标文件</w:t>
            </w:r>
            <w:r>
              <w:rPr>
                <w:rFonts w:hint="eastAsia" w:ascii="微软雅黑" w:hAnsi="微软雅黑" w:eastAsia="微软雅黑" w:cs="微软雅黑"/>
                <w:color w:val="auto"/>
                <w:sz w:val="21"/>
                <w:szCs w:val="21"/>
                <w:highlight w:val="none"/>
              </w:rPr>
              <w:t>按照</w:t>
            </w:r>
            <w:r>
              <w:rPr>
                <w:rFonts w:hint="eastAsia" w:ascii="微软雅黑" w:hAnsi="微软雅黑" w:eastAsia="微软雅黑" w:cs="微软雅黑"/>
                <w:color w:val="auto"/>
                <w:sz w:val="21"/>
                <w:szCs w:val="21"/>
                <w:highlight w:val="none"/>
                <w:lang w:eastAsia="zh-CN"/>
              </w:rPr>
              <w:t>招标文件</w:t>
            </w:r>
            <w:r>
              <w:rPr>
                <w:rFonts w:hint="eastAsia" w:ascii="微软雅黑" w:hAnsi="微软雅黑" w:eastAsia="微软雅黑" w:cs="微软雅黑"/>
                <w:color w:val="auto"/>
                <w:sz w:val="21"/>
                <w:szCs w:val="21"/>
                <w:highlight w:val="none"/>
              </w:rPr>
              <w:t>规定要求签署、盖章</w:t>
            </w:r>
            <w:r>
              <w:rPr>
                <w:rFonts w:hint="eastAsia" w:ascii="微软雅黑" w:hAnsi="微软雅黑" w:eastAsia="微软雅黑" w:cs="微软雅黑"/>
                <w:color w:val="auto"/>
                <w:sz w:val="21"/>
                <w:szCs w:val="21"/>
                <w:highlight w:val="none"/>
                <w:lang w:eastAsia="zh-CN"/>
              </w:rPr>
              <w:t>；</w:t>
            </w:r>
          </w:p>
        </w:tc>
        <w:tc>
          <w:tcPr>
            <w:tcW w:w="568" w:type="dxa"/>
            <w:tcBorders>
              <w:top w:val="single" w:color="auto" w:sz="4" w:space="0"/>
              <w:left w:val="nil"/>
              <w:bottom w:val="single" w:color="auto" w:sz="4" w:space="0"/>
              <w:right w:val="single" w:color="auto" w:sz="4" w:space="0"/>
            </w:tcBorders>
            <w:noWrap w:val="0"/>
            <w:vAlign w:val="center"/>
          </w:tcPr>
          <w:p w14:paraId="00B9DBF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63DFE9D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7B5454E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447252B7">
        <w:tblPrEx>
          <w:tblCellMar>
            <w:top w:w="0" w:type="dxa"/>
            <w:left w:w="108" w:type="dxa"/>
            <w:bottom w:w="0" w:type="dxa"/>
            <w:right w:w="108" w:type="dxa"/>
          </w:tblCellMar>
        </w:tblPrEx>
        <w:trPr>
          <w:trHeight w:val="530"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99478B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10</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09CE5D9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评标委员会共同确定没有实质上不响应招标文件要求的；</w:t>
            </w:r>
          </w:p>
        </w:tc>
        <w:tc>
          <w:tcPr>
            <w:tcW w:w="568" w:type="dxa"/>
            <w:tcBorders>
              <w:top w:val="single" w:color="auto" w:sz="4" w:space="0"/>
              <w:left w:val="nil"/>
              <w:bottom w:val="single" w:color="auto" w:sz="4" w:space="0"/>
              <w:right w:val="single" w:color="auto" w:sz="4" w:space="0"/>
            </w:tcBorders>
            <w:noWrap w:val="0"/>
            <w:vAlign w:val="center"/>
          </w:tcPr>
          <w:p w14:paraId="17A65E5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7C9169C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7274559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022956EE">
        <w:tblPrEx>
          <w:tblCellMar>
            <w:top w:w="0" w:type="dxa"/>
            <w:left w:w="108" w:type="dxa"/>
            <w:bottom w:w="0" w:type="dxa"/>
            <w:right w:w="108" w:type="dxa"/>
          </w:tblCellMar>
        </w:tblPrEx>
        <w:trPr>
          <w:trHeight w:val="530"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739364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11</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66F2E8E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投标文件未含有采购人不能接受的附加条件</w:t>
            </w:r>
            <w:r>
              <w:rPr>
                <w:rFonts w:hint="eastAsia" w:ascii="微软雅黑" w:hAnsi="微软雅黑" w:eastAsia="微软雅黑" w:cs="微软雅黑"/>
                <w:color w:val="auto"/>
                <w:sz w:val="21"/>
                <w:szCs w:val="21"/>
                <w:highlight w:val="none"/>
                <w:lang w:eastAsia="zh-CN"/>
              </w:rPr>
              <w:t>；</w:t>
            </w:r>
          </w:p>
        </w:tc>
        <w:tc>
          <w:tcPr>
            <w:tcW w:w="568" w:type="dxa"/>
            <w:tcBorders>
              <w:top w:val="single" w:color="auto" w:sz="4" w:space="0"/>
              <w:left w:val="nil"/>
              <w:bottom w:val="single" w:color="auto" w:sz="4" w:space="0"/>
              <w:right w:val="single" w:color="auto" w:sz="4" w:space="0"/>
            </w:tcBorders>
            <w:noWrap w:val="0"/>
            <w:vAlign w:val="center"/>
          </w:tcPr>
          <w:p w14:paraId="68881F2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38099FC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366F5A79">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250315A4">
        <w:tblPrEx>
          <w:tblCellMar>
            <w:top w:w="0" w:type="dxa"/>
            <w:left w:w="108" w:type="dxa"/>
            <w:bottom w:w="0" w:type="dxa"/>
            <w:right w:w="108" w:type="dxa"/>
          </w:tblCellMar>
        </w:tblPrEx>
        <w:trPr>
          <w:trHeight w:val="530"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292A613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12</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06EED36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未出现法律、法规和招标文件规定的其他无效投标情形。</w:t>
            </w:r>
          </w:p>
        </w:tc>
        <w:tc>
          <w:tcPr>
            <w:tcW w:w="568" w:type="dxa"/>
            <w:tcBorders>
              <w:top w:val="single" w:color="auto" w:sz="4" w:space="0"/>
              <w:left w:val="nil"/>
              <w:bottom w:val="single" w:color="auto" w:sz="4" w:space="0"/>
              <w:right w:val="single" w:color="auto" w:sz="4" w:space="0"/>
            </w:tcBorders>
            <w:noWrap w:val="0"/>
            <w:vAlign w:val="center"/>
          </w:tcPr>
          <w:p w14:paraId="4E0D936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453AE0A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6986FEE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6738DBF5">
        <w:tblPrEx>
          <w:tblCellMar>
            <w:top w:w="0" w:type="dxa"/>
            <w:left w:w="108" w:type="dxa"/>
            <w:bottom w:w="0" w:type="dxa"/>
            <w:right w:w="108" w:type="dxa"/>
          </w:tblCellMar>
        </w:tblPrEx>
        <w:trPr>
          <w:trHeight w:val="381"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73092AC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p>
        </w:tc>
        <w:tc>
          <w:tcPr>
            <w:tcW w:w="7554" w:type="dxa"/>
            <w:tcBorders>
              <w:top w:val="single" w:color="auto" w:sz="4" w:space="0"/>
              <w:left w:val="single" w:color="auto" w:sz="4" w:space="0"/>
              <w:bottom w:val="single" w:color="auto" w:sz="4" w:space="0"/>
              <w:right w:val="single" w:color="auto" w:sz="4" w:space="0"/>
            </w:tcBorders>
            <w:noWrap w:val="0"/>
            <w:vAlign w:val="center"/>
          </w:tcPr>
          <w:p w14:paraId="5C567C4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kern w:val="0"/>
                <w:sz w:val="21"/>
                <w:szCs w:val="21"/>
                <w:highlight w:val="none"/>
              </w:rPr>
              <w:t>结论</w:t>
            </w:r>
          </w:p>
        </w:tc>
        <w:tc>
          <w:tcPr>
            <w:tcW w:w="568" w:type="dxa"/>
            <w:tcBorders>
              <w:top w:val="single" w:color="auto" w:sz="4" w:space="0"/>
              <w:left w:val="nil"/>
              <w:bottom w:val="single" w:color="auto" w:sz="4" w:space="0"/>
              <w:right w:val="single" w:color="auto" w:sz="4" w:space="0"/>
            </w:tcBorders>
            <w:noWrap w:val="0"/>
            <w:vAlign w:val="center"/>
          </w:tcPr>
          <w:p w14:paraId="4B87449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7F1697E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7974041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rPr>
            </w:pPr>
          </w:p>
        </w:tc>
      </w:tr>
      <w:bookmarkEnd w:id="512"/>
      <w:bookmarkEnd w:id="513"/>
      <w:bookmarkEnd w:id="514"/>
    </w:tbl>
    <w:p w14:paraId="64D68C12">
      <w:pPr>
        <w:pStyle w:val="12"/>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val="0"/>
          <w:bCs/>
          <w:color w:val="auto"/>
          <w:kern w:val="2"/>
          <w:sz w:val="22"/>
          <w:szCs w:val="22"/>
          <w:highlight w:val="none"/>
          <w:lang w:val="en-US" w:eastAsia="zh-CN" w:bidi="ar-SA"/>
        </w:rPr>
      </w:pPr>
      <w:r>
        <w:rPr>
          <w:rFonts w:hint="eastAsia" w:ascii="微软雅黑" w:hAnsi="微软雅黑" w:eastAsia="微软雅黑" w:cs="微软雅黑"/>
          <w:b w:val="0"/>
          <w:bCs/>
          <w:color w:val="auto"/>
          <w:kern w:val="2"/>
          <w:sz w:val="22"/>
          <w:szCs w:val="22"/>
          <w:highlight w:val="none"/>
          <w:lang w:val="en-US" w:eastAsia="zh-CN" w:bidi="ar-SA"/>
        </w:rPr>
        <w:t>说明：（1）上述各项中用“√”表示通过，“×”表示不通过；（2）上述各项中如有一项为“×”，则结论为“×”，表示该投标文件中存在重大偏差，不能通过初步评审；评委对某一分项评审认为不合格时，必须要写明原因。（3）投标文件最终合格与否，以所有评委的评审意见中少数服从多数为原则定论。（4）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1B6DA707">
      <w:pPr>
        <w:pStyle w:val="28"/>
        <w:pageBreakBefore w:val="0"/>
        <w:kinsoku/>
        <w:wordWrap/>
        <w:overflowPunct/>
        <w:topLinePunct w:val="0"/>
        <w:bidi w:val="0"/>
        <w:snapToGrid w:val="0"/>
        <w:spacing w:line="312" w:lineRule="auto"/>
        <w:jc w:val="center"/>
        <w:outlineLvl w:val="0"/>
        <w:rPr>
          <w:rFonts w:hint="eastAsia" w:ascii="微软雅黑" w:hAnsi="微软雅黑" w:eastAsia="微软雅黑" w:cs="微软雅黑"/>
          <w:b/>
          <w:color w:val="auto"/>
          <w:kern w:val="2"/>
          <w:sz w:val="28"/>
          <w:szCs w:val="28"/>
          <w:highlight w:val="none"/>
          <w:lang w:val="en-US" w:eastAsia="zh-CN" w:bidi="ar-SA"/>
        </w:rPr>
      </w:pPr>
      <w:bookmarkStart w:id="515" w:name="_Toc24492"/>
      <w:bookmarkStart w:id="516" w:name="_Toc18571"/>
      <w:bookmarkStart w:id="517" w:name="_Toc2850"/>
      <w:bookmarkStart w:id="518" w:name="_Toc18129"/>
      <w:bookmarkStart w:id="519" w:name="_Toc507399904"/>
      <w:r>
        <w:rPr>
          <w:rFonts w:hint="eastAsia" w:ascii="微软雅黑" w:hAnsi="微软雅黑" w:eastAsia="微软雅黑" w:cs="微软雅黑"/>
          <w:b/>
          <w:color w:val="auto"/>
          <w:kern w:val="2"/>
          <w:sz w:val="28"/>
          <w:szCs w:val="28"/>
          <w:highlight w:val="none"/>
          <w:lang w:val="en-US" w:eastAsia="zh-CN" w:bidi="ar-SA"/>
        </w:rPr>
        <w:t>评分办法（综合评分法）及评分标准</w:t>
      </w:r>
      <w:bookmarkEnd w:id="515"/>
      <w:bookmarkEnd w:id="516"/>
    </w:p>
    <w:tbl>
      <w:tblPr>
        <w:tblStyle w:val="41"/>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74"/>
        <w:gridCol w:w="710"/>
        <w:gridCol w:w="7138"/>
      </w:tblGrid>
      <w:tr w14:paraId="2408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015" w:type="pct"/>
            <w:gridSpan w:val="2"/>
            <w:noWrap w:val="0"/>
            <w:vAlign w:val="center"/>
          </w:tcPr>
          <w:p w14:paraId="7E207218">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kern w:val="1"/>
                <w:sz w:val="21"/>
                <w:szCs w:val="21"/>
                <w:highlight w:val="none"/>
              </w:rPr>
            </w:pPr>
            <w:r>
              <w:rPr>
                <w:rFonts w:hint="eastAsia" w:ascii="微软雅黑" w:hAnsi="微软雅黑" w:eastAsia="微软雅黑" w:cs="微软雅黑"/>
                <w:b/>
                <w:color w:val="auto"/>
                <w:kern w:val="1"/>
                <w:sz w:val="21"/>
                <w:szCs w:val="21"/>
                <w:highlight w:val="none"/>
              </w:rPr>
              <w:t>评审内容</w:t>
            </w:r>
          </w:p>
        </w:tc>
        <w:tc>
          <w:tcPr>
            <w:tcW w:w="360" w:type="pct"/>
            <w:noWrap w:val="0"/>
            <w:vAlign w:val="center"/>
          </w:tcPr>
          <w:p w14:paraId="7EAD751B">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kern w:val="1"/>
                <w:sz w:val="21"/>
                <w:szCs w:val="21"/>
                <w:highlight w:val="none"/>
              </w:rPr>
            </w:pPr>
            <w:r>
              <w:rPr>
                <w:rFonts w:hint="eastAsia" w:ascii="微软雅黑" w:hAnsi="微软雅黑" w:eastAsia="微软雅黑" w:cs="微软雅黑"/>
                <w:b/>
                <w:color w:val="auto"/>
                <w:kern w:val="1"/>
                <w:sz w:val="21"/>
                <w:szCs w:val="21"/>
                <w:highlight w:val="none"/>
              </w:rPr>
              <w:t>分值</w:t>
            </w:r>
          </w:p>
        </w:tc>
        <w:tc>
          <w:tcPr>
            <w:tcW w:w="3623" w:type="pct"/>
            <w:noWrap w:val="0"/>
            <w:vAlign w:val="center"/>
          </w:tcPr>
          <w:p w14:paraId="05744069">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kern w:val="1"/>
                <w:sz w:val="21"/>
                <w:szCs w:val="21"/>
                <w:highlight w:val="none"/>
              </w:rPr>
            </w:pPr>
            <w:r>
              <w:rPr>
                <w:rFonts w:hint="eastAsia" w:ascii="微软雅黑" w:hAnsi="微软雅黑" w:eastAsia="微软雅黑" w:cs="微软雅黑"/>
                <w:b/>
                <w:color w:val="auto"/>
                <w:kern w:val="1"/>
                <w:sz w:val="21"/>
                <w:szCs w:val="21"/>
                <w:highlight w:val="none"/>
              </w:rPr>
              <w:t>评分标准</w:t>
            </w:r>
          </w:p>
        </w:tc>
      </w:tr>
      <w:tr w14:paraId="161C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368" w:type="pct"/>
            <w:noWrap w:val="0"/>
            <w:vAlign w:val="center"/>
          </w:tcPr>
          <w:p w14:paraId="2ABEA491">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lang w:eastAsia="zh-CN"/>
              </w:rPr>
            </w:pPr>
            <w:r>
              <w:rPr>
                <w:rFonts w:hint="eastAsia" w:ascii="微软雅黑" w:hAnsi="微软雅黑" w:eastAsia="微软雅黑" w:cs="微软雅黑"/>
                <w:color w:val="auto"/>
                <w:kern w:val="1"/>
                <w:sz w:val="21"/>
                <w:szCs w:val="21"/>
                <w:highlight w:val="none"/>
                <w:lang w:eastAsia="zh-CN"/>
              </w:rPr>
              <w:t>报价</w:t>
            </w:r>
            <w:r>
              <w:rPr>
                <w:rFonts w:hint="eastAsia" w:ascii="微软雅黑" w:hAnsi="微软雅黑" w:eastAsia="微软雅黑" w:cs="微软雅黑"/>
                <w:color w:val="auto"/>
                <w:kern w:val="1"/>
                <w:sz w:val="21"/>
                <w:szCs w:val="21"/>
                <w:highlight w:val="none"/>
              </w:rPr>
              <w:t>部分</w:t>
            </w:r>
            <w:r>
              <w:rPr>
                <w:rFonts w:hint="eastAsia" w:ascii="微软雅黑" w:hAnsi="微软雅黑" w:eastAsia="微软雅黑" w:cs="微软雅黑"/>
                <w:color w:val="auto"/>
                <w:kern w:val="1"/>
                <w:sz w:val="21"/>
                <w:szCs w:val="21"/>
                <w:highlight w:val="none"/>
                <w:lang w:eastAsia="zh-CN"/>
              </w:rPr>
              <w:t>（</w:t>
            </w:r>
            <w:r>
              <w:rPr>
                <w:rFonts w:hint="eastAsia" w:ascii="微软雅黑" w:hAnsi="微软雅黑" w:eastAsia="微软雅黑" w:cs="微软雅黑"/>
                <w:color w:val="auto"/>
                <w:kern w:val="1"/>
                <w:sz w:val="21"/>
                <w:szCs w:val="21"/>
                <w:highlight w:val="none"/>
                <w:lang w:val="en-US" w:eastAsia="zh-CN"/>
              </w:rPr>
              <w:t>30</w:t>
            </w:r>
            <w:r>
              <w:rPr>
                <w:rFonts w:hint="eastAsia" w:ascii="微软雅黑" w:hAnsi="微软雅黑" w:eastAsia="微软雅黑" w:cs="微软雅黑"/>
                <w:color w:val="auto"/>
                <w:kern w:val="1"/>
                <w:sz w:val="21"/>
                <w:szCs w:val="21"/>
                <w:highlight w:val="none"/>
                <w:lang w:eastAsia="zh-CN"/>
              </w:rPr>
              <w:t>）</w:t>
            </w:r>
          </w:p>
          <w:p w14:paraId="1D01CD27">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2E8DFDEC">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投标价格</w:t>
            </w:r>
          </w:p>
        </w:tc>
        <w:tc>
          <w:tcPr>
            <w:tcW w:w="360" w:type="pct"/>
            <w:noWrap w:val="0"/>
            <w:vAlign w:val="center"/>
          </w:tcPr>
          <w:p w14:paraId="61E4B245">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30</w:t>
            </w:r>
            <w:r>
              <w:rPr>
                <w:rFonts w:hint="eastAsia" w:ascii="微软雅黑" w:hAnsi="微软雅黑" w:eastAsia="微软雅黑" w:cs="微软雅黑"/>
                <w:color w:val="auto"/>
                <w:sz w:val="21"/>
                <w:szCs w:val="21"/>
                <w:highlight w:val="none"/>
              </w:rPr>
              <w:t>分</w:t>
            </w:r>
          </w:p>
        </w:tc>
        <w:tc>
          <w:tcPr>
            <w:tcW w:w="3623" w:type="pct"/>
            <w:noWrap w:val="0"/>
            <w:vAlign w:val="center"/>
          </w:tcPr>
          <w:p w14:paraId="0A150FDC">
            <w:pPr>
              <w:keepNext w:val="0"/>
              <w:keepLines w:val="0"/>
              <w:pageBreakBefore w:val="0"/>
              <w:kinsoku/>
              <w:wordWrap/>
              <w:overflowPunct/>
              <w:topLinePunct w:val="0"/>
              <w:bidi w:val="0"/>
              <w:adjustRightInd w:val="0"/>
              <w:snapToGrid w:val="0"/>
              <w:spacing w:line="44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价格分应当采用低价优先法计算，即满足招标文件要求且投标价格最低的投标报价为评标基准价，其价格分为满分。其他投标人的价格分统一按照下列公式计算：</w:t>
            </w:r>
          </w:p>
          <w:p w14:paraId="52CAA83B">
            <w:pPr>
              <w:keepNext w:val="0"/>
              <w:keepLines w:val="0"/>
              <w:pageBreakBefore w:val="0"/>
              <w:kinsoku/>
              <w:wordWrap/>
              <w:overflowPunct/>
              <w:topLinePunct w:val="0"/>
              <w:bidi w:val="0"/>
              <w:adjustRightInd w:val="0"/>
              <w:snapToGrid w:val="0"/>
              <w:spacing w:line="44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投标报价得分=（评标基准价／投标报价）×100×权重</w:t>
            </w:r>
          </w:p>
          <w:p w14:paraId="5C2F87AC">
            <w:pPr>
              <w:keepNext w:val="0"/>
              <w:keepLines w:val="0"/>
              <w:pageBreakBefore w:val="0"/>
              <w:kinsoku/>
              <w:wordWrap/>
              <w:overflowPunct/>
              <w:topLinePunct w:val="0"/>
              <w:bidi w:val="0"/>
              <w:adjustRightInd w:val="0"/>
              <w:snapToGrid w:val="0"/>
              <w:spacing w:line="44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备注：投标报价得分四舍五入后，小数点后保留两位有效数。</w:t>
            </w:r>
          </w:p>
          <w:p w14:paraId="3051A926">
            <w:pPr>
              <w:keepNext w:val="0"/>
              <w:keepLines w:val="0"/>
              <w:pageBreakBefore w:val="0"/>
              <w:kinsoku/>
              <w:wordWrap/>
              <w:overflowPunct/>
              <w:topLinePunct w:val="0"/>
              <w:bidi w:val="0"/>
              <w:adjustRightInd w:val="0"/>
              <w:snapToGrid w:val="0"/>
              <w:spacing w:line="440" w:lineRule="exact"/>
              <w:jc w:val="both"/>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本项目根据《政府采购促进中小企业发展管理办法》（财库[2020]46 号）、关于进一步加大政府采购支持中小企业力度的通知财库〔2022〕19号，《财政部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号）的规定，对满足价格扣除条件且在投标文件中提交了《中小企业声明函》或省级以上监狱管理局、戒毒管理局（含新疆生产建设兵团）出具的属于监狱企业的证明文件的投标人，其投标报价扣除</w:t>
            </w:r>
            <w:r>
              <w:rPr>
                <w:rFonts w:hint="eastAsia" w:ascii="微软雅黑" w:hAnsi="微软雅黑" w:eastAsia="微软雅黑" w:cs="微软雅黑"/>
                <w:color w:val="auto"/>
                <w:sz w:val="21"/>
                <w:szCs w:val="21"/>
                <w:highlight w:val="none"/>
                <w:u w:val="single"/>
                <w:lang w:val="en-US" w:eastAsia="zh-CN"/>
              </w:rPr>
              <w:t xml:space="preserve"> 10% </w:t>
            </w:r>
            <w:r>
              <w:rPr>
                <w:rFonts w:hint="eastAsia" w:ascii="微软雅黑" w:hAnsi="微软雅黑" w:eastAsia="微软雅黑" w:cs="微软雅黑"/>
                <w:color w:val="auto"/>
                <w:sz w:val="21"/>
                <w:szCs w:val="21"/>
                <w:highlight w:val="none"/>
                <w:lang w:val="en-US" w:eastAsia="zh-CN"/>
              </w:rPr>
              <w:t>后参与评审。对于同时属于小微企业、监狱企业或残疾人福利性单位的，不重复进行投标报价扣除。</w:t>
            </w:r>
          </w:p>
        </w:tc>
      </w:tr>
      <w:tr w14:paraId="59DF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368" w:type="pct"/>
            <w:vMerge w:val="restart"/>
            <w:noWrap w:val="0"/>
            <w:vAlign w:val="center"/>
          </w:tcPr>
          <w:p w14:paraId="5210D35D">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lang w:eastAsia="zh-CN"/>
              </w:rPr>
            </w:pPr>
            <w:r>
              <w:rPr>
                <w:rFonts w:hint="eastAsia" w:ascii="微软雅黑" w:hAnsi="微软雅黑" w:eastAsia="微软雅黑" w:cs="微软雅黑"/>
                <w:color w:val="auto"/>
                <w:kern w:val="1"/>
                <w:sz w:val="21"/>
                <w:szCs w:val="21"/>
                <w:highlight w:val="none"/>
                <w:lang w:eastAsia="zh-CN"/>
              </w:rPr>
              <w:t>商务</w:t>
            </w:r>
            <w:r>
              <w:rPr>
                <w:rFonts w:hint="eastAsia" w:ascii="微软雅黑" w:hAnsi="微软雅黑" w:eastAsia="微软雅黑" w:cs="微软雅黑"/>
                <w:color w:val="auto"/>
                <w:kern w:val="1"/>
                <w:sz w:val="21"/>
                <w:szCs w:val="21"/>
                <w:highlight w:val="none"/>
              </w:rPr>
              <w:t>部分</w:t>
            </w:r>
            <w:r>
              <w:rPr>
                <w:rFonts w:hint="eastAsia" w:ascii="微软雅黑" w:hAnsi="微软雅黑" w:eastAsia="微软雅黑" w:cs="微软雅黑"/>
                <w:color w:val="auto"/>
                <w:kern w:val="1"/>
                <w:sz w:val="21"/>
                <w:szCs w:val="21"/>
                <w:highlight w:val="none"/>
                <w:lang w:eastAsia="zh-CN"/>
              </w:rPr>
              <w:t>（</w:t>
            </w:r>
            <w:r>
              <w:rPr>
                <w:rFonts w:hint="eastAsia" w:ascii="微软雅黑" w:hAnsi="微软雅黑" w:eastAsia="微软雅黑" w:cs="微软雅黑"/>
                <w:color w:val="auto"/>
                <w:kern w:val="1"/>
                <w:sz w:val="21"/>
                <w:szCs w:val="21"/>
                <w:highlight w:val="none"/>
                <w:lang w:val="en-US" w:eastAsia="zh-CN"/>
              </w:rPr>
              <w:t>29</w:t>
            </w:r>
            <w:r>
              <w:rPr>
                <w:rFonts w:hint="eastAsia" w:ascii="微软雅黑" w:hAnsi="微软雅黑" w:eastAsia="微软雅黑" w:cs="微软雅黑"/>
                <w:color w:val="auto"/>
                <w:kern w:val="1"/>
                <w:sz w:val="21"/>
                <w:szCs w:val="21"/>
                <w:highlight w:val="none"/>
                <w:lang w:eastAsia="zh-CN"/>
              </w:rPr>
              <w:t>）</w:t>
            </w:r>
          </w:p>
        </w:tc>
        <w:tc>
          <w:tcPr>
            <w:tcW w:w="646" w:type="pct"/>
            <w:noWrap w:val="0"/>
            <w:vAlign w:val="center"/>
          </w:tcPr>
          <w:p w14:paraId="01DE4AF0">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业绩</w:t>
            </w:r>
          </w:p>
        </w:tc>
        <w:tc>
          <w:tcPr>
            <w:tcW w:w="360" w:type="pct"/>
            <w:noWrap w:val="0"/>
            <w:vAlign w:val="center"/>
          </w:tcPr>
          <w:p w14:paraId="4A1E6518">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6分</w:t>
            </w:r>
          </w:p>
        </w:tc>
        <w:tc>
          <w:tcPr>
            <w:tcW w:w="3623" w:type="pct"/>
            <w:noWrap w:val="0"/>
            <w:vAlign w:val="center"/>
          </w:tcPr>
          <w:p w14:paraId="6652AA1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投标人或生产厂家应具备丰富的项目经验，根据投标人或生产厂家2023年1月至今提供的纯电动公交车销售业绩进行评定：1个销售业绩合同的2分，最多得6分。需提供合同复印</w:t>
            </w:r>
            <w:bookmarkStart w:id="741" w:name="_GoBack"/>
            <w:bookmarkEnd w:id="741"/>
            <w:r>
              <w:rPr>
                <w:rFonts w:hint="eastAsia" w:ascii="微软雅黑" w:hAnsi="微软雅黑" w:eastAsia="微软雅黑" w:cs="微软雅黑"/>
                <w:b w:val="0"/>
                <w:bCs w:val="0"/>
                <w:iCs/>
                <w:color w:val="auto"/>
                <w:kern w:val="2"/>
                <w:sz w:val="21"/>
                <w:szCs w:val="21"/>
                <w:highlight w:val="none"/>
                <w:u w:val="none"/>
                <w:lang w:val="en-US" w:eastAsia="zh-CN" w:bidi="ar-SA"/>
              </w:rPr>
              <w:t>件，若未提供不得分。</w:t>
            </w:r>
          </w:p>
        </w:tc>
      </w:tr>
      <w:tr w14:paraId="0E8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68" w:type="pct"/>
            <w:vMerge w:val="continue"/>
            <w:noWrap w:val="0"/>
            <w:vAlign w:val="center"/>
          </w:tcPr>
          <w:p w14:paraId="3CB8E33E">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lang w:eastAsia="zh-CN"/>
              </w:rPr>
            </w:pPr>
          </w:p>
        </w:tc>
        <w:tc>
          <w:tcPr>
            <w:tcW w:w="646" w:type="pct"/>
            <w:noWrap w:val="0"/>
            <w:vAlign w:val="center"/>
          </w:tcPr>
          <w:p w14:paraId="2934CE8D">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供货</w:t>
            </w:r>
            <w:r>
              <w:rPr>
                <w:rFonts w:hint="eastAsia" w:ascii="微软雅黑" w:hAnsi="微软雅黑" w:eastAsia="微软雅黑" w:cs="微软雅黑"/>
                <w:color w:val="auto"/>
                <w:sz w:val="21"/>
                <w:szCs w:val="21"/>
                <w:highlight w:val="none"/>
                <w:lang w:val="en-US" w:eastAsia="zh-CN"/>
              </w:rPr>
              <w:t>方案</w:t>
            </w:r>
          </w:p>
        </w:tc>
        <w:tc>
          <w:tcPr>
            <w:tcW w:w="360" w:type="pct"/>
            <w:noWrap w:val="0"/>
            <w:vAlign w:val="center"/>
          </w:tcPr>
          <w:p w14:paraId="61ECD8E5">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5分</w:t>
            </w:r>
          </w:p>
        </w:tc>
        <w:tc>
          <w:tcPr>
            <w:tcW w:w="3623" w:type="pct"/>
            <w:noWrap w:val="0"/>
            <w:vAlign w:val="center"/>
          </w:tcPr>
          <w:p w14:paraId="0E43731C">
            <w:pPr>
              <w:pStyle w:val="108"/>
              <w:keepNext w:val="0"/>
              <w:keepLines w:val="0"/>
              <w:pageBreakBefore w:val="0"/>
              <w:kinsoku/>
              <w:wordWrap/>
              <w:overflowPunct/>
              <w:topLinePunct w:val="0"/>
              <w:bidi w:val="0"/>
              <w:adjustRightInd w:val="0"/>
              <w:snapToGrid w:val="0"/>
              <w:spacing w:line="440" w:lineRule="exact"/>
              <w:ind w:firstLine="0" w:firstLineChars="0"/>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根据投标人针对本项目编制详细的供货方案：包括但不限于：①产品供货计划；②运输方式、车辆安排(提供清单)；③货物包装、装卸货措施；④路途人员安全保障措施及安全教育培训、运途紧急情况应对措施；⑤货物仓储、调试；进行评定，以上方案内容均提供的得5分，每缺一项扣1分，虽有项但内容存在缺陷的每项扣0.5分；未提供项目实施方案的，此项不得分。</w:t>
            </w:r>
          </w:p>
          <w:p w14:paraId="37E7FD7E">
            <w:pPr>
              <w:pStyle w:val="108"/>
              <w:keepNext w:val="0"/>
              <w:keepLines w:val="0"/>
              <w:pageBreakBefore w:val="0"/>
              <w:kinsoku/>
              <w:wordWrap/>
              <w:overflowPunct/>
              <w:topLinePunct w:val="0"/>
              <w:bidi w:val="0"/>
              <w:adjustRightInd w:val="0"/>
              <w:snapToGrid w:val="0"/>
              <w:spacing w:line="440" w:lineRule="exact"/>
              <w:ind w:firstLine="0" w:firstLineChars="0"/>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注：1.内容存在缺陷是指：①该项内容描述前后不一致；②该项内容所阐述的项目信息与本项目实际信息不一致；③该项内容描述不符合国家相关法律法规、政策文件、规范标准要求；④该项内容阐述的方式方法明显不符合本项目实际情况；⑤该项内容描述与本项目实际情况不符；⑥该项内容套用其他项目内容。</w:t>
            </w:r>
          </w:p>
        </w:tc>
      </w:tr>
      <w:tr w14:paraId="3ED7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68" w:type="pct"/>
            <w:vMerge w:val="continue"/>
            <w:noWrap w:val="0"/>
            <w:vAlign w:val="center"/>
          </w:tcPr>
          <w:p w14:paraId="77BAE55C">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lang w:eastAsia="zh-CN"/>
              </w:rPr>
            </w:pPr>
          </w:p>
        </w:tc>
        <w:tc>
          <w:tcPr>
            <w:tcW w:w="646" w:type="pct"/>
            <w:noWrap w:val="0"/>
            <w:vAlign w:val="center"/>
          </w:tcPr>
          <w:p w14:paraId="10CA551E">
            <w:pPr>
              <w:pStyle w:val="2"/>
              <w:keepNext w:val="0"/>
              <w:keepLines w:val="0"/>
              <w:pageBreakBefore w:val="0"/>
              <w:tabs>
                <w:tab w:val="left" w:pos="398"/>
              </w:tabs>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b w:val="0"/>
                <w:color w:val="auto"/>
                <w:kern w:val="2"/>
                <w:sz w:val="21"/>
                <w:szCs w:val="21"/>
                <w:highlight w:val="none"/>
                <w:lang w:val="en-US" w:eastAsia="zh-CN" w:bidi="ar-SA"/>
              </w:rPr>
            </w:pPr>
            <w:r>
              <w:rPr>
                <w:rFonts w:hint="eastAsia" w:ascii="微软雅黑" w:hAnsi="微软雅黑" w:eastAsia="微软雅黑" w:cs="微软雅黑"/>
                <w:b w:val="0"/>
                <w:color w:val="auto"/>
                <w:kern w:val="2"/>
                <w:sz w:val="21"/>
                <w:szCs w:val="21"/>
                <w:highlight w:val="none"/>
                <w:lang w:val="en-US" w:eastAsia="zh-CN" w:bidi="ar-SA"/>
              </w:rPr>
              <w:t>培训方案及计划</w:t>
            </w:r>
          </w:p>
        </w:tc>
        <w:tc>
          <w:tcPr>
            <w:tcW w:w="360" w:type="pct"/>
            <w:noWrap w:val="0"/>
            <w:vAlign w:val="center"/>
          </w:tcPr>
          <w:p w14:paraId="59792BF7">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b w:val="0"/>
                <w:color w:val="auto"/>
                <w:kern w:val="2"/>
                <w:sz w:val="21"/>
                <w:szCs w:val="21"/>
                <w:highlight w:val="none"/>
                <w:lang w:val="en-US" w:eastAsia="zh-CN" w:bidi="ar-SA"/>
              </w:rPr>
            </w:pPr>
            <w:r>
              <w:rPr>
                <w:rFonts w:hint="eastAsia" w:ascii="微软雅黑" w:hAnsi="微软雅黑" w:eastAsia="微软雅黑" w:cs="微软雅黑"/>
                <w:b w:val="0"/>
                <w:color w:val="auto"/>
                <w:kern w:val="2"/>
                <w:sz w:val="21"/>
                <w:szCs w:val="21"/>
                <w:highlight w:val="none"/>
                <w:lang w:val="en-US" w:eastAsia="zh-CN" w:bidi="ar-SA"/>
              </w:rPr>
              <w:t>5</w:t>
            </w:r>
            <w:r>
              <w:rPr>
                <w:rFonts w:hint="default" w:ascii="微软雅黑" w:hAnsi="微软雅黑" w:eastAsia="微软雅黑" w:cs="微软雅黑"/>
                <w:b w:val="0"/>
                <w:color w:val="auto"/>
                <w:kern w:val="2"/>
                <w:sz w:val="21"/>
                <w:szCs w:val="21"/>
                <w:highlight w:val="none"/>
                <w:lang w:val="en-US" w:eastAsia="zh-CN" w:bidi="ar-SA"/>
              </w:rPr>
              <w:t>分</w:t>
            </w:r>
          </w:p>
        </w:tc>
        <w:tc>
          <w:tcPr>
            <w:tcW w:w="3623" w:type="pct"/>
            <w:noWrap w:val="0"/>
            <w:vAlign w:val="center"/>
          </w:tcPr>
          <w:p w14:paraId="109023C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投标人根据本项目实际需求制定相应的车辆、设备操作培训方案，培训方案应包含培训计划、技术人员驻场时间计划、日常车辆使用、保养维修、更新系统等操作的详细内容；以上方案内容均提供的得5分，每缺一项扣1分，虽有项但内容存在缺陷的每项扣0.5分；未提供项目实施方案的，此项不得分。</w:t>
            </w:r>
          </w:p>
          <w:p w14:paraId="120AAFDE">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4A21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368" w:type="pct"/>
            <w:vMerge w:val="continue"/>
            <w:noWrap w:val="0"/>
            <w:vAlign w:val="center"/>
          </w:tcPr>
          <w:p w14:paraId="3DAFCB13">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lang w:eastAsia="zh-CN"/>
              </w:rPr>
            </w:pPr>
          </w:p>
        </w:tc>
        <w:tc>
          <w:tcPr>
            <w:tcW w:w="646" w:type="pct"/>
            <w:noWrap w:val="0"/>
            <w:vAlign w:val="center"/>
          </w:tcPr>
          <w:p w14:paraId="3BEFADC0">
            <w:pPr>
              <w:keepNext w:val="0"/>
              <w:keepLines w:val="0"/>
              <w:pageBreakBefore w:val="0"/>
              <w:kinsoku/>
              <w:wordWrap/>
              <w:overflowPunct/>
              <w:topLinePunct w:val="0"/>
              <w:bidi w:val="0"/>
              <w:adjustRightInd w:val="0"/>
              <w:snapToGrid w:val="0"/>
              <w:spacing w:line="320" w:lineRule="exact"/>
              <w:jc w:val="center"/>
              <w:textAlignment w:val="auto"/>
              <w:rPr>
                <w:rFonts w:hint="default" w:ascii="微软雅黑" w:hAnsi="微软雅黑" w:eastAsia="微软雅黑" w:cs="微软雅黑"/>
                <w:b w:val="0"/>
                <w:color w:val="auto"/>
                <w:kern w:val="2"/>
                <w:sz w:val="21"/>
                <w:szCs w:val="21"/>
                <w:highlight w:val="none"/>
                <w:lang w:val="en-US" w:eastAsia="zh-CN" w:bidi="ar-SA"/>
              </w:rPr>
            </w:pPr>
            <w:r>
              <w:rPr>
                <w:rFonts w:hint="eastAsia" w:ascii="微软雅黑" w:hAnsi="微软雅黑" w:eastAsia="微软雅黑" w:cs="微软雅黑"/>
                <w:b w:val="0"/>
                <w:color w:val="auto"/>
                <w:kern w:val="2"/>
                <w:sz w:val="21"/>
                <w:szCs w:val="21"/>
                <w:highlight w:val="none"/>
                <w:lang w:val="en-US" w:eastAsia="zh-CN" w:bidi="ar-SA"/>
              </w:rPr>
              <w:t>承诺</w:t>
            </w:r>
          </w:p>
        </w:tc>
        <w:tc>
          <w:tcPr>
            <w:tcW w:w="360" w:type="pct"/>
            <w:noWrap w:val="0"/>
            <w:vAlign w:val="center"/>
          </w:tcPr>
          <w:p w14:paraId="07194A14">
            <w:pPr>
              <w:keepNext w:val="0"/>
              <w:keepLines w:val="0"/>
              <w:pageBreakBefore w:val="0"/>
              <w:kinsoku/>
              <w:wordWrap/>
              <w:overflowPunct/>
              <w:topLinePunct w:val="0"/>
              <w:bidi w:val="0"/>
              <w:adjustRightInd w:val="0"/>
              <w:snapToGrid w:val="0"/>
              <w:spacing w:line="320" w:lineRule="exact"/>
              <w:jc w:val="center"/>
              <w:textAlignment w:val="auto"/>
              <w:rPr>
                <w:rFonts w:hint="default" w:ascii="微软雅黑" w:hAnsi="微软雅黑" w:eastAsia="微软雅黑" w:cs="微软雅黑"/>
                <w:b w:val="0"/>
                <w:color w:val="auto"/>
                <w:kern w:val="2"/>
                <w:sz w:val="21"/>
                <w:szCs w:val="21"/>
                <w:highlight w:val="none"/>
                <w:lang w:val="en-US" w:eastAsia="zh-CN" w:bidi="ar-SA"/>
              </w:rPr>
            </w:pPr>
            <w:r>
              <w:rPr>
                <w:rFonts w:hint="eastAsia" w:ascii="微软雅黑" w:hAnsi="微软雅黑" w:eastAsia="微软雅黑" w:cs="微软雅黑"/>
                <w:b w:val="0"/>
                <w:color w:val="auto"/>
                <w:kern w:val="2"/>
                <w:sz w:val="21"/>
                <w:szCs w:val="21"/>
                <w:highlight w:val="none"/>
                <w:lang w:val="en-US" w:eastAsia="zh-CN" w:bidi="ar-SA"/>
              </w:rPr>
              <w:t>2分</w:t>
            </w:r>
          </w:p>
        </w:tc>
        <w:tc>
          <w:tcPr>
            <w:tcW w:w="3623" w:type="pct"/>
            <w:noWrap w:val="0"/>
            <w:vAlign w:val="center"/>
          </w:tcPr>
          <w:p w14:paraId="196F321F">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质保期内出现质量问题，供货方在接到通知后1小时内作出响应，2小时内到场得2分，没有不得分。</w:t>
            </w:r>
          </w:p>
        </w:tc>
      </w:tr>
      <w:tr w14:paraId="5E68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368" w:type="pct"/>
            <w:vMerge w:val="continue"/>
            <w:noWrap w:val="0"/>
            <w:vAlign w:val="center"/>
          </w:tcPr>
          <w:p w14:paraId="28B7B03F">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lang w:eastAsia="zh-CN"/>
              </w:rPr>
            </w:pPr>
          </w:p>
        </w:tc>
        <w:tc>
          <w:tcPr>
            <w:tcW w:w="646" w:type="pct"/>
            <w:noWrap w:val="0"/>
            <w:vAlign w:val="center"/>
          </w:tcPr>
          <w:p w14:paraId="05BA7C83">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b w:val="0"/>
                <w:color w:val="auto"/>
                <w:kern w:val="2"/>
                <w:sz w:val="21"/>
                <w:szCs w:val="21"/>
                <w:highlight w:val="none"/>
                <w:lang w:val="en-US" w:eastAsia="zh-CN" w:bidi="ar-SA"/>
              </w:rPr>
            </w:pPr>
            <w:r>
              <w:rPr>
                <w:rFonts w:hint="default" w:ascii="微软雅黑" w:hAnsi="微软雅黑" w:eastAsia="微软雅黑" w:cs="微软雅黑"/>
                <w:b w:val="0"/>
                <w:color w:val="auto"/>
                <w:kern w:val="2"/>
                <w:sz w:val="21"/>
                <w:szCs w:val="21"/>
                <w:highlight w:val="none"/>
                <w:lang w:val="en-US" w:eastAsia="zh-CN" w:bidi="ar-SA"/>
              </w:rPr>
              <w:t>售后服务</w:t>
            </w:r>
            <w:r>
              <w:rPr>
                <w:rFonts w:hint="eastAsia" w:ascii="微软雅黑" w:hAnsi="微软雅黑" w:eastAsia="微软雅黑" w:cs="微软雅黑"/>
                <w:b w:val="0"/>
                <w:color w:val="auto"/>
                <w:kern w:val="2"/>
                <w:sz w:val="21"/>
                <w:szCs w:val="21"/>
                <w:highlight w:val="none"/>
                <w:lang w:val="en-US" w:eastAsia="zh-CN" w:bidi="ar-SA"/>
              </w:rPr>
              <w:t>方案</w:t>
            </w:r>
          </w:p>
        </w:tc>
        <w:tc>
          <w:tcPr>
            <w:tcW w:w="360" w:type="pct"/>
            <w:noWrap w:val="0"/>
            <w:vAlign w:val="center"/>
          </w:tcPr>
          <w:p w14:paraId="7B29F250">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b w:val="0"/>
                <w:color w:val="auto"/>
                <w:kern w:val="2"/>
                <w:sz w:val="21"/>
                <w:szCs w:val="21"/>
                <w:highlight w:val="none"/>
                <w:lang w:val="en-US" w:eastAsia="zh-CN" w:bidi="ar-SA"/>
              </w:rPr>
            </w:pPr>
            <w:r>
              <w:rPr>
                <w:rFonts w:hint="eastAsia" w:ascii="微软雅黑" w:hAnsi="微软雅黑" w:eastAsia="微软雅黑" w:cs="微软雅黑"/>
                <w:b w:val="0"/>
                <w:color w:val="auto"/>
                <w:kern w:val="2"/>
                <w:sz w:val="21"/>
                <w:szCs w:val="21"/>
                <w:highlight w:val="none"/>
                <w:lang w:val="en-US" w:eastAsia="zh-CN" w:bidi="ar-SA"/>
              </w:rPr>
              <w:t>8</w:t>
            </w:r>
            <w:r>
              <w:rPr>
                <w:rFonts w:hint="default" w:ascii="微软雅黑" w:hAnsi="微软雅黑" w:eastAsia="微软雅黑" w:cs="微软雅黑"/>
                <w:b w:val="0"/>
                <w:color w:val="auto"/>
                <w:kern w:val="2"/>
                <w:sz w:val="21"/>
                <w:szCs w:val="21"/>
                <w:highlight w:val="none"/>
                <w:lang w:val="en-US" w:eastAsia="zh-CN" w:bidi="ar-SA"/>
              </w:rPr>
              <w:t>分</w:t>
            </w:r>
          </w:p>
        </w:tc>
        <w:tc>
          <w:tcPr>
            <w:tcW w:w="3623" w:type="pct"/>
            <w:noWrap w:val="0"/>
            <w:vAlign w:val="center"/>
          </w:tcPr>
          <w:p w14:paraId="7EDCEE62">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根据投标人针对本项目编制详细的</w:t>
            </w:r>
            <w:r>
              <w:rPr>
                <w:rFonts w:hint="default" w:ascii="微软雅黑" w:hAnsi="微软雅黑" w:eastAsia="微软雅黑" w:cs="微软雅黑"/>
                <w:b w:val="0"/>
                <w:color w:val="auto"/>
                <w:kern w:val="2"/>
                <w:sz w:val="21"/>
                <w:szCs w:val="21"/>
                <w:highlight w:val="none"/>
                <w:lang w:val="en-US" w:eastAsia="zh-CN" w:bidi="ar-SA"/>
              </w:rPr>
              <w:t>售后服务</w:t>
            </w:r>
            <w:r>
              <w:rPr>
                <w:rFonts w:hint="eastAsia" w:ascii="微软雅黑" w:hAnsi="微软雅黑" w:eastAsia="微软雅黑" w:cs="微软雅黑"/>
                <w:b w:val="0"/>
                <w:color w:val="auto"/>
                <w:kern w:val="2"/>
                <w:sz w:val="21"/>
                <w:szCs w:val="21"/>
                <w:highlight w:val="none"/>
                <w:lang w:val="en-US" w:eastAsia="zh-CN" w:bidi="ar-SA"/>
              </w:rPr>
              <w:t>方案</w:t>
            </w:r>
            <w:r>
              <w:rPr>
                <w:rFonts w:hint="eastAsia" w:ascii="微软雅黑" w:hAnsi="微软雅黑" w:eastAsia="微软雅黑" w:cs="微软雅黑"/>
                <w:b w:val="0"/>
                <w:bCs w:val="0"/>
                <w:iCs/>
                <w:color w:val="auto"/>
                <w:kern w:val="2"/>
                <w:sz w:val="21"/>
                <w:szCs w:val="21"/>
                <w:highlight w:val="none"/>
                <w:u w:val="none"/>
                <w:lang w:val="en-US" w:eastAsia="zh-CN" w:bidi="ar-SA"/>
              </w:rPr>
              <w:t>：包括但不限于：</w:t>
            </w:r>
            <w:r>
              <w:rPr>
                <w:rFonts w:hint="default" w:ascii="Calibri" w:hAnsi="Calibri" w:eastAsia="微软雅黑" w:cs="Calibri"/>
                <w:b w:val="0"/>
                <w:bCs w:val="0"/>
                <w:iCs/>
                <w:color w:val="auto"/>
                <w:kern w:val="2"/>
                <w:sz w:val="21"/>
                <w:szCs w:val="21"/>
                <w:highlight w:val="none"/>
                <w:u w:val="none"/>
                <w:lang w:val="en-US" w:eastAsia="zh-CN" w:bidi="ar-SA"/>
              </w:rPr>
              <w:t>①</w:t>
            </w:r>
            <w:r>
              <w:rPr>
                <w:rFonts w:hint="eastAsia" w:ascii="微软雅黑" w:hAnsi="微软雅黑" w:eastAsia="微软雅黑" w:cs="微软雅黑"/>
                <w:b w:val="0"/>
                <w:bCs w:val="0"/>
                <w:iCs/>
                <w:color w:val="auto"/>
                <w:kern w:val="2"/>
                <w:sz w:val="21"/>
                <w:szCs w:val="21"/>
                <w:highlight w:val="none"/>
                <w:u w:val="none"/>
                <w:lang w:val="en-US" w:eastAsia="zh-CN" w:bidi="ar-SA"/>
              </w:rPr>
              <w:t>售后服务承诺；</w:t>
            </w:r>
            <w:r>
              <w:rPr>
                <w:rFonts w:hint="default" w:ascii="Calibri" w:hAnsi="Calibri" w:eastAsia="微软雅黑" w:cs="Calibri"/>
                <w:b w:val="0"/>
                <w:bCs w:val="0"/>
                <w:iCs/>
                <w:color w:val="auto"/>
                <w:kern w:val="2"/>
                <w:sz w:val="21"/>
                <w:szCs w:val="21"/>
                <w:highlight w:val="none"/>
                <w:u w:val="none"/>
                <w:lang w:val="en-US" w:eastAsia="zh-CN" w:bidi="ar-SA"/>
              </w:rPr>
              <w:t>②</w:t>
            </w:r>
            <w:r>
              <w:rPr>
                <w:rFonts w:hint="eastAsia" w:ascii="微软雅黑" w:hAnsi="微软雅黑" w:eastAsia="微软雅黑" w:cs="微软雅黑"/>
                <w:b w:val="0"/>
                <w:bCs w:val="0"/>
                <w:iCs/>
                <w:color w:val="auto"/>
                <w:kern w:val="2"/>
                <w:sz w:val="21"/>
                <w:szCs w:val="21"/>
                <w:highlight w:val="none"/>
                <w:u w:val="none"/>
                <w:lang w:val="en-US" w:eastAsia="zh-CN" w:bidi="ar-SA"/>
              </w:rPr>
              <w:t>维保服务体系；</w:t>
            </w:r>
            <w:r>
              <w:rPr>
                <w:rFonts w:hint="default" w:ascii="Calibri" w:hAnsi="Calibri" w:eastAsia="微软雅黑" w:cs="Calibri"/>
                <w:b w:val="0"/>
                <w:bCs w:val="0"/>
                <w:iCs/>
                <w:color w:val="auto"/>
                <w:kern w:val="2"/>
                <w:sz w:val="21"/>
                <w:szCs w:val="21"/>
                <w:highlight w:val="none"/>
                <w:u w:val="none"/>
                <w:lang w:val="en-US" w:eastAsia="zh-CN" w:bidi="ar-SA"/>
              </w:rPr>
              <w:t>③</w:t>
            </w:r>
            <w:r>
              <w:rPr>
                <w:rFonts w:hint="eastAsia" w:ascii="微软雅黑" w:hAnsi="微软雅黑" w:eastAsia="微软雅黑" w:cs="微软雅黑"/>
                <w:b w:val="0"/>
                <w:bCs w:val="0"/>
                <w:iCs/>
                <w:color w:val="auto"/>
                <w:kern w:val="2"/>
                <w:sz w:val="21"/>
                <w:szCs w:val="21"/>
                <w:highlight w:val="none"/>
                <w:u w:val="none"/>
                <w:lang w:val="en-US" w:eastAsia="zh-CN" w:bidi="ar-SA"/>
              </w:rPr>
              <w:t>配件供应保障；④数据管理与升级；</w:t>
            </w:r>
          </w:p>
          <w:p w14:paraId="28B52771">
            <w:pPr>
              <w:pStyle w:val="108"/>
              <w:keepNext w:val="0"/>
              <w:keepLines w:val="0"/>
              <w:pageBreakBefore w:val="0"/>
              <w:kinsoku/>
              <w:wordWrap/>
              <w:overflowPunct/>
              <w:topLinePunct w:val="0"/>
              <w:bidi w:val="0"/>
              <w:adjustRightInd w:val="0"/>
              <w:snapToGrid w:val="0"/>
              <w:spacing w:line="440" w:lineRule="exact"/>
              <w:ind w:firstLine="0" w:firstLineChars="0"/>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以上方案内容均提供的得8分，每缺一项扣2分，虽有项但内容存在缺陷的每项扣1分；未提供项目实施方案的，此项不得分。</w:t>
            </w:r>
          </w:p>
          <w:p w14:paraId="4107237F">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0CAC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68" w:type="pct"/>
            <w:vMerge w:val="continue"/>
            <w:noWrap w:val="0"/>
            <w:vAlign w:val="center"/>
          </w:tcPr>
          <w:p w14:paraId="1C03299B">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lang w:eastAsia="zh-CN"/>
              </w:rPr>
            </w:pPr>
          </w:p>
        </w:tc>
        <w:tc>
          <w:tcPr>
            <w:tcW w:w="646" w:type="pct"/>
            <w:noWrap w:val="0"/>
            <w:vAlign w:val="center"/>
          </w:tcPr>
          <w:p w14:paraId="35D215E1">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b w:val="0"/>
                <w:color w:val="auto"/>
                <w:kern w:val="2"/>
                <w:sz w:val="21"/>
                <w:szCs w:val="21"/>
                <w:highlight w:val="none"/>
                <w:lang w:val="en-US" w:eastAsia="zh-CN" w:bidi="ar-SA"/>
              </w:rPr>
            </w:pPr>
            <w:r>
              <w:rPr>
                <w:rFonts w:hint="eastAsia" w:ascii="微软雅黑" w:hAnsi="微软雅黑" w:eastAsia="微软雅黑" w:cs="微软雅黑"/>
                <w:b w:val="0"/>
                <w:color w:val="auto"/>
                <w:kern w:val="2"/>
                <w:sz w:val="21"/>
                <w:szCs w:val="21"/>
                <w:highlight w:val="none"/>
                <w:lang w:val="en-US" w:eastAsia="zh-CN" w:bidi="ar-SA"/>
              </w:rPr>
              <w:t>客车召回</w:t>
            </w:r>
          </w:p>
        </w:tc>
        <w:tc>
          <w:tcPr>
            <w:tcW w:w="360" w:type="pct"/>
            <w:noWrap w:val="0"/>
            <w:vAlign w:val="center"/>
          </w:tcPr>
          <w:p w14:paraId="17D76609">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b w:val="0"/>
                <w:color w:val="auto"/>
                <w:kern w:val="2"/>
                <w:sz w:val="21"/>
                <w:szCs w:val="21"/>
                <w:highlight w:val="none"/>
                <w:lang w:val="en-US" w:eastAsia="zh-CN" w:bidi="ar-SA"/>
              </w:rPr>
            </w:pPr>
            <w:r>
              <w:rPr>
                <w:rFonts w:hint="eastAsia" w:ascii="微软雅黑" w:hAnsi="微软雅黑" w:eastAsia="微软雅黑" w:cs="微软雅黑"/>
                <w:b w:val="0"/>
                <w:color w:val="auto"/>
                <w:kern w:val="2"/>
                <w:sz w:val="21"/>
                <w:szCs w:val="21"/>
                <w:highlight w:val="none"/>
                <w:lang w:val="en-US" w:eastAsia="zh-CN" w:bidi="ar-SA"/>
              </w:rPr>
              <w:t>3分</w:t>
            </w:r>
          </w:p>
        </w:tc>
        <w:tc>
          <w:tcPr>
            <w:tcW w:w="3623" w:type="pct"/>
            <w:noWrap w:val="0"/>
            <w:vAlign w:val="center"/>
          </w:tcPr>
          <w:p w14:paraId="771CBBAD">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五年内0起客车召回得3分，1起及以上得0分。</w:t>
            </w:r>
          </w:p>
          <w:p w14:paraId="66BBD40B">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微软雅黑" w:hAnsi="微软雅黑" w:eastAsia="微软雅黑" w:cs="微软雅黑"/>
                <w:b w:val="0"/>
                <w:bCs w:val="0"/>
                <w:iCs/>
                <w:color w:val="auto"/>
                <w:kern w:val="2"/>
                <w:sz w:val="21"/>
                <w:szCs w:val="21"/>
                <w:highlight w:val="none"/>
                <w:u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评审依据：以国家市场监督管理总局公布为准。</w:t>
            </w:r>
          </w:p>
        </w:tc>
      </w:tr>
      <w:tr w14:paraId="25AD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restart"/>
            <w:noWrap w:val="0"/>
            <w:vAlign w:val="center"/>
          </w:tcPr>
          <w:p w14:paraId="4BE6824F">
            <w:pPr>
              <w:keepNext w:val="0"/>
              <w:keepLines w:val="0"/>
              <w:pageBreakBefore w:val="0"/>
              <w:kinsoku/>
              <w:wordWrap/>
              <w:overflowPunct/>
              <w:topLinePunct w:val="0"/>
              <w:bidi w:val="0"/>
              <w:adjustRightInd w:val="0"/>
              <w:snapToGrid w:val="0"/>
              <w:spacing w:line="320" w:lineRule="exact"/>
              <w:jc w:val="center"/>
              <w:textAlignment w:val="auto"/>
              <w:rPr>
                <w:rFonts w:hint="eastAsia" w:ascii="微软雅黑" w:hAnsi="微软雅黑" w:eastAsia="微软雅黑" w:cs="微软雅黑"/>
                <w:color w:val="auto"/>
                <w:kern w:val="1"/>
                <w:sz w:val="21"/>
                <w:szCs w:val="21"/>
                <w:highlight w:val="none"/>
                <w:lang w:eastAsia="zh-CN"/>
              </w:rPr>
            </w:pPr>
            <w:r>
              <w:rPr>
                <w:rFonts w:hint="eastAsia" w:ascii="微软雅黑" w:hAnsi="微软雅黑" w:eastAsia="微软雅黑" w:cs="微软雅黑"/>
                <w:color w:val="auto"/>
                <w:kern w:val="1"/>
                <w:sz w:val="21"/>
                <w:szCs w:val="21"/>
                <w:highlight w:val="none"/>
              </w:rPr>
              <w:t>技术</w:t>
            </w:r>
            <w:r>
              <w:rPr>
                <w:rFonts w:hint="eastAsia" w:ascii="微软雅黑" w:hAnsi="微软雅黑" w:eastAsia="微软雅黑" w:cs="微软雅黑"/>
                <w:color w:val="auto"/>
                <w:kern w:val="1"/>
                <w:sz w:val="21"/>
                <w:szCs w:val="21"/>
                <w:highlight w:val="none"/>
                <w:lang w:eastAsia="zh-CN"/>
              </w:rPr>
              <w:t>部分（</w:t>
            </w:r>
            <w:r>
              <w:rPr>
                <w:rFonts w:hint="eastAsia" w:ascii="微软雅黑" w:hAnsi="微软雅黑" w:eastAsia="微软雅黑" w:cs="微软雅黑"/>
                <w:color w:val="auto"/>
                <w:kern w:val="1"/>
                <w:sz w:val="21"/>
                <w:szCs w:val="21"/>
                <w:highlight w:val="none"/>
                <w:lang w:val="en-US" w:eastAsia="zh-CN"/>
              </w:rPr>
              <w:t>41</w:t>
            </w:r>
            <w:r>
              <w:rPr>
                <w:rFonts w:hint="eastAsia" w:ascii="微软雅黑" w:hAnsi="微软雅黑" w:eastAsia="微软雅黑" w:cs="微软雅黑"/>
                <w:color w:val="auto"/>
                <w:kern w:val="1"/>
                <w:sz w:val="21"/>
                <w:szCs w:val="21"/>
                <w:highlight w:val="none"/>
                <w:lang w:eastAsia="zh-CN"/>
              </w:rPr>
              <w:t>）</w:t>
            </w:r>
          </w:p>
          <w:p w14:paraId="4DD26AC6">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35CD12A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rPr>
              <w:t>整体要求</w:t>
            </w:r>
          </w:p>
        </w:tc>
        <w:tc>
          <w:tcPr>
            <w:tcW w:w="360" w:type="pct"/>
            <w:noWrap w:val="0"/>
            <w:vAlign w:val="center"/>
          </w:tcPr>
          <w:p w14:paraId="1E4CB92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分</w:t>
            </w:r>
          </w:p>
        </w:tc>
        <w:tc>
          <w:tcPr>
            <w:tcW w:w="3623" w:type="pct"/>
            <w:noWrap w:val="0"/>
            <w:vAlign w:val="center"/>
          </w:tcPr>
          <w:p w14:paraId="260E0861">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根据投标车型对技术配置要求的响应程度打分，满分</w:t>
            </w:r>
            <w:r>
              <w:rPr>
                <w:rFonts w:hint="eastAsia" w:ascii="微软雅黑" w:hAnsi="微软雅黑" w:eastAsia="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分。</w:t>
            </w:r>
          </w:p>
          <w:p w14:paraId="69EEB67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满足招标文件要求的全部技术指标得</w:t>
            </w:r>
            <w:r>
              <w:rPr>
                <w:rFonts w:hint="eastAsia" w:ascii="微软雅黑" w:hAnsi="微软雅黑" w:eastAsia="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分；</w:t>
            </w:r>
          </w:p>
          <w:p w14:paraId="7404A4B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rPr>
              <w:t>有负偏离的，有一项扣1分，扣完为止。</w:t>
            </w:r>
          </w:p>
        </w:tc>
      </w:tr>
      <w:tr w14:paraId="6581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noWrap w:val="0"/>
            <w:vAlign w:val="center"/>
          </w:tcPr>
          <w:p w14:paraId="4418539A">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7D657A4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rPr>
              <w:t>车辆技术先进性</w:t>
            </w:r>
          </w:p>
        </w:tc>
        <w:tc>
          <w:tcPr>
            <w:tcW w:w="360" w:type="pct"/>
            <w:noWrap w:val="0"/>
            <w:vAlign w:val="center"/>
          </w:tcPr>
          <w:p w14:paraId="07B9BE5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分</w:t>
            </w:r>
          </w:p>
        </w:tc>
        <w:tc>
          <w:tcPr>
            <w:tcW w:w="3623" w:type="pct"/>
            <w:noWrap w:val="0"/>
            <w:vAlign w:val="center"/>
          </w:tcPr>
          <w:p w14:paraId="1E61526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根据投标企业所投车辆核心部件（包括车身、电池、电机、电控、驱动系统）的技术先进性和可靠性打分。</w:t>
            </w:r>
          </w:p>
          <w:p w14:paraId="6EA8B6D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车身结构稳定可靠，电池、电机、电控的技术先进，驱动系统结构合理、性能稳定可靠，三项全符合的得4分；</w:t>
            </w:r>
          </w:p>
          <w:p w14:paraId="685749C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车身结构稳定可靠，电池、电机、电控的技术先进，驱动系统结构合理、性能稳定可靠，符合两项的得2分；</w:t>
            </w:r>
          </w:p>
          <w:p w14:paraId="7F2EDD5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车身结构稳定可靠，电池、电机、电控的技术先进，驱动系统结构合理、性能稳定可靠，只符合一项或都不符合的得0分。</w:t>
            </w:r>
          </w:p>
        </w:tc>
      </w:tr>
      <w:tr w14:paraId="2F70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68" w:type="pct"/>
            <w:vMerge w:val="continue"/>
            <w:noWrap w:val="0"/>
            <w:vAlign w:val="center"/>
          </w:tcPr>
          <w:p w14:paraId="15B14F9E">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1DA9119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rPr>
              <w:t>车辆外观</w:t>
            </w:r>
          </w:p>
        </w:tc>
        <w:tc>
          <w:tcPr>
            <w:tcW w:w="360" w:type="pct"/>
            <w:noWrap w:val="0"/>
            <w:vAlign w:val="center"/>
          </w:tcPr>
          <w:p w14:paraId="3B3D6F3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rPr>
              <w:t>3分</w:t>
            </w:r>
          </w:p>
        </w:tc>
        <w:tc>
          <w:tcPr>
            <w:tcW w:w="3623" w:type="pct"/>
            <w:noWrap w:val="0"/>
            <w:vAlign w:val="center"/>
          </w:tcPr>
          <w:p w14:paraId="77B3E43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根据供应商提供的彩色高清车型图片（含45度角整体图片、头面、尾部、左侧、右侧、车内），评委根据外观设计、美观、大方及做工精细得3分；外观设计、美观、大方及做工一般得2分；外观设计普通且做工粗糙得1分；未提供不得分。</w:t>
            </w:r>
          </w:p>
        </w:tc>
      </w:tr>
      <w:tr w14:paraId="6A00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noWrap w:val="0"/>
            <w:vAlign w:val="center"/>
          </w:tcPr>
          <w:p w14:paraId="227D78FE">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76FEAC1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悬架</w:t>
            </w:r>
          </w:p>
        </w:tc>
        <w:tc>
          <w:tcPr>
            <w:tcW w:w="360" w:type="pct"/>
            <w:noWrap w:val="0"/>
            <w:vAlign w:val="center"/>
          </w:tcPr>
          <w:p w14:paraId="1B5799A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3分</w:t>
            </w:r>
          </w:p>
        </w:tc>
        <w:tc>
          <w:tcPr>
            <w:tcW w:w="3623" w:type="pct"/>
            <w:noWrap w:val="0"/>
            <w:vAlign w:val="center"/>
          </w:tcPr>
          <w:p w14:paraId="24D21FF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根据投标车型悬架配置的响应程度打分，</w:t>
            </w:r>
            <w:r>
              <w:rPr>
                <w:rFonts w:hint="eastAsia" w:ascii="微软雅黑" w:hAnsi="微软雅黑" w:eastAsia="微软雅黑" w:cs="微软雅黑"/>
                <w:color w:val="auto"/>
                <w:sz w:val="21"/>
                <w:szCs w:val="21"/>
              </w:rPr>
              <w:t>气囊悬架系统</w:t>
            </w:r>
            <w:r>
              <w:rPr>
                <w:rFonts w:hint="eastAsia" w:ascii="微软雅黑" w:hAnsi="微软雅黑" w:eastAsia="微软雅黑" w:cs="微软雅黑"/>
                <w:color w:val="auto"/>
                <w:sz w:val="21"/>
                <w:szCs w:val="21"/>
                <w:lang w:eastAsia="zh-CN"/>
              </w:rPr>
              <w:t>的</w:t>
            </w:r>
            <w:r>
              <w:rPr>
                <w:rFonts w:hint="eastAsia" w:ascii="微软雅黑" w:hAnsi="微软雅黑" w:eastAsia="微软雅黑" w:cs="微软雅黑"/>
                <w:color w:val="auto"/>
                <w:kern w:val="2"/>
                <w:sz w:val="21"/>
                <w:szCs w:val="21"/>
                <w:highlight w:val="none"/>
                <w:lang w:val="en-US" w:eastAsia="zh-CN" w:bidi="ar-SA"/>
              </w:rPr>
              <w:t>得3分，</w:t>
            </w:r>
            <w:r>
              <w:rPr>
                <w:rFonts w:hint="eastAsia" w:ascii="微软雅黑" w:hAnsi="微软雅黑" w:eastAsia="微软雅黑" w:cs="微软雅黑"/>
                <w:color w:val="auto"/>
                <w:sz w:val="21"/>
                <w:szCs w:val="21"/>
              </w:rPr>
              <w:t>复合悬架系统</w:t>
            </w:r>
            <w:r>
              <w:rPr>
                <w:rFonts w:hint="eastAsia" w:ascii="微软雅黑" w:hAnsi="微软雅黑" w:eastAsia="微软雅黑" w:cs="微软雅黑"/>
                <w:color w:val="auto"/>
                <w:sz w:val="21"/>
                <w:szCs w:val="21"/>
                <w:lang w:eastAsia="zh-CN"/>
              </w:rPr>
              <w:t>的</w:t>
            </w:r>
            <w:r>
              <w:rPr>
                <w:rFonts w:hint="eastAsia" w:ascii="微软雅黑" w:hAnsi="微软雅黑" w:eastAsia="微软雅黑" w:cs="微软雅黑"/>
                <w:color w:val="auto"/>
                <w:kern w:val="2"/>
                <w:sz w:val="21"/>
                <w:szCs w:val="21"/>
                <w:highlight w:val="none"/>
                <w:lang w:val="en-US" w:eastAsia="zh-CN" w:bidi="ar-SA"/>
              </w:rPr>
              <w:t>得1分，其他悬架不得分。</w:t>
            </w:r>
          </w:p>
        </w:tc>
      </w:tr>
      <w:tr w14:paraId="7CBA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noWrap w:val="0"/>
            <w:vAlign w:val="center"/>
          </w:tcPr>
          <w:p w14:paraId="0FBBABA6">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4C99226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座椅数量</w:t>
            </w:r>
          </w:p>
        </w:tc>
        <w:tc>
          <w:tcPr>
            <w:tcW w:w="360" w:type="pct"/>
            <w:noWrap w:val="0"/>
            <w:vAlign w:val="center"/>
          </w:tcPr>
          <w:p w14:paraId="25A22CE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分</w:t>
            </w:r>
          </w:p>
        </w:tc>
        <w:tc>
          <w:tcPr>
            <w:tcW w:w="3623" w:type="pct"/>
            <w:noWrap w:val="0"/>
            <w:vAlign w:val="center"/>
          </w:tcPr>
          <w:p w14:paraId="54624A2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根据投标人所提供车型布置座椅数量打分，可布置28个及以上座椅的得3分，每少布置一个座位扣1分，扣完为止。</w:t>
            </w:r>
          </w:p>
          <w:p w14:paraId="32E3889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评审依据：</w:t>
            </w:r>
            <w:r>
              <w:rPr>
                <w:rFonts w:hint="eastAsia" w:ascii="微软雅黑" w:hAnsi="微软雅黑" w:eastAsia="微软雅黑" w:cs="微软雅黑"/>
                <w:color w:val="auto"/>
                <w:kern w:val="2"/>
                <w:sz w:val="21"/>
                <w:szCs w:val="21"/>
                <w:highlight w:val="none"/>
                <w:lang w:val="en-US" w:eastAsia="zh-CN" w:bidi="ar-SA"/>
              </w:rPr>
              <w:t>依据车辆公告所示的最大座椅布置数量评定。</w:t>
            </w:r>
          </w:p>
        </w:tc>
      </w:tr>
      <w:tr w14:paraId="23F6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noWrap w:val="0"/>
            <w:vAlign w:val="center"/>
          </w:tcPr>
          <w:p w14:paraId="64DB5E7B">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743BD14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防护等级</w:t>
            </w:r>
          </w:p>
        </w:tc>
        <w:tc>
          <w:tcPr>
            <w:tcW w:w="360" w:type="pct"/>
            <w:noWrap w:val="0"/>
            <w:vAlign w:val="center"/>
          </w:tcPr>
          <w:p w14:paraId="4026DD4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3分</w:t>
            </w:r>
          </w:p>
        </w:tc>
        <w:tc>
          <w:tcPr>
            <w:tcW w:w="3623" w:type="pct"/>
            <w:noWrap w:val="0"/>
            <w:vAlign w:val="center"/>
          </w:tcPr>
          <w:p w14:paraId="478B3F3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电池防护等级≥IP68的得1分；电机防护等级为≥IP69的得1分，电控防护等级为≥IP69的得1分；其它不得分。</w:t>
            </w:r>
          </w:p>
          <w:p w14:paraId="3CC88F1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评审依据：</w:t>
            </w:r>
            <w:r>
              <w:rPr>
                <w:rFonts w:hint="eastAsia" w:ascii="微软雅黑" w:hAnsi="微软雅黑" w:eastAsia="微软雅黑" w:cs="微软雅黑"/>
                <w:color w:val="auto"/>
                <w:kern w:val="2"/>
                <w:sz w:val="21"/>
                <w:szCs w:val="21"/>
                <w:highlight w:val="none"/>
                <w:lang w:val="en-US" w:eastAsia="zh-CN" w:bidi="ar-SA"/>
              </w:rPr>
              <w:t>提供第三方检测报告加盖投标供应商公章。</w:t>
            </w:r>
          </w:p>
        </w:tc>
      </w:tr>
      <w:tr w14:paraId="04A2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noWrap w:val="0"/>
            <w:vAlign w:val="center"/>
          </w:tcPr>
          <w:p w14:paraId="3CBCE0CA">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0929F54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驱动电机型式</w:t>
            </w:r>
          </w:p>
        </w:tc>
        <w:tc>
          <w:tcPr>
            <w:tcW w:w="360" w:type="pct"/>
            <w:noWrap w:val="0"/>
            <w:vAlign w:val="center"/>
          </w:tcPr>
          <w:p w14:paraId="1D44D96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3分</w:t>
            </w:r>
          </w:p>
        </w:tc>
        <w:tc>
          <w:tcPr>
            <w:tcW w:w="3623" w:type="pct"/>
            <w:noWrap w:val="0"/>
            <w:vAlign w:val="center"/>
          </w:tcPr>
          <w:p w14:paraId="554105E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采用单电机集成桥型式得3分；采用轮边双电机驱动得1分；其它不得分。</w:t>
            </w:r>
          </w:p>
          <w:p w14:paraId="082AC609">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评审依据：</w:t>
            </w:r>
            <w:r>
              <w:rPr>
                <w:rFonts w:hint="eastAsia" w:ascii="微软雅黑" w:hAnsi="微软雅黑" w:eastAsia="微软雅黑" w:cs="微软雅黑"/>
                <w:color w:val="auto"/>
                <w:kern w:val="2"/>
                <w:sz w:val="21"/>
                <w:szCs w:val="21"/>
                <w:highlight w:val="none"/>
                <w:lang w:val="en-US" w:eastAsia="zh-CN" w:bidi="ar-SA"/>
              </w:rPr>
              <w:t>需提供驱动系统结构图等证明文件，并提供车型公告或承诺（承诺所投车型在车辆交付要求的时间节点前获得‘车辆公告’)，未提供不得分。</w:t>
            </w:r>
          </w:p>
        </w:tc>
      </w:tr>
      <w:tr w14:paraId="275F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noWrap w:val="0"/>
            <w:vAlign w:val="center"/>
          </w:tcPr>
          <w:p w14:paraId="56B477A4">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57B5904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系统匹配性</w:t>
            </w:r>
          </w:p>
        </w:tc>
        <w:tc>
          <w:tcPr>
            <w:tcW w:w="360" w:type="pct"/>
            <w:noWrap w:val="0"/>
            <w:vAlign w:val="center"/>
          </w:tcPr>
          <w:p w14:paraId="70E79AC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3分</w:t>
            </w:r>
          </w:p>
        </w:tc>
        <w:tc>
          <w:tcPr>
            <w:tcW w:w="3623" w:type="pct"/>
            <w:noWrap w:val="0"/>
            <w:vAlign w:val="center"/>
          </w:tcPr>
          <w:p w14:paraId="7C305BD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为确保电池、电机及控制器系统的维修便利性及维修效率，其中电池（包括电池单体和系统）、电机和控制器采用同一品牌的得3分；电池单体、系统、电机和控制器采用两个品牌的得1分；其他情况不得分。</w:t>
            </w:r>
          </w:p>
          <w:p w14:paraId="130E30D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评审依据：</w:t>
            </w:r>
            <w:r>
              <w:rPr>
                <w:rFonts w:hint="eastAsia" w:ascii="微软雅黑" w:hAnsi="微软雅黑" w:eastAsia="微软雅黑" w:cs="微软雅黑"/>
                <w:color w:val="auto"/>
                <w:kern w:val="2"/>
                <w:sz w:val="21"/>
                <w:szCs w:val="21"/>
                <w:highlight w:val="none"/>
                <w:lang w:val="en-US" w:eastAsia="zh-CN" w:bidi="ar-SA"/>
              </w:rPr>
              <w:t>电池单体、电池系统、电机及控制器使用品牌需提供对应车型检测报告证明文件，需提供投标车型检测报告等证明材料或承诺中需体现所投车型对应的以上系统品牌，并承诺在车辆交付时提供相关证明及报告，未提供不得分。</w:t>
            </w:r>
          </w:p>
        </w:tc>
      </w:tr>
      <w:tr w14:paraId="2988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68" w:type="pct"/>
            <w:vMerge w:val="continue"/>
            <w:noWrap w:val="0"/>
            <w:vAlign w:val="center"/>
          </w:tcPr>
          <w:p w14:paraId="7EB6AA08">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64FEEDC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防腐工艺</w:t>
            </w:r>
          </w:p>
        </w:tc>
        <w:tc>
          <w:tcPr>
            <w:tcW w:w="360" w:type="pct"/>
            <w:noWrap w:val="0"/>
            <w:vAlign w:val="center"/>
          </w:tcPr>
          <w:p w14:paraId="35F502C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2分</w:t>
            </w:r>
          </w:p>
        </w:tc>
        <w:tc>
          <w:tcPr>
            <w:tcW w:w="3623" w:type="pct"/>
            <w:noWrap w:val="0"/>
            <w:vAlign w:val="center"/>
          </w:tcPr>
          <w:p w14:paraId="77B976E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根据车辆制造商的车辆防锈蚀技术工艺先进性进行评价打分:</w:t>
            </w:r>
          </w:p>
          <w:p w14:paraId="3D62F67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采用整车阴极电泳工艺得2分；其他工艺采用得1分；采用散件工艺得0分。</w:t>
            </w:r>
          </w:p>
          <w:p w14:paraId="4D4490C9">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评审依据：需提供整车阴极电泳工艺的检测报告或制造商承诺函。</w:t>
            </w:r>
          </w:p>
        </w:tc>
      </w:tr>
      <w:tr w14:paraId="738F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68" w:type="pct"/>
            <w:vMerge w:val="continue"/>
            <w:noWrap w:val="0"/>
            <w:vAlign w:val="center"/>
          </w:tcPr>
          <w:p w14:paraId="321C81B8">
            <w:pPr>
              <w:keepNext w:val="0"/>
              <w:keepLines w:val="0"/>
              <w:pageBreakBefore w:val="0"/>
              <w:kinsoku/>
              <w:wordWrap/>
              <w:overflowPunct/>
              <w:topLinePunct w:val="0"/>
              <w:bidi w:val="0"/>
              <w:adjustRightInd w:val="0"/>
              <w:snapToGrid w:val="0"/>
              <w:spacing w:line="320" w:lineRule="exact"/>
              <w:jc w:val="left"/>
              <w:textAlignment w:val="auto"/>
              <w:rPr>
                <w:rFonts w:hint="eastAsia" w:ascii="微软雅黑" w:hAnsi="微软雅黑" w:eastAsia="微软雅黑" w:cs="微软雅黑"/>
                <w:color w:val="auto"/>
                <w:kern w:val="1"/>
                <w:sz w:val="21"/>
                <w:szCs w:val="21"/>
                <w:highlight w:val="none"/>
              </w:rPr>
            </w:pPr>
          </w:p>
        </w:tc>
        <w:tc>
          <w:tcPr>
            <w:tcW w:w="646" w:type="pct"/>
            <w:noWrap w:val="0"/>
            <w:vAlign w:val="center"/>
          </w:tcPr>
          <w:p w14:paraId="54BD831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蓄电池智能充电</w:t>
            </w:r>
          </w:p>
        </w:tc>
        <w:tc>
          <w:tcPr>
            <w:tcW w:w="360" w:type="pct"/>
            <w:noWrap w:val="0"/>
            <w:vAlign w:val="center"/>
          </w:tcPr>
          <w:p w14:paraId="22DD487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2分</w:t>
            </w:r>
          </w:p>
        </w:tc>
        <w:tc>
          <w:tcPr>
            <w:tcW w:w="3623" w:type="pct"/>
            <w:noWrap w:val="0"/>
            <w:vAlign w:val="center"/>
          </w:tcPr>
          <w:p w14:paraId="60B66ED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为防止蓄电池亏电，不会出现因蓄电池亏电导致无法上电的问题，并能延长蓄电池使用寿命，具备低压蓄电池智能补电技术得2分；</w:t>
            </w:r>
          </w:p>
          <w:p w14:paraId="19168ED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微软雅黑" w:hAnsi="微软雅黑" w:eastAsia="微软雅黑" w:cs="微软雅黑"/>
                <w:b w:val="0"/>
                <w:bCs w:val="0"/>
                <w:iCs/>
                <w:color w:val="auto"/>
                <w:kern w:val="2"/>
                <w:sz w:val="21"/>
                <w:szCs w:val="21"/>
                <w:highlight w:val="none"/>
                <w:u w:val="none"/>
                <w:lang w:val="en-US" w:eastAsia="zh-CN" w:bidi="ar-SA"/>
              </w:rPr>
              <w:t>评审依据：</w:t>
            </w:r>
            <w:r>
              <w:rPr>
                <w:rFonts w:hint="eastAsia" w:ascii="微软雅黑" w:hAnsi="微软雅黑" w:eastAsia="微软雅黑" w:cs="微软雅黑"/>
                <w:color w:val="auto"/>
                <w:kern w:val="2"/>
                <w:sz w:val="21"/>
                <w:szCs w:val="21"/>
                <w:highlight w:val="none"/>
                <w:lang w:val="en-US" w:eastAsia="zh-CN" w:bidi="ar-SA"/>
              </w:rPr>
              <w:t>需提供技术专利或测试报告等证明材料。</w:t>
            </w:r>
          </w:p>
        </w:tc>
      </w:tr>
      <w:tr w14:paraId="2D7E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5000" w:type="pct"/>
            <w:gridSpan w:val="4"/>
            <w:noWrap w:val="0"/>
            <w:vAlign w:val="center"/>
          </w:tcPr>
          <w:p w14:paraId="724BD15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b/>
                <w:bCs/>
                <w:color w:val="auto"/>
                <w:spacing w:val="7"/>
                <w:sz w:val="21"/>
                <w:szCs w:val="21"/>
                <w:highlight w:val="none"/>
              </w:rPr>
              <w:t>注：评审得分合计</w:t>
            </w:r>
            <w:r>
              <w:rPr>
                <w:rFonts w:hint="eastAsia" w:ascii="微软雅黑" w:hAnsi="微软雅黑" w:eastAsia="微软雅黑" w:cs="微软雅黑"/>
                <w:color w:val="auto"/>
                <w:spacing w:val="-25"/>
                <w:sz w:val="21"/>
                <w:szCs w:val="21"/>
                <w:highlight w:val="none"/>
              </w:rPr>
              <w:t xml:space="preserve"> </w:t>
            </w:r>
            <w:r>
              <w:rPr>
                <w:rFonts w:hint="eastAsia" w:ascii="微软雅黑" w:hAnsi="微软雅黑" w:eastAsia="微软雅黑" w:cs="微软雅黑"/>
                <w:b/>
                <w:bCs/>
                <w:color w:val="auto"/>
                <w:spacing w:val="7"/>
                <w:sz w:val="21"/>
                <w:szCs w:val="21"/>
                <w:highlight w:val="none"/>
              </w:rPr>
              <w:t>100</w:t>
            </w:r>
            <w:r>
              <w:rPr>
                <w:rFonts w:hint="eastAsia" w:ascii="微软雅黑" w:hAnsi="微软雅黑" w:eastAsia="微软雅黑" w:cs="微软雅黑"/>
                <w:color w:val="auto"/>
                <w:spacing w:val="-33"/>
                <w:sz w:val="21"/>
                <w:szCs w:val="21"/>
                <w:highlight w:val="none"/>
              </w:rPr>
              <w:t xml:space="preserve"> </w:t>
            </w:r>
            <w:r>
              <w:rPr>
                <w:rFonts w:hint="eastAsia" w:ascii="微软雅黑" w:hAnsi="微软雅黑" w:eastAsia="微软雅黑" w:cs="微软雅黑"/>
                <w:b/>
                <w:bCs/>
                <w:color w:val="auto"/>
                <w:spacing w:val="7"/>
                <w:sz w:val="21"/>
                <w:szCs w:val="21"/>
                <w:highlight w:val="none"/>
              </w:rPr>
              <w:t>分，评分计算结果保留两位小数，</w:t>
            </w:r>
            <w:r>
              <w:rPr>
                <w:rFonts w:hint="eastAsia" w:ascii="微软雅黑" w:hAnsi="微软雅黑" w:eastAsia="微软雅黑" w:cs="微软雅黑"/>
                <w:b/>
                <w:bCs/>
                <w:color w:val="auto"/>
                <w:spacing w:val="6"/>
                <w:sz w:val="21"/>
                <w:szCs w:val="21"/>
                <w:highlight w:val="none"/>
              </w:rPr>
              <w:t>第三位小数四舍五入。</w:t>
            </w:r>
          </w:p>
        </w:tc>
      </w:tr>
      <w:bookmarkEnd w:id="517"/>
      <w:bookmarkEnd w:id="518"/>
    </w:tbl>
    <w:p w14:paraId="43EEFEB5">
      <w:pPr>
        <w:keepNext w:val="0"/>
        <w:keepLines w:val="0"/>
        <w:pageBreakBefore w:val="0"/>
        <w:kinsoku/>
        <w:wordWrap/>
        <w:overflowPunct/>
        <w:topLinePunct w:val="0"/>
        <w:bidi w:val="0"/>
        <w:snapToGrid w:val="0"/>
        <w:spacing w:line="312" w:lineRule="auto"/>
        <w:ind w:right="-21"/>
        <w:jc w:val="both"/>
        <w:rPr>
          <w:rFonts w:hint="eastAsia" w:ascii="微软雅黑" w:hAnsi="微软雅黑" w:eastAsia="微软雅黑" w:cs="微软雅黑"/>
          <w:b/>
          <w:bCs/>
          <w:color w:val="auto"/>
          <w:sz w:val="21"/>
          <w:szCs w:val="21"/>
          <w:highlight w:val="none"/>
        </w:rPr>
      </w:pPr>
    </w:p>
    <w:p w14:paraId="0D74DA62">
      <w:pPr>
        <w:keepNext w:val="0"/>
        <w:keepLines w:val="0"/>
        <w:pageBreakBefore w:val="0"/>
        <w:numPr>
          <w:ilvl w:val="0"/>
          <w:numId w:val="0"/>
        </w:numPr>
        <w:kinsoku/>
        <w:wordWrap/>
        <w:overflowPunct/>
        <w:topLinePunct w:val="0"/>
        <w:bidi w:val="0"/>
        <w:snapToGrid w:val="0"/>
        <w:spacing w:line="312" w:lineRule="auto"/>
        <w:ind w:right="-21" w:rightChars="0"/>
        <w:jc w:val="both"/>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注：</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1</w:t>
      </w:r>
      <w:r>
        <w:rPr>
          <w:rFonts w:hint="eastAsia" w:ascii="微软雅黑" w:hAnsi="微软雅黑" w:eastAsia="微软雅黑" w:cs="微软雅黑"/>
          <w:b/>
          <w:bCs/>
          <w:color w:val="auto"/>
          <w:sz w:val="21"/>
          <w:szCs w:val="21"/>
          <w:highlight w:val="none"/>
          <w:lang w:eastAsia="zh-CN"/>
        </w:rPr>
        <w:t>）投标人</w:t>
      </w:r>
      <w:r>
        <w:rPr>
          <w:rFonts w:hint="eastAsia" w:ascii="微软雅黑" w:hAnsi="微软雅黑" w:eastAsia="微软雅黑" w:cs="微软雅黑"/>
          <w:b/>
          <w:bCs/>
          <w:color w:val="auto"/>
          <w:sz w:val="21"/>
          <w:szCs w:val="21"/>
          <w:highlight w:val="none"/>
        </w:rPr>
        <w:t>应提交与评价指标体系相关的各类有效资料。</w:t>
      </w:r>
    </w:p>
    <w:p w14:paraId="1B117055">
      <w:pPr>
        <w:keepNext w:val="0"/>
        <w:keepLines w:val="0"/>
        <w:pageBreakBefore w:val="0"/>
        <w:numPr>
          <w:ilvl w:val="0"/>
          <w:numId w:val="0"/>
        </w:numPr>
        <w:kinsoku/>
        <w:wordWrap/>
        <w:overflowPunct/>
        <w:topLinePunct w:val="0"/>
        <w:bidi w:val="0"/>
        <w:snapToGrid w:val="0"/>
        <w:spacing w:line="312" w:lineRule="auto"/>
        <w:ind w:right="-21" w:rightChars="0" w:firstLine="420" w:firstLineChars="200"/>
        <w:jc w:val="both"/>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2</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投标人最终得分等于技术部分</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商务部分、</w:t>
      </w:r>
      <w:r>
        <w:rPr>
          <w:rFonts w:hint="eastAsia" w:ascii="微软雅黑" w:hAnsi="微软雅黑" w:eastAsia="微软雅黑" w:cs="微软雅黑"/>
          <w:b/>
          <w:bCs/>
          <w:color w:val="auto"/>
          <w:sz w:val="21"/>
          <w:szCs w:val="21"/>
          <w:highlight w:val="none"/>
          <w:lang w:eastAsia="zh-CN"/>
        </w:rPr>
        <w:t>报价部分三</w:t>
      </w:r>
      <w:r>
        <w:rPr>
          <w:rFonts w:hint="eastAsia" w:ascii="微软雅黑" w:hAnsi="微软雅黑" w:eastAsia="微软雅黑" w:cs="微软雅黑"/>
          <w:b/>
          <w:bCs/>
          <w:color w:val="auto"/>
          <w:sz w:val="21"/>
          <w:szCs w:val="21"/>
          <w:highlight w:val="none"/>
        </w:rPr>
        <w:t>者得分之和。</w:t>
      </w:r>
    </w:p>
    <w:p w14:paraId="459D6909">
      <w:pPr>
        <w:keepNext w:val="0"/>
        <w:keepLines w:val="0"/>
        <w:pageBreakBefore w:val="0"/>
        <w:numPr>
          <w:ilvl w:val="0"/>
          <w:numId w:val="0"/>
        </w:numPr>
        <w:kinsoku/>
        <w:wordWrap/>
        <w:overflowPunct/>
        <w:topLinePunct w:val="0"/>
        <w:bidi w:val="0"/>
        <w:snapToGrid w:val="0"/>
        <w:spacing w:line="312" w:lineRule="auto"/>
        <w:ind w:right="-21" w:rightChars="0" w:firstLine="420" w:firstLineChars="200"/>
        <w:jc w:val="both"/>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3</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87令号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6CF2F1">
      <w:pPr>
        <w:pStyle w:val="2"/>
        <w:pageBreakBefore w:val="0"/>
        <w:kinsoku/>
        <w:wordWrap/>
        <w:overflowPunct/>
        <w:topLinePunct w:val="0"/>
        <w:bidi w:val="0"/>
        <w:snapToGrid w:val="0"/>
        <w:spacing w:line="312" w:lineRule="auto"/>
        <w:jc w:val="both"/>
        <w:outlineLvl w:val="9"/>
        <w:rPr>
          <w:rFonts w:hint="eastAsia" w:ascii="微软雅黑" w:hAnsi="微软雅黑" w:eastAsia="微软雅黑" w:cs="微软雅黑"/>
          <w:color w:val="auto"/>
          <w:sz w:val="22"/>
          <w:szCs w:val="22"/>
          <w:highlight w:val="none"/>
        </w:rPr>
        <w:sectPr>
          <w:pgSz w:w="11907" w:h="16840"/>
          <w:pgMar w:top="1440" w:right="1080" w:bottom="1440" w:left="1080" w:header="851" w:footer="992" w:gutter="0"/>
          <w:pgNumType w:fmt="decimal"/>
          <w:cols w:space="720" w:num="1"/>
          <w:docGrid w:linePitch="312" w:charSpace="0"/>
        </w:sectPr>
      </w:pPr>
    </w:p>
    <w:p w14:paraId="4E6B80FA">
      <w:pPr>
        <w:spacing w:line="240" w:lineRule="atLeast"/>
        <w:jc w:val="both"/>
        <w:rPr>
          <w:rFonts w:hint="eastAsia" w:ascii="宋体" w:hAnsi="宋体" w:eastAsia="宋体" w:cs="宋体"/>
          <w:b/>
          <w:bCs w:val="0"/>
          <w:color w:val="auto"/>
          <w:sz w:val="40"/>
          <w:szCs w:val="40"/>
          <w:highlight w:val="none"/>
          <w:lang w:eastAsia="zh-CN"/>
        </w:rPr>
      </w:pPr>
      <w:bookmarkStart w:id="520" w:name="_Toc19114"/>
    </w:p>
    <w:p w14:paraId="3D0159C1">
      <w:pPr>
        <w:spacing w:line="240" w:lineRule="atLeast"/>
        <w:jc w:val="center"/>
        <w:outlineLvl w:val="0"/>
        <w:rPr>
          <w:rFonts w:hint="default" w:ascii="微软雅黑" w:hAnsi="微软雅黑" w:eastAsia="微软雅黑" w:cs="微软雅黑"/>
          <w:b/>
          <w:color w:val="auto"/>
          <w:kern w:val="2"/>
          <w:sz w:val="36"/>
          <w:szCs w:val="36"/>
          <w:highlight w:val="none"/>
          <w:lang w:eastAsia="zh-CN" w:bidi="ar-SA"/>
        </w:rPr>
      </w:pPr>
      <w:r>
        <w:rPr>
          <w:rFonts w:hint="eastAsia" w:ascii="微软雅黑" w:hAnsi="微软雅黑" w:eastAsia="微软雅黑" w:cs="微软雅黑"/>
          <w:b/>
          <w:color w:val="auto"/>
          <w:kern w:val="2"/>
          <w:sz w:val="40"/>
          <w:szCs w:val="40"/>
          <w:highlight w:val="none"/>
          <w:lang w:eastAsia="zh-CN" w:bidi="ar-SA"/>
        </w:rPr>
        <w:t>喀什市新能源公交车采购项目（二次）</w:t>
      </w:r>
    </w:p>
    <w:p w14:paraId="41046510">
      <w:pPr>
        <w:spacing w:line="240" w:lineRule="atLeast"/>
        <w:ind w:left="1079" w:leftChars="257" w:hanging="540"/>
        <w:jc w:val="center"/>
        <w:rPr>
          <w:rFonts w:hint="eastAsia" w:ascii="微软雅黑" w:hAnsi="微软雅黑" w:eastAsia="微软雅黑" w:cs="微软雅黑"/>
          <w:b/>
          <w:color w:val="auto"/>
          <w:kern w:val="2"/>
          <w:sz w:val="36"/>
          <w:szCs w:val="36"/>
          <w:highlight w:val="none"/>
          <w:lang w:val="en-US" w:eastAsia="zh-CN" w:bidi="ar-SA"/>
        </w:rPr>
      </w:pPr>
    </w:p>
    <w:p w14:paraId="330CF895">
      <w:pPr>
        <w:spacing w:line="240" w:lineRule="atLeast"/>
        <w:jc w:val="center"/>
        <w:rPr>
          <w:rFonts w:hint="eastAsia" w:ascii="微软雅黑" w:hAnsi="微软雅黑" w:eastAsia="微软雅黑" w:cs="微软雅黑"/>
          <w:b/>
          <w:color w:val="auto"/>
          <w:kern w:val="2"/>
          <w:sz w:val="36"/>
          <w:szCs w:val="36"/>
          <w:highlight w:val="none"/>
          <w:lang w:val="en-US" w:eastAsia="zh-CN" w:bidi="ar-SA"/>
        </w:rPr>
      </w:pPr>
    </w:p>
    <w:p w14:paraId="5CE89D11">
      <w:pPr>
        <w:spacing w:line="240" w:lineRule="atLeast"/>
        <w:jc w:val="center"/>
        <w:outlineLvl w:val="0"/>
        <w:rPr>
          <w:rFonts w:hint="eastAsia" w:ascii="微软雅黑" w:hAnsi="微软雅黑" w:eastAsia="微软雅黑" w:cs="微软雅黑"/>
          <w:b/>
          <w:color w:val="auto"/>
          <w:kern w:val="2"/>
          <w:sz w:val="36"/>
          <w:szCs w:val="36"/>
          <w:highlight w:val="none"/>
          <w:lang w:val="en-US" w:eastAsia="zh-CN" w:bidi="ar-SA"/>
        </w:rPr>
      </w:pPr>
      <w:r>
        <w:rPr>
          <w:rFonts w:hint="eastAsia" w:ascii="微软雅黑" w:hAnsi="微软雅黑" w:eastAsia="微软雅黑" w:cs="微软雅黑"/>
          <w:b/>
          <w:color w:val="auto"/>
          <w:kern w:val="2"/>
          <w:sz w:val="36"/>
          <w:szCs w:val="36"/>
          <w:highlight w:val="none"/>
          <w:lang w:val="en-US" w:eastAsia="zh-CN" w:bidi="ar-SA"/>
        </w:rPr>
        <w:t>公开招标文件</w:t>
      </w:r>
    </w:p>
    <w:p w14:paraId="1FF97957">
      <w:pPr>
        <w:spacing w:line="240" w:lineRule="atLeast"/>
        <w:jc w:val="both"/>
        <w:rPr>
          <w:rFonts w:hint="eastAsia" w:ascii="微软雅黑" w:hAnsi="微软雅黑" w:eastAsia="微软雅黑" w:cs="微软雅黑"/>
          <w:b/>
          <w:bCs/>
          <w:color w:val="auto"/>
          <w:kern w:val="0"/>
          <w:sz w:val="32"/>
          <w:szCs w:val="32"/>
          <w:highlight w:val="none"/>
          <w:shd w:val="clear" w:color="auto" w:fill="FFFFFF"/>
          <w:lang w:eastAsia="zh-CN"/>
        </w:rPr>
      </w:pPr>
    </w:p>
    <w:p w14:paraId="70802023">
      <w:pPr>
        <w:spacing w:line="240" w:lineRule="atLeast"/>
        <w:jc w:val="center"/>
        <w:rPr>
          <w:rFonts w:hint="eastAsia" w:ascii="微软雅黑" w:hAnsi="微软雅黑" w:eastAsia="微软雅黑" w:cs="微软雅黑"/>
          <w:b/>
          <w:bCs/>
          <w:color w:val="auto"/>
          <w:kern w:val="0"/>
          <w:sz w:val="32"/>
          <w:szCs w:val="32"/>
          <w:highlight w:val="none"/>
          <w:shd w:val="clear" w:color="auto" w:fill="FFFFFF"/>
          <w:lang w:eastAsia="zh-CN"/>
        </w:rPr>
      </w:pPr>
    </w:p>
    <w:p w14:paraId="4C38CE22">
      <w:pPr>
        <w:spacing w:line="240" w:lineRule="atLeast"/>
        <w:jc w:val="center"/>
        <w:outlineLvl w:val="0"/>
        <w:rPr>
          <w:rFonts w:hint="eastAsia" w:ascii="微软雅黑" w:hAnsi="微软雅黑" w:eastAsia="微软雅黑" w:cs="微软雅黑"/>
          <w:b/>
          <w:bCs/>
          <w:color w:val="auto"/>
          <w:kern w:val="0"/>
          <w:sz w:val="32"/>
          <w:szCs w:val="32"/>
          <w:highlight w:val="none"/>
          <w:shd w:val="clear" w:color="auto" w:fill="FFFFFF"/>
          <w:lang w:eastAsia="zh-CN"/>
        </w:rPr>
      </w:pPr>
      <w:r>
        <w:rPr>
          <w:rFonts w:hint="eastAsia" w:ascii="微软雅黑" w:hAnsi="微软雅黑" w:eastAsia="微软雅黑" w:cs="微软雅黑"/>
          <w:b/>
          <w:bCs/>
          <w:color w:val="auto"/>
          <w:kern w:val="0"/>
          <w:sz w:val="32"/>
          <w:szCs w:val="32"/>
          <w:highlight w:val="none"/>
          <w:shd w:val="clear" w:color="auto" w:fill="FFFFFF"/>
          <w:lang w:eastAsia="zh-CN"/>
        </w:rPr>
        <w:t>项目编号：KSMYCG2025-094-01</w:t>
      </w:r>
    </w:p>
    <w:p w14:paraId="37AF802C">
      <w:pPr>
        <w:spacing w:line="240" w:lineRule="atLeast"/>
        <w:ind w:left="1079" w:leftChars="257" w:hanging="540"/>
        <w:jc w:val="center"/>
        <w:rPr>
          <w:rFonts w:hint="eastAsia" w:ascii="微软雅黑" w:hAnsi="微软雅黑" w:eastAsia="微软雅黑" w:cs="微软雅黑"/>
          <w:b/>
          <w:bCs/>
          <w:color w:val="auto"/>
          <w:kern w:val="0"/>
          <w:sz w:val="32"/>
          <w:szCs w:val="32"/>
          <w:highlight w:val="none"/>
          <w:shd w:val="clear" w:color="auto" w:fill="FFFFFF"/>
          <w:lang w:val="en-US" w:eastAsia="zh-CN"/>
        </w:rPr>
      </w:pPr>
    </w:p>
    <w:p w14:paraId="128CC2E8">
      <w:pPr>
        <w:pStyle w:val="4"/>
        <w:outlineLvl w:val="9"/>
        <w:rPr>
          <w:rFonts w:hint="eastAsia"/>
          <w:color w:val="auto"/>
          <w:highlight w:val="none"/>
          <w:lang w:val="en-US" w:eastAsia="zh-CN"/>
        </w:rPr>
      </w:pPr>
    </w:p>
    <w:p w14:paraId="002019F9">
      <w:pPr>
        <w:spacing w:line="240" w:lineRule="atLeast"/>
        <w:jc w:val="center"/>
        <w:rPr>
          <w:rFonts w:hint="eastAsia" w:ascii="微软雅黑" w:hAnsi="微软雅黑" w:eastAsia="微软雅黑" w:cs="微软雅黑"/>
          <w:b/>
          <w:bCs/>
          <w:color w:val="auto"/>
          <w:kern w:val="0"/>
          <w:sz w:val="32"/>
          <w:szCs w:val="32"/>
          <w:highlight w:val="none"/>
          <w:shd w:val="clear" w:color="auto" w:fill="FFFFFF"/>
          <w:lang w:eastAsia="zh-CN"/>
        </w:rPr>
      </w:pPr>
    </w:p>
    <w:p w14:paraId="563DBE0C">
      <w:pPr>
        <w:pStyle w:val="2"/>
        <w:pageBreakBefore w:val="0"/>
        <w:numPr>
          <w:ilvl w:val="0"/>
          <w:numId w:val="0"/>
        </w:numPr>
        <w:tabs>
          <w:tab w:val="left" w:pos="0"/>
        </w:tabs>
        <w:kinsoku/>
        <w:overflowPunct/>
        <w:topLinePunct w:val="0"/>
        <w:bidi w:val="0"/>
        <w:snapToGrid w:val="0"/>
        <w:spacing w:before="0" w:after="0" w:line="312" w:lineRule="auto"/>
        <w:ind w:leftChars="0"/>
        <w:jc w:val="center"/>
        <w:textAlignment w:val="auto"/>
        <w:rPr>
          <w:rFonts w:hint="eastAsia" w:ascii="微软雅黑" w:hAnsi="微软雅黑" w:eastAsia="微软雅黑" w:cs="微软雅黑"/>
          <w:b/>
          <w:bCs/>
          <w:color w:val="auto"/>
          <w:kern w:val="0"/>
          <w:sz w:val="32"/>
          <w:szCs w:val="32"/>
          <w:highlight w:val="none"/>
          <w:shd w:val="clear" w:color="auto" w:fill="FFFFFF"/>
          <w:lang w:eastAsia="zh-CN"/>
        </w:rPr>
        <w:sectPr>
          <w:headerReference r:id="rId29" w:type="default"/>
          <w:footerReference r:id="rId30" w:type="default"/>
          <w:pgSz w:w="11906" w:h="16838"/>
          <w:pgMar w:top="1440" w:right="1080" w:bottom="1440" w:left="1080" w:header="851" w:footer="992" w:gutter="0"/>
          <w:pgNumType w:fmt="decimal"/>
          <w:cols w:space="720" w:num="1"/>
          <w:docGrid w:type="linesAndChars" w:linePitch="312" w:charSpace="0"/>
        </w:sectPr>
      </w:pPr>
      <w:r>
        <w:rPr>
          <w:rFonts w:hint="eastAsia" w:ascii="微软雅黑" w:hAnsi="微软雅黑" w:eastAsia="微软雅黑" w:cs="微软雅黑"/>
          <w:b/>
          <w:bCs/>
          <w:color w:val="auto"/>
          <w:kern w:val="0"/>
          <w:sz w:val="32"/>
          <w:szCs w:val="32"/>
          <w:highlight w:val="none"/>
          <w:shd w:val="clear" w:color="auto" w:fill="FFFFFF"/>
          <w:lang w:eastAsia="zh-CN"/>
        </w:rPr>
        <w:t>第</w:t>
      </w:r>
      <w:r>
        <w:rPr>
          <w:rFonts w:hint="eastAsia" w:ascii="微软雅黑" w:hAnsi="微软雅黑" w:eastAsia="微软雅黑" w:cs="微软雅黑"/>
          <w:b/>
          <w:bCs/>
          <w:color w:val="auto"/>
          <w:kern w:val="0"/>
          <w:sz w:val="32"/>
          <w:szCs w:val="32"/>
          <w:highlight w:val="none"/>
          <w:shd w:val="clear" w:color="auto" w:fill="FFFFFF"/>
          <w:lang w:val="en-US" w:eastAsia="zh-CN"/>
        </w:rPr>
        <w:t>三</w:t>
      </w:r>
      <w:r>
        <w:rPr>
          <w:rFonts w:hint="eastAsia" w:ascii="微软雅黑" w:hAnsi="微软雅黑" w:eastAsia="微软雅黑" w:cs="微软雅黑"/>
          <w:b/>
          <w:bCs/>
          <w:color w:val="auto"/>
          <w:kern w:val="0"/>
          <w:sz w:val="32"/>
          <w:szCs w:val="32"/>
          <w:highlight w:val="none"/>
          <w:shd w:val="clear" w:color="auto" w:fill="FFFFFF"/>
          <w:lang w:eastAsia="zh-CN"/>
        </w:rPr>
        <w:t>册</w:t>
      </w:r>
    </w:p>
    <w:p w14:paraId="311D4CDD">
      <w:pPr>
        <w:pageBreakBefore w:val="0"/>
        <w:kinsoku/>
        <w:wordWrap/>
        <w:overflowPunct/>
        <w:topLinePunct w:val="0"/>
        <w:bidi w:val="0"/>
        <w:snapToGrid w:val="0"/>
        <w:spacing w:line="312" w:lineRule="auto"/>
        <w:jc w:val="center"/>
        <w:outlineLvl w:val="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b/>
          <w:color w:val="auto"/>
          <w:sz w:val="22"/>
          <w:szCs w:val="22"/>
          <w:highlight w:val="none"/>
          <w:lang w:eastAsia="zh-CN"/>
        </w:rPr>
        <w:t>第7章  政府采购合同</w:t>
      </w:r>
      <w:bookmarkEnd w:id="520"/>
    </w:p>
    <w:bookmarkEnd w:id="502"/>
    <w:bookmarkEnd w:id="503"/>
    <w:bookmarkEnd w:id="504"/>
    <w:bookmarkEnd w:id="505"/>
    <w:bookmarkEnd w:id="519"/>
    <w:p w14:paraId="5B8D563D">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合同编号：</w:t>
      </w:r>
      <w:r>
        <w:rPr>
          <w:rFonts w:hint="eastAsia" w:ascii="微软雅黑" w:hAnsi="微软雅黑" w:eastAsia="微软雅黑" w:cs="微软雅黑"/>
          <w:color w:val="auto"/>
          <w:sz w:val="22"/>
          <w:szCs w:val="22"/>
          <w:highlight w:val="none"/>
          <w:u w:val="single"/>
        </w:rPr>
        <w:t xml:space="preserve">           </w:t>
      </w:r>
    </w:p>
    <w:p w14:paraId="4562DE2D">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sz w:val="22"/>
          <w:szCs w:val="22"/>
          <w:highlight w:val="none"/>
        </w:rPr>
      </w:pPr>
    </w:p>
    <w:p w14:paraId="3FE07646">
      <w:pPr>
        <w:pageBreakBefore w:val="0"/>
        <w:kinsoku/>
        <w:wordWrap/>
        <w:overflowPunct/>
        <w:topLinePunct w:val="0"/>
        <w:bidi w:val="0"/>
        <w:snapToGrid w:val="0"/>
        <w:spacing w:line="312" w:lineRule="auto"/>
        <w:jc w:val="both"/>
        <w:rPr>
          <w:rFonts w:hint="eastAsia" w:ascii="微软雅黑" w:hAnsi="微软雅黑" w:eastAsia="微软雅黑" w:cs="微软雅黑"/>
          <w:b/>
          <w:color w:val="auto"/>
          <w:sz w:val="22"/>
          <w:szCs w:val="22"/>
          <w:highlight w:val="none"/>
        </w:rPr>
      </w:pPr>
    </w:p>
    <w:p w14:paraId="79B1C84F">
      <w:pPr>
        <w:pageBreakBefore w:val="0"/>
        <w:kinsoku/>
        <w:wordWrap/>
        <w:overflowPunct/>
        <w:topLinePunct w:val="0"/>
        <w:bidi w:val="0"/>
        <w:snapToGrid w:val="0"/>
        <w:spacing w:line="312" w:lineRule="auto"/>
        <w:jc w:val="center"/>
        <w:outlineLvl w:val="1"/>
        <w:rPr>
          <w:rFonts w:hint="eastAsia" w:ascii="微软雅黑" w:hAnsi="微软雅黑" w:eastAsia="微软雅黑" w:cs="微软雅黑"/>
          <w:b/>
          <w:color w:val="auto"/>
          <w:sz w:val="22"/>
          <w:szCs w:val="22"/>
          <w:highlight w:val="none"/>
        </w:rPr>
      </w:pPr>
      <w:bookmarkStart w:id="521" w:name="_Toc21976"/>
      <w:r>
        <w:rPr>
          <w:rFonts w:hint="eastAsia" w:ascii="微软雅黑" w:hAnsi="微软雅黑" w:eastAsia="微软雅黑" w:cs="微软雅黑"/>
          <w:b/>
          <w:color w:val="auto"/>
          <w:sz w:val="22"/>
          <w:szCs w:val="22"/>
          <w:highlight w:val="none"/>
        </w:rPr>
        <w:t>政府采购合同参考范本</w:t>
      </w:r>
      <w:bookmarkEnd w:id="521"/>
    </w:p>
    <w:p w14:paraId="4FAC728B">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（货物类）</w:t>
      </w:r>
    </w:p>
    <w:p w14:paraId="04FED1E7">
      <w:pPr>
        <w:pStyle w:val="64"/>
        <w:pageBreakBefore w:val="0"/>
        <w:kinsoku/>
        <w:wordWrap/>
        <w:overflowPunct/>
        <w:topLinePunct w:val="0"/>
        <w:bidi w:val="0"/>
        <w:snapToGrid w:val="0"/>
        <w:spacing w:line="312" w:lineRule="auto"/>
        <w:ind w:firstLine="0"/>
        <w:rPr>
          <w:rFonts w:hint="eastAsia" w:ascii="微软雅黑" w:hAnsi="微软雅黑" w:eastAsia="微软雅黑" w:cs="微软雅黑"/>
          <w:color w:val="auto"/>
          <w:sz w:val="22"/>
          <w:szCs w:val="22"/>
          <w:highlight w:val="none"/>
        </w:rPr>
      </w:pPr>
    </w:p>
    <w:p w14:paraId="28E1941D">
      <w:pPr>
        <w:pStyle w:val="64"/>
        <w:pageBreakBefore w:val="0"/>
        <w:kinsoku/>
        <w:wordWrap/>
        <w:overflowPunct/>
        <w:topLinePunct w:val="0"/>
        <w:bidi w:val="0"/>
        <w:snapToGrid w:val="0"/>
        <w:spacing w:line="312" w:lineRule="auto"/>
        <w:ind w:firstLine="0"/>
        <w:rPr>
          <w:rFonts w:hint="eastAsia" w:ascii="微软雅黑" w:hAnsi="微软雅黑" w:eastAsia="微软雅黑" w:cs="微软雅黑"/>
          <w:color w:val="auto"/>
          <w:sz w:val="22"/>
          <w:szCs w:val="22"/>
          <w:highlight w:val="none"/>
        </w:rPr>
      </w:pPr>
    </w:p>
    <w:p w14:paraId="12555B9D">
      <w:pPr>
        <w:pStyle w:val="64"/>
        <w:pageBreakBefore w:val="0"/>
        <w:kinsoku/>
        <w:wordWrap/>
        <w:overflowPunct/>
        <w:topLinePunct w:val="0"/>
        <w:bidi w:val="0"/>
        <w:snapToGrid w:val="0"/>
        <w:spacing w:line="312" w:lineRule="auto"/>
        <w:ind w:firstLine="0"/>
        <w:rPr>
          <w:rFonts w:hint="eastAsia" w:ascii="微软雅黑" w:hAnsi="微软雅黑" w:eastAsia="微软雅黑" w:cs="微软雅黑"/>
          <w:color w:val="auto"/>
          <w:sz w:val="22"/>
          <w:szCs w:val="22"/>
          <w:highlight w:val="none"/>
        </w:rPr>
      </w:pPr>
    </w:p>
    <w:p w14:paraId="5DC5B9F1">
      <w:pPr>
        <w:pStyle w:val="64"/>
        <w:pageBreakBefore w:val="0"/>
        <w:kinsoku/>
        <w:wordWrap/>
        <w:overflowPunct/>
        <w:topLinePunct w:val="0"/>
        <w:bidi w:val="0"/>
        <w:snapToGrid w:val="0"/>
        <w:spacing w:line="312" w:lineRule="auto"/>
        <w:ind w:firstLine="0"/>
        <w:jc w:val="center"/>
        <w:outlineLvl w:val="1"/>
        <w:rPr>
          <w:rFonts w:hint="eastAsia" w:ascii="微软雅黑" w:hAnsi="微软雅黑" w:eastAsia="微软雅黑" w:cs="微软雅黑"/>
          <w:b/>
          <w:color w:val="auto"/>
          <w:sz w:val="22"/>
          <w:szCs w:val="22"/>
          <w:highlight w:val="none"/>
        </w:rPr>
      </w:pPr>
      <w:bookmarkStart w:id="522" w:name="_Toc26751"/>
      <w:r>
        <w:rPr>
          <w:rFonts w:hint="eastAsia" w:ascii="微软雅黑" w:hAnsi="微软雅黑" w:eastAsia="微软雅黑" w:cs="微软雅黑"/>
          <w:b/>
          <w:color w:val="auto"/>
          <w:sz w:val="22"/>
          <w:szCs w:val="22"/>
          <w:highlight w:val="none"/>
        </w:rPr>
        <w:t>第一部分 合同书</w:t>
      </w:r>
      <w:bookmarkEnd w:id="522"/>
    </w:p>
    <w:p w14:paraId="6ED82741">
      <w:pPr>
        <w:pStyle w:val="64"/>
        <w:pageBreakBefore w:val="0"/>
        <w:kinsoku/>
        <w:wordWrap/>
        <w:overflowPunct/>
        <w:topLinePunct w:val="0"/>
        <w:bidi w:val="0"/>
        <w:snapToGrid w:val="0"/>
        <w:spacing w:line="312" w:lineRule="auto"/>
        <w:ind w:firstLine="0"/>
        <w:rPr>
          <w:rFonts w:hint="eastAsia" w:ascii="微软雅黑" w:hAnsi="微软雅黑" w:eastAsia="微软雅黑" w:cs="微软雅黑"/>
          <w:color w:val="auto"/>
          <w:sz w:val="22"/>
          <w:szCs w:val="22"/>
          <w:highlight w:val="none"/>
        </w:rPr>
      </w:pPr>
    </w:p>
    <w:p w14:paraId="26C88FDF">
      <w:pPr>
        <w:pStyle w:val="64"/>
        <w:pageBreakBefore w:val="0"/>
        <w:kinsoku/>
        <w:wordWrap/>
        <w:overflowPunct/>
        <w:topLinePunct w:val="0"/>
        <w:bidi w:val="0"/>
        <w:snapToGrid w:val="0"/>
        <w:spacing w:line="312" w:lineRule="auto"/>
        <w:ind w:firstLine="0"/>
        <w:rPr>
          <w:rFonts w:hint="eastAsia" w:ascii="微软雅黑" w:hAnsi="微软雅黑" w:eastAsia="微软雅黑" w:cs="微软雅黑"/>
          <w:color w:val="auto"/>
          <w:sz w:val="22"/>
          <w:szCs w:val="22"/>
          <w:highlight w:val="none"/>
        </w:rPr>
      </w:pPr>
    </w:p>
    <w:p w14:paraId="531128FD">
      <w:pPr>
        <w:pageBreakBefore w:val="0"/>
        <w:kinsoku/>
        <w:wordWrap/>
        <w:overflowPunct/>
        <w:topLinePunct w:val="0"/>
        <w:bidi w:val="0"/>
        <w:snapToGrid w:val="0"/>
        <w:spacing w:before="120" w:line="312" w:lineRule="auto"/>
        <w:rPr>
          <w:rFonts w:hint="eastAsia" w:ascii="微软雅黑" w:hAnsi="微软雅黑" w:eastAsia="微软雅黑" w:cs="微软雅黑"/>
          <w:color w:val="auto"/>
          <w:sz w:val="22"/>
          <w:szCs w:val="22"/>
          <w:highlight w:val="none"/>
        </w:rPr>
      </w:pPr>
    </w:p>
    <w:p w14:paraId="7E4977FE">
      <w:pPr>
        <w:pageBreakBefore w:val="0"/>
        <w:kinsoku/>
        <w:wordWrap/>
        <w:overflowPunct/>
        <w:topLinePunct w:val="0"/>
        <w:bidi w:val="0"/>
        <w:snapToGrid w:val="0"/>
        <w:spacing w:before="120" w:line="312" w:lineRule="auto"/>
        <w:ind w:left="96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项目名称：</w:t>
      </w:r>
      <w:r>
        <w:rPr>
          <w:rFonts w:hint="eastAsia" w:ascii="微软雅黑" w:hAnsi="微软雅黑" w:eastAsia="微软雅黑" w:cs="微软雅黑"/>
          <w:color w:val="auto"/>
          <w:sz w:val="22"/>
          <w:szCs w:val="22"/>
          <w:highlight w:val="none"/>
          <w:u w:val="single"/>
        </w:rPr>
        <w:t xml:space="preserve">                                   </w:t>
      </w:r>
    </w:p>
    <w:p w14:paraId="0221D732">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p w14:paraId="1949F6E0">
      <w:pPr>
        <w:pageBreakBefore w:val="0"/>
        <w:kinsoku/>
        <w:wordWrap/>
        <w:overflowPunct/>
        <w:topLinePunct w:val="0"/>
        <w:bidi w:val="0"/>
        <w:snapToGrid w:val="0"/>
        <w:spacing w:before="120" w:line="312" w:lineRule="auto"/>
        <w:ind w:left="96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甲方：</w:t>
      </w:r>
      <w:r>
        <w:rPr>
          <w:rFonts w:hint="eastAsia" w:ascii="微软雅黑" w:hAnsi="微软雅黑" w:eastAsia="微软雅黑" w:cs="微软雅黑"/>
          <w:color w:val="auto"/>
          <w:sz w:val="22"/>
          <w:szCs w:val="22"/>
          <w:highlight w:val="none"/>
          <w:u w:val="single"/>
        </w:rPr>
        <w:t xml:space="preserve">                                       </w:t>
      </w:r>
    </w:p>
    <w:p w14:paraId="7527AC19">
      <w:pPr>
        <w:pageBreakBefore w:val="0"/>
        <w:kinsoku/>
        <w:wordWrap/>
        <w:overflowPunct/>
        <w:topLinePunct w:val="0"/>
        <w:bidi w:val="0"/>
        <w:snapToGrid w:val="0"/>
        <w:spacing w:before="120" w:line="312" w:lineRule="auto"/>
        <w:rPr>
          <w:rFonts w:hint="eastAsia" w:ascii="微软雅黑" w:hAnsi="微软雅黑" w:eastAsia="微软雅黑" w:cs="微软雅黑"/>
          <w:color w:val="auto"/>
          <w:sz w:val="22"/>
          <w:szCs w:val="22"/>
          <w:highlight w:val="none"/>
        </w:rPr>
      </w:pPr>
    </w:p>
    <w:p w14:paraId="1E7895D1">
      <w:pPr>
        <w:pageBreakBefore w:val="0"/>
        <w:kinsoku/>
        <w:wordWrap/>
        <w:overflowPunct/>
        <w:topLinePunct w:val="0"/>
        <w:bidi w:val="0"/>
        <w:snapToGrid w:val="0"/>
        <w:spacing w:before="120" w:line="312" w:lineRule="auto"/>
        <w:ind w:left="96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乙方：</w:t>
      </w:r>
      <w:r>
        <w:rPr>
          <w:rFonts w:hint="eastAsia" w:ascii="微软雅黑" w:hAnsi="微软雅黑" w:eastAsia="微软雅黑" w:cs="微软雅黑"/>
          <w:color w:val="auto"/>
          <w:sz w:val="22"/>
          <w:szCs w:val="22"/>
          <w:highlight w:val="none"/>
          <w:u w:val="single"/>
        </w:rPr>
        <w:t xml:space="preserve">                                       </w:t>
      </w:r>
    </w:p>
    <w:p w14:paraId="50D1A3B1">
      <w:pPr>
        <w:pageBreakBefore w:val="0"/>
        <w:kinsoku/>
        <w:wordWrap/>
        <w:overflowPunct/>
        <w:topLinePunct w:val="0"/>
        <w:bidi w:val="0"/>
        <w:snapToGrid w:val="0"/>
        <w:spacing w:before="120" w:line="312" w:lineRule="auto"/>
        <w:rPr>
          <w:rFonts w:hint="eastAsia" w:ascii="微软雅黑" w:hAnsi="微软雅黑" w:eastAsia="微软雅黑" w:cs="微软雅黑"/>
          <w:color w:val="auto"/>
          <w:sz w:val="22"/>
          <w:szCs w:val="22"/>
          <w:highlight w:val="none"/>
        </w:rPr>
      </w:pPr>
    </w:p>
    <w:p w14:paraId="2DD06AFE">
      <w:pPr>
        <w:pageBreakBefore w:val="0"/>
        <w:kinsoku/>
        <w:wordWrap/>
        <w:overflowPunct/>
        <w:topLinePunct w:val="0"/>
        <w:bidi w:val="0"/>
        <w:snapToGrid w:val="0"/>
        <w:spacing w:before="120" w:line="312" w:lineRule="auto"/>
        <w:ind w:firstLine="880" w:firstLineChars="40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签订地：</w:t>
      </w:r>
      <w:r>
        <w:rPr>
          <w:rFonts w:hint="eastAsia" w:ascii="微软雅黑" w:hAnsi="微软雅黑" w:eastAsia="微软雅黑" w:cs="微软雅黑"/>
          <w:color w:val="auto"/>
          <w:sz w:val="22"/>
          <w:szCs w:val="22"/>
          <w:highlight w:val="none"/>
          <w:u w:val="single"/>
        </w:rPr>
        <w:t xml:space="preserve">                                     </w:t>
      </w:r>
    </w:p>
    <w:p w14:paraId="32DB47AA">
      <w:pPr>
        <w:pageBreakBefore w:val="0"/>
        <w:kinsoku/>
        <w:wordWrap/>
        <w:overflowPunct/>
        <w:topLinePunct w:val="0"/>
        <w:bidi w:val="0"/>
        <w:snapToGrid w:val="0"/>
        <w:spacing w:before="120" w:line="312" w:lineRule="auto"/>
        <w:rPr>
          <w:rFonts w:hint="eastAsia" w:ascii="微软雅黑" w:hAnsi="微软雅黑" w:eastAsia="微软雅黑" w:cs="微软雅黑"/>
          <w:color w:val="auto"/>
          <w:sz w:val="22"/>
          <w:szCs w:val="22"/>
          <w:highlight w:val="none"/>
        </w:rPr>
      </w:pPr>
    </w:p>
    <w:p w14:paraId="40B31275">
      <w:pPr>
        <w:pageBreakBefore w:val="0"/>
        <w:kinsoku/>
        <w:wordWrap/>
        <w:overflowPunct/>
        <w:topLinePunct w:val="0"/>
        <w:bidi w:val="0"/>
        <w:snapToGrid w:val="0"/>
        <w:spacing w:before="120" w:line="312" w:lineRule="auto"/>
        <w:ind w:firstLine="880" w:firstLineChars="40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签订日期：</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年</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月</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日</w:t>
      </w:r>
    </w:p>
    <w:p w14:paraId="7C87429F">
      <w:pPr>
        <w:pageBreakBefore w:val="0"/>
        <w:kinsoku/>
        <w:wordWrap/>
        <w:overflowPunct/>
        <w:topLinePunct w:val="0"/>
        <w:autoSpaceDE w:val="0"/>
        <w:autoSpaceDN w:val="0"/>
        <w:bidi w:val="0"/>
        <w:adjustRightInd w:val="0"/>
        <w:snapToGrid w:val="0"/>
        <w:spacing w:line="312" w:lineRule="auto"/>
        <w:ind w:firstLine="640"/>
        <w:jc w:val="center"/>
        <w:rPr>
          <w:rFonts w:hint="eastAsia" w:ascii="微软雅黑" w:hAnsi="微软雅黑" w:eastAsia="微软雅黑" w:cs="微软雅黑"/>
          <w:color w:val="auto"/>
          <w:sz w:val="22"/>
          <w:szCs w:val="22"/>
          <w:highlight w:val="none"/>
        </w:rPr>
        <w:sectPr>
          <w:headerReference r:id="rId33" w:type="first"/>
          <w:footerReference r:id="rId36" w:type="first"/>
          <w:headerReference r:id="rId31" w:type="default"/>
          <w:footerReference r:id="rId34" w:type="default"/>
          <w:headerReference r:id="rId32" w:type="even"/>
          <w:footerReference r:id="rId35" w:type="even"/>
          <w:pgSz w:w="11907" w:h="16840"/>
          <w:pgMar w:top="1440" w:right="1080" w:bottom="1440" w:left="1080" w:header="851" w:footer="851" w:gutter="0"/>
          <w:pgNumType w:fmt="decimal"/>
          <w:cols w:space="720" w:num="1"/>
          <w:docGrid w:linePitch="462" w:charSpace="0"/>
        </w:sectPr>
      </w:pPr>
    </w:p>
    <w:p w14:paraId="477A0D16">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lang w:val="zh-CN"/>
        </w:rPr>
        <w:t>年</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lang w:val="zh-CN"/>
        </w:rPr>
        <w:t>月</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lang w:val="zh-CN"/>
        </w:rPr>
        <w:t>日</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u w:val="single"/>
        </w:rPr>
        <w:t xml:space="preserve">   （采购人名称）   </w:t>
      </w:r>
      <w:r>
        <w:rPr>
          <w:rFonts w:hint="eastAsia" w:ascii="微软雅黑" w:hAnsi="微软雅黑" w:eastAsia="微软雅黑" w:cs="微软雅黑"/>
          <w:color w:val="auto"/>
          <w:sz w:val="22"/>
          <w:szCs w:val="22"/>
          <w:highlight w:val="none"/>
        </w:rPr>
        <w:t>以</w:t>
      </w:r>
      <w:r>
        <w:rPr>
          <w:rFonts w:hint="eastAsia" w:ascii="微软雅黑" w:hAnsi="微软雅黑" w:eastAsia="微软雅黑" w:cs="微软雅黑"/>
          <w:color w:val="auto"/>
          <w:sz w:val="22"/>
          <w:szCs w:val="22"/>
          <w:highlight w:val="none"/>
          <w:u w:val="single"/>
        </w:rPr>
        <w:t xml:space="preserve">   （政府采购方式）  </w:t>
      </w:r>
      <w:r>
        <w:rPr>
          <w:rFonts w:hint="eastAsia" w:ascii="微软雅黑" w:hAnsi="微软雅黑" w:eastAsia="微软雅黑" w:cs="微软雅黑"/>
          <w:color w:val="auto"/>
          <w:sz w:val="22"/>
          <w:szCs w:val="22"/>
          <w:highlight w:val="none"/>
        </w:rPr>
        <w:t>对</w:t>
      </w:r>
      <w:r>
        <w:rPr>
          <w:rFonts w:hint="eastAsia" w:ascii="微软雅黑" w:hAnsi="微软雅黑" w:eastAsia="微软雅黑" w:cs="微软雅黑"/>
          <w:color w:val="auto"/>
          <w:sz w:val="22"/>
          <w:szCs w:val="22"/>
          <w:highlight w:val="none"/>
          <w:u w:val="single"/>
        </w:rPr>
        <w:t xml:space="preserve">   （同前页项目名称）   </w:t>
      </w:r>
      <w:r>
        <w:rPr>
          <w:rFonts w:hint="eastAsia" w:ascii="微软雅黑" w:hAnsi="微软雅黑" w:eastAsia="微软雅黑" w:cs="微软雅黑"/>
          <w:color w:val="auto"/>
          <w:sz w:val="22"/>
          <w:szCs w:val="22"/>
          <w:highlight w:val="none"/>
        </w:rPr>
        <w:t>项目进行了采购。经</w:t>
      </w:r>
      <w:r>
        <w:rPr>
          <w:rFonts w:hint="eastAsia" w:ascii="微软雅黑" w:hAnsi="微软雅黑" w:eastAsia="微软雅黑" w:cs="微软雅黑"/>
          <w:color w:val="auto"/>
          <w:sz w:val="22"/>
          <w:szCs w:val="22"/>
          <w:highlight w:val="none"/>
          <w:u w:val="single"/>
        </w:rPr>
        <w:t xml:space="preserve">   （相关评定主体名称）   </w:t>
      </w:r>
      <w:r>
        <w:rPr>
          <w:rFonts w:hint="eastAsia" w:ascii="微软雅黑" w:hAnsi="微软雅黑" w:eastAsia="微软雅黑" w:cs="微软雅黑"/>
          <w:color w:val="auto"/>
          <w:sz w:val="22"/>
          <w:szCs w:val="22"/>
          <w:highlight w:val="none"/>
        </w:rPr>
        <w:t>评定，</w:t>
      </w:r>
      <w:r>
        <w:rPr>
          <w:rFonts w:hint="eastAsia" w:ascii="微软雅黑" w:hAnsi="微软雅黑" w:eastAsia="微软雅黑" w:cs="微软雅黑"/>
          <w:color w:val="auto"/>
          <w:sz w:val="22"/>
          <w:szCs w:val="22"/>
          <w:highlight w:val="none"/>
          <w:u w:val="single"/>
        </w:rPr>
        <w:t xml:space="preserve">   （中标供应商名称）</w:t>
      </w:r>
      <w:r>
        <w:rPr>
          <w:rFonts w:hint="eastAsia" w:ascii="微软雅黑" w:hAnsi="微软雅黑" w:eastAsia="微软雅黑" w:cs="微软雅黑"/>
          <w:color w:val="auto"/>
          <w:sz w:val="22"/>
          <w:szCs w:val="22"/>
          <w:highlight w:val="none"/>
        </w:rPr>
        <w:t>为该项目中标供应商。现于中标通知书发出之日起三十日内，按照</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确定的事项签订本合同。</w:t>
      </w:r>
    </w:p>
    <w:p w14:paraId="6AF8810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根据《中华人民共和国</w:t>
      </w:r>
      <w:r>
        <w:rPr>
          <w:rFonts w:hint="eastAsia" w:ascii="微软雅黑" w:hAnsi="微软雅黑" w:eastAsia="微软雅黑" w:cs="微软雅黑"/>
          <w:color w:val="auto"/>
          <w:sz w:val="22"/>
          <w:szCs w:val="22"/>
          <w:highlight w:val="none"/>
          <w:lang w:val="en-US" w:eastAsia="zh-CN"/>
        </w:rPr>
        <w:t>民法典</w:t>
      </w:r>
      <w:r>
        <w:rPr>
          <w:rFonts w:hint="eastAsia" w:ascii="微软雅黑" w:hAnsi="微软雅黑" w:eastAsia="微软雅黑" w:cs="微软雅黑"/>
          <w:color w:val="auto"/>
          <w:sz w:val="22"/>
          <w:szCs w:val="22"/>
          <w:highlight w:val="none"/>
          <w:lang w:val="zh-CN"/>
        </w:rPr>
        <w:t>》、《中华人民共和国政府采购法》等相关法律法规之规定，按照平等、自愿、公平和诚实信用的原则，经</w:t>
      </w:r>
      <w:r>
        <w:rPr>
          <w:rFonts w:hint="eastAsia" w:ascii="微软雅黑" w:hAnsi="微软雅黑" w:eastAsia="微软雅黑" w:cs="微软雅黑"/>
          <w:color w:val="auto"/>
          <w:sz w:val="22"/>
          <w:szCs w:val="22"/>
          <w:highlight w:val="none"/>
          <w:u w:val="single"/>
        </w:rPr>
        <w:t xml:space="preserve">   （采购人名称）   </w:t>
      </w:r>
      <w:r>
        <w:rPr>
          <w:rFonts w:hint="eastAsia" w:ascii="微软雅黑" w:hAnsi="微软雅黑" w:eastAsia="微软雅黑" w:cs="微软雅黑"/>
          <w:color w:val="auto"/>
          <w:sz w:val="22"/>
          <w:szCs w:val="22"/>
          <w:highlight w:val="none"/>
          <w:lang w:val="zh-CN"/>
        </w:rPr>
        <w:t>(以下简称：甲方)和</w:t>
      </w:r>
      <w:r>
        <w:rPr>
          <w:rFonts w:hint="eastAsia" w:ascii="微软雅黑" w:hAnsi="微软雅黑" w:eastAsia="微软雅黑" w:cs="微软雅黑"/>
          <w:color w:val="auto"/>
          <w:sz w:val="22"/>
          <w:szCs w:val="22"/>
          <w:highlight w:val="none"/>
          <w:u w:val="single"/>
        </w:rPr>
        <w:t xml:space="preserve">   （中标供应商名称）   </w:t>
      </w:r>
      <w:r>
        <w:rPr>
          <w:rFonts w:hint="eastAsia" w:ascii="微软雅黑" w:hAnsi="微软雅黑" w:eastAsia="微软雅黑" w:cs="微软雅黑"/>
          <w:color w:val="auto"/>
          <w:sz w:val="22"/>
          <w:szCs w:val="22"/>
          <w:highlight w:val="none"/>
          <w:lang w:val="zh-CN"/>
        </w:rPr>
        <w:t>(以下简称：乙方)协商一致，约定以下合同</w:t>
      </w:r>
      <w:r>
        <w:rPr>
          <w:rFonts w:hint="eastAsia" w:ascii="微软雅黑" w:hAnsi="微软雅黑" w:eastAsia="微软雅黑" w:cs="微软雅黑"/>
          <w:color w:val="auto"/>
          <w:sz w:val="22"/>
          <w:szCs w:val="22"/>
          <w:highlight w:val="none"/>
        </w:rPr>
        <w:t>条款，以兹共同遵守、全面履行。</w:t>
      </w:r>
    </w:p>
    <w:p w14:paraId="2E26B8A1">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23" w:name="_Toc19497"/>
      <w:bookmarkStart w:id="524" w:name="_Toc3029"/>
      <w:bookmarkStart w:id="525" w:name="_Toc2232"/>
      <w:bookmarkStart w:id="526" w:name="_Toc1608"/>
      <w:bookmarkStart w:id="527" w:name="_Toc24059"/>
      <w:r>
        <w:rPr>
          <w:rFonts w:hint="eastAsia" w:ascii="微软雅黑" w:hAnsi="微软雅黑" w:eastAsia="微软雅黑" w:cs="微软雅黑"/>
          <w:b/>
          <w:color w:val="auto"/>
          <w:sz w:val="22"/>
          <w:szCs w:val="22"/>
          <w:highlight w:val="none"/>
        </w:rPr>
        <w:t>1.1 合同组成部分</w:t>
      </w:r>
      <w:bookmarkEnd w:id="523"/>
      <w:bookmarkEnd w:id="524"/>
      <w:bookmarkEnd w:id="525"/>
      <w:bookmarkEnd w:id="526"/>
      <w:bookmarkEnd w:id="527"/>
    </w:p>
    <w:p w14:paraId="7D9CFF9B">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下列文件为本合同的组成部分，并构成一个整体，需综合解释、相互补充。如果下列文件内容出现不一致的情形，那么在保证按照</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确定的事项的前提下，组成本合同的多个文件的优先适用顺序如下：</w:t>
      </w:r>
    </w:p>
    <w:p w14:paraId="5AA6F606">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1.1.1 本合同及其补充合同、变更协议；</w:t>
      </w:r>
    </w:p>
    <w:p w14:paraId="5CF2C097">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1.1.2 中标通知书；</w:t>
      </w:r>
    </w:p>
    <w:p w14:paraId="16F197A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 投标文件（含澄清或者说明文件）；</w:t>
      </w:r>
    </w:p>
    <w:p w14:paraId="4755C277">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1.1.4 </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（含澄清或者修改文件）；</w:t>
      </w:r>
    </w:p>
    <w:p w14:paraId="28C5F7A6">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1.1.5 其他相关</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w:t>
      </w:r>
    </w:p>
    <w:p w14:paraId="1F5677C8">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28" w:name="_Toc21295"/>
      <w:bookmarkStart w:id="529" w:name="_Toc16170"/>
      <w:bookmarkStart w:id="530" w:name="_Toc26044"/>
      <w:bookmarkStart w:id="531" w:name="_Toc27126"/>
      <w:bookmarkStart w:id="532" w:name="_Toc24300"/>
      <w:r>
        <w:rPr>
          <w:rFonts w:hint="eastAsia" w:ascii="微软雅黑" w:hAnsi="微软雅黑" w:eastAsia="微软雅黑" w:cs="微软雅黑"/>
          <w:b/>
          <w:color w:val="auto"/>
          <w:sz w:val="22"/>
          <w:szCs w:val="22"/>
          <w:highlight w:val="none"/>
        </w:rPr>
        <w:t>1.2 货物</w:t>
      </w:r>
      <w:bookmarkEnd w:id="528"/>
      <w:bookmarkEnd w:id="529"/>
      <w:bookmarkEnd w:id="530"/>
      <w:bookmarkEnd w:id="531"/>
      <w:bookmarkEnd w:id="532"/>
    </w:p>
    <w:p w14:paraId="24C7EF1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1.2.1 货物名称：</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14:paraId="170E2AA1">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1.2.2 货物数量：</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14:paraId="61CE0257">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1.2.3 货物质量：</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14:paraId="14B0E8C0">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33" w:name="_Toc21631"/>
      <w:bookmarkStart w:id="534" w:name="_Toc16827"/>
      <w:bookmarkStart w:id="535" w:name="_Toc21551"/>
      <w:bookmarkStart w:id="536" w:name="_Toc17661"/>
      <w:bookmarkStart w:id="537" w:name="_Toc23292"/>
      <w:r>
        <w:rPr>
          <w:rFonts w:hint="eastAsia" w:ascii="微软雅黑" w:hAnsi="微软雅黑" w:eastAsia="微软雅黑" w:cs="微软雅黑"/>
          <w:b/>
          <w:color w:val="auto"/>
          <w:sz w:val="22"/>
          <w:szCs w:val="22"/>
          <w:highlight w:val="none"/>
        </w:rPr>
        <w:t>1.3 价款</w:t>
      </w:r>
      <w:bookmarkEnd w:id="533"/>
      <w:bookmarkEnd w:id="534"/>
      <w:bookmarkEnd w:id="535"/>
      <w:bookmarkEnd w:id="536"/>
      <w:bookmarkEnd w:id="537"/>
    </w:p>
    <w:p w14:paraId="30B1219B">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本合同总价为：￥</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元（大写：</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元人民币）。</w:t>
      </w:r>
    </w:p>
    <w:p w14:paraId="15C6F538">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分项价格：</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4824"/>
      </w:tblGrid>
      <w:tr w14:paraId="3F1A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780B167">
            <w:pPr>
              <w:pStyle w:val="68"/>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2"/>
                <w:sz w:val="22"/>
                <w:szCs w:val="22"/>
                <w:highlight w:val="none"/>
                <w:lang w:val="en-US" w:eastAsia="zh-CN"/>
              </w:rPr>
            </w:pPr>
            <w:r>
              <w:rPr>
                <w:rFonts w:hint="eastAsia" w:ascii="微软雅黑" w:hAnsi="微软雅黑" w:eastAsia="微软雅黑" w:cs="微软雅黑"/>
                <w:color w:val="auto"/>
                <w:kern w:val="2"/>
                <w:sz w:val="22"/>
                <w:szCs w:val="22"/>
                <w:highlight w:val="none"/>
                <w:lang w:val="en-US" w:eastAsia="zh-CN"/>
              </w:rPr>
              <w:t>序号</w:t>
            </w:r>
          </w:p>
        </w:tc>
        <w:tc>
          <w:tcPr>
            <w:tcW w:w="3402" w:type="dxa"/>
            <w:noWrap w:val="0"/>
            <w:vAlign w:val="center"/>
          </w:tcPr>
          <w:p w14:paraId="3A6D5F6B">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r>
              <w:rPr>
                <w:rFonts w:hint="eastAsia" w:ascii="微软雅黑" w:hAnsi="微软雅黑" w:eastAsia="微软雅黑" w:cs="微软雅黑"/>
                <w:color w:val="auto"/>
                <w:kern w:val="2"/>
                <w:sz w:val="22"/>
                <w:szCs w:val="22"/>
                <w:highlight w:val="none"/>
                <w:lang w:val="en-US" w:eastAsia="zh-CN"/>
              </w:rPr>
              <w:t>分项名称</w:t>
            </w:r>
          </w:p>
        </w:tc>
        <w:tc>
          <w:tcPr>
            <w:tcW w:w="4824" w:type="dxa"/>
            <w:noWrap w:val="0"/>
            <w:vAlign w:val="center"/>
          </w:tcPr>
          <w:p w14:paraId="77E0206F">
            <w:pPr>
              <w:pStyle w:val="68"/>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2"/>
                <w:sz w:val="22"/>
                <w:szCs w:val="22"/>
                <w:highlight w:val="none"/>
                <w:lang w:val="en-US" w:eastAsia="zh-CN"/>
              </w:rPr>
            </w:pPr>
            <w:r>
              <w:rPr>
                <w:rFonts w:hint="eastAsia" w:ascii="微软雅黑" w:hAnsi="微软雅黑" w:eastAsia="微软雅黑" w:cs="微软雅黑"/>
                <w:color w:val="auto"/>
                <w:kern w:val="2"/>
                <w:sz w:val="22"/>
                <w:szCs w:val="22"/>
                <w:highlight w:val="none"/>
                <w:lang w:val="en-US" w:eastAsia="zh-CN"/>
              </w:rPr>
              <w:t>分项价格</w:t>
            </w:r>
          </w:p>
        </w:tc>
      </w:tr>
      <w:tr w14:paraId="023A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260761F">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c>
          <w:tcPr>
            <w:tcW w:w="3402" w:type="dxa"/>
            <w:noWrap w:val="0"/>
            <w:vAlign w:val="center"/>
          </w:tcPr>
          <w:p w14:paraId="75B48926">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c>
          <w:tcPr>
            <w:tcW w:w="4824" w:type="dxa"/>
            <w:noWrap w:val="0"/>
            <w:vAlign w:val="center"/>
          </w:tcPr>
          <w:p w14:paraId="1CE5ED0F">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r>
      <w:tr w14:paraId="5B5D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D865994">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c>
          <w:tcPr>
            <w:tcW w:w="3402" w:type="dxa"/>
            <w:noWrap w:val="0"/>
            <w:vAlign w:val="center"/>
          </w:tcPr>
          <w:p w14:paraId="3702502F">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c>
          <w:tcPr>
            <w:tcW w:w="4824" w:type="dxa"/>
            <w:noWrap w:val="0"/>
            <w:vAlign w:val="center"/>
          </w:tcPr>
          <w:p w14:paraId="6B8FD676">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r>
      <w:tr w14:paraId="28B8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26A1470">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c>
          <w:tcPr>
            <w:tcW w:w="3402" w:type="dxa"/>
            <w:noWrap w:val="0"/>
            <w:vAlign w:val="center"/>
          </w:tcPr>
          <w:p w14:paraId="542FB0A3">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c>
          <w:tcPr>
            <w:tcW w:w="4824" w:type="dxa"/>
            <w:noWrap w:val="0"/>
            <w:vAlign w:val="center"/>
          </w:tcPr>
          <w:p w14:paraId="69E5D385">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r>
      <w:tr w14:paraId="6870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849AED8">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c>
          <w:tcPr>
            <w:tcW w:w="3402" w:type="dxa"/>
            <w:noWrap w:val="0"/>
            <w:vAlign w:val="center"/>
          </w:tcPr>
          <w:p w14:paraId="3C2864D7">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c>
          <w:tcPr>
            <w:tcW w:w="4824" w:type="dxa"/>
            <w:noWrap w:val="0"/>
            <w:vAlign w:val="center"/>
          </w:tcPr>
          <w:p w14:paraId="42A23855">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r>
      <w:tr w14:paraId="58A3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5081BE8">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r>
              <w:rPr>
                <w:rFonts w:hint="eastAsia" w:ascii="微软雅黑" w:hAnsi="微软雅黑" w:eastAsia="微软雅黑" w:cs="微软雅黑"/>
                <w:color w:val="auto"/>
                <w:kern w:val="2"/>
                <w:sz w:val="22"/>
                <w:szCs w:val="22"/>
                <w:highlight w:val="none"/>
                <w:lang w:val="en-US" w:eastAsia="zh-CN"/>
              </w:rPr>
              <w:t>总价</w:t>
            </w:r>
          </w:p>
        </w:tc>
        <w:tc>
          <w:tcPr>
            <w:tcW w:w="4824" w:type="dxa"/>
            <w:noWrap w:val="0"/>
            <w:vAlign w:val="center"/>
          </w:tcPr>
          <w:p w14:paraId="53CE9ABE">
            <w:pPr>
              <w:pStyle w:val="68"/>
              <w:pageBreakBefore w:val="0"/>
              <w:kinsoku/>
              <w:wordWrap/>
              <w:overflowPunct/>
              <w:topLinePunct w:val="0"/>
              <w:bidi w:val="0"/>
              <w:snapToGrid w:val="0"/>
              <w:spacing w:line="312" w:lineRule="auto"/>
              <w:ind w:firstLine="200"/>
              <w:jc w:val="center"/>
              <w:rPr>
                <w:rFonts w:hint="eastAsia" w:ascii="微软雅黑" w:hAnsi="微软雅黑" w:eastAsia="微软雅黑" w:cs="微软雅黑"/>
                <w:color w:val="auto"/>
                <w:kern w:val="2"/>
                <w:sz w:val="22"/>
                <w:szCs w:val="22"/>
                <w:highlight w:val="none"/>
                <w:lang w:val="en-US" w:eastAsia="zh-CN"/>
              </w:rPr>
            </w:pPr>
          </w:p>
        </w:tc>
      </w:tr>
    </w:tbl>
    <w:p w14:paraId="0F0A147E">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38" w:name="_Toc10340"/>
      <w:bookmarkStart w:id="539" w:name="_Toc1814"/>
      <w:bookmarkStart w:id="540" w:name="_Toc30273"/>
      <w:bookmarkStart w:id="541" w:name="_Toc27343"/>
      <w:bookmarkStart w:id="542" w:name="_Toc22618"/>
      <w:r>
        <w:rPr>
          <w:rFonts w:hint="eastAsia" w:ascii="微软雅黑" w:hAnsi="微软雅黑" w:eastAsia="微软雅黑" w:cs="微软雅黑"/>
          <w:b/>
          <w:color w:val="auto"/>
          <w:sz w:val="22"/>
          <w:szCs w:val="22"/>
          <w:highlight w:val="none"/>
        </w:rPr>
        <w:t>1.4 付款方式和发票开具方式</w:t>
      </w:r>
      <w:bookmarkEnd w:id="538"/>
      <w:bookmarkEnd w:id="539"/>
      <w:bookmarkEnd w:id="540"/>
      <w:bookmarkEnd w:id="541"/>
      <w:bookmarkEnd w:id="542"/>
    </w:p>
    <w:p w14:paraId="5A519D07">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1.4.1 付款方式：</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14:paraId="5336EE2B">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1.4.2 发票开具方式：</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14:paraId="55802CFE">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43" w:name="_Toc15500"/>
      <w:bookmarkStart w:id="544" w:name="_Toc3306"/>
      <w:r>
        <w:rPr>
          <w:rFonts w:hint="eastAsia" w:ascii="微软雅黑" w:hAnsi="微软雅黑" w:eastAsia="微软雅黑" w:cs="微软雅黑"/>
          <w:b/>
          <w:color w:val="auto"/>
          <w:sz w:val="22"/>
          <w:szCs w:val="22"/>
          <w:highlight w:val="none"/>
        </w:rPr>
        <w:t>1.5 货物交付期限、地点和方式</w:t>
      </w:r>
      <w:bookmarkEnd w:id="543"/>
      <w:bookmarkEnd w:id="544"/>
    </w:p>
    <w:p w14:paraId="1B992293">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1.5.1 交付期限：</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14:paraId="097F08FF">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1.5.2 交付地点：</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14:paraId="5FB4A980">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1.5.3 交付方式：</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w:t>
      </w:r>
    </w:p>
    <w:p w14:paraId="02D56D66">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45" w:name="_Toc17877"/>
      <w:bookmarkStart w:id="546" w:name="_Toc27250"/>
      <w:bookmarkStart w:id="547" w:name="_Toc32642"/>
      <w:bookmarkStart w:id="548" w:name="_Toc21423"/>
      <w:bookmarkStart w:id="549" w:name="_Toc19554"/>
      <w:r>
        <w:rPr>
          <w:rFonts w:hint="eastAsia" w:ascii="微软雅黑" w:hAnsi="微软雅黑" w:eastAsia="微软雅黑" w:cs="微软雅黑"/>
          <w:b/>
          <w:color w:val="auto"/>
          <w:sz w:val="22"/>
          <w:szCs w:val="22"/>
          <w:highlight w:val="none"/>
        </w:rPr>
        <w:t>1.6 违约责任</w:t>
      </w:r>
      <w:bookmarkEnd w:id="545"/>
      <w:bookmarkEnd w:id="546"/>
      <w:bookmarkEnd w:id="547"/>
      <w:bookmarkEnd w:id="548"/>
      <w:bookmarkEnd w:id="549"/>
    </w:p>
    <w:p w14:paraId="6A997CD7">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%计算，最高限额为本合同总价的</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%；迟延交付货物的违约金计算数额达到前述最高限额之日起，甲方有权在要求乙方支付违约金的同时，书面通知乙方解除本合同；</w:t>
      </w:r>
    </w:p>
    <w:p w14:paraId="736E6189">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1.6.2 除不可抗力外，如果甲方没有按照本合同约定的付款方式付款，那么乙方可要求甲方支付违约金，违约金按每迟延付款一日的应付而未付款的</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%计算，最高限额为本合同总价的</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%；迟延付款的违约金计算数额达到前述最高限额之日起，乙方有权在要求甲方支付违约金的同时，书面通知甲方解除本合同；</w:t>
      </w:r>
    </w:p>
    <w:p w14:paraId="0380C488">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82E8FD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4B8144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06190BE">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6F607A9">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50" w:name="_Toc16021"/>
      <w:bookmarkStart w:id="551" w:name="_Toc18990"/>
      <w:bookmarkStart w:id="552" w:name="_Toc5679"/>
      <w:bookmarkStart w:id="553" w:name="_Toc15583"/>
      <w:bookmarkStart w:id="554" w:name="_Toc28375"/>
      <w:r>
        <w:rPr>
          <w:rFonts w:hint="eastAsia" w:ascii="微软雅黑" w:hAnsi="微软雅黑" w:eastAsia="微软雅黑" w:cs="微软雅黑"/>
          <w:b/>
          <w:color w:val="auto"/>
          <w:sz w:val="22"/>
          <w:szCs w:val="22"/>
          <w:highlight w:val="none"/>
        </w:rPr>
        <w:t>1.7 合同争议的解决</w:t>
      </w:r>
      <w:bookmarkEnd w:id="550"/>
      <w:bookmarkEnd w:id="551"/>
      <w:bookmarkEnd w:id="552"/>
      <w:bookmarkEnd w:id="553"/>
      <w:bookmarkEnd w:id="554"/>
    </w:p>
    <w:p w14:paraId="49C2C5CA">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本合同履行过程中发生的任何争议，双方当事人均可通过和解或者调解解决；不愿和解、调解或者和解、调解不成的，可以选择下列第</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种方式解决：</w:t>
      </w:r>
    </w:p>
    <w:p w14:paraId="2930AB89">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1.7.1 将争议提交</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仲裁委员会依申请仲裁时其现行有效的仲裁规则裁决；</w:t>
      </w:r>
    </w:p>
    <w:p w14:paraId="3D15E92A">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1.7.2 向</w:t>
      </w:r>
      <w:r>
        <w:rPr>
          <w:rFonts w:hint="eastAsia" w:ascii="微软雅黑" w:hAnsi="微软雅黑" w:eastAsia="微软雅黑" w:cs="微软雅黑"/>
          <w:color w:val="auto"/>
          <w:sz w:val="22"/>
          <w:szCs w:val="22"/>
          <w:highlight w:val="none"/>
          <w:u w:val="single"/>
        </w:rPr>
        <w:t xml:space="preserve">   （被告住所地、合同履行地、合同签订地、原告住所地、标的物所在地等与争议有实际联系的地点中选出的人民法院名称）    </w:t>
      </w:r>
      <w:r>
        <w:rPr>
          <w:rFonts w:hint="eastAsia" w:ascii="微软雅黑" w:hAnsi="微软雅黑" w:eastAsia="微软雅黑" w:cs="微软雅黑"/>
          <w:color w:val="auto"/>
          <w:sz w:val="22"/>
          <w:szCs w:val="22"/>
          <w:highlight w:val="none"/>
        </w:rPr>
        <w:t>人民法院起诉。</w:t>
      </w:r>
    </w:p>
    <w:p w14:paraId="23FB7FAC">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55" w:name="_Toc7245"/>
      <w:bookmarkStart w:id="556" w:name="_Toc15322"/>
      <w:bookmarkStart w:id="557" w:name="_Toc7790"/>
      <w:bookmarkStart w:id="558" w:name="_Toc15169"/>
      <w:bookmarkStart w:id="559" w:name="_Toc11173"/>
      <w:r>
        <w:rPr>
          <w:rFonts w:hint="eastAsia" w:ascii="微软雅黑" w:hAnsi="微软雅黑" w:eastAsia="微软雅黑" w:cs="微软雅黑"/>
          <w:b/>
          <w:color w:val="auto"/>
          <w:sz w:val="22"/>
          <w:szCs w:val="22"/>
          <w:highlight w:val="none"/>
        </w:rPr>
        <w:t>1.8 合同生效</w:t>
      </w:r>
      <w:bookmarkEnd w:id="555"/>
      <w:bookmarkEnd w:id="556"/>
      <w:bookmarkEnd w:id="557"/>
      <w:bookmarkEnd w:id="558"/>
      <w:bookmarkEnd w:id="559"/>
    </w:p>
    <w:p w14:paraId="03ABAC1C">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color w:val="auto"/>
          <w:sz w:val="22"/>
          <w:szCs w:val="22"/>
          <w:highlight w:val="none"/>
        </w:rPr>
        <w:t>本合同自双方当事人盖章或者签字时生效。</w:t>
      </w:r>
    </w:p>
    <w:p w14:paraId="68ED66B9">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p>
    <w:p w14:paraId="04E924BD">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b/>
          <w:color w:val="auto"/>
          <w:sz w:val="22"/>
          <w:szCs w:val="22"/>
          <w:highlight w:val="none"/>
          <w:lang w:val="zh-CN"/>
        </w:rPr>
        <w:t>甲方</w:t>
      </w:r>
      <w:r>
        <w:rPr>
          <w:rFonts w:hint="eastAsia" w:ascii="微软雅黑" w:hAnsi="微软雅黑" w:eastAsia="微软雅黑" w:cs="微软雅黑"/>
          <w:color w:val="auto"/>
          <w:sz w:val="22"/>
          <w:szCs w:val="22"/>
          <w:highlight w:val="none"/>
          <w:lang w:val="zh-CN"/>
        </w:rPr>
        <w:t xml:space="preserve">：                             </w:t>
      </w:r>
      <w:r>
        <w:rPr>
          <w:rFonts w:hint="eastAsia" w:ascii="微软雅黑" w:hAnsi="微软雅黑" w:eastAsia="微软雅黑" w:cs="微软雅黑"/>
          <w:b/>
          <w:color w:val="auto"/>
          <w:sz w:val="22"/>
          <w:szCs w:val="22"/>
          <w:highlight w:val="none"/>
          <w:lang w:val="zh-CN"/>
        </w:rPr>
        <w:t xml:space="preserve">      乙方</w:t>
      </w:r>
      <w:r>
        <w:rPr>
          <w:rFonts w:hint="eastAsia" w:ascii="微软雅黑" w:hAnsi="微软雅黑" w:eastAsia="微软雅黑" w:cs="微软雅黑"/>
          <w:color w:val="auto"/>
          <w:sz w:val="22"/>
          <w:szCs w:val="22"/>
          <w:highlight w:val="none"/>
          <w:lang w:val="zh-CN"/>
        </w:rPr>
        <w:t>：</w:t>
      </w:r>
    </w:p>
    <w:p w14:paraId="1613DDF6">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统一社会信用代码：                        统一社会信用代码或身份证号码：</w:t>
      </w:r>
    </w:p>
    <w:p w14:paraId="41B88924">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p>
    <w:p w14:paraId="1DA4E83B">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住所：                                   住所：</w:t>
      </w:r>
    </w:p>
    <w:p w14:paraId="5CAE1940">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法定代表人或                             法定代表人</w:t>
      </w:r>
    </w:p>
    <w:p w14:paraId="32C8C3C6">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 xml:space="preserve">授权代表（签字）：                        或授权代表（签字）: </w:t>
      </w:r>
    </w:p>
    <w:p w14:paraId="7FEE477A">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联系人：                                 联系人：</w:t>
      </w:r>
    </w:p>
    <w:p w14:paraId="48D8C43F">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约定送达地址：                           约定送达地址：</w:t>
      </w:r>
    </w:p>
    <w:p w14:paraId="7032FFF6">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邮政编码：                               邮政编码：</w:t>
      </w:r>
    </w:p>
    <w:p w14:paraId="11DF47E4">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 xml:space="preserve">电话:                                    电话: </w:t>
      </w:r>
    </w:p>
    <w:p w14:paraId="5A599A78">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传真:                                    传真:</w:t>
      </w:r>
    </w:p>
    <w:p w14:paraId="27D6E292">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电子邮箱：                               电子邮箱：</w:t>
      </w:r>
    </w:p>
    <w:p w14:paraId="013DABC1">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开户银行：                               开户银行： </w:t>
      </w:r>
    </w:p>
    <w:p w14:paraId="514AAE5B">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开户名称：                               开户名称： </w:t>
      </w:r>
    </w:p>
    <w:p w14:paraId="414C7CE8">
      <w:pPr>
        <w:pageBreakBefore w:val="0"/>
        <w:kinsoku/>
        <w:wordWrap/>
        <w:overflowPunct/>
        <w:topLinePunct w:val="0"/>
        <w:autoSpaceDE w:val="0"/>
        <w:autoSpaceDN w:val="0"/>
        <w:bidi w:val="0"/>
        <w:adjustRightInd w:val="0"/>
        <w:snapToGrid w:val="0"/>
        <w:spacing w:line="312"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开户账号：</w:t>
      </w:r>
      <w:r>
        <w:rPr>
          <w:rFonts w:hint="eastAsia" w:ascii="微软雅黑" w:hAnsi="微软雅黑" w:eastAsia="微软雅黑" w:cs="微软雅黑"/>
          <w:color w:val="auto"/>
          <w:sz w:val="22"/>
          <w:szCs w:val="22"/>
          <w:highlight w:val="none"/>
          <w:lang w:val="zh-CN"/>
        </w:rPr>
        <w:t xml:space="preserve">                               </w:t>
      </w:r>
      <w:r>
        <w:rPr>
          <w:rFonts w:hint="eastAsia" w:ascii="微软雅黑" w:hAnsi="微软雅黑" w:eastAsia="微软雅黑" w:cs="微软雅黑"/>
          <w:color w:val="auto"/>
          <w:sz w:val="22"/>
          <w:szCs w:val="22"/>
          <w:highlight w:val="none"/>
        </w:rPr>
        <w:t>开户账号：</w:t>
      </w:r>
    </w:p>
    <w:p w14:paraId="4F9D41E6">
      <w:pPr>
        <w:pageBreakBefore w:val="0"/>
        <w:widowControl/>
        <w:kinsoku/>
        <w:wordWrap/>
        <w:overflowPunct/>
        <w:topLinePunct w:val="0"/>
        <w:bidi w:val="0"/>
        <w:snapToGrid w:val="0"/>
        <w:spacing w:line="312" w:lineRule="auto"/>
        <w:jc w:val="left"/>
        <w:rPr>
          <w:rFonts w:hint="eastAsia" w:ascii="微软雅黑" w:hAnsi="微软雅黑" w:eastAsia="微软雅黑" w:cs="微软雅黑"/>
          <w:b/>
          <w:color w:val="auto"/>
          <w:kern w:val="0"/>
          <w:sz w:val="22"/>
          <w:szCs w:val="22"/>
          <w:highlight w:val="none"/>
        </w:rPr>
      </w:pPr>
      <w:bookmarkStart w:id="560" w:name="_Toc331685783"/>
    </w:p>
    <w:p w14:paraId="4EBD0490">
      <w:pPr>
        <w:pStyle w:val="64"/>
        <w:pageBreakBefore w:val="0"/>
        <w:kinsoku/>
        <w:wordWrap/>
        <w:overflowPunct/>
        <w:topLinePunct w:val="0"/>
        <w:bidi w:val="0"/>
        <w:snapToGrid w:val="0"/>
        <w:spacing w:line="312" w:lineRule="auto"/>
        <w:ind w:firstLine="200"/>
        <w:jc w:val="center"/>
        <w:rPr>
          <w:rFonts w:hint="eastAsia" w:ascii="微软雅黑" w:hAnsi="微软雅黑" w:eastAsia="微软雅黑" w:cs="微软雅黑"/>
          <w:b/>
          <w:color w:val="auto"/>
          <w:sz w:val="22"/>
          <w:szCs w:val="22"/>
          <w:highlight w:val="none"/>
        </w:rPr>
      </w:pPr>
    </w:p>
    <w:p w14:paraId="5279570F">
      <w:pPr>
        <w:pStyle w:val="64"/>
        <w:pageBreakBefore w:val="0"/>
        <w:kinsoku/>
        <w:wordWrap/>
        <w:overflowPunct/>
        <w:topLinePunct w:val="0"/>
        <w:bidi w:val="0"/>
        <w:snapToGrid w:val="0"/>
        <w:spacing w:line="312" w:lineRule="auto"/>
        <w:ind w:firstLine="200"/>
        <w:jc w:val="center"/>
        <w:rPr>
          <w:rFonts w:hint="eastAsia" w:ascii="微软雅黑" w:hAnsi="微软雅黑" w:eastAsia="微软雅黑" w:cs="微软雅黑"/>
          <w:b/>
          <w:color w:val="auto"/>
          <w:sz w:val="22"/>
          <w:szCs w:val="22"/>
          <w:highlight w:val="none"/>
        </w:rPr>
        <w:sectPr>
          <w:headerReference r:id="rId37" w:type="default"/>
          <w:footerReference r:id="rId38" w:type="default"/>
          <w:pgSz w:w="11907" w:h="16840"/>
          <w:pgMar w:top="1440" w:right="1080" w:bottom="1440" w:left="1080" w:header="851" w:footer="850" w:gutter="0"/>
          <w:pgNumType w:fmt="decimal"/>
          <w:cols w:space="720" w:num="1"/>
          <w:docGrid w:linePitch="462" w:charSpace="0"/>
        </w:sectPr>
      </w:pPr>
    </w:p>
    <w:p w14:paraId="2BF4365A">
      <w:pPr>
        <w:pStyle w:val="64"/>
        <w:pageBreakBefore w:val="0"/>
        <w:kinsoku/>
        <w:wordWrap/>
        <w:overflowPunct/>
        <w:topLinePunct w:val="0"/>
        <w:bidi w:val="0"/>
        <w:snapToGrid w:val="0"/>
        <w:spacing w:line="312" w:lineRule="auto"/>
        <w:ind w:firstLine="200"/>
        <w:jc w:val="center"/>
        <w:outlineLvl w:val="1"/>
        <w:rPr>
          <w:rFonts w:hint="eastAsia" w:ascii="微软雅黑" w:hAnsi="微软雅黑" w:eastAsia="微软雅黑" w:cs="微软雅黑"/>
          <w:b/>
          <w:color w:val="auto"/>
          <w:sz w:val="22"/>
          <w:szCs w:val="22"/>
          <w:highlight w:val="none"/>
        </w:rPr>
      </w:pPr>
      <w:bookmarkStart w:id="561" w:name="_Toc8188"/>
      <w:r>
        <w:rPr>
          <w:rFonts w:hint="eastAsia" w:ascii="微软雅黑" w:hAnsi="微软雅黑" w:eastAsia="微软雅黑" w:cs="微软雅黑"/>
          <w:b/>
          <w:color w:val="auto"/>
          <w:sz w:val="22"/>
          <w:szCs w:val="22"/>
          <w:highlight w:val="none"/>
        </w:rPr>
        <w:t>第二部分 合同一般条款</w:t>
      </w:r>
      <w:bookmarkEnd w:id="560"/>
      <w:bookmarkEnd w:id="561"/>
    </w:p>
    <w:p w14:paraId="14746399">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62" w:name="_Toc28763"/>
      <w:bookmarkStart w:id="563" w:name="_Ref467379205"/>
      <w:bookmarkStart w:id="564" w:name="_Ref467379214"/>
      <w:bookmarkStart w:id="565" w:name="_Toc31197"/>
      <w:bookmarkStart w:id="566" w:name="_Ref467379195"/>
      <w:bookmarkStart w:id="567" w:name="_Ref467378499"/>
      <w:bookmarkStart w:id="568" w:name="_Ref467379101"/>
      <w:bookmarkStart w:id="569" w:name="_Ref467379094"/>
      <w:bookmarkStart w:id="570" w:name="_Toc2934"/>
      <w:bookmarkStart w:id="571" w:name="_Toc16917"/>
      <w:bookmarkStart w:id="572" w:name="_Toc19614"/>
      <w:bookmarkStart w:id="573" w:name="_Toc259093669"/>
      <w:bookmarkStart w:id="574" w:name="_Ref467379109"/>
      <w:bookmarkStart w:id="575" w:name="_Ref467378463"/>
      <w:bookmarkStart w:id="576" w:name="_Toc487900349"/>
      <w:bookmarkStart w:id="577" w:name="_Ref467379225"/>
      <w:bookmarkStart w:id="578" w:name="_Ref467378404"/>
      <w:bookmarkStart w:id="579" w:name="_Toc279701240"/>
      <w:r>
        <w:rPr>
          <w:rFonts w:hint="eastAsia" w:ascii="微软雅黑" w:hAnsi="微软雅黑" w:eastAsia="微软雅黑" w:cs="微软雅黑"/>
          <w:b/>
          <w:color w:val="auto"/>
          <w:sz w:val="22"/>
          <w:szCs w:val="22"/>
          <w:highlight w:val="none"/>
        </w:rPr>
        <w:t>2.1 定义</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4650410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本合同中的下列词语应按以下内容进行解释：</w:t>
      </w:r>
    </w:p>
    <w:p w14:paraId="01459490">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2.1.1 “合同”系指采购人和中标供应商签订的载明双方当事人所达成的协议，并包括所有的附件、附录和构成合同的其他文件。</w:t>
      </w:r>
    </w:p>
    <w:p w14:paraId="3D69E0EB">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2.1.2 “合同价”系指根据合同约定，中标供应商在完全履行合同义务后，采购人应支付给中标供应商的价格。</w:t>
      </w:r>
    </w:p>
    <w:p w14:paraId="7D594B86">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2.1.3 “货物”系指中标供应商根据合同约定应向采购人交付的一切各种形态和种类的物品，包括原材料、燃料、设备、机械、仪表、备件、计算机软件、产品等，并包括工具、手册等其他相关资料。</w:t>
      </w:r>
    </w:p>
    <w:p w14:paraId="464411CE">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bookmarkStart w:id="580" w:name="_Ref467378840"/>
      <w:r>
        <w:rPr>
          <w:rFonts w:hint="eastAsia" w:ascii="微软雅黑" w:hAnsi="微软雅黑" w:eastAsia="微软雅黑" w:cs="微软雅黑"/>
          <w:color w:val="auto"/>
          <w:sz w:val="22"/>
          <w:szCs w:val="22"/>
          <w:highlight w:val="none"/>
        </w:rPr>
        <w:t>2.1.4 “甲方”系指与中标供应商签署合同的采购人</w:t>
      </w:r>
      <w:bookmarkEnd w:id="580"/>
      <w:r>
        <w:rPr>
          <w:rFonts w:hint="eastAsia" w:ascii="微软雅黑" w:hAnsi="微软雅黑" w:eastAsia="微软雅黑" w:cs="微软雅黑"/>
          <w:color w:val="auto"/>
          <w:sz w:val="22"/>
          <w:szCs w:val="22"/>
          <w:highlight w:val="none"/>
        </w:rPr>
        <w:t>；采购人委托采购代理机构代表其与乙方签订合同的，采购人的授权委托书作为合同附件。</w:t>
      </w:r>
    </w:p>
    <w:p w14:paraId="3F66C67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bookmarkStart w:id="581" w:name="_Ref467379400"/>
      <w:r>
        <w:rPr>
          <w:rFonts w:hint="eastAsia" w:ascii="微软雅黑" w:hAnsi="微软雅黑" w:eastAsia="微软雅黑" w:cs="微软雅黑"/>
          <w:color w:val="auto"/>
          <w:sz w:val="22"/>
          <w:szCs w:val="22"/>
          <w:highlight w:val="none"/>
        </w:rPr>
        <w:t>2.1.5 “乙方”系指根据合同约定交付货物的中标供应商</w:t>
      </w:r>
      <w:bookmarkEnd w:id="581"/>
      <w:r>
        <w:rPr>
          <w:rFonts w:hint="eastAsia" w:ascii="微软雅黑" w:hAnsi="微软雅黑" w:eastAsia="微软雅黑" w:cs="微软雅黑"/>
          <w:color w:val="auto"/>
          <w:sz w:val="22"/>
          <w:szCs w:val="22"/>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A399F98">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bookmarkStart w:id="582" w:name="_Ref467379436"/>
      <w:r>
        <w:rPr>
          <w:rFonts w:hint="eastAsia" w:ascii="微软雅黑" w:hAnsi="微软雅黑" w:eastAsia="微软雅黑" w:cs="微软雅黑"/>
          <w:color w:val="auto"/>
          <w:sz w:val="22"/>
          <w:szCs w:val="22"/>
          <w:highlight w:val="none"/>
        </w:rPr>
        <w:t>2.1.6 “现场”系指合同约定货物将要运至或者安装的地点。</w:t>
      </w:r>
      <w:bookmarkEnd w:id="582"/>
    </w:p>
    <w:p w14:paraId="5297F8D1">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83" w:name="_Toc487900350"/>
      <w:bookmarkStart w:id="584" w:name="_Toc2125"/>
      <w:bookmarkStart w:id="585" w:name="_Toc27635"/>
      <w:bookmarkStart w:id="586" w:name="_Toc279701241"/>
      <w:bookmarkStart w:id="587" w:name="_Toc11389"/>
      <w:bookmarkStart w:id="588" w:name="_Toc259093670"/>
      <w:bookmarkStart w:id="589" w:name="_Toc32504"/>
      <w:bookmarkStart w:id="590" w:name="_Toc13336"/>
      <w:r>
        <w:rPr>
          <w:rFonts w:hint="eastAsia" w:ascii="微软雅黑" w:hAnsi="微软雅黑" w:eastAsia="微软雅黑" w:cs="微软雅黑"/>
          <w:b/>
          <w:color w:val="auto"/>
          <w:sz w:val="22"/>
          <w:szCs w:val="22"/>
          <w:highlight w:val="none"/>
        </w:rPr>
        <w:t>2.2 技术规范</w:t>
      </w:r>
      <w:bookmarkEnd w:id="583"/>
      <w:bookmarkEnd w:id="584"/>
      <w:bookmarkEnd w:id="585"/>
      <w:bookmarkEnd w:id="586"/>
      <w:bookmarkEnd w:id="587"/>
      <w:bookmarkEnd w:id="588"/>
      <w:bookmarkEnd w:id="589"/>
      <w:bookmarkEnd w:id="590"/>
    </w:p>
    <w:p w14:paraId="6F2DA861">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货物所应遵守的技术规范应与</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规定的技术规范和技术规范附件(如果有的话)及其技术规范偏差表(如果被甲方接受的话)相一致；如果</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中没有技术规范的相应说明，那么应以国家有关部门最新颁布的相应标准和规范为准。</w:t>
      </w:r>
    </w:p>
    <w:p w14:paraId="09E08BB3">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91" w:name="_Toc9829"/>
      <w:bookmarkStart w:id="592" w:name="_Toc24743"/>
      <w:bookmarkStart w:id="593" w:name="_Toc8632"/>
      <w:bookmarkStart w:id="594" w:name="_Toc31634"/>
      <w:bookmarkStart w:id="595" w:name="_Toc487900351"/>
      <w:bookmarkStart w:id="596" w:name="_Toc27853"/>
      <w:bookmarkStart w:id="597" w:name="_Toc279701242"/>
      <w:bookmarkStart w:id="598" w:name="_Toc259093671"/>
      <w:r>
        <w:rPr>
          <w:rFonts w:hint="eastAsia" w:ascii="微软雅黑" w:hAnsi="微软雅黑" w:eastAsia="微软雅黑" w:cs="微软雅黑"/>
          <w:b/>
          <w:color w:val="auto"/>
          <w:sz w:val="22"/>
          <w:szCs w:val="22"/>
          <w:highlight w:val="none"/>
        </w:rPr>
        <w:t>2.3 知识产权</w:t>
      </w:r>
      <w:bookmarkEnd w:id="591"/>
      <w:bookmarkEnd w:id="592"/>
      <w:bookmarkEnd w:id="593"/>
      <w:bookmarkEnd w:id="594"/>
      <w:bookmarkEnd w:id="595"/>
      <w:bookmarkEnd w:id="596"/>
      <w:bookmarkEnd w:id="597"/>
      <w:bookmarkEnd w:id="598"/>
    </w:p>
    <w:p w14:paraId="4A75AC5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BB565B8">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color w:val="auto"/>
          <w:sz w:val="22"/>
          <w:szCs w:val="22"/>
          <w:highlight w:val="none"/>
        </w:rPr>
        <w:t>2.3.2具有知识产权的计算机软件等货物的知识产权归属，详见</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w:t>
      </w:r>
    </w:p>
    <w:p w14:paraId="0ED71282">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599" w:name="_Toc31859"/>
      <w:bookmarkStart w:id="600" w:name="_Toc29149"/>
      <w:bookmarkStart w:id="601" w:name="_Toc11932"/>
      <w:bookmarkStart w:id="602" w:name="_Toc23000"/>
      <w:bookmarkStart w:id="603" w:name="_Toc4194"/>
      <w:r>
        <w:rPr>
          <w:rFonts w:hint="eastAsia" w:ascii="微软雅黑" w:hAnsi="微软雅黑" w:eastAsia="微软雅黑" w:cs="微软雅黑"/>
          <w:b/>
          <w:color w:val="auto"/>
          <w:sz w:val="22"/>
          <w:szCs w:val="22"/>
          <w:highlight w:val="none"/>
        </w:rPr>
        <w:t>2.4 包装和装运</w:t>
      </w:r>
      <w:bookmarkEnd w:id="599"/>
      <w:bookmarkEnd w:id="600"/>
      <w:bookmarkEnd w:id="601"/>
      <w:bookmarkEnd w:id="602"/>
      <w:bookmarkEnd w:id="603"/>
    </w:p>
    <w:p w14:paraId="280D02FF">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2.4.1除</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color w:val="auto"/>
          <w:sz w:val="22"/>
          <w:szCs w:val="22"/>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222E5E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color w:val="auto"/>
          <w:sz w:val="22"/>
          <w:szCs w:val="22"/>
          <w:highlight w:val="none"/>
        </w:rPr>
        <w:t>2.4.2 装运货物的要求和通知，详见</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w:t>
      </w:r>
    </w:p>
    <w:p w14:paraId="22BDF0F1">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04" w:name="_Toc487900354"/>
      <w:bookmarkStart w:id="605" w:name="_Ref467378591"/>
      <w:bookmarkStart w:id="606" w:name="_Ref467378541"/>
      <w:bookmarkStart w:id="607" w:name="_Ref467379536"/>
      <w:bookmarkStart w:id="608" w:name="_Toc279701245"/>
      <w:bookmarkStart w:id="609" w:name="_Ref467379527"/>
      <w:bookmarkStart w:id="610" w:name="_Ref467379542"/>
      <w:bookmarkStart w:id="611" w:name="_Toc259093674"/>
      <w:bookmarkStart w:id="612" w:name="_Toc19074"/>
      <w:bookmarkStart w:id="613" w:name="_Toc22459"/>
      <w:bookmarkStart w:id="614" w:name="_Toc26182"/>
      <w:bookmarkStart w:id="615" w:name="_Toc23272"/>
      <w:bookmarkStart w:id="616" w:name="_Toc30272"/>
      <w:r>
        <w:rPr>
          <w:rFonts w:hint="eastAsia" w:ascii="微软雅黑" w:hAnsi="微软雅黑" w:eastAsia="微软雅黑" w:cs="微软雅黑"/>
          <w:b/>
          <w:color w:val="auto"/>
          <w:sz w:val="22"/>
          <w:szCs w:val="22"/>
          <w:highlight w:val="none"/>
        </w:rPr>
        <w:t>2.</w:t>
      </w:r>
      <w:bookmarkEnd w:id="604"/>
      <w:bookmarkEnd w:id="605"/>
      <w:bookmarkEnd w:id="606"/>
      <w:bookmarkEnd w:id="607"/>
      <w:bookmarkEnd w:id="608"/>
      <w:bookmarkEnd w:id="609"/>
      <w:bookmarkEnd w:id="610"/>
      <w:bookmarkEnd w:id="611"/>
      <w:r>
        <w:rPr>
          <w:rFonts w:hint="eastAsia" w:ascii="微软雅黑" w:hAnsi="微软雅黑" w:eastAsia="微软雅黑" w:cs="微软雅黑"/>
          <w:b/>
          <w:color w:val="auto"/>
          <w:sz w:val="22"/>
          <w:szCs w:val="22"/>
          <w:highlight w:val="none"/>
        </w:rPr>
        <w:t>5 履约检查和问题反馈</w:t>
      </w:r>
      <w:bookmarkEnd w:id="612"/>
      <w:bookmarkEnd w:id="613"/>
      <w:bookmarkEnd w:id="614"/>
      <w:bookmarkEnd w:id="615"/>
      <w:bookmarkEnd w:id="616"/>
    </w:p>
    <w:p w14:paraId="3C6BC618">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bookmarkStart w:id="617" w:name="_Ref467379657"/>
      <w:r>
        <w:rPr>
          <w:rFonts w:hint="eastAsia" w:ascii="微软雅黑" w:hAnsi="微软雅黑" w:eastAsia="微软雅黑" w:cs="微软雅黑"/>
          <w:color w:val="auto"/>
          <w:sz w:val="22"/>
          <w:szCs w:val="22"/>
          <w:highlight w:val="none"/>
        </w:rPr>
        <w:t>2.5.1</w:t>
      </w:r>
      <w:bookmarkEnd w:id="617"/>
      <w:bookmarkStart w:id="618" w:name="_Toc186431854"/>
      <w:bookmarkStart w:id="619" w:name="_Ref467379807"/>
      <w:bookmarkStart w:id="620" w:name="_Toc487900357"/>
      <w:bookmarkStart w:id="621" w:name="_Toc259093676"/>
      <w:bookmarkStart w:id="622" w:name="_Ref467379793"/>
      <w:bookmarkStart w:id="623" w:name="_Toc279701247"/>
      <w:r>
        <w:rPr>
          <w:rFonts w:hint="eastAsia" w:ascii="微软雅黑" w:hAnsi="微软雅黑" w:eastAsia="微软雅黑" w:cs="微软雅黑"/>
          <w:color w:val="auto"/>
          <w:sz w:val="22"/>
          <w:szCs w:val="22"/>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514A52A">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2.5.2 合同履行期间，甲方有权将履行过程中出现的问题反馈给乙方，双方当事人应以书面形式约定需要完善和改进的内容</w:t>
      </w:r>
      <w:bookmarkEnd w:id="618"/>
      <w:bookmarkStart w:id="624" w:name="_Toc186431855"/>
      <w:r>
        <w:rPr>
          <w:rFonts w:hint="eastAsia" w:ascii="微软雅黑" w:hAnsi="微软雅黑" w:eastAsia="微软雅黑" w:cs="微软雅黑"/>
          <w:color w:val="auto"/>
          <w:sz w:val="22"/>
          <w:szCs w:val="22"/>
          <w:highlight w:val="none"/>
        </w:rPr>
        <w:t>。</w:t>
      </w:r>
    </w:p>
    <w:bookmarkEnd w:id="624"/>
    <w:p w14:paraId="53F1801C">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25" w:name="_Toc7836"/>
      <w:bookmarkStart w:id="626" w:name="_Toc18629"/>
      <w:bookmarkStart w:id="627" w:name="_Toc28451"/>
      <w:bookmarkStart w:id="628" w:name="_Toc8748"/>
      <w:bookmarkStart w:id="629" w:name="_Toc19219"/>
      <w:r>
        <w:rPr>
          <w:rFonts w:hint="eastAsia" w:ascii="微软雅黑" w:hAnsi="微软雅黑" w:eastAsia="微软雅黑" w:cs="微软雅黑"/>
          <w:b/>
          <w:color w:val="auto"/>
          <w:sz w:val="22"/>
          <w:szCs w:val="22"/>
          <w:highlight w:val="none"/>
        </w:rPr>
        <w:t>2.6 结算方式和付款条件</w:t>
      </w:r>
      <w:bookmarkEnd w:id="619"/>
      <w:bookmarkEnd w:id="620"/>
      <w:bookmarkEnd w:id="621"/>
      <w:bookmarkEnd w:id="622"/>
      <w:bookmarkEnd w:id="623"/>
      <w:bookmarkEnd w:id="625"/>
      <w:bookmarkEnd w:id="626"/>
      <w:bookmarkEnd w:id="627"/>
      <w:bookmarkEnd w:id="628"/>
      <w:bookmarkEnd w:id="629"/>
    </w:p>
    <w:p w14:paraId="603E1F7E">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color w:val="auto"/>
          <w:sz w:val="22"/>
          <w:szCs w:val="22"/>
          <w:highlight w:val="none"/>
        </w:rPr>
        <w:t>详见</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w:t>
      </w:r>
    </w:p>
    <w:p w14:paraId="3804441B">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30" w:name="_Ref467379852"/>
      <w:bookmarkStart w:id="631" w:name="_Toc487900358"/>
      <w:bookmarkStart w:id="632" w:name="_Toc279701248"/>
      <w:bookmarkStart w:id="633" w:name="_Ref467379863"/>
      <w:bookmarkStart w:id="634" w:name="_Ref467379923"/>
      <w:bookmarkStart w:id="635" w:name="_Toc259093677"/>
      <w:bookmarkStart w:id="636" w:name="_Toc4591"/>
      <w:bookmarkStart w:id="637" w:name="_Toc774"/>
      <w:bookmarkStart w:id="638" w:name="_Toc18230"/>
      <w:bookmarkStart w:id="639" w:name="_Toc3225"/>
      <w:bookmarkStart w:id="640" w:name="_Toc16110"/>
      <w:r>
        <w:rPr>
          <w:rFonts w:hint="eastAsia" w:ascii="微软雅黑" w:hAnsi="微软雅黑" w:eastAsia="微软雅黑" w:cs="微软雅黑"/>
          <w:b/>
          <w:color w:val="auto"/>
          <w:sz w:val="22"/>
          <w:szCs w:val="22"/>
          <w:highlight w:val="none"/>
        </w:rPr>
        <w:t>2.7 技术资料</w:t>
      </w:r>
      <w:bookmarkEnd w:id="630"/>
      <w:bookmarkEnd w:id="631"/>
      <w:bookmarkEnd w:id="632"/>
      <w:bookmarkEnd w:id="633"/>
      <w:bookmarkEnd w:id="634"/>
      <w:bookmarkEnd w:id="635"/>
      <w:r>
        <w:rPr>
          <w:rFonts w:hint="eastAsia" w:ascii="微软雅黑" w:hAnsi="微软雅黑" w:eastAsia="微软雅黑" w:cs="微软雅黑"/>
          <w:b/>
          <w:color w:val="auto"/>
          <w:sz w:val="22"/>
          <w:szCs w:val="22"/>
          <w:highlight w:val="none"/>
        </w:rPr>
        <w:t>和保密义务</w:t>
      </w:r>
      <w:bookmarkEnd w:id="636"/>
      <w:bookmarkEnd w:id="637"/>
      <w:bookmarkEnd w:id="638"/>
      <w:bookmarkEnd w:id="639"/>
      <w:bookmarkEnd w:id="640"/>
    </w:p>
    <w:p w14:paraId="48A2BC8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2.7.1 乙方有权依据合同约定和项目需要，向甲方了解有关情况，调阅有关资料等，甲方应予积极配合；</w:t>
      </w:r>
    </w:p>
    <w:p w14:paraId="537AC1E4">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2.7.2 乙方有义务妥善保管和保护由甲方提供的前款信息和资料等；</w:t>
      </w:r>
    </w:p>
    <w:p w14:paraId="7FE5FD5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16F113">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41" w:name="_Toc7860"/>
      <w:bookmarkStart w:id="642" w:name="_Toc27024"/>
      <w:bookmarkStart w:id="643" w:name="_Toc25145"/>
      <w:r>
        <w:rPr>
          <w:rFonts w:hint="eastAsia" w:ascii="微软雅黑" w:hAnsi="微软雅黑" w:eastAsia="微软雅黑" w:cs="微软雅黑"/>
          <w:b/>
          <w:color w:val="auto"/>
          <w:sz w:val="22"/>
          <w:szCs w:val="22"/>
          <w:highlight w:val="none"/>
        </w:rPr>
        <w:t>2.8 质量保证</w:t>
      </w:r>
      <w:bookmarkEnd w:id="641"/>
      <w:bookmarkEnd w:id="642"/>
      <w:bookmarkEnd w:id="643"/>
    </w:p>
    <w:p w14:paraId="72EDDEC6">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2.8.1 乙方应建立和完善履行合同的内部质量保证体系，并提供相关内部规章制度给甲方，以便甲方进行监督检查；</w:t>
      </w:r>
    </w:p>
    <w:p w14:paraId="2E37415A">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2.8.2 乙方应保证履行合同的人员数量和素质、软件和硬件设备的配置、场地、环境和设施等满足全面履行合同的要求，并应接受甲方的监督检查。</w:t>
      </w:r>
    </w:p>
    <w:p w14:paraId="563A94D5">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44" w:name="_Toc17244"/>
      <w:bookmarkStart w:id="645" w:name="_Toc29023"/>
      <w:bookmarkStart w:id="646" w:name="_Toc17120"/>
      <w:bookmarkStart w:id="647" w:name="_Toc487900362"/>
      <w:bookmarkStart w:id="648" w:name="_Toc259093681"/>
      <w:bookmarkStart w:id="649" w:name="_Toc279701252"/>
      <w:r>
        <w:rPr>
          <w:rFonts w:hint="eastAsia" w:ascii="微软雅黑" w:hAnsi="微软雅黑" w:eastAsia="微软雅黑" w:cs="微软雅黑"/>
          <w:b/>
          <w:color w:val="auto"/>
          <w:sz w:val="22"/>
          <w:szCs w:val="22"/>
          <w:highlight w:val="none"/>
        </w:rPr>
        <w:t>2.9 货物的风险负担</w:t>
      </w:r>
      <w:bookmarkEnd w:id="644"/>
      <w:bookmarkEnd w:id="645"/>
      <w:bookmarkEnd w:id="646"/>
    </w:p>
    <w:p w14:paraId="02EFB126">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color w:val="auto"/>
          <w:sz w:val="22"/>
          <w:szCs w:val="22"/>
          <w:highlight w:val="none"/>
        </w:rPr>
        <w:t>货物或者在途货物或者交付给第一承运人后的货物毁损、灭失的风险负担详见</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color w:val="auto"/>
          <w:sz w:val="22"/>
          <w:szCs w:val="22"/>
          <w:highlight w:val="none"/>
        </w:rPr>
        <w:t>。</w:t>
      </w:r>
    </w:p>
    <w:p w14:paraId="3523B3A9">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50" w:name="_Toc25484"/>
      <w:bookmarkStart w:id="651" w:name="_Toc14055"/>
      <w:bookmarkStart w:id="652" w:name="_Toc28107"/>
      <w:r>
        <w:rPr>
          <w:rFonts w:hint="eastAsia" w:ascii="微软雅黑" w:hAnsi="微软雅黑" w:eastAsia="微软雅黑" w:cs="微软雅黑"/>
          <w:b/>
          <w:color w:val="auto"/>
          <w:sz w:val="22"/>
          <w:szCs w:val="22"/>
          <w:highlight w:val="none"/>
        </w:rPr>
        <w:t>2.10 延迟交货</w:t>
      </w:r>
      <w:bookmarkEnd w:id="647"/>
      <w:bookmarkEnd w:id="648"/>
      <w:bookmarkEnd w:id="649"/>
      <w:bookmarkEnd w:id="650"/>
      <w:bookmarkEnd w:id="651"/>
      <w:bookmarkEnd w:id="652"/>
    </w:p>
    <w:p w14:paraId="3D5EA90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18D7BE1">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53" w:name="_Toc8344"/>
      <w:bookmarkStart w:id="654" w:name="_Toc7502"/>
      <w:bookmarkStart w:id="655" w:name="_Toc3876"/>
      <w:bookmarkStart w:id="656" w:name="_Ref467378121"/>
      <w:bookmarkStart w:id="657" w:name="_Toc487900364"/>
      <w:bookmarkStart w:id="658" w:name="_Toc279701254"/>
      <w:bookmarkStart w:id="659" w:name="_Toc259093683"/>
      <w:r>
        <w:rPr>
          <w:rFonts w:hint="eastAsia" w:ascii="微软雅黑" w:hAnsi="微软雅黑" w:eastAsia="微软雅黑" w:cs="微软雅黑"/>
          <w:b/>
          <w:color w:val="auto"/>
          <w:sz w:val="22"/>
          <w:szCs w:val="22"/>
          <w:highlight w:val="none"/>
        </w:rPr>
        <w:t>2.11 合同变更</w:t>
      </w:r>
      <w:bookmarkEnd w:id="653"/>
      <w:bookmarkEnd w:id="654"/>
      <w:bookmarkEnd w:id="655"/>
    </w:p>
    <w:p w14:paraId="16901C2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2.11.1双方当事人协商一致，可以签订书面补充合同的形式变更合同，但不得违背</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确定的事项，且如果系追加与合同标的相同的货物的，那么所有补充合同的采购金额不得超过原合同价的10%；</w:t>
      </w:r>
    </w:p>
    <w:p w14:paraId="7FC3E8B4">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2.11.2 合同继续履行将损害国家利益和社会公共利益的，双方当事人应当以书面形式变更合同。有过错的一方应当承担赔偿责任，双方当事人都有过错的，各自承担相应的责任。</w:t>
      </w:r>
      <w:bookmarkStart w:id="660" w:name="_Toc487900369"/>
      <w:bookmarkStart w:id="661" w:name="_Toc279701259"/>
      <w:bookmarkStart w:id="662" w:name="_Toc259093688"/>
    </w:p>
    <w:p w14:paraId="1DFE6C80">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63" w:name="_Toc15237"/>
      <w:bookmarkStart w:id="664" w:name="_Toc24312"/>
      <w:bookmarkStart w:id="665" w:name="_Toc10366"/>
      <w:bookmarkStart w:id="666" w:name="_Toc22955"/>
      <w:bookmarkStart w:id="667" w:name="_Toc26927"/>
      <w:r>
        <w:rPr>
          <w:rFonts w:hint="eastAsia" w:ascii="微软雅黑" w:hAnsi="微软雅黑" w:eastAsia="微软雅黑" w:cs="微软雅黑"/>
          <w:b/>
          <w:color w:val="auto"/>
          <w:sz w:val="22"/>
          <w:szCs w:val="22"/>
          <w:highlight w:val="none"/>
        </w:rPr>
        <w:t>2.12 合同转让</w:t>
      </w:r>
      <w:bookmarkEnd w:id="660"/>
      <w:bookmarkEnd w:id="661"/>
      <w:bookmarkEnd w:id="662"/>
      <w:r>
        <w:rPr>
          <w:rFonts w:hint="eastAsia" w:ascii="微软雅黑" w:hAnsi="微软雅黑" w:eastAsia="微软雅黑" w:cs="微软雅黑"/>
          <w:b/>
          <w:color w:val="auto"/>
          <w:sz w:val="22"/>
          <w:szCs w:val="22"/>
          <w:highlight w:val="none"/>
        </w:rPr>
        <w:t>和分包</w:t>
      </w:r>
      <w:bookmarkEnd w:id="663"/>
      <w:bookmarkEnd w:id="664"/>
      <w:bookmarkEnd w:id="665"/>
      <w:bookmarkEnd w:id="666"/>
      <w:bookmarkEnd w:id="667"/>
    </w:p>
    <w:p w14:paraId="06C5DA3B">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61AEB73">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68" w:name="_Toc13566"/>
      <w:bookmarkStart w:id="669" w:name="_Toc16508"/>
      <w:bookmarkStart w:id="670" w:name="_Toc2865"/>
      <w:bookmarkStart w:id="671" w:name="_Toc14066"/>
      <w:bookmarkStart w:id="672" w:name="_Toc23302"/>
      <w:r>
        <w:rPr>
          <w:rFonts w:hint="eastAsia" w:ascii="微软雅黑" w:hAnsi="微软雅黑" w:eastAsia="微软雅黑" w:cs="微软雅黑"/>
          <w:b/>
          <w:color w:val="auto"/>
          <w:sz w:val="22"/>
          <w:szCs w:val="22"/>
          <w:highlight w:val="none"/>
        </w:rPr>
        <w:t>2.13 不可抗力</w:t>
      </w:r>
      <w:bookmarkEnd w:id="668"/>
      <w:bookmarkEnd w:id="669"/>
      <w:bookmarkEnd w:id="670"/>
      <w:bookmarkEnd w:id="671"/>
      <w:bookmarkEnd w:id="672"/>
    </w:p>
    <w:p w14:paraId="05078B29">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2.13.1如果任何一方遭遇法律规定的不可抗力，致使合同履行受阻时，履行合同的期限应予延长，延长的期限应相当于不可抗力所影响的时间；</w:t>
      </w:r>
    </w:p>
    <w:p w14:paraId="71C4A90A">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2.13.2 因不可抗力致使不能实现合同目的的，当事人可以解除合同；</w:t>
      </w:r>
    </w:p>
    <w:p w14:paraId="06E527A6">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color w:val="auto"/>
          <w:sz w:val="22"/>
          <w:szCs w:val="22"/>
          <w:highlight w:val="none"/>
        </w:rPr>
        <w:t>2.13.3 因不可抗力致使合同有变更必要的，双方当事人应</w:t>
      </w:r>
      <w:r>
        <w:rPr>
          <w:rFonts w:hint="eastAsia" w:ascii="微软雅黑" w:hAnsi="微软雅黑" w:eastAsia="微软雅黑" w:cs="微软雅黑"/>
          <w:b w:val="0"/>
          <w:bCs w:val="0"/>
          <w:color w:val="auto"/>
          <w:sz w:val="22"/>
          <w:szCs w:val="22"/>
          <w:highlight w:val="none"/>
        </w:rPr>
        <w:t>在</w:t>
      </w:r>
      <w:r>
        <w:rPr>
          <w:rFonts w:hint="eastAsia" w:ascii="微软雅黑" w:hAnsi="微软雅黑" w:eastAsia="微软雅黑" w:cs="微软雅黑"/>
          <w:b w:val="0"/>
          <w:bCs w:val="0"/>
          <w:i/>
          <w:color w:val="auto"/>
          <w:sz w:val="22"/>
          <w:szCs w:val="22"/>
          <w:highlight w:val="none"/>
          <w:u w:val="single"/>
        </w:rPr>
        <w:t>合</w:t>
      </w:r>
      <w:r>
        <w:rPr>
          <w:rFonts w:hint="eastAsia" w:ascii="微软雅黑" w:hAnsi="微软雅黑" w:eastAsia="微软雅黑" w:cs="微软雅黑"/>
          <w:b w:val="0"/>
          <w:bCs/>
          <w:i/>
          <w:color w:val="auto"/>
          <w:sz w:val="22"/>
          <w:szCs w:val="22"/>
          <w:highlight w:val="none"/>
          <w:u w:val="single"/>
        </w:rPr>
        <w:t>同专用条款</w:t>
      </w:r>
      <w:r>
        <w:rPr>
          <w:rFonts w:hint="eastAsia" w:ascii="微软雅黑" w:hAnsi="微软雅黑" w:eastAsia="微软雅黑" w:cs="微软雅黑"/>
          <w:b w:val="0"/>
          <w:bCs/>
          <w:color w:val="auto"/>
          <w:sz w:val="22"/>
          <w:szCs w:val="22"/>
          <w:highlight w:val="none"/>
        </w:rPr>
        <w:t>约定时间内以书面形式变更合同；</w:t>
      </w:r>
    </w:p>
    <w:p w14:paraId="49EFB564">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val="0"/>
          <w:bCs/>
          <w:color w:val="auto"/>
          <w:sz w:val="22"/>
          <w:szCs w:val="22"/>
          <w:highlight w:val="none"/>
        </w:rPr>
        <w:t>2.13.4受不可抗力影响的一方在不可抗力发生后，应在</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约定时间内以书面形式通知对方当事人，并在</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约定时间内，将有关部</w:t>
      </w:r>
      <w:r>
        <w:rPr>
          <w:rFonts w:hint="eastAsia" w:ascii="微软雅黑" w:hAnsi="微软雅黑" w:eastAsia="微软雅黑" w:cs="微软雅黑"/>
          <w:color w:val="auto"/>
          <w:sz w:val="22"/>
          <w:szCs w:val="22"/>
          <w:highlight w:val="none"/>
        </w:rPr>
        <w:t>门出具的证明文件送达对方当事人。</w:t>
      </w:r>
    </w:p>
    <w:p w14:paraId="080C75F6">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73" w:name="_Toc19816"/>
      <w:bookmarkStart w:id="674" w:name="_Toc487900365"/>
      <w:bookmarkStart w:id="675" w:name="_Toc279701255"/>
      <w:bookmarkStart w:id="676" w:name="_Toc689"/>
      <w:bookmarkStart w:id="677" w:name="_Toc259093684"/>
      <w:bookmarkStart w:id="678" w:name="_Toc6969"/>
      <w:bookmarkStart w:id="679" w:name="_Toc587"/>
      <w:bookmarkStart w:id="680" w:name="_Toc30676"/>
      <w:r>
        <w:rPr>
          <w:rFonts w:hint="eastAsia" w:ascii="微软雅黑" w:hAnsi="微软雅黑" w:eastAsia="微软雅黑" w:cs="微软雅黑"/>
          <w:b/>
          <w:color w:val="auto"/>
          <w:sz w:val="22"/>
          <w:szCs w:val="22"/>
          <w:highlight w:val="none"/>
        </w:rPr>
        <w:t>2.14 税费</w:t>
      </w:r>
      <w:bookmarkEnd w:id="673"/>
      <w:bookmarkEnd w:id="674"/>
      <w:bookmarkEnd w:id="675"/>
      <w:bookmarkEnd w:id="676"/>
      <w:bookmarkEnd w:id="677"/>
      <w:bookmarkEnd w:id="678"/>
      <w:bookmarkEnd w:id="679"/>
      <w:bookmarkEnd w:id="680"/>
    </w:p>
    <w:p w14:paraId="7F353EE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与合同有关的一切税费，均按照中华人民共和国法律的相关规定。</w:t>
      </w:r>
    </w:p>
    <w:p w14:paraId="7FD553F9">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81" w:name="_Toc259093687"/>
      <w:bookmarkStart w:id="682" w:name="_Toc279701258"/>
      <w:bookmarkStart w:id="683" w:name="_Toc8298"/>
      <w:bookmarkStart w:id="684" w:name="_Toc16959"/>
      <w:bookmarkStart w:id="685" w:name="_Toc487900368"/>
      <w:bookmarkStart w:id="686" w:name="_Toc11837"/>
      <w:bookmarkStart w:id="687" w:name="_Toc7102"/>
      <w:bookmarkStart w:id="688" w:name="_Toc31568"/>
      <w:r>
        <w:rPr>
          <w:rFonts w:hint="eastAsia" w:ascii="微软雅黑" w:hAnsi="微软雅黑" w:eastAsia="微软雅黑" w:cs="微软雅黑"/>
          <w:b/>
          <w:color w:val="auto"/>
          <w:sz w:val="22"/>
          <w:szCs w:val="22"/>
          <w:highlight w:val="none"/>
        </w:rPr>
        <w:t>2.15 乙方破产</w:t>
      </w:r>
      <w:bookmarkEnd w:id="681"/>
      <w:bookmarkEnd w:id="682"/>
      <w:bookmarkEnd w:id="683"/>
      <w:bookmarkEnd w:id="684"/>
      <w:bookmarkEnd w:id="685"/>
      <w:bookmarkEnd w:id="686"/>
      <w:bookmarkEnd w:id="687"/>
      <w:bookmarkEnd w:id="688"/>
    </w:p>
    <w:p w14:paraId="4B11250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57F4425">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89" w:name="_Toc9913"/>
      <w:bookmarkStart w:id="690" w:name="_Toc6134"/>
      <w:bookmarkStart w:id="691" w:name="_Toc29333"/>
      <w:bookmarkStart w:id="692" w:name="_Toc30815"/>
      <w:bookmarkStart w:id="693" w:name="_Toc15387"/>
      <w:r>
        <w:rPr>
          <w:rFonts w:hint="eastAsia" w:ascii="微软雅黑" w:hAnsi="微软雅黑" w:eastAsia="微软雅黑" w:cs="微软雅黑"/>
          <w:b/>
          <w:color w:val="auto"/>
          <w:sz w:val="22"/>
          <w:szCs w:val="22"/>
          <w:highlight w:val="none"/>
        </w:rPr>
        <w:t>2.16 合同中止、终止</w:t>
      </w:r>
      <w:bookmarkEnd w:id="689"/>
      <w:bookmarkEnd w:id="690"/>
      <w:bookmarkEnd w:id="691"/>
      <w:bookmarkEnd w:id="692"/>
      <w:bookmarkEnd w:id="693"/>
    </w:p>
    <w:p w14:paraId="783E2AB1">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2.16.1 双方当事人不得擅自中止或者终止合同；</w:t>
      </w:r>
    </w:p>
    <w:p w14:paraId="4871768D">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2.16.2合同继续履行将损害国家利益和社会公共利益的，双方当事人应当中止或者终止合同。有过错的一方应当承担赔偿责任，双方当事人都有过错的，各自承担相应的责任。</w:t>
      </w:r>
    </w:p>
    <w:p w14:paraId="6910AF2C">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94" w:name="_Toc32658"/>
      <w:bookmarkStart w:id="695" w:name="_Toc2009"/>
      <w:bookmarkStart w:id="696" w:name="_Toc6596"/>
      <w:bookmarkStart w:id="697" w:name="_Toc14563"/>
      <w:bookmarkStart w:id="698" w:name="_Toc1125"/>
      <w:r>
        <w:rPr>
          <w:rFonts w:hint="eastAsia" w:ascii="微软雅黑" w:hAnsi="微软雅黑" w:eastAsia="微软雅黑" w:cs="微软雅黑"/>
          <w:b/>
          <w:color w:val="auto"/>
          <w:sz w:val="22"/>
          <w:szCs w:val="22"/>
          <w:highlight w:val="none"/>
        </w:rPr>
        <w:t>2.17 检验和验收</w:t>
      </w:r>
      <w:bookmarkEnd w:id="694"/>
      <w:bookmarkEnd w:id="695"/>
      <w:bookmarkEnd w:id="696"/>
      <w:bookmarkEnd w:id="697"/>
      <w:bookmarkEnd w:id="698"/>
    </w:p>
    <w:p w14:paraId="6511CBE4">
      <w:pPr>
        <w:pageBreakBefore w:val="0"/>
        <w:tabs>
          <w:tab w:val="left" w:pos="360"/>
          <w:tab w:val="left" w:pos="540"/>
          <w:tab w:val="left" w:pos="1080"/>
        </w:tabs>
        <w:kinsoku/>
        <w:wordWrap/>
        <w:overflowPunct/>
        <w:topLinePunct w:val="0"/>
        <w:bidi w:val="0"/>
        <w:snapToGrid w:val="0"/>
        <w:spacing w:line="312" w:lineRule="auto"/>
        <w:ind w:firstLine="440" w:firstLineChars="200"/>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color w:val="auto"/>
          <w:sz w:val="22"/>
          <w:szCs w:val="22"/>
          <w:highlight w:val="none"/>
        </w:rPr>
        <w:t>2.17.1货物交付前，乙方应对货物的质量、数量等方面进行详细、全面的检验，并向甲方出具证明货物符合合同约定的文件；货物交付时，乙方在</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约定时间内组织验收，并可依法邀请相关方参加，验收应出具验收书。</w:t>
      </w:r>
    </w:p>
    <w:p w14:paraId="7C5974DA">
      <w:pPr>
        <w:pageBreakBefore w:val="0"/>
        <w:tabs>
          <w:tab w:val="left" w:pos="360"/>
          <w:tab w:val="left" w:pos="540"/>
          <w:tab w:val="left" w:pos="1080"/>
        </w:tabs>
        <w:kinsoku/>
        <w:wordWrap/>
        <w:overflowPunct/>
        <w:topLinePunct w:val="0"/>
        <w:bidi w:val="0"/>
        <w:snapToGrid w:val="0"/>
        <w:spacing w:line="312" w:lineRule="auto"/>
        <w:ind w:firstLine="440" w:firstLineChars="200"/>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b w:val="0"/>
          <w:bCs/>
          <w:color w:val="auto"/>
          <w:sz w:val="22"/>
          <w:szCs w:val="22"/>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E401924">
      <w:pPr>
        <w:pageBreakBefore w:val="0"/>
        <w:tabs>
          <w:tab w:val="left" w:pos="360"/>
          <w:tab w:val="left" w:pos="540"/>
          <w:tab w:val="left" w:pos="1080"/>
        </w:tabs>
        <w:kinsoku/>
        <w:wordWrap/>
        <w:overflowPunct/>
        <w:topLinePunct w:val="0"/>
        <w:bidi w:val="0"/>
        <w:snapToGrid w:val="0"/>
        <w:spacing w:line="312" w:lineRule="auto"/>
        <w:ind w:firstLine="440" w:firstLineChars="200"/>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b w:val="0"/>
          <w:bCs/>
          <w:color w:val="auto"/>
          <w:sz w:val="22"/>
          <w:szCs w:val="22"/>
          <w:highlight w:val="none"/>
        </w:rPr>
        <w:t>2.17.3 检验和验收标准、程序等具体内容以及前述验收书的效力详见</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i/>
          <w:color w:val="auto"/>
          <w:sz w:val="22"/>
          <w:szCs w:val="22"/>
          <w:highlight w:val="none"/>
        </w:rPr>
        <w:t>。</w:t>
      </w:r>
    </w:p>
    <w:bookmarkEnd w:id="656"/>
    <w:bookmarkEnd w:id="657"/>
    <w:bookmarkEnd w:id="658"/>
    <w:bookmarkEnd w:id="659"/>
    <w:p w14:paraId="3E350285">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699" w:name="_Toc279701261"/>
      <w:bookmarkStart w:id="700" w:name="_Toc259093690"/>
      <w:bookmarkStart w:id="701" w:name="_Toc487900371"/>
      <w:bookmarkStart w:id="702" w:name="_Toc27053"/>
      <w:bookmarkStart w:id="703" w:name="_Toc25182"/>
      <w:bookmarkStart w:id="704" w:name="_Toc11284"/>
      <w:bookmarkStart w:id="705" w:name="_Toc30405"/>
      <w:bookmarkStart w:id="706" w:name="_Toc19604"/>
      <w:r>
        <w:rPr>
          <w:rFonts w:hint="eastAsia" w:ascii="微软雅黑" w:hAnsi="微软雅黑" w:eastAsia="微软雅黑" w:cs="微软雅黑"/>
          <w:b/>
          <w:color w:val="auto"/>
          <w:sz w:val="22"/>
          <w:szCs w:val="22"/>
          <w:highlight w:val="none"/>
        </w:rPr>
        <w:t>2.18 通知</w:t>
      </w:r>
      <w:bookmarkEnd w:id="699"/>
      <w:bookmarkEnd w:id="700"/>
      <w:bookmarkEnd w:id="701"/>
      <w:r>
        <w:rPr>
          <w:rFonts w:hint="eastAsia" w:ascii="微软雅黑" w:hAnsi="微软雅黑" w:eastAsia="微软雅黑" w:cs="微软雅黑"/>
          <w:b/>
          <w:color w:val="auto"/>
          <w:sz w:val="22"/>
          <w:szCs w:val="22"/>
          <w:highlight w:val="none"/>
        </w:rPr>
        <w:t>和送达</w:t>
      </w:r>
      <w:bookmarkEnd w:id="702"/>
      <w:bookmarkEnd w:id="703"/>
      <w:bookmarkEnd w:id="704"/>
      <w:bookmarkEnd w:id="705"/>
      <w:bookmarkEnd w:id="706"/>
    </w:p>
    <w:p w14:paraId="234AB280">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bookmarkStart w:id="707" w:name="_Toc3135"/>
      <w:bookmarkStart w:id="708" w:name="_Toc6698"/>
      <w:bookmarkStart w:id="709" w:name="_Toc259093691"/>
      <w:bookmarkStart w:id="710" w:name="_Toc279701262"/>
      <w:bookmarkStart w:id="711" w:name="_Toc487900372"/>
      <w:r>
        <w:rPr>
          <w:rFonts w:hint="eastAsia" w:ascii="微软雅黑" w:hAnsi="微软雅黑" w:eastAsia="微软雅黑" w:cs="微软雅黑"/>
          <w:color w:val="auto"/>
          <w:sz w:val="22"/>
          <w:szCs w:val="22"/>
          <w:highlight w:val="none"/>
        </w:rPr>
        <w:t>2.18.1 任何一方因履行合同而以合同第一部分尾部所列明的</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发出的所有通知、文件、材料，均视为已向对方当事人送达；任何一方变更上述送达方式或者地址的，应于</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个工作日内书面通知对方当事人，在对方当事人收到有关变更通知之前，变更前的约定送达方式或者地址仍视为有效。</w:t>
      </w:r>
      <w:bookmarkEnd w:id="707"/>
      <w:bookmarkEnd w:id="708"/>
    </w:p>
    <w:p w14:paraId="2B802113">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bookmarkStart w:id="712" w:name="_Toc23294"/>
      <w:bookmarkStart w:id="713" w:name="_Toc23128"/>
      <w:r>
        <w:rPr>
          <w:rFonts w:hint="eastAsia" w:ascii="微软雅黑" w:hAnsi="微软雅黑" w:eastAsia="微软雅黑" w:cs="微软雅黑"/>
          <w:color w:val="auto"/>
          <w:sz w:val="22"/>
          <w:szCs w:val="22"/>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712"/>
      <w:bookmarkEnd w:id="713"/>
    </w:p>
    <w:p w14:paraId="0FAD4283">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714" w:name="_Toc4857"/>
      <w:bookmarkStart w:id="715" w:name="_Toc17867"/>
      <w:bookmarkStart w:id="716" w:name="_Toc30599"/>
      <w:bookmarkStart w:id="717" w:name="_Toc18540"/>
      <w:bookmarkStart w:id="718" w:name="_Toc4355"/>
      <w:r>
        <w:rPr>
          <w:rFonts w:hint="eastAsia" w:ascii="微软雅黑" w:hAnsi="微软雅黑" w:eastAsia="微软雅黑" w:cs="微软雅黑"/>
          <w:b/>
          <w:color w:val="auto"/>
          <w:sz w:val="22"/>
          <w:szCs w:val="22"/>
          <w:highlight w:val="none"/>
        </w:rPr>
        <w:t>2.19 计量单位</w:t>
      </w:r>
      <w:bookmarkEnd w:id="709"/>
      <w:bookmarkEnd w:id="710"/>
      <w:bookmarkEnd w:id="711"/>
      <w:bookmarkEnd w:id="714"/>
      <w:bookmarkEnd w:id="715"/>
      <w:bookmarkEnd w:id="716"/>
      <w:bookmarkEnd w:id="717"/>
      <w:bookmarkEnd w:id="718"/>
    </w:p>
    <w:p w14:paraId="1E0034C1">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除技术规范中另有规定外,合同的计量单位均使用国家法定计量单位。</w:t>
      </w:r>
    </w:p>
    <w:p w14:paraId="2800436F">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719" w:name="_Toc18567"/>
      <w:bookmarkStart w:id="720" w:name="_Toc12773"/>
      <w:bookmarkStart w:id="721" w:name="_Toc259093692"/>
      <w:bookmarkStart w:id="722" w:name="_Toc107"/>
      <w:bookmarkStart w:id="723" w:name="_Toc10330"/>
      <w:bookmarkStart w:id="724" w:name="_Toc279701263"/>
      <w:bookmarkStart w:id="725" w:name="_Toc14615"/>
      <w:bookmarkStart w:id="726" w:name="_Toc487900373"/>
      <w:r>
        <w:rPr>
          <w:rFonts w:hint="eastAsia" w:ascii="微软雅黑" w:hAnsi="微软雅黑" w:eastAsia="微软雅黑" w:cs="微软雅黑"/>
          <w:b/>
          <w:color w:val="auto"/>
          <w:sz w:val="22"/>
          <w:szCs w:val="22"/>
          <w:highlight w:val="none"/>
        </w:rPr>
        <w:t>2.20 合同使用的文字和适用的法律</w:t>
      </w:r>
      <w:bookmarkEnd w:id="719"/>
      <w:bookmarkEnd w:id="720"/>
      <w:bookmarkEnd w:id="721"/>
      <w:bookmarkEnd w:id="722"/>
      <w:bookmarkEnd w:id="723"/>
      <w:bookmarkEnd w:id="724"/>
      <w:bookmarkEnd w:id="725"/>
      <w:bookmarkEnd w:id="726"/>
    </w:p>
    <w:p w14:paraId="77962290">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2.20.1 合同使用汉语书就、变更和解释；</w:t>
      </w:r>
    </w:p>
    <w:p w14:paraId="0A4E4B38">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2.20.2 合同适用中华人民共和国法律。</w:t>
      </w:r>
    </w:p>
    <w:p w14:paraId="23EB250C">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727" w:name="_Toc23447"/>
      <w:bookmarkStart w:id="728" w:name="_Toc25324"/>
      <w:bookmarkStart w:id="729" w:name="_Toc3148"/>
      <w:bookmarkStart w:id="730" w:name="_Toc279701264"/>
      <w:bookmarkStart w:id="731" w:name="_Toc16673"/>
      <w:bookmarkStart w:id="732" w:name="_Toc259093693"/>
      <w:bookmarkStart w:id="733" w:name="_Toc487900374"/>
      <w:r>
        <w:rPr>
          <w:rFonts w:hint="eastAsia" w:ascii="微软雅黑" w:hAnsi="微软雅黑" w:eastAsia="微软雅黑" w:cs="微软雅黑"/>
          <w:b/>
          <w:color w:val="auto"/>
          <w:sz w:val="22"/>
          <w:szCs w:val="22"/>
          <w:highlight w:val="none"/>
        </w:rPr>
        <w:t>2.21 履约保证金</w:t>
      </w:r>
      <w:bookmarkEnd w:id="727"/>
      <w:bookmarkEnd w:id="728"/>
      <w:bookmarkEnd w:id="729"/>
      <w:bookmarkEnd w:id="730"/>
      <w:bookmarkEnd w:id="731"/>
      <w:bookmarkEnd w:id="732"/>
    </w:p>
    <w:p w14:paraId="1D385637">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b w:val="0"/>
          <w:bCs/>
          <w:color w:val="auto"/>
          <w:sz w:val="22"/>
          <w:szCs w:val="22"/>
          <w:highlight w:val="none"/>
        </w:rPr>
      </w:pPr>
      <w:r>
        <w:rPr>
          <w:rFonts w:hint="eastAsia" w:ascii="微软雅黑" w:hAnsi="微软雅黑" w:eastAsia="微软雅黑" w:cs="微软雅黑"/>
          <w:color w:val="auto"/>
          <w:sz w:val="22"/>
          <w:szCs w:val="22"/>
          <w:highlight w:val="none"/>
        </w:rPr>
        <w:t xml:space="preserve">2.21.1 </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要求乙方提交履约保证金的，乙方应按</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约定的方式，以支票、汇票、本票或者金融机构、担保机构出具的保函等非现金形式，提交不超过合同价10%的履约保证金；</w:t>
      </w:r>
    </w:p>
    <w:p w14:paraId="7E0A143E">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val="0"/>
          <w:bCs/>
          <w:color w:val="auto"/>
          <w:sz w:val="22"/>
          <w:szCs w:val="22"/>
          <w:highlight w:val="none"/>
        </w:rPr>
        <w:t>2.21.2  履约保证金在</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约定期间内或者货物质量保证期内不予退还或者应完全有效，前述约定期间届满或者货物质量保证期届满之日起</w:t>
      </w:r>
      <w:r>
        <w:rPr>
          <w:rFonts w:hint="eastAsia" w:ascii="微软雅黑" w:hAnsi="微软雅黑" w:eastAsia="微软雅黑" w:cs="微软雅黑"/>
          <w:b w:val="0"/>
          <w:bCs/>
          <w:color w:val="auto"/>
          <w:sz w:val="22"/>
          <w:szCs w:val="22"/>
          <w:highlight w:val="none"/>
          <w:u w:val="single"/>
        </w:rPr>
        <w:t xml:space="preserve">  </w:t>
      </w:r>
      <w:r>
        <w:rPr>
          <w:rFonts w:hint="eastAsia" w:ascii="微软雅黑" w:hAnsi="微软雅黑" w:eastAsia="微软雅黑" w:cs="微软雅黑"/>
          <w:color w:val="auto"/>
          <w:sz w:val="22"/>
          <w:szCs w:val="22"/>
          <w:highlight w:val="none"/>
        </w:rPr>
        <w:t>个工作日内，甲方应将履约保证金退还乙方；</w:t>
      </w:r>
    </w:p>
    <w:p w14:paraId="12891A5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33"/>
    <w:p w14:paraId="236D8A08">
      <w:pPr>
        <w:pageBreakBefore w:val="0"/>
        <w:kinsoku/>
        <w:wordWrap/>
        <w:overflowPunct/>
        <w:topLinePunct w:val="0"/>
        <w:bidi w:val="0"/>
        <w:snapToGrid w:val="0"/>
        <w:spacing w:line="312" w:lineRule="auto"/>
        <w:ind w:firstLine="440" w:firstLineChars="200"/>
        <w:outlineLvl w:val="2"/>
        <w:rPr>
          <w:rFonts w:hint="eastAsia" w:ascii="微软雅黑" w:hAnsi="微软雅黑" w:eastAsia="微软雅黑" w:cs="微软雅黑"/>
          <w:b/>
          <w:color w:val="auto"/>
          <w:sz w:val="22"/>
          <w:szCs w:val="22"/>
          <w:highlight w:val="none"/>
        </w:rPr>
      </w:pPr>
      <w:bookmarkStart w:id="734" w:name="_Toc19890"/>
      <w:bookmarkStart w:id="735" w:name="_Toc14001"/>
      <w:bookmarkStart w:id="736" w:name="_Toc18988"/>
      <w:bookmarkStart w:id="737" w:name="_Toc6885"/>
      <w:bookmarkStart w:id="738" w:name="_Toc25208"/>
      <w:r>
        <w:rPr>
          <w:rFonts w:hint="eastAsia" w:ascii="微软雅黑" w:hAnsi="微软雅黑" w:eastAsia="微软雅黑" w:cs="微软雅黑"/>
          <w:b/>
          <w:color w:val="auto"/>
          <w:sz w:val="22"/>
          <w:szCs w:val="22"/>
          <w:highlight w:val="none"/>
        </w:rPr>
        <w:t>2.22 合同份数</w:t>
      </w:r>
      <w:bookmarkEnd w:id="734"/>
      <w:bookmarkEnd w:id="735"/>
      <w:bookmarkEnd w:id="736"/>
      <w:bookmarkEnd w:id="737"/>
      <w:bookmarkEnd w:id="738"/>
    </w:p>
    <w:p w14:paraId="11811473">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合同份数按</w:t>
      </w:r>
      <w:r>
        <w:rPr>
          <w:rFonts w:hint="eastAsia" w:ascii="微软雅黑" w:hAnsi="微软雅黑" w:eastAsia="微软雅黑" w:cs="微软雅黑"/>
          <w:b w:val="0"/>
          <w:bCs/>
          <w:i/>
          <w:color w:val="auto"/>
          <w:sz w:val="22"/>
          <w:szCs w:val="22"/>
          <w:highlight w:val="none"/>
          <w:u w:val="single"/>
        </w:rPr>
        <w:t>合同专用条款</w:t>
      </w:r>
      <w:r>
        <w:rPr>
          <w:rFonts w:hint="eastAsia" w:ascii="微软雅黑" w:hAnsi="微软雅黑" w:eastAsia="微软雅黑" w:cs="微软雅黑"/>
          <w:b w:val="0"/>
          <w:bCs/>
          <w:color w:val="auto"/>
          <w:sz w:val="22"/>
          <w:szCs w:val="22"/>
          <w:highlight w:val="none"/>
        </w:rPr>
        <w:t>规定</w:t>
      </w:r>
      <w:r>
        <w:rPr>
          <w:rFonts w:hint="eastAsia" w:ascii="微软雅黑" w:hAnsi="微软雅黑" w:eastAsia="微软雅黑" w:cs="微软雅黑"/>
          <w:color w:val="auto"/>
          <w:sz w:val="22"/>
          <w:szCs w:val="22"/>
          <w:highlight w:val="none"/>
        </w:rPr>
        <w:t>，每份均具有同等法律效力。</w:t>
      </w:r>
    </w:p>
    <w:p w14:paraId="13FFC16E">
      <w:pPr>
        <w:pStyle w:val="64"/>
        <w:pageBreakBefore w:val="0"/>
        <w:kinsoku/>
        <w:wordWrap/>
        <w:overflowPunct/>
        <w:topLinePunct w:val="0"/>
        <w:bidi w:val="0"/>
        <w:snapToGrid w:val="0"/>
        <w:spacing w:line="312" w:lineRule="auto"/>
        <w:ind w:firstLine="0"/>
        <w:jc w:val="center"/>
        <w:outlineLvl w:val="1"/>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color w:val="auto"/>
          <w:sz w:val="22"/>
          <w:szCs w:val="22"/>
          <w:highlight w:val="none"/>
        </w:rPr>
        <w:br w:type="page"/>
      </w:r>
      <w:bookmarkStart w:id="739" w:name="_Toc22112"/>
      <w:bookmarkStart w:id="740" w:name="_Toc331685784"/>
      <w:r>
        <w:rPr>
          <w:rFonts w:hint="eastAsia" w:ascii="微软雅黑" w:hAnsi="微软雅黑" w:eastAsia="微软雅黑" w:cs="微软雅黑"/>
          <w:b/>
          <w:color w:val="auto"/>
          <w:sz w:val="22"/>
          <w:szCs w:val="22"/>
          <w:highlight w:val="none"/>
        </w:rPr>
        <w:t>第三部分  合同专用条款</w:t>
      </w:r>
      <w:bookmarkEnd w:id="739"/>
      <w:bookmarkEnd w:id="740"/>
    </w:p>
    <w:p w14:paraId="23B20AB5">
      <w:pPr>
        <w:pageBreakBefore w:val="0"/>
        <w:kinsoku/>
        <w:wordWrap/>
        <w:overflowPunct/>
        <w:topLinePunct w:val="0"/>
        <w:bidi w:val="0"/>
        <w:snapToGrid w:val="0"/>
        <w:spacing w:line="312"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935"/>
      </w:tblGrid>
      <w:tr w14:paraId="34193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12625060">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条款号</w:t>
            </w:r>
          </w:p>
        </w:tc>
        <w:tc>
          <w:tcPr>
            <w:tcW w:w="8935" w:type="dxa"/>
            <w:noWrap w:val="0"/>
            <w:vAlign w:val="center"/>
          </w:tcPr>
          <w:p w14:paraId="02495754">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约定内容</w:t>
            </w:r>
          </w:p>
        </w:tc>
      </w:tr>
      <w:tr w14:paraId="02F11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3416E2EC">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50150A7B">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032F5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62A19CF">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0D10F691">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1FA66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71EBC4C">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70CAF925">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33822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A09517A">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02BFF91D">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6C02B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55384DE">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750E76B0">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u w:val="single"/>
              </w:rPr>
            </w:pPr>
          </w:p>
        </w:tc>
      </w:tr>
      <w:tr w14:paraId="77795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A649333">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6A75C8BF">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41A2D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75EC11E">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6AD5257C">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u w:val="single"/>
              </w:rPr>
            </w:pPr>
          </w:p>
        </w:tc>
      </w:tr>
      <w:tr w14:paraId="078A6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F1F6552">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412607D5">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78A1F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A41D7CC">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0637655A">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3A57F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CABED61">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03EF2963">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616CA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5080AB6">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42595E2E">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r w14:paraId="7F049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90E3014">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c>
          <w:tcPr>
            <w:tcW w:w="8935" w:type="dxa"/>
            <w:noWrap w:val="0"/>
            <w:vAlign w:val="center"/>
          </w:tcPr>
          <w:p w14:paraId="1B3AAB31">
            <w:pPr>
              <w:pageBreakBefore w:val="0"/>
              <w:kinsoku/>
              <w:wordWrap/>
              <w:overflowPunct/>
              <w:topLinePunct w:val="0"/>
              <w:bidi w:val="0"/>
              <w:snapToGrid w:val="0"/>
              <w:spacing w:line="312" w:lineRule="auto"/>
              <w:rPr>
                <w:rFonts w:hint="eastAsia" w:ascii="微软雅黑" w:hAnsi="微软雅黑" w:eastAsia="微软雅黑" w:cs="微软雅黑"/>
                <w:color w:val="auto"/>
                <w:sz w:val="22"/>
                <w:szCs w:val="22"/>
                <w:highlight w:val="none"/>
              </w:rPr>
            </w:pPr>
          </w:p>
        </w:tc>
      </w:tr>
    </w:tbl>
    <w:p w14:paraId="457C0429">
      <w:pPr>
        <w:spacing w:after="156" w:line="560" w:lineRule="exact"/>
        <w:ind w:firstLine="480"/>
        <w:rPr>
          <w:rFonts w:hint="eastAsia" w:ascii="宋体" w:hAnsi="宋体" w:cs="宋体"/>
          <w:color w:val="auto"/>
          <w:highlight w:val="none"/>
        </w:rPr>
      </w:pPr>
    </w:p>
    <w:p w14:paraId="7EC3A923">
      <w:pPr>
        <w:rPr>
          <w:rFonts w:hint="eastAsia"/>
          <w:color w:val="auto"/>
          <w:highlight w:val="none"/>
        </w:rPr>
      </w:pPr>
    </w:p>
    <w:sectPr>
      <w:pgSz w:w="11907" w:h="16840"/>
      <w:pgMar w:top="1440" w:right="1080" w:bottom="1440" w:left="1080" w:header="851" w:footer="850"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62FC5">
    <w:pPr>
      <w:pStyle w:val="22"/>
      <w:ind w:right="360" w:firstLine="360"/>
      <w:jc w:val="right"/>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6888F">
    <w:pPr>
      <w:pStyle w:val="22"/>
      <w:ind w:right="360" w:firstLine="360"/>
      <w:jc w:val="right"/>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2273C7">
                          <w:pPr>
                            <w:pStyle w:val="22"/>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19A6gN8BAADBAwAADgAAAAAA&#10;AAABACAAAAAeAQAAZHJzL2Uyb0RvYy54bWxQSwUGAAAAAAYABgBZAQAAbwUAAAAA&#10;">
              <v:fill on="f" focussize="0,0"/>
              <v:stroke on="f"/>
              <v:imagedata o:title=""/>
              <o:lock v:ext="edit" aspectratio="f"/>
              <v:textbox inset="0mm,0mm,0mm,0mm" style="mso-fit-shape-to-text:t;">
                <w:txbxContent>
                  <w:p w14:paraId="6E2273C7">
                    <w:pPr>
                      <w:pStyle w:val="22"/>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F56EC">
    <w:pPr>
      <w:pStyle w:val="22"/>
      <w:ind w:right="360" w:firstLine="360"/>
      <w:jc w:val="right"/>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F98015">
                          <w:pPr>
                            <w:pStyle w:val="22"/>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f3aeABAADBAwAADgAAAGRycy9lMm9Eb2MueG1srVPBjtMwEL0j8Q+W&#10;7zRpB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a9qEOWdOWJr4+dfP8++/5z8/&#10;2Pzlq6RQ5+OKEm88pWL/FnrKnvyRnIl43wSb/kSJUZz0PV30VT0ymS4tF8tlSSFJselA+MXddR8i&#10;vldgWTIqHmiAWVdx/BhxSJ1SUjUH19qYPETj/nMQZvIUqfehx2Rhv+tHQjuoT8SHXgLVaSF856yj&#10;Pai4o7XnzHxwJHNamckIk7GbDOEkXaw4cjaY73BYrYMPet/mZUtNRf/mgNRpJpDaGGqP3dFkswTj&#10;FqbV+fecs+5e3uYW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JNH92ngAQAAwQMAAA4AAAAA&#10;AAAAAQAgAAAAHgEAAGRycy9lMm9Eb2MueG1sUEsFBgAAAAAGAAYAWQEAAHAFAAAAAA==&#10;">
              <v:fill on="f" focussize="0,0"/>
              <v:stroke on="f"/>
              <v:imagedata o:title=""/>
              <o:lock v:ext="edit" aspectratio="f"/>
              <v:textbox inset="0mm,0mm,0mm,0mm" style="mso-fit-shape-to-text:t;">
                <w:txbxContent>
                  <w:p w14:paraId="3FF98015">
                    <w:pPr>
                      <w:pStyle w:val="22"/>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DB1F1">
    <w:pPr>
      <w:pStyle w:val="22"/>
      <w:ind w:right="360" w:firstLine="360"/>
      <w:jc w:val="right"/>
      <w:rPr>
        <w:rFonts w:hint="eastAsia"/>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F367C4">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740IjgAQAAwQMAAA4AAAAA&#10;AAAAAQAgAAAAHgEAAGRycy9lMm9Eb2MueG1sUEsFBgAAAAAGAAYAWQEAAHAFAAAAAA==&#10;">
              <v:fill on="f" focussize="0,0"/>
              <v:stroke on="f"/>
              <v:imagedata o:title=""/>
              <o:lock v:ext="edit" aspectratio="f"/>
              <v:textbox inset="0mm,0mm,0mm,0mm" style="mso-fit-shape-to-text:t;">
                <w:txbxContent>
                  <w:p w14:paraId="47F367C4">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44DB5">
    <w:pPr>
      <w:pStyle w:val="22"/>
      <w:ind w:right="360" w:firstLine="360"/>
      <w:jc w:val="right"/>
      <w:rPr>
        <w:rFonts w:hint="eastAsia"/>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F0AEA6">
                          <w:pPr>
                            <w:pStyle w:val="22"/>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7"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pvHWHgAQAAwQMAAA4AAAAA&#10;AAAAAQAgAAAAHgEAAGRycy9lMm9Eb2MueG1sUEsFBgAAAAAGAAYAWQEAAHAFAAAAAA==&#10;">
              <v:fill on="f" focussize="0,0"/>
              <v:stroke on="f"/>
              <v:imagedata o:title=""/>
              <o:lock v:ext="edit" aspectratio="f"/>
              <v:textbox inset="0mm,0mm,0mm,0mm" style="mso-fit-shape-to-text:t;">
                <w:txbxContent>
                  <w:p w14:paraId="35F0AEA6">
                    <w:pPr>
                      <w:pStyle w:val="22"/>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0EAE">
    <w:pPr>
      <w:spacing w:line="184" w:lineRule="auto"/>
      <w:ind w:left="49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723132">
                          <w:pPr>
                            <w:pStyle w:val="22"/>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30+heIBAADMAwAADgAAAGRycy9lMm9Eb2MueG1srVNNrtMwEN4jcQfL&#10;e5q0SK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M&#10;8vQeK6q681QXh1cw0NLMcaRgYj20waY/8WGUJ3HPV3HVEJlMh9ar9bqklKTc7BB+cX/cB4xvFFiW&#10;jJoHur0sqji9wziWziWpm4NbbUy+QeP+ChDmGFF5BabTick4cbLisB8mentozsSOHgV17SB84ayn&#10;lai5oxfAmXnrSPG0PbMRZmM/G8JJOljzyNlovo7jlh190Icu710aEf3LY6S5M500xtibZEgOXXIW&#10;ZFrItEV/+rnq/h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a30+heIBAADMAwAADgAA&#10;AAAAAAABACAAAAAeAQAAZHJzL2Uyb0RvYy54bWxQSwUGAAAAAAYABgBZAQAAcgUAAAAA&#10;">
              <v:fill on="f" focussize="0,0"/>
              <v:stroke on="f"/>
              <v:imagedata o:title=""/>
              <o:lock v:ext="edit" aspectratio="f"/>
              <v:textbox inset="0mm,0mm,0mm,0mm" style="mso-fit-shape-to-text:t;">
                <w:txbxContent>
                  <w:p w14:paraId="50723132">
                    <w:pPr>
                      <w:pStyle w:val="22"/>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AF617">
    <w:pPr>
      <w:spacing w:line="184" w:lineRule="auto"/>
      <w:ind w:left="497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9B3D12">
                          <w:pPr>
                            <w:pStyle w:val="22"/>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Ns0tY3gAQAAwQMAAA4AAAAA&#10;AAAAAQAgAAAAHgEAAGRycy9lMm9Eb2MueG1sUEsFBgAAAAAGAAYAWQEAAHAFAAAAAA==&#10;">
              <v:fill on="f" focussize="0,0"/>
              <v:stroke on="f"/>
              <v:imagedata o:title=""/>
              <o:lock v:ext="edit" aspectratio="f"/>
              <v:textbox inset="0mm,0mm,0mm,0mm" style="mso-fit-shape-to-text:t;">
                <w:txbxContent>
                  <w:p w14:paraId="169B3D12">
                    <w:pPr>
                      <w:pStyle w:val="22"/>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4959">
    <w:pPr>
      <w:pStyle w:val="22"/>
      <w:ind w:right="360" w:firstLine="360"/>
      <w:jc w:val="right"/>
      <w:rPr>
        <w:rFonts w:hint="eastAsia"/>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EA9EB7">
                          <w:pPr>
                            <w:pStyle w:val="22"/>
                          </w:pPr>
                          <w:r>
                            <w:t xml:space="preserve">第 </w:t>
                          </w:r>
                          <w:r>
                            <w:fldChar w:fldCharType="begin"/>
                          </w:r>
                          <w:r>
                            <w:instrText xml:space="preserve"> PAGE  \* MERGEFORMAT </w:instrText>
                          </w:r>
                          <w:r>
                            <w:fldChar w:fldCharType="separate"/>
                          </w:r>
                          <w:r>
                            <w:t>92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50"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KY93ed8BAADBAwAADgAAAAAA&#10;AAABACAAAAAeAQAAZHJzL2Uyb0RvYy54bWxQSwUGAAAAAAYABgBZAQAAbwUAAAAA&#10;">
              <v:fill on="f" focussize="0,0"/>
              <v:stroke on="f"/>
              <v:imagedata o:title=""/>
              <o:lock v:ext="edit" aspectratio="f"/>
              <v:textbox inset="0mm,0mm,0mm,0mm" style="mso-fit-shape-to-text:t;">
                <w:txbxContent>
                  <w:p w14:paraId="50EA9EB7">
                    <w:pPr>
                      <w:pStyle w:val="22"/>
                    </w:pPr>
                    <w:r>
                      <w:t xml:space="preserve">第 </w:t>
                    </w:r>
                    <w:r>
                      <w:fldChar w:fldCharType="begin"/>
                    </w:r>
                    <w:r>
                      <w:instrText xml:space="preserve"> PAGE  \* MERGEFORMAT </w:instrText>
                    </w:r>
                    <w:r>
                      <w:fldChar w:fldCharType="separate"/>
                    </w:r>
                    <w:r>
                      <w:t>92</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FA7A0">
    <w:pPr>
      <w:pStyle w:val="22"/>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BFC02F">
                          <w:pPr>
                            <w:pStyle w:val="22"/>
                          </w:pPr>
                          <w:r>
                            <w:t xml:space="preserve">第 </w:t>
                          </w:r>
                          <w:r>
                            <w:fldChar w:fldCharType="begin"/>
                          </w:r>
                          <w:r>
                            <w:instrText xml:space="preserve"> PAGE  \* MERGEFORMAT </w:instrText>
                          </w:r>
                          <w:r>
                            <w:fldChar w:fldCharType="separate"/>
                          </w:r>
                          <w:r>
                            <w:t>93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5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Ubi1DgAQAAwQMAAA4AAAAA&#10;AAAAAQAgAAAAHgEAAGRycy9lMm9Eb2MueG1sUEsFBgAAAAAGAAYAWQEAAHAFAAAAAA==&#10;">
              <v:fill on="f" focussize="0,0"/>
              <v:stroke on="f"/>
              <v:imagedata o:title=""/>
              <o:lock v:ext="edit" aspectratio="f"/>
              <v:textbox inset="0mm,0mm,0mm,0mm" style="mso-fit-shape-to-text:t;">
                <w:txbxContent>
                  <w:p w14:paraId="1ABFC02F">
                    <w:pPr>
                      <w:pStyle w:val="22"/>
                    </w:pPr>
                    <w:r>
                      <w:t xml:space="preserve">第 </w:t>
                    </w:r>
                    <w:r>
                      <w:fldChar w:fldCharType="begin"/>
                    </w:r>
                    <w:r>
                      <w:instrText xml:space="preserve"> PAGE  \* MERGEFORMAT </w:instrText>
                    </w:r>
                    <w:r>
                      <w:fldChar w:fldCharType="separate"/>
                    </w:r>
                    <w:r>
                      <w:t>93</w:t>
                    </w:r>
                    <w:r>
                      <w:fldChar w:fldCharType="end"/>
                    </w:r>
                    <w:r>
                      <w:t xml:space="preserve"> 页</w:t>
                    </w:r>
                  </w:p>
                </w:txbxContent>
              </v:textbox>
            </v:shape>
          </w:pict>
        </mc:Fallback>
      </mc:AlternateContent>
    </w:r>
  </w:p>
  <w:p w14:paraId="54F5170B">
    <w:pPr>
      <w:pStyle w:val="22"/>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38FF3">
    <w:pPr>
      <w:pStyle w:val="22"/>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B1AA6">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8253">
    <w:pPr>
      <w:pStyle w:val="22"/>
      <w:tabs>
        <w:tab w:val="center" w:pos="4819"/>
        <w:tab w:val="clear" w:pos="4153"/>
      </w:tabs>
      <w:ind w:right="360" w:firstLine="360"/>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F71181">
                          <w:pPr>
                            <w:pStyle w:val="22"/>
                            <w:rPr>
                              <w:rFonts w:hint="eastAsia" w:eastAsia="宋体"/>
                              <w:lang w:val="en-US" w:eastAsia="zh-CN"/>
                            </w:rPr>
                          </w:pPr>
                        </w:p>
                      </w:txbxContent>
                    </wps:txbx>
                    <wps:bodyPr vert="horz" wrap="none" lIns="0" tIns="0" rIns="0" bIns="0" anchor="t" anchorCtr="0" upright="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q537p3gEAAL8DAAAOAAAAAAAA&#10;AAEAIAAAAB4BAABkcnMvZTJvRG9jLnhtbFBLBQYAAAAABgAGAFkBAABuBQAAAAA=&#10;">
              <v:fill on="f" focussize="0,0"/>
              <v:stroke on="f"/>
              <v:imagedata o:title=""/>
              <o:lock v:ext="edit" aspectratio="f"/>
              <v:textbox inset="0mm,0mm,0mm,0mm" style="mso-fit-shape-to-text:t;">
                <w:txbxContent>
                  <w:p w14:paraId="67F71181">
                    <w:pPr>
                      <w:pStyle w:val="22"/>
                      <w:rPr>
                        <w:rFonts w:hint="eastAsia" w:eastAsia="宋体"/>
                        <w:lang w:val="en-US" w:eastAsia="zh-CN"/>
                      </w:rPr>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69A60">
    <w:pPr>
      <w:pStyle w:val="22"/>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154B36">
                          <w:pPr>
                            <w:pStyle w:val="22"/>
                          </w:pPr>
                          <w:r>
                            <w:t xml:space="preserve">第 </w:t>
                          </w:r>
                          <w:r>
                            <w:fldChar w:fldCharType="begin"/>
                          </w:r>
                          <w:r>
                            <w:instrText xml:space="preserve"> PAGE  \* MERGEFORMAT </w:instrText>
                          </w:r>
                          <w:r>
                            <w:fldChar w:fldCharType="separate"/>
                          </w:r>
                          <w:r>
                            <w:t>94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52"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OCnnXHgAQAAwQMAAA4AAAAA&#10;AAAAAQAgAAAAHgEAAGRycy9lMm9Eb2MueG1sUEsFBgAAAAAGAAYAWQEAAHAFAAAAAA==&#10;">
              <v:fill on="f" focussize="0,0"/>
              <v:stroke on="f"/>
              <v:imagedata o:title=""/>
              <o:lock v:ext="edit" aspectratio="f"/>
              <v:textbox inset="0mm,0mm,0mm,0mm" style="mso-fit-shape-to-text:t;">
                <w:txbxContent>
                  <w:p w14:paraId="57154B36">
                    <w:pPr>
                      <w:pStyle w:val="22"/>
                    </w:pPr>
                    <w:r>
                      <w:t xml:space="preserve">第 </w:t>
                    </w:r>
                    <w:r>
                      <w:fldChar w:fldCharType="begin"/>
                    </w:r>
                    <w:r>
                      <w:instrText xml:space="preserve"> PAGE  \* MERGEFORMAT </w:instrText>
                    </w:r>
                    <w:r>
                      <w:fldChar w:fldCharType="separate"/>
                    </w:r>
                    <w:r>
                      <w:t>94</w:t>
                    </w:r>
                    <w:r>
                      <w:fldChar w:fldCharType="end"/>
                    </w:r>
                    <w:r>
                      <w:t xml:space="preserve"> 页</w:t>
                    </w:r>
                  </w:p>
                </w:txbxContent>
              </v:textbox>
            </v:shape>
          </w:pict>
        </mc:Fallback>
      </mc:AlternateContent>
    </w:r>
  </w:p>
  <w:p w14:paraId="01F04DF8">
    <w:pPr>
      <w:pStyle w:val="22"/>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5A505">
    <w:pPr>
      <w:pStyle w:val="22"/>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E234FE">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MEn7gAQAAwAMAAA4AAAAA&#10;AAAAAQAgAAAAHgEAAGRycy9lMm9Eb2MueG1sUEsFBgAAAAAGAAYAWQEAAHAFAAAAAA==&#10;">
              <v:fill on="f" focussize="0,0"/>
              <v:stroke on="f"/>
              <v:imagedata o:title=""/>
              <o:lock v:ext="edit" aspectratio="f"/>
              <v:textbox inset="0mm,0mm,0mm,0mm" style="mso-fit-shape-to-text:t;">
                <w:txbxContent>
                  <w:p w14:paraId="4DE234FE">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5BE6F">
    <w:pPr>
      <w:pStyle w:val="22"/>
      <w:ind w:right="360" w:firstLine="360"/>
      <w:jc w:val="right"/>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4BD718">
                          <w:pPr>
                            <w:pStyle w:val="22"/>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HpAd3vgAQAAwAMAAA4AAAAA&#10;AAAAAQAgAAAAHgEAAGRycy9lMm9Eb2MueG1sUEsFBgAAAAAGAAYAWQEAAHAFAAAAAA==&#10;">
              <v:fill on="f" focussize="0,0"/>
              <v:stroke on="f"/>
              <v:imagedata o:title=""/>
              <o:lock v:ext="edit" aspectratio="f"/>
              <v:textbox inset="0mm,0mm,0mm,0mm" style="mso-fit-shape-to-text:t;">
                <w:txbxContent>
                  <w:p w14:paraId="424BD718">
                    <w:pPr>
                      <w:pStyle w:val="22"/>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D4FF">
    <w:pPr>
      <w:pStyle w:val="22"/>
      <w:ind w:right="360" w:firstLine="360"/>
      <w:jc w:val="right"/>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5163E7">
                          <w:pPr>
                            <w:pStyle w:val="22"/>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7XupLgAQAAwAMAAA4AAAAA&#10;AAAAAQAgAAAAHgEAAGRycy9lMm9Eb2MueG1sUEsFBgAAAAAGAAYAWQEAAHAFAAAAAA==&#10;">
              <v:fill on="f" focussize="0,0"/>
              <v:stroke on="f"/>
              <v:imagedata o:title=""/>
              <o:lock v:ext="edit" aspectratio="f"/>
              <v:textbox inset="0mm,0mm,0mm,0mm" style="mso-fit-shape-to-text:t;">
                <w:txbxContent>
                  <w:p w14:paraId="5A5163E7">
                    <w:pPr>
                      <w:pStyle w:val="22"/>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F121">
    <w:pPr>
      <w:pStyle w:val="22"/>
      <w:tabs>
        <w:tab w:val="center" w:pos="4819"/>
        <w:tab w:val="right" w:pos="9398"/>
      </w:tabs>
      <w:ind w:right="360" w:firstLine="360"/>
      <w:jc w:val="left"/>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A68DF2">
                          <w:pPr>
                            <w:pStyle w:val="22"/>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kOuI98BAADAAwAADgAAAAAA&#10;AAABACAAAAAeAQAAZHJzL2Uyb0RvYy54bWxQSwUGAAAAAAYABgBZAQAAbwUAAAAA&#10;">
              <v:fill on="f" focussize="0,0"/>
              <v:stroke on="f"/>
              <v:imagedata o:title=""/>
              <o:lock v:ext="edit" aspectratio="f"/>
              <v:textbox inset="0mm,0mm,0mm,0mm" style="mso-fit-shape-to-text:t;">
                <w:txbxContent>
                  <w:p w14:paraId="77A68DF2">
                    <w:pPr>
                      <w:pStyle w:val="22"/>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378F2">
    <w:pPr>
      <w:pStyle w:val="2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FF195D">
                          <w:pPr>
                            <w:pStyle w:val="22"/>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RjyuABAADA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aEpYGff/08//57/vOD&#10;zV/Ok0BdgBXl3QTKxP6t72ltJj+QM/Hum2jTnxgxipO8p4u8qkcm06XlYrksKSQpNh0Iv7i7HiLg&#10;e+UtS0bFI80vyyqOHwGH1CklVXP+WhuTZ2jcfw7CTJ4i9T70mCzsd/1IaOfrE/Ghh0B1Wh+/c9bR&#10;GlTc0dZzZj44UjltzGTEydhNhnCSLlYcORvMdzhs1iFEvW/zrqWmILw5IHWaCaQ2htpjdzTYLMG4&#10;hGlz/j3nrLuHt7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LUY8rgAQAAwAMAAA4AAAAA&#10;AAAAAQAgAAAAHgEAAGRycy9lMm9Eb2MueG1sUEsFBgAAAAAGAAYAWQEAAHAFAAAAAA==&#10;">
              <v:fill on="f" focussize="0,0"/>
              <v:stroke on="f"/>
              <v:imagedata o:title=""/>
              <o:lock v:ext="edit" aspectratio="f"/>
              <v:textbox inset="0mm,0mm,0mm,0mm" style="mso-fit-shape-to-text:t;">
                <w:txbxContent>
                  <w:p w14:paraId="0FFF195D">
                    <w:pPr>
                      <w:pStyle w:val="22"/>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p>
  <w:p w14:paraId="51CE18FB">
    <w:pPr>
      <w:pStyle w:val="22"/>
      <w:ind w:right="360"/>
      <w:jc w:val="right"/>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0B365">
    <w:pPr>
      <w:pStyle w:val="2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B4EA88">
                          <w:pPr>
                            <w:pStyle w:val="2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txxt4BAADA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tPYnbA08Mv3b5cfvy4/v7Ll&#10;81USqA9QUd5doEwcXvmB1mb2AzkT76GNNv2JEaM4yXu+yqsGZDJdWq/W65JCkmLzgfCL++shAr5R&#10;3rJk1DzS/LKs4vQOcEydU1I152+1MXmGxv3lIMzkKVLvY4/JwmE/TIT2vjkTH3oIVKfz8QtnPa1B&#10;zR1tPWfmrSOV08bMRpyN/WwIJ+lizZGz0XyN42YdQ9SHLu9aagrCyyNSp5lAamOsPXVHg80STEuY&#10;NufPc866f3j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Ma3HG3gEAAMADAAAOAAAAAAAA&#10;AAEAIAAAAB4BAABkcnMvZTJvRG9jLnhtbFBLBQYAAAAABgAGAFkBAABuBQAAAAA=&#10;">
              <v:fill on="f" focussize="0,0"/>
              <v:stroke on="f"/>
              <v:imagedata o:title=""/>
              <o:lock v:ext="edit" aspectratio="f"/>
              <v:textbox inset="0mm,0mm,0mm,0mm" style="mso-fit-shape-to-text:t;">
                <w:txbxContent>
                  <w:p w14:paraId="6EB4EA88">
                    <w:pPr>
                      <w:pStyle w:val="2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p w14:paraId="7E109207">
    <w:pPr>
      <w:pStyle w:val="22"/>
      <w:ind w:right="360"/>
      <w:jc w:val="center"/>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971FB">
    <w:pPr>
      <w:spacing w:line="177" w:lineRule="auto"/>
      <w:ind w:left="4335"/>
      <w:rPr>
        <w:rFonts w:ascii="宋体" w:hAnsi="宋体" w:eastAsia="宋体" w:cs="宋体"/>
        <w:sz w:val="29"/>
        <w:szCs w:val="29"/>
      </w:rPr>
    </w:pPr>
    <w:r>
      <w:rPr>
        <w:sz w:val="29"/>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572E12">
                          <w:pPr>
                            <w:pStyle w:val="22"/>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Ij8vC/gAQAAwAMAAA4AAAAA&#10;AAAAAQAgAAAAHgEAAGRycy9lMm9Eb2MueG1sUEsFBgAAAAAGAAYAWQEAAHAFAAAAAA==&#10;">
              <v:fill on="f" focussize="0,0"/>
              <v:stroke on="f"/>
              <v:imagedata o:title=""/>
              <o:lock v:ext="edit" aspectratio="f"/>
              <v:textbox inset="0mm,0mm,0mm,0mm" style="mso-fit-shape-to-text:t;">
                <w:txbxContent>
                  <w:p w14:paraId="75572E12">
                    <w:pPr>
                      <w:pStyle w:val="22"/>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D4C63">
    <w:pPr>
      <w:pStyle w:val="2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E83F">
    <w:pPr>
      <w:pStyle w:val="24"/>
      <w:pBdr>
        <w:bottom w:val="none" w:color="auto" w:sz="0" w:space="0"/>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2D68E">
    <w:pPr>
      <w:pStyle w:val="24"/>
      <w:pBdr>
        <w:bottom w:val="none" w:color="auto" w:sz="0" w:space="0"/>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1977">
    <w:pPr>
      <w:pStyle w:val="24"/>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D8709">
    <w:pPr>
      <w:pStyle w:val="24"/>
      <w:pBdr>
        <w:bottom w:val="none" w:color="auto" w:sz="0" w:space="0"/>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8A12">
    <w:pPr>
      <w:pStyle w:val="2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78BCC">
    <w:pPr>
      <w:pStyle w:val="2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17969">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52BE">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6883C">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3CD1">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77D9">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7C40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5F8B">
    <w:pPr>
      <w:pStyle w:val="2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E8205">
    <w:pPr>
      <w:pStyle w:val="2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178D">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6E035"/>
    <w:multiLevelType w:val="multilevel"/>
    <w:tmpl w:val="97A6E035"/>
    <w:lvl w:ilvl="0" w:tentative="0">
      <w:start w:val="15"/>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155E6A8F"/>
    <w:multiLevelType w:val="multilevel"/>
    <w:tmpl w:val="155E6A8F"/>
    <w:lvl w:ilvl="0" w:tentative="0">
      <w:start w:val="1"/>
      <w:numFmt w:val="decimal"/>
      <w:lvlText w:val="（%1）"/>
      <w:lvlJc w:val="left"/>
      <w:pPr>
        <w:tabs>
          <w:tab w:val="left" w:pos="1571"/>
        </w:tabs>
        <w:ind w:left="1571" w:hanging="720"/>
      </w:pPr>
      <w:rPr>
        <w:rFonts w:hint="default" w:ascii="仿宋_GB2312" w:hAnsi="宋体" w:eastAsia="仿宋_GB2312" w:cs="Times New Roman"/>
        <w:b/>
        <w:bCs/>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
    <w:nsid w:val="47C79AFF"/>
    <w:multiLevelType w:val="singleLevel"/>
    <w:tmpl w:val="47C79AFF"/>
    <w:lvl w:ilvl="0" w:tentative="0">
      <w:start w:val="24"/>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zNlM2JhNmE3NDgyZjdkNjQzYzhhMzg4MzA5ZDg4MTQifQ=="/>
    <w:docVar w:name="VTCASE" w:val="4"/>
    <w:docVar w:name="VTCommandPending" w:val="NONE"/>
  </w:docVars>
  <w:rsids>
    <w:rsidRoot w:val="00887D93"/>
    <w:rsid w:val="000004CD"/>
    <w:rsid w:val="00001783"/>
    <w:rsid w:val="00001797"/>
    <w:rsid w:val="0000273B"/>
    <w:rsid w:val="000041A8"/>
    <w:rsid w:val="000055D7"/>
    <w:rsid w:val="0001116A"/>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4E9A"/>
    <w:rsid w:val="00055778"/>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77C0B"/>
    <w:rsid w:val="00080B56"/>
    <w:rsid w:val="00080FC7"/>
    <w:rsid w:val="00081D11"/>
    <w:rsid w:val="00083115"/>
    <w:rsid w:val="00093645"/>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0F6AEB"/>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7694"/>
    <w:rsid w:val="00141EAC"/>
    <w:rsid w:val="00143652"/>
    <w:rsid w:val="0014627C"/>
    <w:rsid w:val="00151075"/>
    <w:rsid w:val="0015142E"/>
    <w:rsid w:val="001560F6"/>
    <w:rsid w:val="00157C74"/>
    <w:rsid w:val="00157D8E"/>
    <w:rsid w:val="00161678"/>
    <w:rsid w:val="00161D71"/>
    <w:rsid w:val="00162805"/>
    <w:rsid w:val="00165014"/>
    <w:rsid w:val="0017180F"/>
    <w:rsid w:val="001733C3"/>
    <w:rsid w:val="00173BFF"/>
    <w:rsid w:val="00174749"/>
    <w:rsid w:val="00174FCA"/>
    <w:rsid w:val="00175AFB"/>
    <w:rsid w:val="001764BE"/>
    <w:rsid w:val="00176F12"/>
    <w:rsid w:val="001770BE"/>
    <w:rsid w:val="00177A3E"/>
    <w:rsid w:val="00183E4B"/>
    <w:rsid w:val="00187B13"/>
    <w:rsid w:val="00187EB4"/>
    <w:rsid w:val="0019618B"/>
    <w:rsid w:val="00196FA0"/>
    <w:rsid w:val="00197731"/>
    <w:rsid w:val="001A3B44"/>
    <w:rsid w:val="001A4571"/>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00A4"/>
    <w:rsid w:val="001F2F0B"/>
    <w:rsid w:val="001F3130"/>
    <w:rsid w:val="001F5903"/>
    <w:rsid w:val="001F7292"/>
    <w:rsid w:val="002001DC"/>
    <w:rsid w:val="002032B0"/>
    <w:rsid w:val="00203778"/>
    <w:rsid w:val="0020407A"/>
    <w:rsid w:val="00210AE7"/>
    <w:rsid w:val="00210CF0"/>
    <w:rsid w:val="002123C7"/>
    <w:rsid w:val="002124BD"/>
    <w:rsid w:val="00213411"/>
    <w:rsid w:val="00216D4F"/>
    <w:rsid w:val="00216E43"/>
    <w:rsid w:val="00220866"/>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46049"/>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616B"/>
    <w:rsid w:val="00290CDE"/>
    <w:rsid w:val="00290DE2"/>
    <w:rsid w:val="002959CC"/>
    <w:rsid w:val="002960C2"/>
    <w:rsid w:val="002A0C27"/>
    <w:rsid w:val="002A2315"/>
    <w:rsid w:val="002A2732"/>
    <w:rsid w:val="002A3153"/>
    <w:rsid w:val="002A6C9C"/>
    <w:rsid w:val="002C10AC"/>
    <w:rsid w:val="002C2AE8"/>
    <w:rsid w:val="002C2BE6"/>
    <w:rsid w:val="002C2FF3"/>
    <w:rsid w:val="002C3A5A"/>
    <w:rsid w:val="002C4ABE"/>
    <w:rsid w:val="002C71EC"/>
    <w:rsid w:val="002C7548"/>
    <w:rsid w:val="002C780B"/>
    <w:rsid w:val="002C7E47"/>
    <w:rsid w:val="002D2C13"/>
    <w:rsid w:val="002D2FFB"/>
    <w:rsid w:val="002D4E0A"/>
    <w:rsid w:val="002D4E16"/>
    <w:rsid w:val="002D505C"/>
    <w:rsid w:val="002D5DF8"/>
    <w:rsid w:val="002E19D7"/>
    <w:rsid w:val="002E334D"/>
    <w:rsid w:val="002E486A"/>
    <w:rsid w:val="002E53C0"/>
    <w:rsid w:val="002E766C"/>
    <w:rsid w:val="002F02C8"/>
    <w:rsid w:val="002F0A07"/>
    <w:rsid w:val="002F2D5F"/>
    <w:rsid w:val="002F46DC"/>
    <w:rsid w:val="002F5145"/>
    <w:rsid w:val="002F5CB9"/>
    <w:rsid w:val="002F5E9B"/>
    <w:rsid w:val="002F683C"/>
    <w:rsid w:val="003027F4"/>
    <w:rsid w:val="00310C52"/>
    <w:rsid w:val="0031140B"/>
    <w:rsid w:val="00314E3D"/>
    <w:rsid w:val="00317120"/>
    <w:rsid w:val="003171BB"/>
    <w:rsid w:val="00320BE2"/>
    <w:rsid w:val="0032100C"/>
    <w:rsid w:val="003212C2"/>
    <w:rsid w:val="00321921"/>
    <w:rsid w:val="00321926"/>
    <w:rsid w:val="00327707"/>
    <w:rsid w:val="0033060D"/>
    <w:rsid w:val="003318F3"/>
    <w:rsid w:val="00331ECA"/>
    <w:rsid w:val="00333919"/>
    <w:rsid w:val="00334F3E"/>
    <w:rsid w:val="003379AF"/>
    <w:rsid w:val="00337C5C"/>
    <w:rsid w:val="00343E4C"/>
    <w:rsid w:val="0034567C"/>
    <w:rsid w:val="003460AE"/>
    <w:rsid w:val="003528B8"/>
    <w:rsid w:val="00352BC8"/>
    <w:rsid w:val="00355D82"/>
    <w:rsid w:val="00356CAF"/>
    <w:rsid w:val="003612A6"/>
    <w:rsid w:val="00362201"/>
    <w:rsid w:val="0036411D"/>
    <w:rsid w:val="003671F3"/>
    <w:rsid w:val="00367712"/>
    <w:rsid w:val="00367C88"/>
    <w:rsid w:val="00367DB2"/>
    <w:rsid w:val="00370B19"/>
    <w:rsid w:val="00371C8C"/>
    <w:rsid w:val="00373408"/>
    <w:rsid w:val="003748EB"/>
    <w:rsid w:val="00375DCD"/>
    <w:rsid w:val="00376F3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A7A59"/>
    <w:rsid w:val="003B020F"/>
    <w:rsid w:val="003B3917"/>
    <w:rsid w:val="003B41D9"/>
    <w:rsid w:val="003B4356"/>
    <w:rsid w:val="003B5422"/>
    <w:rsid w:val="003B7293"/>
    <w:rsid w:val="003B7D7E"/>
    <w:rsid w:val="003C0EF3"/>
    <w:rsid w:val="003C53B2"/>
    <w:rsid w:val="003C6422"/>
    <w:rsid w:val="003C6C9A"/>
    <w:rsid w:val="003D6961"/>
    <w:rsid w:val="003E2C77"/>
    <w:rsid w:val="003E2C89"/>
    <w:rsid w:val="003E3C14"/>
    <w:rsid w:val="003E6516"/>
    <w:rsid w:val="003E747A"/>
    <w:rsid w:val="003F0149"/>
    <w:rsid w:val="003F11BD"/>
    <w:rsid w:val="003F2483"/>
    <w:rsid w:val="003F4748"/>
    <w:rsid w:val="003F61AC"/>
    <w:rsid w:val="00401267"/>
    <w:rsid w:val="00401B70"/>
    <w:rsid w:val="00402836"/>
    <w:rsid w:val="0040298F"/>
    <w:rsid w:val="0040367C"/>
    <w:rsid w:val="00404B23"/>
    <w:rsid w:val="00405154"/>
    <w:rsid w:val="00410492"/>
    <w:rsid w:val="004109B8"/>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511"/>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22B1"/>
    <w:rsid w:val="004B46E5"/>
    <w:rsid w:val="004B6542"/>
    <w:rsid w:val="004B72A3"/>
    <w:rsid w:val="004C1E33"/>
    <w:rsid w:val="004C398A"/>
    <w:rsid w:val="004C6870"/>
    <w:rsid w:val="004D29A3"/>
    <w:rsid w:val="004D4D48"/>
    <w:rsid w:val="004D5250"/>
    <w:rsid w:val="004D6AD9"/>
    <w:rsid w:val="004E0517"/>
    <w:rsid w:val="004E0C12"/>
    <w:rsid w:val="004E13F0"/>
    <w:rsid w:val="004E4854"/>
    <w:rsid w:val="004E5FCE"/>
    <w:rsid w:val="004F036B"/>
    <w:rsid w:val="004F052D"/>
    <w:rsid w:val="004F0E54"/>
    <w:rsid w:val="004F59B8"/>
    <w:rsid w:val="004F7B7E"/>
    <w:rsid w:val="00501785"/>
    <w:rsid w:val="00503724"/>
    <w:rsid w:val="00504E3C"/>
    <w:rsid w:val="00507AD5"/>
    <w:rsid w:val="00513F7C"/>
    <w:rsid w:val="005149B8"/>
    <w:rsid w:val="00514AA8"/>
    <w:rsid w:val="005168FA"/>
    <w:rsid w:val="005175C0"/>
    <w:rsid w:val="00520001"/>
    <w:rsid w:val="00521717"/>
    <w:rsid w:val="0052391C"/>
    <w:rsid w:val="0052393A"/>
    <w:rsid w:val="00530C3F"/>
    <w:rsid w:val="00530F9E"/>
    <w:rsid w:val="00532B1D"/>
    <w:rsid w:val="00533524"/>
    <w:rsid w:val="00534347"/>
    <w:rsid w:val="00540C55"/>
    <w:rsid w:val="00542227"/>
    <w:rsid w:val="005422EB"/>
    <w:rsid w:val="0054426F"/>
    <w:rsid w:val="0054508F"/>
    <w:rsid w:val="00546F3A"/>
    <w:rsid w:val="005475C6"/>
    <w:rsid w:val="00550C61"/>
    <w:rsid w:val="00552FBA"/>
    <w:rsid w:val="00554D9D"/>
    <w:rsid w:val="00555A82"/>
    <w:rsid w:val="00556C52"/>
    <w:rsid w:val="0056008C"/>
    <w:rsid w:val="00570A8A"/>
    <w:rsid w:val="00571BE1"/>
    <w:rsid w:val="0057268E"/>
    <w:rsid w:val="00573C95"/>
    <w:rsid w:val="005750B7"/>
    <w:rsid w:val="005806C7"/>
    <w:rsid w:val="00582CA5"/>
    <w:rsid w:val="00582FE9"/>
    <w:rsid w:val="0058511B"/>
    <w:rsid w:val="005852AF"/>
    <w:rsid w:val="00586FF5"/>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C7465"/>
    <w:rsid w:val="005D2B33"/>
    <w:rsid w:val="005D4B36"/>
    <w:rsid w:val="005D5B37"/>
    <w:rsid w:val="005D6D35"/>
    <w:rsid w:val="005E1062"/>
    <w:rsid w:val="005E12BD"/>
    <w:rsid w:val="005E132E"/>
    <w:rsid w:val="005E1F41"/>
    <w:rsid w:val="005E305E"/>
    <w:rsid w:val="005E3ECC"/>
    <w:rsid w:val="005E53A4"/>
    <w:rsid w:val="005F1F63"/>
    <w:rsid w:val="005F324D"/>
    <w:rsid w:val="005F4C0F"/>
    <w:rsid w:val="006011F9"/>
    <w:rsid w:val="006016B0"/>
    <w:rsid w:val="00602247"/>
    <w:rsid w:val="00603A4B"/>
    <w:rsid w:val="006054AE"/>
    <w:rsid w:val="00606661"/>
    <w:rsid w:val="00612A91"/>
    <w:rsid w:val="006140F3"/>
    <w:rsid w:val="00615BD4"/>
    <w:rsid w:val="006176D9"/>
    <w:rsid w:val="0062063C"/>
    <w:rsid w:val="00621EEA"/>
    <w:rsid w:val="00622049"/>
    <w:rsid w:val="0062450C"/>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3087"/>
    <w:rsid w:val="00666E6E"/>
    <w:rsid w:val="00667926"/>
    <w:rsid w:val="00672A07"/>
    <w:rsid w:val="00672A3D"/>
    <w:rsid w:val="00673284"/>
    <w:rsid w:val="00673C56"/>
    <w:rsid w:val="00674E3C"/>
    <w:rsid w:val="00684218"/>
    <w:rsid w:val="00684A17"/>
    <w:rsid w:val="0068548A"/>
    <w:rsid w:val="00686ACA"/>
    <w:rsid w:val="006904AF"/>
    <w:rsid w:val="00694729"/>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C0F43"/>
    <w:rsid w:val="006C1626"/>
    <w:rsid w:val="006C2D51"/>
    <w:rsid w:val="006C4083"/>
    <w:rsid w:val="006C4B81"/>
    <w:rsid w:val="006C517C"/>
    <w:rsid w:val="006C5CAA"/>
    <w:rsid w:val="006C6855"/>
    <w:rsid w:val="006C7F43"/>
    <w:rsid w:val="006D16F3"/>
    <w:rsid w:val="006D49E3"/>
    <w:rsid w:val="006D4C2C"/>
    <w:rsid w:val="006D62FF"/>
    <w:rsid w:val="006E019F"/>
    <w:rsid w:val="006E18C4"/>
    <w:rsid w:val="006E3E50"/>
    <w:rsid w:val="006E402A"/>
    <w:rsid w:val="006E525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FF6"/>
    <w:rsid w:val="0072460B"/>
    <w:rsid w:val="00726876"/>
    <w:rsid w:val="007269B1"/>
    <w:rsid w:val="00730DF7"/>
    <w:rsid w:val="0073123A"/>
    <w:rsid w:val="007331F6"/>
    <w:rsid w:val="0073362F"/>
    <w:rsid w:val="00733A3E"/>
    <w:rsid w:val="00736B54"/>
    <w:rsid w:val="00740605"/>
    <w:rsid w:val="00740FA5"/>
    <w:rsid w:val="0074140D"/>
    <w:rsid w:val="007440A8"/>
    <w:rsid w:val="00747B97"/>
    <w:rsid w:val="00747DD4"/>
    <w:rsid w:val="00751820"/>
    <w:rsid w:val="00751B7E"/>
    <w:rsid w:val="00752AB2"/>
    <w:rsid w:val="00754193"/>
    <w:rsid w:val="007556C8"/>
    <w:rsid w:val="00756FA1"/>
    <w:rsid w:val="007605DF"/>
    <w:rsid w:val="00761BCA"/>
    <w:rsid w:val="0076244A"/>
    <w:rsid w:val="00762D9D"/>
    <w:rsid w:val="00763FD6"/>
    <w:rsid w:val="0076431D"/>
    <w:rsid w:val="00766DE9"/>
    <w:rsid w:val="007678A5"/>
    <w:rsid w:val="00770051"/>
    <w:rsid w:val="00770841"/>
    <w:rsid w:val="00771F67"/>
    <w:rsid w:val="00772012"/>
    <w:rsid w:val="0077418F"/>
    <w:rsid w:val="00774C01"/>
    <w:rsid w:val="007823C9"/>
    <w:rsid w:val="007835B7"/>
    <w:rsid w:val="00785291"/>
    <w:rsid w:val="007863E1"/>
    <w:rsid w:val="007910D3"/>
    <w:rsid w:val="0079336E"/>
    <w:rsid w:val="007A5BD0"/>
    <w:rsid w:val="007B4B46"/>
    <w:rsid w:val="007B5E5F"/>
    <w:rsid w:val="007B6CA0"/>
    <w:rsid w:val="007B6F71"/>
    <w:rsid w:val="007C06F8"/>
    <w:rsid w:val="007C27E5"/>
    <w:rsid w:val="007C2E24"/>
    <w:rsid w:val="007C3F78"/>
    <w:rsid w:val="007C4B09"/>
    <w:rsid w:val="007C6167"/>
    <w:rsid w:val="007C6EB8"/>
    <w:rsid w:val="007C7809"/>
    <w:rsid w:val="007D13B9"/>
    <w:rsid w:val="007D2774"/>
    <w:rsid w:val="007D34B6"/>
    <w:rsid w:val="007D71F7"/>
    <w:rsid w:val="007E024C"/>
    <w:rsid w:val="007E160E"/>
    <w:rsid w:val="007E1643"/>
    <w:rsid w:val="007E1BDD"/>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48DF"/>
    <w:rsid w:val="0081653B"/>
    <w:rsid w:val="00821DF6"/>
    <w:rsid w:val="00823CCC"/>
    <w:rsid w:val="00827179"/>
    <w:rsid w:val="0083029A"/>
    <w:rsid w:val="00830426"/>
    <w:rsid w:val="00830E02"/>
    <w:rsid w:val="00831C83"/>
    <w:rsid w:val="00831E0A"/>
    <w:rsid w:val="008343C4"/>
    <w:rsid w:val="00835847"/>
    <w:rsid w:val="00835C6F"/>
    <w:rsid w:val="008370E2"/>
    <w:rsid w:val="00837429"/>
    <w:rsid w:val="0083745B"/>
    <w:rsid w:val="00840252"/>
    <w:rsid w:val="00840420"/>
    <w:rsid w:val="00842DE3"/>
    <w:rsid w:val="00844F5E"/>
    <w:rsid w:val="00846701"/>
    <w:rsid w:val="0085232F"/>
    <w:rsid w:val="00854E2A"/>
    <w:rsid w:val="008550CD"/>
    <w:rsid w:val="00857E3A"/>
    <w:rsid w:val="00861135"/>
    <w:rsid w:val="00864495"/>
    <w:rsid w:val="0086449D"/>
    <w:rsid w:val="008651BC"/>
    <w:rsid w:val="00867059"/>
    <w:rsid w:val="00867A5A"/>
    <w:rsid w:val="008711B1"/>
    <w:rsid w:val="00871FBA"/>
    <w:rsid w:val="00872119"/>
    <w:rsid w:val="008722FB"/>
    <w:rsid w:val="00877EA2"/>
    <w:rsid w:val="008808CA"/>
    <w:rsid w:val="00887D93"/>
    <w:rsid w:val="00890912"/>
    <w:rsid w:val="00890D7D"/>
    <w:rsid w:val="008917B4"/>
    <w:rsid w:val="008933C7"/>
    <w:rsid w:val="008941B9"/>
    <w:rsid w:val="00894216"/>
    <w:rsid w:val="00895873"/>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D2F"/>
    <w:rsid w:val="00952D60"/>
    <w:rsid w:val="00952E44"/>
    <w:rsid w:val="00955447"/>
    <w:rsid w:val="00955A17"/>
    <w:rsid w:val="00957C50"/>
    <w:rsid w:val="00960E12"/>
    <w:rsid w:val="0096331F"/>
    <w:rsid w:val="00963914"/>
    <w:rsid w:val="00963A90"/>
    <w:rsid w:val="00967DC0"/>
    <w:rsid w:val="009729D8"/>
    <w:rsid w:val="0097453F"/>
    <w:rsid w:val="00974577"/>
    <w:rsid w:val="00975045"/>
    <w:rsid w:val="00976670"/>
    <w:rsid w:val="00976BC3"/>
    <w:rsid w:val="00976E64"/>
    <w:rsid w:val="00977929"/>
    <w:rsid w:val="0098426D"/>
    <w:rsid w:val="009863DA"/>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D00B8"/>
    <w:rsid w:val="009D2522"/>
    <w:rsid w:val="009D3E42"/>
    <w:rsid w:val="009D682E"/>
    <w:rsid w:val="009E40F9"/>
    <w:rsid w:val="009E5844"/>
    <w:rsid w:val="009E653F"/>
    <w:rsid w:val="009E7C9A"/>
    <w:rsid w:val="009F4C6D"/>
    <w:rsid w:val="009F5062"/>
    <w:rsid w:val="00A01D25"/>
    <w:rsid w:val="00A0624A"/>
    <w:rsid w:val="00A06830"/>
    <w:rsid w:val="00A12892"/>
    <w:rsid w:val="00A149DF"/>
    <w:rsid w:val="00A15012"/>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660"/>
    <w:rsid w:val="00A62D2C"/>
    <w:rsid w:val="00A64D6A"/>
    <w:rsid w:val="00A66A0F"/>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328E"/>
    <w:rsid w:val="00AB7C0E"/>
    <w:rsid w:val="00AB7D6A"/>
    <w:rsid w:val="00AC0A22"/>
    <w:rsid w:val="00AC3A3F"/>
    <w:rsid w:val="00AC5A6D"/>
    <w:rsid w:val="00AD190D"/>
    <w:rsid w:val="00AD2DAB"/>
    <w:rsid w:val="00AE1BBB"/>
    <w:rsid w:val="00AE2F4C"/>
    <w:rsid w:val="00AE3B4A"/>
    <w:rsid w:val="00AE4A87"/>
    <w:rsid w:val="00AE673D"/>
    <w:rsid w:val="00AE749B"/>
    <w:rsid w:val="00AF01AB"/>
    <w:rsid w:val="00AF0629"/>
    <w:rsid w:val="00AF1BF1"/>
    <w:rsid w:val="00AF32B8"/>
    <w:rsid w:val="00AF3CB3"/>
    <w:rsid w:val="00AF531B"/>
    <w:rsid w:val="00AF5337"/>
    <w:rsid w:val="00AF53C2"/>
    <w:rsid w:val="00AF71F6"/>
    <w:rsid w:val="00AF7C60"/>
    <w:rsid w:val="00B005C5"/>
    <w:rsid w:val="00B02305"/>
    <w:rsid w:val="00B02E23"/>
    <w:rsid w:val="00B060D5"/>
    <w:rsid w:val="00B1175D"/>
    <w:rsid w:val="00B12731"/>
    <w:rsid w:val="00B12AA5"/>
    <w:rsid w:val="00B146BC"/>
    <w:rsid w:val="00B14DF1"/>
    <w:rsid w:val="00B153B3"/>
    <w:rsid w:val="00B17CBB"/>
    <w:rsid w:val="00B20BBF"/>
    <w:rsid w:val="00B217CC"/>
    <w:rsid w:val="00B25447"/>
    <w:rsid w:val="00B271C9"/>
    <w:rsid w:val="00B31C57"/>
    <w:rsid w:val="00B329CE"/>
    <w:rsid w:val="00B32F09"/>
    <w:rsid w:val="00B33D96"/>
    <w:rsid w:val="00B33E36"/>
    <w:rsid w:val="00B34F0E"/>
    <w:rsid w:val="00B35F5F"/>
    <w:rsid w:val="00B36F78"/>
    <w:rsid w:val="00B3755E"/>
    <w:rsid w:val="00B404A6"/>
    <w:rsid w:val="00B40A63"/>
    <w:rsid w:val="00B41213"/>
    <w:rsid w:val="00B45C45"/>
    <w:rsid w:val="00B47277"/>
    <w:rsid w:val="00B47BAE"/>
    <w:rsid w:val="00B56FB7"/>
    <w:rsid w:val="00B577A6"/>
    <w:rsid w:val="00B607BE"/>
    <w:rsid w:val="00B61E09"/>
    <w:rsid w:val="00B6274D"/>
    <w:rsid w:val="00B62B63"/>
    <w:rsid w:val="00B64D41"/>
    <w:rsid w:val="00B66CB3"/>
    <w:rsid w:val="00B66D6E"/>
    <w:rsid w:val="00B67351"/>
    <w:rsid w:val="00B706C6"/>
    <w:rsid w:val="00B7366F"/>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C17"/>
    <w:rsid w:val="00BA40F3"/>
    <w:rsid w:val="00BA5F6B"/>
    <w:rsid w:val="00BA6BD0"/>
    <w:rsid w:val="00BB0589"/>
    <w:rsid w:val="00BB1AF8"/>
    <w:rsid w:val="00BB2E2A"/>
    <w:rsid w:val="00BB4B39"/>
    <w:rsid w:val="00BC3515"/>
    <w:rsid w:val="00BC59C2"/>
    <w:rsid w:val="00BD02CC"/>
    <w:rsid w:val="00BD22C7"/>
    <w:rsid w:val="00BD277B"/>
    <w:rsid w:val="00BD3963"/>
    <w:rsid w:val="00BD530D"/>
    <w:rsid w:val="00BE205B"/>
    <w:rsid w:val="00BE264E"/>
    <w:rsid w:val="00BE4E80"/>
    <w:rsid w:val="00BE68B4"/>
    <w:rsid w:val="00BF7AC9"/>
    <w:rsid w:val="00C01463"/>
    <w:rsid w:val="00C029B6"/>
    <w:rsid w:val="00C03B0F"/>
    <w:rsid w:val="00C03E68"/>
    <w:rsid w:val="00C05139"/>
    <w:rsid w:val="00C124B7"/>
    <w:rsid w:val="00C16AB3"/>
    <w:rsid w:val="00C17224"/>
    <w:rsid w:val="00C17685"/>
    <w:rsid w:val="00C20CBD"/>
    <w:rsid w:val="00C223A5"/>
    <w:rsid w:val="00C23A93"/>
    <w:rsid w:val="00C23BCF"/>
    <w:rsid w:val="00C2546E"/>
    <w:rsid w:val="00C2648A"/>
    <w:rsid w:val="00C2711D"/>
    <w:rsid w:val="00C275B4"/>
    <w:rsid w:val="00C310A0"/>
    <w:rsid w:val="00C33264"/>
    <w:rsid w:val="00C351DB"/>
    <w:rsid w:val="00C36A88"/>
    <w:rsid w:val="00C44141"/>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A0D9F"/>
    <w:rsid w:val="00CA18FB"/>
    <w:rsid w:val="00CA1BD1"/>
    <w:rsid w:val="00CA1CEF"/>
    <w:rsid w:val="00CA3311"/>
    <w:rsid w:val="00CB030A"/>
    <w:rsid w:val="00CB125C"/>
    <w:rsid w:val="00CB455B"/>
    <w:rsid w:val="00CB4D87"/>
    <w:rsid w:val="00CC4E6E"/>
    <w:rsid w:val="00CC6E0A"/>
    <w:rsid w:val="00CC7617"/>
    <w:rsid w:val="00CC7935"/>
    <w:rsid w:val="00CD17D1"/>
    <w:rsid w:val="00CD20F9"/>
    <w:rsid w:val="00CD66FB"/>
    <w:rsid w:val="00CD67D5"/>
    <w:rsid w:val="00CE6D2A"/>
    <w:rsid w:val="00CE70E4"/>
    <w:rsid w:val="00CF0889"/>
    <w:rsid w:val="00CF2156"/>
    <w:rsid w:val="00CF41C5"/>
    <w:rsid w:val="00CF4D7B"/>
    <w:rsid w:val="00CF5110"/>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17EAF"/>
    <w:rsid w:val="00D21A22"/>
    <w:rsid w:val="00D21ED8"/>
    <w:rsid w:val="00D22A32"/>
    <w:rsid w:val="00D23012"/>
    <w:rsid w:val="00D26EC1"/>
    <w:rsid w:val="00D2709A"/>
    <w:rsid w:val="00D3052B"/>
    <w:rsid w:val="00D30569"/>
    <w:rsid w:val="00D31F30"/>
    <w:rsid w:val="00D31F45"/>
    <w:rsid w:val="00D335BB"/>
    <w:rsid w:val="00D34B05"/>
    <w:rsid w:val="00D37504"/>
    <w:rsid w:val="00D37996"/>
    <w:rsid w:val="00D4725F"/>
    <w:rsid w:val="00D47EAE"/>
    <w:rsid w:val="00D53FDD"/>
    <w:rsid w:val="00D54091"/>
    <w:rsid w:val="00D54B9A"/>
    <w:rsid w:val="00D54F2F"/>
    <w:rsid w:val="00D557F5"/>
    <w:rsid w:val="00D61100"/>
    <w:rsid w:val="00D61589"/>
    <w:rsid w:val="00D61C45"/>
    <w:rsid w:val="00D629A1"/>
    <w:rsid w:val="00D62AEF"/>
    <w:rsid w:val="00D62CE1"/>
    <w:rsid w:val="00D64DD6"/>
    <w:rsid w:val="00D6587C"/>
    <w:rsid w:val="00D7146F"/>
    <w:rsid w:val="00D72C4E"/>
    <w:rsid w:val="00D756CA"/>
    <w:rsid w:val="00D77713"/>
    <w:rsid w:val="00D7798A"/>
    <w:rsid w:val="00D8307B"/>
    <w:rsid w:val="00D8327C"/>
    <w:rsid w:val="00D836F7"/>
    <w:rsid w:val="00D84645"/>
    <w:rsid w:val="00D864F8"/>
    <w:rsid w:val="00D879A3"/>
    <w:rsid w:val="00D93123"/>
    <w:rsid w:val="00DA3BAF"/>
    <w:rsid w:val="00DA527C"/>
    <w:rsid w:val="00DA5B6B"/>
    <w:rsid w:val="00DA700C"/>
    <w:rsid w:val="00DB2EF0"/>
    <w:rsid w:val="00DB4640"/>
    <w:rsid w:val="00DB72D0"/>
    <w:rsid w:val="00DC44F4"/>
    <w:rsid w:val="00DD027E"/>
    <w:rsid w:val="00DD0447"/>
    <w:rsid w:val="00DD05BB"/>
    <w:rsid w:val="00DD20D0"/>
    <w:rsid w:val="00DD688C"/>
    <w:rsid w:val="00DE2783"/>
    <w:rsid w:val="00DE27B8"/>
    <w:rsid w:val="00DE3D55"/>
    <w:rsid w:val="00DE5707"/>
    <w:rsid w:val="00DE70C6"/>
    <w:rsid w:val="00DF0DB1"/>
    <w:rsid w:val="00DF21A8"/>
    <w:rsid w:val="00DF3A84"/>
    <w:rsid w:val="00DF6076"/>
    <w:rsid w:val="00DF7C6E"/>
    <w:rsid w:val="00E01663"/>
    <w:rsid w:val="00E01A46"/>
    <w:rsid w:val="00E02242"/>
    <w:rsid w:val="00E04FDE"/>
    <w:rsid w:val="00E07A39"/>
    <w:rsid w:val="00E104EF"/>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42235"/>
    <w:rsid w:val="00E43B3E"/>
    <w:rsid w:val="00E4414C"/>
    <w:rsid w:val="00E443BA"/>
    <w:rsid w:val="00E45FB7"/>
    <w:rsid w:val="00E470CE"/>
    <w:rsid w:val="00E47E6A"/>
    <w:rsid w:val="00E50F94"/>
    <w:rsid w:val="00E528C9"/>
    <w:rsid w:val="00E5462E"/>
    <w:rsid w:val="00E62AD0"/>
    <w:rsid w:val="00E65605"/>
    <w:rsid w:val="00E65AFF"/>
    <w:rsid w:val="00E6767D"/>
    <w:rsid w:val="00E7411A"/>
    <w:rsid w:val="00E77A83"/>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3C"/>
    <w:rsid w:val="00ED50F5"/>
    <w:rsid w:val="00ED6BE1"/>
    <w:rsid w:val="00ED7099"/>
    <w:rsid w:val="00ED7757"/>
    <w:rsid w:val="00EE027B"/>
    <w:rsid w:val="00EE31DF"/>
    <w:rsid w:val="00EE7916"/>
    <w:rsid w:val="00EF16FF"/>
    <w:rsid w:val="00EF1C6E"/>
    <w:rsid w:val="00EF2C80"/>
    <w:rsid w:val="00EF4D3B"/>
    <w:rsid w:val="00EF6A34"/>
    <w:rsid w:val="00EF6F8B"/>
    <w:rsid w:val="00EF7579"/>
    <w:rsid w:val="00F00BE0"/>
    <w:rsid w:val="00F016BD"/>
    <w:rsid w:val="00F026F0"/>
    <w:rsid w:val="00F05A0D"/>
    <w:rsid w:val="00F0680A"/>
    <w:rsid w:val="00F06ED0"/>
    <w:rsid w:val="00F12013"/>
    <w:rsid w:val="00F12999"/>
    <w:rsid w:val="00F13822"/>
    <w:rsid w:val="00F14565"/>
    <w:rsid w:val="00F14A70"/>
    <w:rsid w:val="00F15D3D"/>
    <w:rsid w:val="00F175A5"/>
    <w:rsid w:val="00F230F1"/>
    <w:rsid w:val="00F27B8D"/>
    <w:rsid w:val="00F304FB"/>
    <w:rsid w:val="00F313F8"/>
    <w:rsid w:val="00F315AB"/>
    <w:rsid w:val="00F33F07"/>
    <w:rsid w:val="00F35871"/>
    <w:rsid w:val="00F35D52"/>
    <w:rsid w:val="00F35F8C"/>
    <w:rsid w:val="00F36C93"/>
    <w:rsid w:val="00F373E1"/>
    <w:rsid w:val="00F42574"/>
    <w:rsid w:val="00F44E64"/>
    <w:rsid w:val="00F45257"/>
    <w:rsid w:val="00F45CA2"/>
    <w:rsid w:val="00F45D78"/>
    <w:rsid w:val="00F46154"/>
    <w:rsid w:val="00F46AD5"/>
    <w:rsid w:val="00F47DCD"/>
    <w:rsid w:val="00F50CA4"/>
    <w:rsid w:val="00F50CE7"/>
    <w:rsid w:val="00F51438"/>
    <w:rsid w:val="00F5301A"/>
    <w:rsid w:val="00F549E7"/>
    <w:rsid w:val="00F5550D"/>
    <w:rsid w:val="00F618BB"/>
    <w:rsid w:val="00F6302F"/>
    <w:rsid w:val="00F67625"/>
    <w:rsid w:val="00F76B14"/>
    <w:rsid w:val="00F81487"/>
    <w:rsid w:val="00F838C6"/>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32"/>
    <w:rsid w:val="00FC7525"/>
    <w:rsid w:val="00FD1A30"/>
    <w:rsid w:val="00FD418F"/>
    <w:rsid w:val="00FD4365"/>
    <w:rsid w:val="00FD4D39"/>
    <w:rsid w:val="00FD4F52"/>
    <w:rsid w:val="00FD532F"/>
    <w:rsid w:val="00FE1EF3"/>
    <w:rsid w:val="00FE315D"/>
    <w:rsid w:val="00FE3182"/>
    <w:rsid w:val="00FE41E1"/>
    <w:rsid w:val="00FE55F1"/>
    <w:rsid w:val="00FF213C"/>
    <w:rsid w:val="00FF4D81"/>
    <w:rsid w:val="00FF75F5"/>
    <w:rsid w:val="00FF77AF"/>
    <w:rsid w:val="01200DBA"/>
    <w:rsid w:val="01260EE6"/>
    <w:rsid w:val="01380D6F"/>
    <w:rsid w:val="01423E6A"/>
    <w:rsid w:val="01592D24"/>
    <w:rsid w:val="015F58FD"/>
    <w:rsid w:val="01660FF1"/>
    <w:rsid w:val="01683AC2"/>
    <w:rsid w:val="01775986"/>
    <w:rsid w:val="01802A82"/>
    <w:rsid w:val="018C62B1"/>
    <w:rsid w:val="018E7ABF"/>
    <w:rsid w:val="018F2EE2"/>
    <w:rsid w:val="0198796C"/>
    <w:rsid w:val="01AB1B3F"/>
    <w:rsid w:val="01B17F42"/>
    <w:rsid w:val="01B22088"/>
    <w:rsid w:val="01B24727"/>
    <w:rsid w:val="01C133B8"/>
    <w:rsid w:val="01E6245D"/>
    <w:rsid w:val="020117C2"/>
    <w:rsid w:val="020227A1"/>
    <w:rsid w:val="020F2171"/>
    <w:rsid w:val="020F3F7A"/>
    <w:rsid w:val="021A46FB"/>
    <w:rsid w:val="02397B81"/>
    <w:rsid w:val="02407FEC"/>
    <w:rsid w:val="024F5CA2"/>
    <w:rsid w:val="026B2A3F"/>
    <w:rsid w:val="027C53D4"/>
    <w:rsid w:val="027E760A"/>
    <w:rsid w:val="028A6605"/>
    <w:rsid w:val="02A3645B"/>
    <w:rsid w:val="02AA2808"/>
    <w:rsid w:val="02C65E9B"/>
    <w:rsid w:val="02D768EE"/>
    <w:rsid w:val="02D80EAC"/>
    <w:rsid w:val="02E24B6B"/>
    <w:rsid w:val="02F34E2C"/>
    <w:rsid w:val="02F778BD"/>
    <w:rsid w:val="03004097"/>
    <w:rsid w:val="03121468"/>
    <w:rsid w:val="03275F3A"/>
    <w:rsid w:val="03624413"/>
    <w:rsid w:val="036F1BEA"/>
    <w:rsid w:val="03822C68"/>
    <w:rsid w:val="039F2BBC"/>
    <w:rsid w:val="03A331F6"/>
    <w:rsid w:val="03A951F3"/>
    <w:rsid w:val="03C57477"/>
    <w:rsid w:val="03D96AC5"/>
    <w:rsid w:val="03FA115F"/>
    <w:rsid w:val="03FE6727"/>
    <w:rsid w:val="041651E9"/>
    <w:rsid w:val="041F5954"/>
    <w:rsid w:val="0424548E"/>
    <w:rsid w:val="04386322"/>
    <w:rsid w:val="04691197"/>
    <w:rsid w:val="04742AA9"/>
    <w:rsid w:val="047D1607"/>
    <w:rsid w:val="04831DF5"/>
    <w:rsid w:val="04C62E33"/>
    <w:rsid w:val="04C80BE4"/>
    <w:rsid w:val="04CC2386"/>
    <w:rsid w:val="04DF6869"/>
    <w:rsid w:val="04DF78A8"/>
    <w:rsid w:val="05071955"/>
    <w:rsid w:val="050B36B6"/>
    <w:rsid w:val="051E3875"/>
    <w:rsid w:val="0533125B"/>
    <w:rsid w:val="054D10EA"/>
    <w:rsid w:val="054F4EE9"/>
    <w:rsid w:val="055B3806"/>
    <w:rsid w:val="05757833"/>
    <w:rsid w:val="05821D18"/>
    <w:rsid w:val="05A07515"/>
    <w:rsid w:val="05E657DC"/>
    <w:rsid w:val="06336EE6"/>
    <w:rsid w:val="06473673"/>
    <w:rsid w:val="06646A88"/>
    <w:rsid w:val="06992055"/>
    <w:rsid w:val="06A36683"/>
    <w:rsid w:val="06AB5586"/>
    <w:rsid w:val="06CB44B7"/>
    <w:rsid w:val="06E322BD"/>
    <w:rsid w:val="06E33F70"/>
    <w:rsid w:val="06EE20B1"/>
    <w:rsid w:val="06F07F7E"/>
    <w:rsid w:val="070374AC"/>
    <w:rsid w:val="07155C37"/>
    <w:rsid w:val="071C6731"/>
    <w:rsid w:val="071F0531"/>
    <w:rsid w:val="07270BD0"/>
    <w:rsid w:val="07433674"/>
    <w:rsid w:val="0744651C"/>
    <w:rsid w:val="075B63E2"/>
    <w:rsid w:val="076C6B0E"/>
    <w:rsid w:val="07756781"/>
    <w:rsid w:val="078A5C41"/>
    <w:rsid w:val="078F0773"/>
    <w:rsid w:val="07936B9A"/>
    <w:rsid w:val="07AF1BE8"/>
    <w:rsid w:val="07B1625B"/>
    <w:rsid w:val="07D96E9C"/>
    <w:rsid w:val="07DB3970"/>
    <w:rsid w:val="07EB560A"/>
    <w:rsid w:val="07F55ED2"/>
    <w:rsid w:val="07F712CB"/>
    <w:rsid w:val="07FF184D"/>
    <w:rsid w:val="082565C6"/>
    <w:rsid w:val="083A44CF"/>
    <w:rsid w:val="08534B88"/>
    <w:rsid w:val="08915791"/>
    <w:rsid w:val="089603D4"/>
    <w:rsid w:val="08AA4C4F"/>
    <w:rsid w:val="08AE45C5"/>
    <w:rsid w:val="08B51F84"/>
    <w:rsid w:val="08C503FD"/>
    <w:rsid w:val="08CC042C"/>
    <w:rsid w:val="08D57FA8"/>
    <w:rsid w:val="08F062C2"/>
    <w:rsid w:val="090369F3"/>
    <w:rsid w:val="0906170A"/>
    <w:rsid w:val="090B19E1"/>
    <w:rsid w:val="0910646C"/>
    <w:rsid w:val="09114983"/>
    <w:rsid w:val="09170382"/>
    <w:rsid w:val="092B680F"/>
    <w:rsid w:val="093214D4"/>
    <w:rsid w:val="09365AE0"/>
    <w:rsid w:val="09451768"/>
    <w:rsid w:val="09617655"/>
    <w:rsid w:val="0971670A"/>
    <w:rsid w:val="097604DB"/>
    <w:rsid w:val="097A6996"/>
    <w:rsid w:val="09806D25"/>
    <w:rsid w:val="09AC6517"/>
    <w:rsid w:val="09B661C4"/>
    <w:rsid w:val="09C035A3"/>
    <w:rsid w:val="09C616CE"/>
    <w:rsid w:val="09D65411"/>
    <w:rsid w:val="09D82E78"/>
    <w:rsid w:val="09E15530"/>
    <w:rsid w:val="09F558AC"/>
    <w:rsid w:val="09FD73AD"/>
    <w:rsid w:val="0A144CBF"/>
    <w:rsid w:val="0A1B58FF"/>
    <w:rsid w:val="0A6D7B49"/>
    <w:rsid w:val="0A715D14"/>
    <w:rsid w:val="0A750537"/>
    <w:rsid w:val="0A757080"/>
    <w:rsid w:val="0A8C26DA"/>
    <w:rsid w:val="0A982E07"/>
    <w:rsid w:val="0AA51080"/>
    <w:rsid w:val="0AB142A0"/>
    <w:rsid w:val="0AC65495"/>
    <w:rsid w:val="0AD025D2"/>
    <w:rsid w:val="0AD11D45"/>
    <w:rsid w:val="0AD25F6F"/>
    <w:rsid w:val="0AE903B8"/>
    <w:rsid w:val="0AF655F6"/>
    <w:rsid w:val="0AFE510C"/>
    <w:rsid w:val="0B163D2C"/>
    <w:rsid w:val="0B1873A5"/>
    <w:rsid w:val="0B1877DC"/>
    <w:rsid w:val="0B242101"/>
    <w:rsid w:val="0B3512AA"/>
    <w:rsid w:val="0B6142F4"/>
    <w:rsid w:val="0B675C76"/>
    <w:rsid w:val="0B7218AA"/>
    <w:rsid w:val="0B7462A1"/>
    <w:rsid w:val="0B7553A7"/>
    <w:rsid w:val="0B8879E8"/>
    <w:rsid w:val="0B93111A"/>
    <w:rsid w:val="0BA16641"/>
    <w:rsid w:val="0BA25819"/>
    <w:rsid w:val="0BA35725"/>
    <w:rsid w:val="0BA37274"/>
    <w:rsid w:val="0BD93077"/>
    <w:rsid w:val="0BE51DCB"/>
    <w:rsid w:val="0BEE423F"/>
    <w:rsid w:val="0BF71987"/>
    <w:rsid w:val="0C3B6B9E"/>
    <w:rsid w:val="0C51660B"/>
    <w:rsid w:val="0C9A7792"/>
    <w:rsid w:val="0CA52652"/>
    <w:rsid w:val="0CAC6BB6"/>
    <w:rsid w:val="0CB3217A"/>
    <w:rsid w:val="0CC34F37"/>
    <w:rsid w:val="0CD355B6"/>
    <w:rsid w:val="0CEA1C84"/>
    <w:rsid w:val="0D216BD5"/>
    <w:rsid w:val="0D24738B"/>
    <w:rsid w:val="0D25763E"/>
    <w:rsid w:val="0D432CAC"/>
    <w:rsid w:val="0D486F7E"/>
    <w:rsid w:val="0D4D23F5"/>
    <w:rsid w:val="0D6D4F83"/>
    <w:rsid w:val="0D864353"/>
    <w:rsid w:val="0DA32096"/>
    <w:rsid w:val="0DD505F0"/>
    <w:rsid w:val="0DEA5E6A"/>
    <w:rsid w:val="0DFC36FB"/>
    <w:rsid w:val="0DFD5FF5"/>
    <w:rsid w:val="0E003B3D"/>
    <w:rsid w:val="0E084293"/>
    <w:rsid w:val="0E3C1CEC"/>
    <w:rsid w:val="0E825B3B"/>
    <w:rsid w:val="0E926082"/>
    <w:rsid w:val="0EB37705"/>
    <w:rsid w:val="0ECD01AD"/>
    <w:rsid w:val="0EE06F4E"/>
    <w:rsid w:val="0EE5457E"/>
    <w:rsid w:val="0EED6EAC"/>
    <w:rsid w:val="0EEE0F81"/>
    <w:rsid w:val="0EF07A0B"/>
    <w:rsid w:val="0F0D26CC"/>
    <w:rsid w:val="0F184ADA"/>
    <w:rsid w:val="0F317773"/>
    <w:rsid w:val="0F4B24D9"/>
    <w:rsid w:val="0F4D0AAA"/>
    <w:rsid w:val="0F56527C"/>
    <w:rsid w:val="0F736CB4"/>
    <w:rsid w:val="0F75376D"/>
    <w:rsid w:val="0F9C3A5D"/>
    <w:rsid w:val="0FA1669B"/>
    <w:rsid w:val="0FAF52CB"/>
    <w:rsid w:val="0FB2082D"/>
    <w:rsid w:val="0FB75ADD"/>
    <w:rsid w:val="0FE77623"/>
    <w:rsid w:val="100D7863"/>
    <w:rsid w:val="10115DD7"/>
    <w:rsid w:val="102F109D"/>
    <w:rsid w:val="10403A26"/>
    <w:rsid w:val="1047289C"/>
    <w:rsid w:val="104D509C"/>
    <w:rsid w:val="10522CFB"/>
    <w:rsid w:val="105F7471"/>
    <w:rsid w:val="106D0B81"/>
    <w:rsid w:val="10875769"/>
    <w:rsid w:val="10BD2EBA"/>
    <w:rsid w:val="10C83D1A"/>
    <w:rsid w:val="10DD77C5"/>
    <w:rsid w:val="10EF538B"/>
    <w:rsid w:val="10F95750"/>
    <w:rsid w:val="11062310"/>
    <w:rsid w:val="110A1A53"/>
    <w:rsid w:val="11105CBF"/>
    <w:rsid w:val="112B2239"/>
    <w:rsid w:val="11312DC0"/>
    <w:rsid w:val="11334496"/>
    <w:rsid w:val="114640E8"/>
    <w:rsid w:val="114701EB"/>
    <w:rsid w:val="11493DE0"/>
    <w:rsid w:val="116F1A29"/>
    <w:rsid w:val="118848CF"/>
    <w:rsid w:val="1190104B"/>
    <w:rsid w:val="11926C1D"/>
    <w:rsid w:val="11C11380"/>
    <w:rsid w:val="11FA4136"/>
    <w:rsid w:val="11FA6155"/>
    <w:rsid w:val="12092462"/>
    <w:rsid w:val="120F2891"/>
    <w:rsid w:val="121707FF"/>
    <w:rsid w:val="121D1954"/>
    <w:rsid w:val="121D403F"/>
    <w:rsid w:val="12214847"/>
    <w:rsid w:val="125E63CF"/>
    <w:rsid w:val="126E72DD"/>
    <w:rsid w:val="127B2CE9"/>
    <w:rsid w:val="129F7C67"/>
    <w:rsid w:val="12A367ED"/>
    <w:rsid w:val="12B1032D"/>
    <w:rsid w:val="12C24400"/>
    <w:rsid w:val="12DF2DF3"/>
    <w:rsid w:val="130B4B50"/>
    <w:rsid w:val="13380DD8"/>
    <w:rsid w:val="1344521A"/>
    <w:rsid w:val="134D7E82"/>
    <w:rsid w:val="135A3D39"/>
    <w:rsid w:val="13645ACB"/>
    <w:rsid w:val="13723F6B"/>
    <w:rsid w:val="137837D5"/>
    <w:rsid w:val="138A360A"/>
    <w:rsid w:val="13B0545B"/>
    <w:rsid w:val="13C9592B"/>
    <w:rsid w:val="13D35EFC"/>
    <w:rsid w:val="13E957B5"/>
    <w:rsid w:val="13F54664"/>
    <w:rsid w:val="14216DCD"/>
    <w:rsid w:val="14231F17"/>
    <w:rsid w:val="143E4B76"/>
    <w:rsid w:val="14412BB2"/>
    <w:rsid w:val="1454746E"/>
    <w:rsid w:val="146F2D0E"/>
    <w:rsid w:val="147542E1"/>
    <w:rsid w:val="1480482F"/>
    <w:rsid w:val="14867288"/>
    <w:rsid w:val="14895563"/>
    <w:rsid w:val="14A12D99"/>
    <w:rsid w:val="14B454F8"/>
    <w:rsid w:val="14D015C0"/>
    <w:rsid w:val="14D3719B"/>
    <w:rsid w:val="14D37F51"/>
    <w:rsid w:val="14E523C3"/>
    <w:rsid w:val="14F926F4"/>
    <w:rsid w:val="1510411E"/>
    <w:rsid w:val="151C2BE7"/>
    <w:rsid w:val="152B6039"/>
    <w:rsid w:val="152C2AC9"/>
    <w:rsid w:val="153160C1"/>
    <w:rsid w:val="15584512"/>
    <w:rsid w:val="155C5DCC"/>
    <w:rsid w:val="15724254"/>
    <w:rsid w:val="157E371E"/>
    <w:rsid w:val="1582755E"/>
    <w:rsid w:val="15A078BC"/>
    <w:rsid w:val="15AE733A"/>
    <w:rsid w:val="15E8794B"/>
    <w:rsid w:val="15F00B9B"/>
    <w:rsid w:val="16731DD4"/>
    <w:rsid w:val="168F7223"/>
    <w:rsid w:val="16A220CE"/>
    <w:rsid w:val="16AA643D"/>
    <w:rsid w:val="16B05DC8"/>
    <w:rsid w:val="16BA3EE7"/>
    <w:rsid w:val="16C3120C"/>
    <w:rsid w:val="16F93153"/>
    <w:rsid w:val="170148CE"/>
    <w:rsid w:val="172A1253"/>
    <w:rsid w:val="17305017"/>
    <w:rsid w:val="173065F9"/>
    <w:rsid w:val="173C295C"/>
    <w:rsid w:val="17633456"/>
    <w:rsid w:val="176D6324"/>
    <w:rsid w:val="177722F2"/>
    <w:rsid w:val="17776A67"/>
    <w:rsid w:val="177E2113"/>
    <w:rsid w:val="178C0B4E"/>
    <w:rsid w:val="17A90D49"/>
    <w:rsid w:val="17D5281D"/>
    <w:rsid w:val="17DE7734"/>
    <w:rsid w:val="17E649EB"/>
    <w:rsid w:val="18203AF8"/>
    <w:rsid w:val="188F17DC"/>
    <w:rsid w:val="18904498"/>
    <w:rsid w:val="18960844"/>
    <w:rsid w:val="18A3471E"/>
    <w:rsid w:val="18F56002"/>
    <w:rsid w:val="192B4DF7"/>
    <w:rsid w:val="192C1673"/>
    <w:rsid w:val="195E21AF"/>
    <w:rsid w:val="197D0CED"/>
    <w:rsid w:val="198048E1"/>
    <w:rsid w:val="198A7BC5"/>
    <w:rsid w:val="19BA6371"/>
    <w:rsid w:val="19BF4733"/>
    <w:rsid w:val="19ED2DED"/>
    <w:rsid w:val="19F90D7B"/>
    <w:rsid w:val="1A1B2562"/>
    <w:rsid w:val="1A273DF6"/>
    <w:rsid w:val="1A2F12F4"/>
    <w:rsid w:val="1A3F50EE"/>
    <w:rsid w:val="1A4054BB"/>
    <w:rsid w:val="1A4964D8"/>
    <w:rsid w:val="1A872185"/>
    <w:rsid w:val="1ABF7F3C"/>
    <w:rsid w:val="1AC60B16"/>
    <w:rsid w:val="1AD057D6"/>
    <w:rsid w:val="1ADE1BE9"/>
    <w:rsid w:val="1AEF3AC2"/>
    <w:rsid w:val="1AF6583C"/>
    <w:rsid w:val="1B011D85"/>
    <w:rsid w:val="1B070602"/>
    <w:rsid w:val="1B366AEF"/>
    <w:rsid w:val="1B682203"/>
    <w:rsid w:val="1B765D6A"/>
    <w:rsid w:val="1B7B66B5"/>
    <w:rsid w:val="1B841B34"/>
    <w:rsid w:val="1BBC23DB"/>
    <w:rsid w:val="1BF956CF"/>
    <w:rsid w:val="1C167049"/>
    <w:rsid w:val="1C225F98"/>
    <w:rsid w:val="1C272EF4"/>
    <w:rsid w:val="1C282F1E"/>
    <w:rsid w:val="1C3C604C"/>
    <w:rsid w:val="1C454170"/>
    <w:rsid w:val="1C5325BE"/>
    <w:rsid w:val="1C655AC8"/>
    <w:rsid w:val="1C6C40F3"/>
    <w:rsid w:val="1C74143C"/>
    <w:rsid w:val="1C7779A0"/>
    <w:rsid w:val="1C7C20CC"/>
    <w:rsid w:val="1C7D3097"/>
    <w:rsid w:val="1C7F4ED2"/>
    <w:rsid w:val="1C810059"/>
    <w:rsid w:val="1C812FA4"/>
    <w:rsid w:val="1C9D42AD"/>
    <w:rsid w:val="1CA57037"/>
    <w:rsid w:val="1CA614C8"/>
    <w:rsid w:val="1CA87BB1"/>
    <w:rsid w:val="1CD242C6"/>
    <w:rsid w:val="1CE0580C"/>
    <w:rsid w:val="1CFB55B3"/>
    <w:rsid w:val="1D031885"/>
    <w:rsid w:val="1D087864"/>
    <w:rsid w:val="1D117094"/>
    <w:rsid w:val="1D2270A1"/>
    <w:rsid w:val="1D234B85"/>
    <w:rsid w:val="1D320A97"/>
    <w:rsid w:val="1D3541D9"/>
    <w:rsid w:val="1D3E6FE0"/>
    <w:rsid w:val="1D4C3D7C"/>
    <w:rsid w:val="1D4F2685"/>
    <w:rsid w:val="1D534305"/>
    <w:rsid w:val="1D572666"/>
    <w:rsid w:val="1D5F7E9E"/>
    <w:rsid w:val="1D7627C7"/>
    <w:rsid w:val="1D767D65"/>
    <w:rsid w:val="1D905701"/>
    <w:rsid w:val="1DA653E3"/>
    <w:rsid w:val="1DAA7194"/>
    <w:rsid w:val="1DBA72ED"/>
    <w:rsid w:val="1DC064A5"/>
    <w:rsid w:val="1DCD471E"/>
    <w:rsid w:val="1DD05E75"/>
    <w:rsid w:val="1DD245D7"/>
    <w:rsid w:val="1DD91D07"/>
    <w:rsid w:val="1DED6942"/>
    <w:rsid w:val="1E064B3B"/>
    <w:rsid w:val="1E06531C"/>
    <w:rsid w:val="1E071E96"/>
    <w:rsid w:val="1E3E2D25"/>
    <w:rsid w:val="1E4507E4"/>
    <w:rsid w:val="1E461337"/>
    <w:rsid w:val="1E4C1D38"/>
    <w:rsid w:val="1E574D43"/>
    <w:rsid w:val="1E605764"/>
    <w:rsid w:val="1E6210B8"/>
    <w:rsid w:val="1E672DC4"/>
    <w:rsid w:val="1E81461D"/>
    <w:rsid w:val="1E8C3D55"/>
    <w:rsid w:val="1EA24880"/>
    <w:rsid w:val="1EB73773"/>
    <w:rsid w:val="1EC014EF"/>
    <w:rsid w:val="1EC664F8"/>
    <w:rsid w:val="1EDA6951"/>
    <w:rsid w:val="1EEE40CF"/>
    <w:rsid w:val="1EF03E77"/>
    <w:rsid w:val="1EFF6567"/>
    <w:rsid w:val="1F0E1492"/>
    <w:rsid w:val="1F2A3511"/>
    <w:rsid w:val="1F3001F5"/>
    <w:rsid w:val="1F3F3B37"/>
    <w:rsid w:val="1F69079D"/>
    <w:rsid w:val="1F7D3F22"/>
    <w:rsid w:val="1F972AC4"/>
    <w:rsid w:val="1FC25BB8"/>
    <w:rsid w:val="1FD75D28"/>
    <w:rsid w:val="1FE447FC"/>
    <w:rsid w:val="1FE66D15"/>
    <w:rsid w:val="1FF81ADD"/>
    <w:rsid w:val="1FF91559"/>
    <w:rsid w:val="20321A07"/>
    <w:rsid w:val="20496ED8"/>
    <w:rsid w:val="204B12FA"/>
    <w:rsid w:val="205B36D0"/>
    <w:rsid w:val="207C43F8"/>
    <w:rsid w:val="208207CE"/>
    <w:rsid w:val="208C2876"/>
    <w:rsid w:val="20900F30"/>
    <w:rsid w:val="209F13E4"/>
    <w:rsid w:val="20B44934"/>
    <w:rsid w:val="20DF4737"/>
    <w:rsid w:val="20FB72B3"/>
    <w:rsid w:val="211954F0"/>
    <w:rsid w:val="211D0AE0"/>
    <w:rsid w:val="2142018C"/>
    <w:rsid w:val="214B077B"/>
    <w:rsid w:val="216D0A00"/>
    <w:rsid w:val="2182323E"/>
    <w:rsid w:val="21A3266E"/>
    <w:rsid w:val="21D52CE5"/>
    <w:rsid w:val="21DC1ECD"/>
    <w:rsid w:val="21E761E9"/>
    <w:rsid w:val="21F253E2"/>
    <w:rsid w:val="22022CFA"/>
    <w:rsid w:val="22151E88"/>
    <w:rsid w:val="22155EFF"/>
    <w:rsid w:val="22231275"/>
    <w:rsid w:val="222A359C"/>
    <w:rsid w:val="22314912"/>
    <w:rsid w:val="225B3D6B"/>
    <w:rsid w:val="226006F6"/>
    <w:rsid w:val="22700395"/>
    <w:rsid w:val="22943AF1"/>
    <w:rsid w:val="22A1571A"/>
    <w:rsid w:val="22B35473"/>
    <w:rsid w:val="22CD6F6E"/>
    <w:rsid w:val="22DA2E50"/>
    <w:rsid w:val="22E37523"/>
    <w:rsid w:val="22EB49A7"/>
    <w:rsid w:val="22F351E3"/>
    <w:rsid w:val="23207452"/>
    <w:rsid w:val="233A551A"/>
    <w:rsid w:val="23474DD4"/>
    <w:rsid w:val="23597C0D"/>
    <w:rsid w:val="235F2314"/>
    <w:rsid w:val="2364528E"/>
    <w:rsid w:val="236E0609"/>
    <w:rsid w:val="2395665B"/>
    <w:rsid w:val="23C53225"/>
    <w:rsid w:val="23D5432C"/>
    <w:rsid w:val="23E6457E"/>
    <w:rsid w:val="23F323BE"/>
    <w:rsid w:val="240D1D18"/>
    <w:rsid w:val="24286B52"/>
    <w:rsid w:val="24337641"/>
    <w:rsid w:val="24341072"/>
    <w:rsid w:val="24392AAB"/>
    <w:rsid w:val="246555E1"/>
    <w:rsid w:val="247E3E28"/>
    <w:rsid w:val="249F043C"/>
    <w:rsid w:val="24A23816"/>
    <w:rsid w:val="24F2272A"/>
    <w:rsid w:val="24F36825"/>
    <w:rsid w:val="25171599"/>
    <w:rsid w:val="25290844"/>
    <w:rsid w:val="25294C6A"/>
    <w:rsid w:val="25350D03"/>
    <w:rsid w:val="25371308"/>
    <w:rsid w:val="25445D9E"/>
    <w:rsid w:val="255228DB"/>
    <w:rsid w:val="25560784"/>
    <w:rsid w:val="256A6EF1"/>
    <w:rsid w:val="257D3878"/>
    <w:rsid w:val="258473C7"/>
    <w:rsid w:val="260C4E4C"/>
    <w:rsid w:val="26173D8C"/>
    <w:rsid w:val="2624159B"/>
    <w:rsid w:val="262473EB"/>
    <w:rsid w:val="26261822"/>
    <w:rsid w:val="263D4A6F"/>
    <w:rsid w:val="264B4CFC"/>
    <w:rsid w:val="265B1EB7"/>
    <w:rsid w:val="265B56A0"/>
    <w:rsid w:val="265D2397"/>
    <w:rsid w:val="266D0844"/>
    <w:rsid w:val="26730940"/>
    <w:rsid w:val="269B05CF"/>
    <w:rsid w:val="269D39E6"/>
    <w:rsid w:val="26AC1A34"/>
    <w:rsid w:val="26B00D0D"/>
    <w:rsid w:val="26CF57CC"/>
    <w:rsid w:val="26D23878"/>
    <w:rsid w:val="26E041AB"/>
    <w:rsid w:val="26E93252"/>
    <w:rsid w:val="26F31699"/>
    <w:rsid w:val="26F560D5"/>
    <w:rsid w:val="2700189A"/>
    <w:rsid w:val="27022042"/>
    <w:rsid w:val="27030A0A"/>
    <w:rsid w:val="2727309C"/>
    <w:rsid w:val="2745709F"/>
    <w:rsid w:val="27533EE6"/>
    <w:rsid w:val="276A122F"/>
    <w:rsid w:val="276C29FF"/>
    <w:rsid w:val="277341DD"/>
    <w:rsid w:val="278849FD"/>
    <w:rsid w:val="27A206BC"/>
    <w:rsid w:val="27AB1AA7"/>
    <w:rsid w:val="27B13177"/>
    <w:rsid w:val="27C754C0"/>
    <w:rsid w:val="27E77427"/>
    <w:rsid w:val="27FA7D79"/>
    <w:rsid w:val="281F026C"/>
    <w:rsid w:val="282F1ABD"/>
    <w:rsid w:val="286432A5"/>
    <w:rsid w:val="286849B0"/>
    <w:rsid w:val="286B1B9F"/>
    <w:rsid w:val="28855A7D"/>
    <w:rsid w:val="288842B5"/>
    <w:rsid w:val="289068FC"/>
    <w:rsid w:val="289356FB"/>
    <w:rsid w:val="28937F49"/>
    <w:rsid w:val="28AA6390"/>
    <w:rsid w:val="28B93229"/>
    <w:rsid w:val="28F84844"/>
    <w:rsid w:val="2903193C"/>
    <w:rsid w:val="291C6527"/>
    <w:rsid w:val="292413D8"/>
    <w:rsid w:val="292E12CB"/>
    <w:rsid w:val="29486A84"/>
    <w:rsid w:val="294D58D2"/>
    <w:rsid w:val="29521D5A"/>
    <w:rsid w:val="29534671"/>
    <w:rsid w:val="29726ABB"/>
    <w:rsid w:val="298C7247"/>
    <w:rsid w:val="29974C94"/>
    <w:rsid w:val="29A46C7B"/>
    <w:rsid w:val="29B277F5"/>
    <w:rsid w:val="29C137F0"/>
    <w:rsid w:val="29C45433"/>
    <w:rsid w:val="29C54E43"/>
    <w:rsid w:val="29D4127A"/>
    <w:rsid w:val="29E01150"/>
    <w:rsid w:val="29EB624B"/>
    <w:rsid w:val="29F72B6A"/>
    <w:rsid w:val="2A0517FE"/>
    <w:rsid w:val="2A097DB4"/>
    <w:rsid w:val="2A2F5D10"/>
    <w:rsid w:val="2A3F0D9C"/>
    <w:rsid w:val="2A4055D4"/>
    <w:rsid w:val="2A472991"/>
    <w:rsid w:val="2A54259B"/>
    <w:rsid w:val="2A673FCC"/>
    <w:rsid w:val="2A683AA1"/>
    <w:rsid w:val="2A687324"/>
    <w:rsid w:val="2A7C19A5"/>
    <w:rsid w:val="2A893FD5"/>
    <w:rsid w:val="2A926FFB"/>
    <w:rsid w:val="2AB770A3"/>
    <w:rsid w:val="2ABC6541"/>
    <w:rsid w:val="2ABF25ED"/>
    <w:rsid w:val="2AC87B6C"/>
    <w:rsid w:val="2ACD2F19"/>
    <w:rsid w:val="2AEB407A"/>
    <w:rsid w:val="2AFE23BA"/>
    <w:rsid w:val="2B0C1F23"/>
    <w:rsid w:val="2B121E1D"/>
    <w:rsid w:val="2B1801D4"/>
    <w:rsid w:val="2B1B11BE"/>
    <w:rsid w:val="2B27041C"/>
    <w:rsid w:val="2B2A3917"/>
    <w:rsid w:val="2B3645F2"/>
    <w:rsid w:val="2B3B0250"/>
    <w:rsid w:val="2B45218A"/>
    <w:rsid w:val="2B535571"/>
    <w:rsid w:val="2B5A09F3"/>
    <w:rsid w:val="2B7628AF"/>
    <w:rsid w:val="2B8415FC"/>
    <w:rsid w:val="2B930932"/>
    <w:rsid w:val="2BDD6DB2"/>
    <w:rsid w:val="2BE373D1"/>
    <w:rsid w:val="2BE95450"/>
    <w:rsid w:val="2C0028BD"/>
    <w:rsid w:val="2C013B28"/>
    <w:rsid w:val="2C0440A1"/>
    <w:rsid w:val="2C0D2061"/>
    <w:rsid w:val="2C1012CB"/>
    <w:rsid w:val="2C1F6A8C"/>
    <w:rsid w:val="2C215BA8"/>
    <w:rsid w:val="2C2643AF"/>
    <w:rsid w:val="2C2B58CA"/>
    <w:rsid w:val="2C6547E1"/>
    <w:rsid w:val="2C6848B3"/>
    <w:rsid w:val="2C6A111B"/>
    <w:rsid w:val="2C6A6A3F"/>
    <w:rsid w:val="2C7470E0"/>
    <w:rsid w:val="2C773801"/>
    <w:rsid w:val="2C7A63A0"/>
    <w:rsid w:val="2C8F06DC"/>
    <w:rsid w:val="2C9876AB"/>
    <w:rsid w:val="2CAD5199"/>
    <w:rsid w:val="2CB20162"/>
    <w:rsid w:val="2CC644E9"/>
    <w:rsid w:val="2CC76232"/>
    <w:rsid w:val="2CF271A5"/>
    <w:rsid w:val="2CFA5C7D"/>
    <w:rsid w:val="2D2C0E66"/>
    <w:rsid w:val="2D3666E1"/>
    <w:rsid w:val="2D395076"/>
    <w:rsid w:val="2D426A09"/>
    <w:rsid w:val="2D5A0B88"/>
    <w:rsid w:val="2D69305E"/>
    <w:rsid w:val="2D8400D7"/>
    <w:rsid w:val="2D851D9A"/>
    <w:rsid w:val="2D8F56DE"/>
    <w:rsid w:val="2DAF4B82"/>
    <w:rsid w:val="2DD81421"/>
    <w:rsid w:val="2E026B0F"/>
    <w:rsid w:val="2E040257"/>
    <w:rsid w:val="2E0475DF"/>
    <w:rsid w:val="2E191154"/>
    <w:rsid w:val="2E1C2DE7"/>
    <w:rsid w:val="2E3771AC"/>
    <w:rsid w:val="2E501FD9"/>
    <w:rsid w:val="2E504FB3"/>
    <w:rsid w:val="2E5B6059"/>
    <w:rsid w:val="2E5D389C"/>
    <w:rsid w:val="2E850DE0"/>
    <w:rsid w:val="2E901D4D"/>
    <w:rsid w:val="2EB06528"/>
    <w:rsid w:val="2EBC07DB"/>
    <w:rsid w:val="2EDE0726"/>
    <w:rsid w:val="2EDE4B41"/>
    <w:rsid w:val="2EF26BD2"/>
    <w:rsid w:val="2EF74EB8"/>
    <w:rsid w:val="2EF83EBC"/>
    <w:rsid w:val="2F1446EF"/>
    <w:rsid w:val="2F200D2A"/>
    <w:rsid w:val="2F2B1AF0"/>
    <w:rsid w:val="2F332780"/>
    <w:rsid w:val="2F4A069E"/>
    <w:rsid w:val="2F4C2C3D"/>
    <w:rsid w:val="2F5A17D8"/>
    <w:rsid w:val="2F5D04F0"/>
    <w:rsid w:val="2F6C2FCD"/>
    <w:rsid w:val="2F747966"/>
    <w:rsid w:val="2F7B10A8"/>
    <w:rsid w:val="2F7D6357"/>
    <w:rsid w:val="2F824918"/>
    <w:rsid w:val="2F8B61E7"/>
    <w:rsid w:val="2F910BE6"/>
    <w:rsid w:val="2FA801C0"/>
    <w:rsid w:val="2FB22827"/>
    <w:rsid w:val="2FD47802"/>
    <w:rsid w:val="2FDF07E5"/>
    <w:rsid w:val="2FE7396B"/>
    <w:rsid w:val="2FFDA2E2"/>
    <w:rsid w:val="300D7D4A"/>
    <w:rsid w:val="301D017F"/>
    <w:rsid w:val="30254AC3"/>
    <w:rsid w:val="303B7599"/>
    <w:rsid w:val="30536D05"/>
    <w:rsid w:val="305900F4"/>
    <w:rsid w:val="305D4404"/>
    <w:rsid w:val="30816A78"/>
    <w:rsid w:val="30887E65"/>
    <w:rsid w:val="30A12956"/>
    <w:rsid w:val="30BB2AFC"/>
    <w:rsid w:val="30C43703"/>
    <w:rsid w:val="30ED0D54"/>
    <w:rsid w:val="30FC739C"/>
    <w:rsid w:val="31054D2C"/>
    <w:rsid w:val="31276F0F"/>
    <w:rsid w:val="312D3BE7"/>
    <w:rsid w:val="31424559"/>
    <w:rsid w:val="316F7BA9"/>
    <w:rsid w:val="318135D9"/>
    <w:rsid w:val="31A04A78"/>
    <w:rsid w:val="31A63A6C"/>
    <w:rsid w:val="31AF7290"/>
    <w:rsid w:val="31C205E6"/>
    <w:rsid w:val="31C940C0"/>
    <w:rsid w:val="31CF15AD"/>
    <w:rsid w:val="31D77FF4"/>
    <w:rsid w:val="31FE7C49"/>
    <w:rsid w:val="32150354"/>
    <w:rsid w:val="32296FBB"/>
    <w:rsid w:val="323A2127"/>
    <w:rsid w:val="324463DD"/>
    <w:rsid w:val="324653A5"/>
    <w:rsid w:val="325779CC"/>
    <w:rsid w:val="325E5AC9"/>
    <w:rsid w:val="3265133D"/>
    <w:rsid w:val="326D4AE9"/>
    <w:rsid w:val="32781F68"/>
    <w:rsid w:val="32791280"/>
    <w:rsid w:val="32AE1C1C"/>
    <w:rsid w:val="32B5796E"/>
    <w:rsid w:val="32B62EDF"/>
    <w:rsid w:val="32B820F5"/>
    <w:rsid w:val="32C06C25"/>
    <w:rsid w:val="32CC3281"/>
    <w:rsid w:val="32CC41E5"/>
    <w:rsid w:val="32D5273B"/>
    <w:rsid w:val="32ED57C7"/>
    <w:rsid w:val="33282D8C"/>
    <w:rsid w:val="334A56E2"/>
    <w:rsid w:val="335167C9"/>
    <w:rsid w:val="33551E7D"/>
    <w:rsid w:val="335C77D3"/>
    <w:rsid w:val="336848F4"/>
    <w:rsid w:val="337305E5"/>
    <w:rsid w:val="33BE302F"/>
    <w:rsid w:val="33D91C17"/>
    <w:rsid w:val="33E727B7"/>
    <w:rsid w:val="33E8614A"/>
    <w:rsid w:val="33EC005D"/>
    <w:rsid w:val="33F64252"/>
    <w:rsid w:val="33FC1A73"/>
    <w:rsid w:val="340508B7"/>
    <w:rsid w:val="340C4B71"/>
    <w:rsid w:val="340F0534"/>
    <w:rsid w:val="34165481"/>
    <w:rsid w:val="341E7862"/>
    <w:rsid w:val="34265B2A"/>
    <w:rsid w:val="3428452A"/>
    <w:rsid w:val="342F05A9"/>
    <w:rsid w:val="3437288E"/>
    <w:rsid w:val="343F40C7"/>
    <w:rsid w:val="344D213B"/>
    <w:rsid w:val="345A0B69"/>
    <w:rsid w:val="345B262C"/>
    <w:rsid w:val="345D1478"/>
    <w:rsid w:val="345E2F74"/>
    <w:rsid w:val="346644D8"/>
    <w:rsid w:val="34667947"/>
    <w:rsid w:val="346A6D13"/>
    <w:rsid w:val="34A30431"/>
    <w:rsid w:val="34BF6666"/>
    <w:rsid w:val="34D278FB"/>
    <w:rsid w:val="34D84DA0"/>
    <w:rsid w:val="34FE18DC"/>
    <w:rsid w:val="351A7898"/>
    <w:rsid w:val="3524649D"/>
    <w:rsid w:val="35364A69"/>
    <w:rsid w:val="356D349B"/>
    <w:rsid w:val="35704438"/>
    <w:rsid w:val="35847ED0"/>
    <w:rsid w:val="35851582"/>
    <w:rsid w:val="35956BE0"/>
    <w:rsid w:val="35A8317B"/>
    <w:rsid w:val="35AC5542"/>
    <w:rsid w:val="35B6520A"/>
    <w:rsid w:val="35BD4A27"/>
    <w:rsid w:val="35C86B96"/>
    <w:rsid w:val="36035E44"/>
    <w:rsid w:val="360607D9"/>
    <w:rsid w:val="360E1EE3"/>
    <w:rsid w:val="361662EE"/>
    <w:rsid w:val="36190C5C"/>
    <w:rsid w:val="3622076A"/>
    <w:rsid w:val="36350CFE"/>
    <w:rsid w:val="363D616D"/>
    <w:rsid w:val="36476A1A"/>
    <w:rsid w:val="365319BC"/>
    <w:rsid w:val="36742960"/>
    <w:rsid w:val="367C78FA"/>
    <w:rsid w:val="3680580C"/>
    <w:rsid w:val="36C675D1"/>
    <w:rsid w:val="36C80C21"/>
    <w:rsid w:val="36CA2093"/>
    <w:rsid w:val="36CD7F78"/>
    <w:rsid w:val="36E1254B"/>
    <w:rsid w:val="37004B4A"/>
    <w:rsid w:val="372F2842"/>
    <w:rsid w:val="37345020"/>
    <w:rsid w:val="37385E60"/>
    <w:rsid w:val="373D5CAD"/>
    <w:rsid w:val="37847EFF"/>
    <w:rsid w:val="37C00A85"/>
    <w:rsid w:val="381B1E18"/>
    <w:rsid w:val="381F17B1"/>
    <w:rsid w:val="383011E3"/>
    <w:rsid w:val="38365EC5"/>
    <w:rsid w:val="38414C9C"/>
    <w:rsid w:val="384161DC"/>
    <w:rsid w:val="384D6942"/>
    <w:rsid w:val="385A07E5"/>
    <w:rsid w:val="38680E46"/>
    <w:rsid w:val="386A0C9E"/>
    <w:rsid w:val="386A72E1"/>
    <w:rsid w:val="389E008F"/>
    <w:rsid w:val="38A94C99"/>
    <w:rsid w:val="38C140A5"/>
    <w:rsid w:val="38D6246F"/>
    <w:rsid w:val="38D869CE"/>
    <w:rsid w:val="38F00189"/>
    <w:rsid w:val="38F7761D"/>
    <w:rsid w:val="39314AD0"/>
    <w:rsid w:val="394B380F"/>
    <w:rsid w:val="394C0626"/>
    <w:rsid w:val="397126B4"/>
    <w:rsid w:val="39833522"/>
    <w:rsid w:val="39964266"/>
    <w:rsid w:val="39A12F19"/>
    <w:rsid w:val="39A705A8"/>
    <w:rsid w:val="39C35FBC"/>
    <w:rsid w:val="39DC420F"/>
    <w:rsid w:val="39DE171C"/>
    <w:rsid w:val="39F00E54"/>
    <w:rsid w:val="3A075054"/>
    <w:rsid w:val="3A1E2823"/>
    <w:rsid w:val="3A3C70DA"/>
    <w:rsid w:val="3A6442DC"/>
    <w:rsid w:val="3A8E5D10"/>
    <w:rsid w:val="3A92534E"/>
    <w:rsid w:val="3A970136"/>
    <w:rsid w:val="3AAC67DB"/>
    <w:rsid w:val="3ABE4776"/>
    <w:rsid w:val="3AE04029"/>
    <w:rsid w:val="3AE042D8"/>
    <w:rsid w:val="3AE11A4E"/>
    <w:rsid w:val="3AF215C1"/>
    <w:rsid w:val="3B011A58"/>
    <w:rsid w:val="3B10495E"/>
    <w:rsid w:val="3B1705E5"/>
    <w:rsid w:val="3B181276"/>
    <w:rsid w:val="3B1B1A7F"/>
    <w:rsid w:val="3B2A4FB6"/>
    <w:rsid w:val="3B2F46A1"/>
    <w:rsid w:val="3B380E35"/>
    <w:rsid w:val="3B3E2F67"/>
    <w:rsid w:val="3B466225"/>
    <w:rsid w:val="3B560558"/>
    <w:rsid w:val="3B6E7B3C"/>
    <w:rsid w:val="3B842900"/>
    <w:rsid w:val="3B932D9C"/>
    <w:rsid w:val="3BA03887"/>
    <w:rsid w:val="3BB92057"/>
    <w:rsid w:val="3BD26834"/>
    <w:rsid w:val="3BDA29D0"/>
    <w:rsid w:val="3BE1103B"/>
    <w:rsid w:val="3BF22085"/>
    <w:rsid w:val="3BFA5772"/>
    <w:rsid w:val="3C015E83"/>
    <w:rsid w:val="3C031497"/>
    <w:rsid w:val="3C0A1C4C"/>
    <w:rsid w:val="3C0F292E"/>
    <w:rsid w:val="3C1501DD"/>
    <w:rsid w:val="3C19288C"/>
    <w:rsid w:val="3C1E42A4"/>
    <w:rsid w:val="3C3E13E3"/>
    <w:rsid w:val="3C4D703F"/>
    <w:rsid w:val="3C56250D"/>
    <w:rsid w:val="3C830EFF"/>
    <w:rsid w:val="3CB56743"/>
    <w:rsid w:val="3CBA43FC"/>
    <w:rsid w:val="3CCD53D0"/>
    <w:rsid w:val="3CCE5FE8"/>
    <w:rsid w:val="3CE138EA"/>
    <w:rsid w:val="3CF63273"/>
    <w:rsid w:val="3CFA77D8"/>
    <w:rsid w:val="3D1B7945"/>
    <w:rsid w:val="3D2B14C5"/>
    <w:rsid w:val="3D453E79"/>
    <w:rsid w:val="3D573AAE"/>
    <w:rsid w:val="3D881E50"/>
    <w:rsid w:val="3D9A7B9E"/>
    <w:rsid w:val="3DAE2189"/>
    <w:rsid w:val="3DC237DD"/>
    <w:rsid w:val="3DC90D6A"/>
    <w:rsid w:val="3DDC29E6"/>
    <w:rsid w:val="3DDC6AF7"/>
    <w:rsid w:val="3DFD0A04"/>
    <w:rsid w:val="3E02627C"/>
    <w:rsid w:val="3E090067"/>
    <w:rsid w:val="3E193765"/>
    <w:rsid w:val="3E2E12C9"/>
    <w:rsid w:val="3E3238C3"/>
    <w:rsid w:val="3E5834DE"/>
    <w:rsid w:val="3E5F1E94"/>
    <w:rsid w:val="3E630F69"/>
    <w:rsid w:val="3E70688D"/>
    <w:rsid w:val="3E850BD6"/>
    <w:rsid w:val="3EA550E2"/>
    <w:rsid w:val="3EFB42E5"/>
    <w:rsid w:val="3EFB7CC1"/>
    <w:rsid w:val="3EFE0737"/>
    <w:rsid w:val="3F022944"/>
    <w:rsid w:val="3F07229D"/>
    <w:rsid w:val="3F125943"/>
    <w:rsid w:val="3F1C5E18"/>
    <w:rsid w:val="3F2E32D3"/>
    <w:rsid w:val="3F4E21EB"/>
    <w:rsid w:val="3F4F4E0E"/>
    <w:rsid w:val="3F556CD2"/>
    <w:rsid w:val="3F5B6A91"/>
    <w:rsid w:val="3F5E5528"/>
    <w:rsid w:val="3F627433"/>
    <w:rsid w:val="3F817D6A"/>
    <w:rsid w:val="3F8807E5"/>
    <w:rsid w:val="3F897A9D"/>
    <w:rsid w:val="3F957DB4"/>
    <w:rsid w:val="3F9961FF"/>
    <w:rsid w:val="3F9F2EEF"/>
    <w:rsid w:val="3FAD7FFA"/>
    <w:rsid w:val="3FAF4912"/>
    <w:rsid w:val="3FC97621"/>
    <w:rsid w:val="3FCE01BB"/>
    <w:rsid w:val="40016245"/>
    <w:rsid w:val="4022246D"/>
    <w:rsid w:val="402C30CE"/>
    <w:rsid w:val="404E68A1"/>
    <w:rsid w:val="4050544D"/>
    <w:rsid w:val="4056335B"/>
    <w:rsid w:val="4064682D"/>
    <w:rsid w:val="406A72FF"/>
    <w:rsid w:val="4071181D"/>
    <w:rsid w:val="40806112"/>
    <w:rsid w:val="40877969"/>
    <w:rsid w:val="40925627"/>
    <w:rsid w:val="40BB01C3"/>
    <w:rsid w:val="40CD787E"/>
    <w:rsid w:val="40D27DE8"/>
    <w:rsid w:val="40FA080D"/>
    <w:rsid w:val="41036525"/>
    <w:rsid w:val="410858E9"/>
    <w:rsid w:val="4116009C"/>
    <w:rsid w:val="411723B5"/>
    <w:rsid w:val="411F39C0"/>
    <w:rsid w:val="41235717"/>
    <w:rsid w:val="41524E42"/>
    <w:rsid w:val="41660EC0"/>
    <w:rsid w:val="417C7DBE"/>
    <w:rsid w:val="418D4C98"/>
    <w:rsid w:val="4197570B"/>
    <w:rsid w:val="41B75ADD"/>
    <w:rsid w:val="41DA54D8"/>
    <w:rsid w:val="41E021E2"/>
    <w:rsid w:val="41E225DE"/>
    <w:rsid w:val="420853CF"/>
    <w:rsid w:val="421B7832"/>
    <w:rsid w:val="421F738E"/>
    <w:rsid w:val="42254A34"/>
    <w:rsid w:val="422C1012"/>
    <w:rsid w:val="422D24AA"/>
    <w:rsid w:val="422E0127"/>
    <w:rsid w:val="422E7EC6"/>
    <w:rsid w:val="423050F8"/>
    <w:rsid w:val="423563AB"/>
    <w:rsid w:val="426263B8"/>
    <w:rsid w:val="426F3299"/>
    <w:rsid w:val="42817188"/>
    <w:rsid w:val="428264AA"/>
    <w:rsid w:val="429462ED"/>
    <w:rsid w:val="42A012DD"/>
    <w:rsid w:val="42BC7DDF"/>
    <w:rsid w:val="42FD25F8"/>
    <w:rsid w:val="43076C51"/>
    <w:rsid w:val="431A26BC"/>
    <w:rsid w:val="431B6745"/>
    <w:rsid w:val="432509D4"/>
    <w:rsid w:val="43446DC2"/>
    <w:rsid w:val="43471878"/>
    <w:rsid w:val="434D13F6"/>
    <w:rsid w:val="434D3299"/>
    <w:rsid w:val="437D4FDB"/>
    <w:rsid w:val="437E2698"/>
    <w:rsid w:val="438D1337"/>
    <w:rsid w:val="439048AA"/>
    <w:rsid w:val="43A562EB"/>
    <w:rsid w:val="43A5687F"/>
    <w:rsid w:val="43AD43B9"/>
    <w:rsid w:val="43B54D3A"/>
    <w:rsid w:val="43CB1CC4"/>
    <w:rsid w:val="43D2785E"/>
    <w:rsid w:val="43E42855"/>
    <w:rsid w:val="43EF5470"/>
    <w:rsid w:val="43FD3798"/>
    <w:rsid w:val="44030F25"/>
    <w:rsid w:val="44201AAB"/>
    <w:rsid w:val="443238E8"/>
    <w:rsid w:val="444529B0"/>
    <w:rsid w:val="44534FF1"/>
    <w:rsid w:val="446C56F1"/>
    <w:rsid w:val="44705F2D"/>
    <w:rsid w:val="44761777"/>
    <w:rsid w:val="447E28E2"/>
    <w:rsid w:val="44851D60"/>
    <w:rsid w:val="448A72D9"/>
    <w:rsid w:val="44B4325F"/>
    <w:rsid w:val="44CD2FC3"/>
    <w:rsid w:val="44EF1B82"/>
    <w:rsid w:val="44F93D0A"/>
    <w:rsid w:val="451851EA"/>
    <w:rsid w:val="45555D50"/>
    <w:rsid w:val="45561A07"/>
    <w:rsid w:val="4556335D"/>
    <w:rsid w:val="455F76BC"/>
    <w:rsid w:val="45797C51"/>
    <w:rsid w:val="457B44E8"/>
    <w:rsid w:val="459425B5"/>
    <w:rsid w:val="45955E46"/>
    <w:rsid w:val="45A168B6"/>
    <w:rsid w:val="45AF3AE3"/>
    <w:rsid w:val="45BD7EF6"/>
    <w:rsid w:val="45CF5F21"/>
    <w:rsid w:val="45E05F9D"/>
    <w:rsid w:val="45EE4E64"/>
    <w:rsid w:val="45F146F7"/>
    <w:rsid w:val="45FD797D"/>
    <w:rsid w:val="46012F69"/>
    <w:rsid w:val="460B0FC7"/>
    <w:rsid w:val="461B2714"/>
    <w:rsid w:val="461F5E14"/>
    <w:rsid w:val="462369A1"/>
    <w:rsid w:val="462B5FAB"/>
    <w:rsid w:val="46374923"/>
    <w:rsid w:val="464F7B16"/>
    <w:rsid w:val="467164C4"/>
    <w:rsid w:val="46717A8D"/>
    <w:rsid w:val="46881996"/>
    <w:rsid w:val="46897FB9"/>
    <w:rsid w:val="46B3784B"/>
    <w:rsid w:val="46BF681F"/>
    <w:rsid w:val="46CD1A6F"/>
    <w:rsid w:val="46D872D3"/>
    <w:rsid w:val="46EA00C1"/>
    <w:rsid w:val="46F41301"/>
    <w:rsid w:val="46FC6C97"/>
    <w:rsid w:val="47091900"/>
    <w:rsid w:val="471C560E"/>
    <w:rsid w:val="472E13A7"/>
    <w:rsid w:val="47305A35"/>
    <w:rsid w:val="473D2DF8"/>
    <w:rsid w:val="475A2590"/>
    <w:rsid w:val="47613FA5"/>
    <w:rsid w:val="47654FC8"/>
    <w:rsid w:val="476A048C"/>
    <w:rsid w:val="479C6D8B"/>
    <w:rsid w:val="47C15529"/>
    <w:rsid w:val="47CA7B5E"/>
    <w:rsid w:val="47D00801"/>
    <w:rsid w:val="47D453B5"/>
    <w:rsid w:val="47F66832"/>
    <w:rsid w:val="481362B8"/>
    <w:rsid w:val="484E43C3"/>
    <w:rsid w:val="48580DFA"/>
    <w:rsid w:val="488C7948"/>
    <w:rsid w:val="48BB68D3"/>
    <w:rsid w:val="48D2364E"/>
    <w:rsid w:val="48EC0787"/>
    <w:rsid w:val="48F650FE"/>
    <w:rsid w:val="490F7D6F"/>
    <w:rsid w:val="494E2350"/>
    <w:rsid w:val="49523623"/>
    <w:rsid w:val="495822D3"/>
    <w:rsid w:val="49582C60"/>
    <w:rsid w:val="497F6965"/>
    <w:rsid w:val="498C5105"/>
    <w:rsid w:val="49D157B9"/>
    <w:rsid w:val="49DC6BE6"/>
    <w:rsid w:val="49EC0F55"/>
    <w:rsid w:val="4A076836"/>
    <w:rsid w:val="4A2C1D3E"/>
    <w:rsid w:val="4A370FED"/>
    <w:rsid w:val="4A396B13"/>
    <w:rsid w:val="4A3F1E95"/>
    <w:rsid w:val="4A5742F5"/>
    <w:rsid w:val="4A5F7F16"/>
    <w:rsid w:val="4A666F92"/>
    <w:rsid w:val="4A672273"/>
    <w:rsid w:val="4A68505D"/>
    <w:rsid w:val="4A784B37"/>
    <w:rsid w:val="4ABF11D5"/>
    <w:rsid w:val="4AD41253"/>
    <w:rsid w:val="4AE57855"/>
    <w:rsid w:val="4AF17160"/>
    <w:rsid w:val="4B1C4AAD"/>
    <w:rsid w:val="4B1C72DA"/>
    <w:rsid w:val="4B1F7A5F"/>
    <w:rsid w:val="4B484CD6"/>
    <w:rsid w:val="4B807D59"/>
    <w:rsid w:val="4B9A5798"/>
    <w:rsid w:val="4BA72EF2"/>
    <w:rsid w:val="4BAE6206"/>
    <w:rsid w:val="4BB5041C"/>
    <w:rsid w:val="4BC64282"/>
    <w:rsid w:val="4BE175E4"/>
    <w:rsid w:val="4C0E1600"/>
    <w:rsid w:val="4C1B6949"/>
    <w:rsid w:val="4C20213F"/>
    <w:rsid w:val="4C261BCF"/>
    <w:rsid w:val="4C2A70BC"/>
    <w:rsid w:val="4C3C131C"/>
    <w:rsid w:val="4C3E203F"/>
    <w:rsid w:val="4C4A2448"/>
    <w:rsid w:val="4C5A5CFB"/>
    <w:rsid w:val="4C766778"/>
    <w:rsid w:val="4C787471"/>
    <w:rsid w:val="4C8B4849"/>
    <w:rsid w:val="4C9D15DC"/>
    <w:rsid w:val="4CCA576B"/>
    <w:rsid w:val="4CCC631F"/>
    <w:rsid w:val="4CF6285E"/>
    <w:rsid w:val="4D21108F"/>
    <w:rsid w:val="4D2350EA"/>
    <w:rsid w:val="4D2C26AC"/>
    <w:rsid w:val="4D3722A8"/>
    <w:rsid w:val="4D3D03C8"/>
    <w:rsid w:val="4D493360"/>
    <w:rsid w:val="4D4941DA"/>
    <w:rsid w:val="4D4E0B28"/>
    <w:rsid w:val="4D7930EC"/>
    <w:rsid w:val="4D8B2EAD"/>
    <w:rsid w:val="4DA654D7"/>
    <w:rsid w:val="4DC74AA8"/>
    <w:rsid w:val="4DED52D5"/>
    <w:rsid w:val="4DED5547"/>
    <w:rsid w:val="4DF30DF0"/>
    <w:rsid w:val="4DFD1152"/>
    <w:rsid w:val="4E24182D"/>
    <w:rsid w:val="4E2C356B"/>
    <w:rsid w:val="4E337AB4"/>
    <w:rsid w:val="4E3956A5"/>
    <w:rsid w:val="4E3B2540"/>
    <w:rsid w:val="4E6836D6"/>
    <w:rsid w:val="4E855F2B"/>
    <w:rsid w:val="4E8A5259"/>
    <w:rsid w:val="4E8B1908"/>
    <w:rsid w:val="4EAC01FC"/>
    <w:rsid w:val="4EB25AF9"/>
    <w:rsid w:val="4EC04804"/>
    <w:rsid w:val="4EC16C24"/>
    <w:rsid w:val="4EC267A5"/>
    <w:rsid w:val="4ECF17A1"/>
    <w:rsid w:val="4EF13889"/>
    <w:rsid w:val="4F3C2804"/>
    <w:rsid w:val="4F4F70D0"/>
    <w:rsid w:val="4F651E82"/>
    <w:rsid w:val="4F672375"/>
    <w:rsid w:val="4F73779A"/>
    <w:rsid w:val="4F805323"/>
    <w:rsid w:val="4FA2755C"/>
    <w:rsid w:val="4FAB7661"/>
    <w:rsid w:val="4FB97DFA"/>
    <w:rsid w:val="500559F6"/>
    <w:rsid w:val="50261F6E"/>
    <w:rsid w:val="50577D78"/>
    <w:rsid w:val="505D1FE0"/>
    <w:rsid w:val="505F4F83"/>
    <w:rsid w:val="50902684"/>
    <w:rsid w:val="50AC1C8B"/>
    <w:rsid w:val="50AD29FC"/>
    <w:rsid w:val="50AD7DA8"/>
    <w:rsid w:val="50B2516B"/>
    <w:rsid w:val="50B44AB5"/>
    <w:rsid w:val="50BB0B24"/>
    <w:rsid w:val="50D61560"/>
    <w:rsid w:val="50DF56DA"/>
    <w:rsid w:val="50F8758E"/>
    <w:rsid w:val="50F87728"/>
    <w:rsid w:val="511B4739"/>
    <w:rsid w:val="51272EB1"/>
    <w:rsid w:val="512E3F2D"/>
    <w:rsid w:val="51380BCD"/>
    <w:rsid w:val="51492B03"/>
    <w:rsid w:val="516A1F01"/>
    <w:rsid w:val="518610EF"/>
    <w:rsid w:val="51A801A0"/>
    <w:rsid w:val="51CE6CA6"/>
    <w:rsid w:val="52253DCF"/>
    <w:rsid w:val="524845E8"/>
    <w:rsid w:val="52693681"/>
    <w:rsid w:val="526E79B6"/>
    <w:rsid w:val="527103FC"/>
    <w:rsid w:val="529A792F"/>
    <w:rsid w:val="52A4759B"/>
    <w:rsid w:val="52B35629"/>
    <w:rsid w:val="52B770A6"/>
    <w:rsid w:val="52C368ED"/>
    <w:rsid w:val="52D32AFD"/>
    <w:rsid w:val="5301655F"/>
    <w:rsid w:val="531D4AA3"/>
    <w:rsid w:val="53322B18"/>
    <w:rsid w:val="533E07CB"/>
    <w:rsid w:val="534432F8"/>
    <w:rsid w:val="534552C1"/>
    <w:rsid w:val="53481136"/>
    <w:rsid w:val="5363381F"/>
    <w:rsid w:val="53824AAE"/>
    <w:rsid w:val="53861634"/>
    <w:rsid w:val="538E02D2"/>
    <w:rsid w:val="53951066"/>
    <w:rsid w:val="539F3171"/>
    <w:rsid w:val="53A571DA"/>
    <w:rsid w:val="53A92BD4"/>
    <w:rsid w:val="53AD73D7"/>
    <w:rsid w:val="53CE651E"/>
    <w:rsid w:val="540F0375"/>
    <w:rsid w:val="541C548D"/>
    <w:rsid w:val="541F6411"/>
    <w:rsid w:val="543640C4"/>
    <w:rsid w:val="544E36DD"/>
    <w:rsid w:val="54610702"/>
    <w:rsid w:val="54660D84"/>
    <w:rsid w:val="54771EAD"/>
    <w:rsid w:val="549A7AFD"/>
    <w:rsid w:val="54BE21D7"/>
    <w:rsid w:val="54C50F52"/>
    <w:rsid w:val="54C83108"/>
    <w:rsid w:val="54E219D3"/>
    <w:rsid w:val="54E61993"/>
    <w:rsid w:val="54E66E2F"/>
    <w:rsid w:val="550F3BDA"/>
    <w:rsid w:val="5511466B"/>
    <w:rsid w:val="551C075A"/>
    <w:rsid w:val="55354676"/>
    <w:rsid w:val="553D0DF8"/>
    <w:rsid w:val="55442971"/>
    <w:rsid w:val="554F1B9E"/>
    <w:rsid w:val="55571991"/>
    <w:rsid w:val="557911C1"/>
    <w:rsid w:val="558040FA"/>
    <w:rsid w:val="55992337"/>
    <w:rsid w:val="559B3DF5"/>
    <w:rsid w:val="55A150EB"/>
    <w:rsid w:val="55BF1134"/>
    <w:rsid w:val="55C61EFD"/>
    <w:rsid w:val="55E118F5"/>
    <w:rsid w:val="56087E94"/>
    <w:rsid w:val="561F1F50"/>
    <w:rsid w:val="56210B0B"/>
    <w:rsid w:val="562348D9"/>
    <w:rsid w:val="56262AA1"/>
    <w:rsid w:val="562E2336"/>
    <w:rsid w:val="564079AA"/>
    <w:rsid w:val="564A20C5"/>
    <w:rsid w:val="564F0490"/>
    <w:rsid w:val="565F1615"/>
    <w:rsid w:val="56836CF0"/>
    <w:rsid w:val="56960A4F"/>
    <w:rsid w:val="56B7490A"/>
    <w:rsid w:val="57244195"/>
    <w:rsid w:val="5738228E"/>
    <w:rsid w:val="57554FD9"/>
    <w:rsid w:val="575A664D"/>
    <w:rsid w:val="575E2B30"/>
    <w:rsid w:val="576F63F0"/>
    <w:rsid w:val="577F1A74"/>
    <w:rsid w:val="5792379C"/>
    <w:rsid w:val="579A350E"/>
    <w:rsid w:val="57A27169"/>
    <w:rsid w:val="57A646D9"/>
    <w:rsid w:val="57AB0B61"/>
    <w:rsid w:val="57AE1AE6"/>
    <w:rsid w:val="57B07793"/>
    <w:rsid w:val="57B43DAE"/>
    <w:rsid w:val="57D026CB"/>
    <w:rsid w:val="57D47DEA"/>
    <w:rsid w:val="57E43394"/>
    <w:rsid w:val="58036954"/>
    <w:rsid w:val="580E15DF"/>
    <w:rsid w:val="580E2EDA"/>
    <w:rsid w:val="58192004"/>
    <w:rsid w:val="58214023"/>
    <w:rsid w:val="582E78D1"/>
    <w:rsid w:val="58484011"/>
    <w:rsid w:val="585C14E3"/>
    <w:rsid w:val="58676EA9"/>
    <w:rsid w:val="586B7456"/>
    <w:rsid w:val="58772A8E"/>
    <w:rsid w:val="587F072F"/>
    <w:rsid w:val="58907ECA"/>
    <w:rsid w:val="58A310F9"/>
    <w:rsid w:val="58B828C7"/>
    <w:rsid w:val="58BA1519"/>
    <w:rsid w:val="58C17E61"/>
    <w:rsid w:val="58D459D0"/>
    <w:rsid w:val="58DF6CF4"/>
    <w:rsid w:val="5904132B"/>
    <w:rsid w:val="59157827"/>
    <w:rsid w:val="592F5E84"/>
    <w:rsid w:val="59385759"/>
    <w:rsid w:val="593C7FF3"/>
    <w:rsid w:val="59404B20"/>
    <w:rsid w:val="59421824"/>
    <w:rsid w:val="594400A5"/>
    <w:rsid w:val="59460EC7"/>
    <w:rsid w:val="594F6755"/>
    <w:rsid w:val="59943F04"/>
    <w:rsid w:val="59B07FB1"/>
    <w:rsid w:val="59C90F05"/>
    <w:rsid w:val="5A0D54AB"/>
    <w:rsid w:val="5A1B237D"/>
    <w:rsid w:val="5A1F0C08"/>
    <w:rsid w:val="5A286A09"/>
    <w:rsid w:val="5A390194"/>
    <w:rsid w:val="5A4B1D88"/>
    <w:rsid w:val="5A7238F3"/>
    <w:rsid w:val="5A764668"/>
    <w:rsid w:val="5A8A2026"/>
    <w:rsid w:val="5A8E7299"/>
    <w:rsid w:val="5A9410D3"/>
    <w:rsid w:val="5A9D30EE"/>
    <w:rsid w:val="5A9F0C46"/>
    <w:rsid w:val="5AB23A35"/>
    <w:rsid w:val="5ABF2119"/>
    <w:rsid w:val="5AF413B3"/>
    <w:rsid w:val="5B0C3400"/>
    <w:rsid w:val="5B250563"/>
    <w:rsid w:val="5B3309E8"/>
    <w:rsid w:val="5B451CFA"/>
    <w:rsid w:val="5B4F7AA0"/>
    <w:rsid w:val="5BA64DC5"/>
    <w:rsid w:val="5BCA04B5"/>
    <w:rsid w:val="5BD91F40"/>
    <w:rsid w:val="5BDC2EC5"/>
    <w:rsid w:val="5C101154"/>
    <w:rsid w:val="5C1B3545"/>
    <w:rsid w:val="5C334ECD"/>
    <w:rsid w:val="5C384596"/>
    <w:rsid w:val="5C3914B8"/>
    <w:rsid w:val="5C653D22"/>
    <w:rsid w:val="5C6D68F5"/>
    <w:rsid w:val="5C85755D"/>
    <w:rsid w:val="5C9F34F1"/>
    <w:rsid w:val="5CB0575F"/>
    <w:rsid w:val="5CC10DF5"/>
    <w:rsid w:val="5CDC2747"/>
    <w:rsid w:val="5CFA6097"/>
    <w:rsid w:val="5D096B4B"/>
    <w:rsid w:val="5D0E4F63"/>
    <w:rsid w:val="5D184E4B"/>
    <w:rsid w:val="5D196E59"/>
    <w:rsid w:val="5D1A5D3B"/>
    <w:rsid w:val="5D2F6C6E"/>
    <w:rsid w:val="5D450504"/>
    <w:rsid w:val="5D633510"/>
    <w:rsid w:val="5D740137"/>
    <w:rsid w:val="5D750A54"/>
    <w:rsid w:val="5D7647EC"/>
    <w:rsid w:val="5D8F776B"/>
    <w:rsid w:val="5D9E1657"/>
    <w:rsid w:val="5DA63F72"/>
    <w:rsid w:val="5DAC09E0"/>
    <w:rsid w:val="5DB5423B"/>
    <w:rsid w:val="5DBA1FF8"/>
    <w:rsid w:val="5DF012AB"/>
    <w:rsid w:val="5DF44B66"/>
    <w:rsid w:val="5E0C5358"/>
    <w:rsid w:val="5E0D665D"/>
    <w:rsid w:val="5E183A8B"/>
    <w:rsid w:val="5E1A11DF"/>
    <w:rsid w:val="5E1D3725"/>
    <w:rsid w:val="5E3478C6"/>
    <w:rsid w:val="5E367257"/>
    <w:rsid w:val="5E37668B"/>
    <w:rsid w:val="5E422BC3"/>
    <w:rsid w:val="5E46260B"/>
    <w:rsid w:val="5E4C5E08"/>
    <w:rsid w:val="5E5C22A5"/>
    <w:rsid w:val="5E621953"/>
    <w:rsid w:val="5E9C51FA"/>
    <w:rsid w:val="5EAA77E0"/>
    <w:rsid w:val="5EC42D73"/>
    <w:rsid w:val="5EC94755"/>
    <w:rsid w:val="5ED54C52"/>
    <w:rsid w:val="5ED75D25"/>
    <w:rsid w:val="5ED873FE"/>
    <w:rsid w:val="5F023B13"/>
    <w:rsid w:val="5F0B0A84"/>
    <w:rsid w:val="5F176B0F"/>
    <w:rsid w:val="5F1A2F60"/>
    <w:rsid w:val="5F1C51F8"/>
    <w:rsid w:val="5F2472F0"/>
    <w:rsid w:val="5F847DEF"/>
    <w:rsid w:val="5F92436A"/>
    <w:rsid w:val="5F9E05CB"/>
    <w:rsid w:val="5FBC04D0"/>
    <w:rsid w:val="5FC749B3"/>
    <w:rsid w:val="5FCD38CD"/>
    <w:rsid w:val="5FDD5C5A"/>
    <w:rsid w:val="60037A11"/>
    <w:rsid w:val="6008100A"/>
    <w:rsid w:val="601326AA"/>
    <w:rsid w:val="601B1D80"/>
    <w:rsid w:val="60225D86"/>
    <w:rsid w:val="60287679"/>
    <w:rsid w:val="602B1F6F"/>
    <w:rsid w:val="60365E58"/>
    <w:rsid w:val="606960CC"/>
    <w:rsid w:val="608E7029"/>
    <w:rsid w:val="609E54CA"/>
    <w:rsid w:val="60C346C6"/>
    <w:rsid w:val="60C73328"/>
    <w:rsid w:val="60CF1375"/>
    <w:rsid w:val="60D81BB1"/>
    <w:rsid w:val="60D96770"/>
    <w:rsid w:val="60E773B9"/>
    <w:rsid w:val="61141727"/>
    <w:rsid w:val="612414A5"/>
    <w:rsid w:val="612853B8"/>
    <w:rsid w:val="61433C21"/>
    <w:rsid w:val="615171DA"/>
    <w:rsid w:val="61615CEE"/>
    <w:rsid w:val="61747C73"/>
    <w:rsid w:val="61942726"/>
    <w:rsid w:val="619B21F6"/>
    <w:rsid w:val="61A11066"/>
    <w:rsid w:val="61A429C0"/>
    <w:rsid w:val="61AF1182"/>
    <w:rsid w:val="61D41829"/>
    <w:rsid w:val="61E559A8"/>
    <w:rsid w:val="61F600A3"/>
    <w:rsid w:val="62247132"/>
    <w:rsid w:val="623B0D4C"/>
    <w:rsid w:val="6246524F"/>
    <w:rsid w:val="624D09AF"/>
    <w:rsid w:val="625E1FC6"/>
    <w:rsid w:val="626D784A"/>
    <w:rsid w:val="62944DD7"/>
    <w:rsid w:val="62A24B3B"/>
    <w:rsid w:val="62BA2508"/>
    <w:rsid w:val="62D62763"/>
    <w:rsid w:val="630048F7"/>
    <w:rsid w:val="63215DB8"/>
    <w:rsid w:val="632757F0"/>
    <w:rsid w:val="632D663D"/>
    <w:rsid w:val="63342A99"/>
    <w:rsid w:val="634D3D20"/>
    <w:rsid w:val="63580D97"/>
    <w:rsid w:val="635A0FB8"/>
    <w:rsid w:val="63B16C3B"/>
    <w:rsid w:val="63B77B8E"/>
    <w:rsid w:val="63F16D08"/>
    <w:rsid w:val="63F41FD1"/>
    <w:rsid w:val="64064949"/>
    <w:rsid w:val="640B13D8"/>
    <w:rsid w:val="640D620E"/>
    <w:rsid w:val="64244CEF"/>
    <w:rsid w:val="645079A9"/>
    <w:rsid w:val="64AE48E6"/>
    <w:rsid w:val="64BE130D"/>
    <w:rsid w:val="64E25391"/>
    <w:rsid w:val="64EE3DAD"/>
    <w:rsid w:val="64FB113D"/>
    <w:rsid w:val="64FC3347"/>
    <w:rsid w:val="65040540"/>
    <w:rsid w:val="650A4AEB"/>
    <w:rsid w:val="65140F4D"/>
    <w:rsid w:val="65304E99"/>
    <w:rsid w:val="65337875"/>
    <w:rsid w:val="65374A9B"/>
    <w:rsid w:val="653D73E8"/>
    <w:rsid w:val="657516F6"/>
    <w:rsid w:val="65867EED"/>
    <w:rsid w:val="65904469"/>
    <w:rsid w:val="659874A2"/>
    <w:rsid w:val="65A93AD5"/>
    <w:rsid w:val="65AD1091"/>
    <w:rsid w:val="65AE37E0"/>
    <w:rsid w:val="65B678EF"/>
    <w:rsid w:val="65DF6369"/>
    <w:rsid w:val="65E924CF"/>
    <w:rsid w:val="6612673F"/>
    <w:rsid w:val="661B376D"/>
    <w:rsid w:val="663150D6"/>
    <w:rsid w:val="66324980"/>
    <w:rsid w:val="6641251B"/>
    <w:rsid w:val="66616A07"/>
    <w:rsid w:val="666E595E"/>
    <w:rsid w:val="66796A53"/>
    <w:rsid w:val="66810F6F"/>
    <w:rsid w:val="668234C4"/>
    <w:rsid w:val="66831ED9"/>
    <w:rsid w:val="668F4233"/>
    <w:rsid w:val="668F7750"/>
    <w:rsid w:val="669F5DE6"/>
    <w:rsid w:val="66AC6B93"/>
    <w:rsid w:val="66AE5255"/>
    <w:rsid w:val="66C93C02"/>
    <w:rsid w:val="66D859DF"/>
    <w:rsid w:val="66E12631"/>
    <w:rsid w:val="66E87590"/>
    <w:rsid w:val="67011205"/>
    <w:rsid w:val="670A1B0C"/>
    <w:rsid w:val="670D1B04"/>
    <w:rsid w:val="670E0E72"/>
    <w:rsid w:val="67154686"/>
    <w:rsid w:val="6727060B"/>
    <w:rsid w:val="67302F6D"/>
    <w:rsid w:val="673605A4"/>
    <w:rsid w:val="673F23F4"/>
    <w:rsid w:val="67433096"/>
    <w:rsid w:val="676D114A"/>
    <w:rsid w:val="67750171"/>
    <w:rsid w:val="67A13C10"/>
    <w:rsid w:val="67B6759E"/>
    <w:rsid w:val="67CB5FDA"/>
    <w:rsid w:val="67FA2386"/>
    <w:rsid w:val="68297D70"/>
    <w:rsid w:val="682A4046"/>
    <w:rsid w:val="683455E8"/>
    <w:rsid w:val="683B458A"/>
    <w:rsid w:val="684D5B29"/>
    <w:rsid w:val="685154E0"/>
    <w:rsid w:val="685F74A6"/>
    <w:rsid w:val="6878082B"/>
    <w:rsid w:val="688B6ED4"/>
    <w:rsid w:val="68BA215E"/>
    <w:rsid w:val="68C21062"/>
    <w:rsid w:val="68C3086F"/>
    <w:rsid w:val="68D51CA5"/>
    <w:rsid w:val="68DC6C18"/>
    <w:rsid w:val="68E74721"/>
    <w:rsid w:val="68F10571"/>
    <w:rsid w:val="692B0CE1"/>
    <w:rsid w:val="692B3742"/>
    <w:rsid w:val="69321F0F"/>
    <w:rsid w:val="69431305"/>
    <w:rsid w:val="695E7EED"/>
    <w:rsid w:val="697A2F79"/>
    <w:rsid w:val="697D3521"/>
    <w:rsid w:val="69894FEE"/>
    <w:rsid w:val="6994470F"/>
    <w:rsid w:val="69B226BD"/>
    <w:rsid w:val="69BF30D1"/>
    <w:rsid w:val="69CE5072"/>
    <w:rsid w:val="69EF4759"/>
    <w:rsid w:val="6A116D75"/>
    <w:rsid w:val="6A160FCF"/>
    <w:rsid w:val="6A1C79C2"/>
    <w:rsid w:val="6A296146"/>
    <w:rsid w:val="6A5E5781"/>
    <w:rsid w:val="6A752434"/>
    <w:rsid w:val="6A801EDC"/>
    <w:rsid w:val="6A823CA3"/>
    <w:rsid w:val="6A8F72B9"/>
    <w:rsid w:val="6AA77936"/>
    <w:rsid w:val="6AAB7F50"/>
    <w:rsid w:val="6AAF5D85"/>
    <w:rsid w:val="6AC14B39"/>
    <w:rsid w:val="6ADF4062"/>
    <w:rsid w:val="6AF20FCD"/>
    <w:rsid w:val="6AF53A93"/>
    <w:rsid w:val="6B026BA0"/>
    <w:rsid w:val="6B147AA6"/>
    <w:rsid w:val="6B526E3B"/>
    <w:rsid w:val="6B5B2701"/>
    <w:rsid w:val="6B6271EC"/>
    <w:rsid w:val="6B6F62E5"/>
    <w:rsid w:val="6B777044"/>
    <w:rsid w:val="6B7C30A5"/>
    <w:rsid w:val="6B9361C0"/>
    <w:rsid w:val="6BA7444D"/>
    <w:rsid w:val="6BB46349"/>
    <w:rsid w:val="6BBC1421"/>
    <w:rsid w:val="6BBE51DA"/>
    <w:rsid w:val="6BD05451"/>
    <w:rsid w:val="6BEF7CB3"/>
    <w:rsid w:val="6C1E4588"/>
    <w:rsid w:val="6C213774"/>
    <w:rsid w:val="6C310293"/>
    <w:rsid w:val="6C4A7D6E"/>
    <w:rsid w:val="6C561A42"/>
    <w:rsid w:val="6C5A36DE"/>
    <w:rsid w:val="6C5D7FE5"/>
    <w:rsid w:val="6C624A10"/>
    <w:rsid w:val="6C767F1C"/>
    <w:rsid w:val="6C7A1C00"/>
    <w:rsid w:val="6C933F37"/>
    <w:rsid w:val="6C96071A"/>
    <w:rsid w:val="6C9B45C8"/>
    <w:rsid w:val="6CA6317B"/>
    <w:rsid w:val="6CBA7AA8"/>
    <w:rsid w:val="6CC90D79"/>
    <w:rsid w:val="6CCC33F6"/>
    <w:rsid w:val="6CEC5B78"/>
    <w:rsid w:val="6D0A2161"/>
    <w:rsid w:val="6D164F86"/>
    <w:rsid w:val="6D1E0350"/>
    <w:rsid w:val="6D1E6EDC"/>
    <w:rsid w:val="6D337FA3"/>
    <w:rsid w:val="6D3909BE"/>
    <w:rsid w:val="6D9956BA"/>
    <w:rsid w:val="6D9A63CF"/>
    <w:rsid w:val="6DB90902"/>
    <w:rsid w:val="6DC51E49"/>
    <w:rsid w:val="6DEA1D4F"/>
    <w:rsid w:val="6DF22F05"/>
    <w:rsid w:val="6DF7909A"/>
    <w:rsid w:val="6DFC351E"/>
    <w:rsid w:val="6E091096"/>
    <w:rsid w:val="6E1C29F8"/>
    <w:rsid w:val="6E255207"/>
    <w:rsid w:val="6E271A36"/>
    <w:rsid w:val="6E4B44C8"/>
    <w:rsid w:val="6E502C4D"/>
    <w:rsid w:val="6E625129"/>
    <w:rsid w:val="6E732CC4"/>
    <w:rsid w:val="6E7E704D"/>
    <w:rsid w:val="6E9E2257"/>
    <w:rsid w:val="6EA16987"/>
    <w:rsid w:val="6EC86534"/>
    <w:rsid w:val="6EDB5B6B"/>
    <w:rsid w:val="6EE74BC4"/>
    <w:rsid w:val="6EEC6702"/>
    <w:rsid w:val="6F0F0944"/>
    <w:rsid w:val="6F291746"/>
    <w:rsid w:val="6F316EDD"/>
    <w:rsid w:val="6F3D7DA8"/>
    <w:rsid w:val="6F484143"/>
    <w:rsid w:val="6F574271"/>
    <w:rsid w:val="6F670FD3"/>
    <w:rsid w:val="6F6A0A78"/>
    <w:rsid w:val="6F750F26"/>
    <w:rsid w:val="6F7B72E9"/>
    <w:rsid w:val="6F8445D4"/>
    <w:rsid w:val="6F8B410F"/>
    <w:rsid w:val="6F8D5C1A"/>
    <w:rsid w:val="6F8E342E"/>
    <w:rsid w:val="6FA6711C"/>
    <w:rsid w:val="6FA8133A"/>
    <w:rsid w:val="6FAD74D8"/>
    <w:rsid w:val="6FBD3BBF"/>
    <w:rsid w:val="6FD27139"/>
    <w:rsid w:val="6FEE7494"/>
    <w:rsid w:val="6FF53256"/>
    <w:rsid w:val="6FF702D2"/>
    <w:rsid w:val="700A7EA9"/>
    <w:rsid w:val="700B7263"/>
    <w:rsid w:val="7012291D"/>
    <w:rsid w:val="7015097F"/>
    <w:rsid w:val="70333E81"/>
    <w:rsid w:val="70366CD0"/>
    <w:rsid w:val="70637F71"/>
    <w:rsid w:val="707A385E"/>
    <w:rsid w:val="708E1276"/>
    <w:rsid w:val="70A57A3B"/>
    <w:rsid w:val="70B04F4F"/>
    <w:rsid w:val="70C2769F"/>
    <w:rsid w:val="70C35A0C"/>
    <w:rsid w:val="70C4348D"/>
    <w:rsid w:val="70C85E83"/>
    <w:rsid w:val="70CD2B48"/>
    <w:rsid w:val="70E1568B"/>
    <w:rsid w:val="71126EE7"/>
    <w:rsid w:val="7127726E"/>
    <w:rsid w:val="712B4136"/>
    <w:rsid w:val="712C37AE"/>
    <w:rsid w:val="71333965"/>
    <w:rsid w:val="71654E27"/>
    <w:rsid w:val="71767925"/>
    <w:rsid w:val="71780812"/>
    <w:rsid w:val="718A79D3"/>
    <w:rsid w:val="719E73CE"/>
    <w:rsid w:val="71AF2281"/>
    <w:rsid w:val="71C07AE9"/>
    <w:rsid w:val="71C4758F"/>
    <w:rsid w:val="71D758D4"/>
    <w:rsid w:val="71E552D8"/>
    <w:rsid w:val="71E8724E"/>
    <w:rsid w:val="71E962DD"/>
    <w:rsid w:val="71F6500C"/>
    <w:rsid w:val="72040533"/>
    <w:rsid w:val="720E0702"/>
    <w:rsid w:val="72146C3B"/>
    <w:rsid w:val="7219208E"/>
    <w:rsid w:val="724755B2"/>
    <w:rsid w:val="72807126"/>
    <w:rsid w:val="7281567D"/>
    <w:rsid w:val="72895FDA"/>
    <w:rsid w:val="72AB1549"/>
    <w:rsid w:val="72C15774"/>
    <w:rsid w:val="72CE5F36"/>
    <w:rsid w:val="72D10FAA"/>
    <w:rsid w:val="72D348CB"/>
    <w:rsid w:val="72DC1F2A"/>
    <w:rsid w:val="731E36F9"/>
    <w:rsid w:val="73235220"/>
    <w:rsid w:val="734150E1"/>
    <w:rsid w:val="73520F32"/>
    <w:rsid w:val="73605905"/>
    <w:rsid w:val="73680EDC"/>
    <w:rsid w:val="737E24ED"/>
    <w:rsid w:val="73994B51"/>
    <w:rsid w:val="73B36E12"/>
    <w:rsid w:val="73B548E0"/>
    <w:rsid w:val="73BE3A62"/>
    <w:rsid w:val="73C208F7"/>
    <w:rsid w:val="73C92006"/>
    <w:rsid w:val="73D73297"/>
    <w:rsid w:val="73E17515"/>
    <w:rsid w:val="73F531FC"/>
    <w:rsid w:val="73FE4ED9"/>
    <w:rsid w:val="73FF841C"/>
    <w:rsid w:val="741320F9"/>
    <w:rsid w:val="741458BD"/>
    <w:rsid w:val="74203020"/>
    <w:rsid w:val="743B4D3E"/>
    <w:rsid w:val="744F19D3"/>
    <w:rsid w:val="746A3249"/>
    <w:rsid w:val="747B5DF7"/>
    <w:rsid w:val="74926B23"/>
    <w:rsid w:val="74BA00BD"/>
    <w:rsid w:val="74D00E46"/>
    <w:rsid w:val="74FB246C"/>
    <w:rsid w:val="75121589"/>
    <w:rsid w:val="75134E45"/>
    <w:rsid w:val="752268BF"/>
    <w:rsid w:val="752C34D0"/>
    <w:rsid w:val="753273BA"/>
    <w:rsid w:val="756F3394"/>
    <w:rsid w:val="756F6CE4"/>
    <w:rsid w:val="757B306B"/>
    <w:rsid w:val="757C043C"/>
    <w:rsid w:val="757D7BB8"/>
    <w:rsid w:val="75A1572C"/>
    <w:rsid w:val="75A93448"/>
    <w:rsid w:val="75BB0D7A"/>
    <w:rsid w:val="760865B3"/>
    <w:rsid w:val="76134845"/>
    <w:rsid w:val="762033BD"/>
    <w:rsid w:val="762251B1"/>
    <w:rsid w:val="76256276"/>
    <w:rsid w:val="763922F4"/>
    <w:rsid w:val="764E034A"/>
    <w:rsid w:val="76785549"/>
    <w:rsid w:val="768558AD"/>
    <w:rsid w:val="768E0063"/>
    <w:rsid w:val="768F5151"/>
    <w:rsid w:val="76D22F01"/>
    <w:rsid w:val="76D31F1A"/>
    <w:rsid w:val="76D336FD"/>
    <w:rsid w:val="76D975C0"/>
    <w:rsid w:val="76EF6DD7"/>
    <w:rsid w:val="774B075C"/>
    <w:rsid w:val="774F0B38"/>
    <w:rsid w:val="775F0E78"/>
    <w:rsid w:val="776F1266"/>
    <w:rsid w:val="77713FD0"/>
    <w:rsid w:val="77720278"/>
    <w:rsid w:val="77725A74"/>
    <w:rsid w:val="777560A0"/>
    <w:rsid w:val="777A3FB8"/>
    <w:rsid w:val="77896DD2"/>
    <w:rsid w:val="778F5135"/>
    <w:rsid w:val="779407C7"/>
    <w:rsid w:val="77961B55"/>
    <w:rsid w:val="77AF566A"/>
    <w:rsid w:val="77CC6EAD"/>
    <w:rsid w:val="77D17FDF"/>
    <w:rsid w:val="77E168AE"/>
    <w:rsid w:val="77E430D5"/>
    <w:rsid w:val="77F6230D"/>
    <w:rsid w:val="77F83052"/>
    <w:rsid w:val="78174088"/>
    <w:rsid w:val="782A7F03"/>
    <w:rsid w:val="7883171E"/>
    <w:rsid w:val="789B7312"/>
    <w:rsid w:val="78A655A6"/>
    <w:rsid w:val="78AC2A23"/>
    <w:rsid w:val="78BB0EB8"/>
    <w:rsid w:val="78C150A6"/>
    <w:rsid w:val="78CA1DC4"/>
    <w:rsid w:val="78D661BA"/>
    <w:rsid w:val="78F92189"/>
    <w:rsid w:val="790849A2"/>
    <w:rsid w:val="79121D15"/>
    <w:rsid w:val="79132AE3"/>
    <w:rsid w:val="794E145A"/>
    <w:rsid w:val="79555B08"/>
    <w:rsid w:val="79616DC4"/>
    <w:rsid w:val="798A3DF0"/>
    <w:rsid w:val="798F455D"/>
    <w:rsid w:val="79901112"/>
    <w:rsid w:val="7996560C"/>
    <w:rsid w:val="79A02845"/>
    <w:rsid w:val="79A17936"/>
    <w:rsid w:val="79E820BE"/>
    <w:rsid w:val="7A095B36"/>
    <w:rsid w:val="7A1E4F81"/>
    <w:rsid w:val="7A5073DE"/>
    <w:rsid w:val="7A5532BA"/>
    <w:rsid w:val="7A676CCE"/>
    <w:rsid w:val="7A6B1A1D"/>
    <w:rsid w:val="7A7157F3"/>
    <w:rsid w:val="7A862644"/>
    <w:rsid w:val="7A9D7307"/>
    <w:rsid w:val="7AAD5717"/>
    <w:rsid w:val="7ABEF027"/>
    <w:rsid w:val="7ABF6124"/>
    <w:rsid w:val="7AC15EBB"/>
    <w:rsid w:val="7AFE2D3C"/>
    <w:rsid w:val="7B054777"/>
    <w:rsid w:val="7B0A53EC"/>
    <w:rsid w:val="7B2708C2"/>
    <w:rsid w:val="7B2A6F72"/>
    <w:rsid w:val="7B3C7E48"/>
    <w:rsid w:val="7B4128F5"/>
    <w:rsid w:val="7B502FE1"/>
    <w:rsid w:val="7B557345"/>
    <w:rsid w:val="7B681A01"/>
    <w:rsid w:val="7B6A6ECA"/>
    <w:rsid w:val="7B731191"/>
    <w:rsid w:val="7B86410F"/>
    <w:rsid w:val="7B89019C"/>
    <w:rsid w:val="7BA6533C"/>
    <w:rsid w:val="7BBE49A2"/>
    <w:rsid w:val="7BD3539E"/>
    <w:rsid w:val="7BE159BC"/>
    <w:rsid w:val="7BEF08AE"/>
    <w:rsid w:val="7BF1498C"/>
    <w:rsid w:val="7C1316D8"/>
    <w:rsid w:val="7C337E22"/>
    <w:rsid w:val="7C47478B"/>
    <w:rsid w:val="7C5701E4"/>
    <w:rsid w:val="7C6F0B59"/>
    <w:rsid w:val="7C93416E"/>
    <w:rsid w:val="7CAC1335"/>
    <w:rsid w:val="7CB42860"/>
    <w:rsid w:val="7CBB03EA"/>
    <w:rsid w:val="7CBC4C47"/>
    <w:rsid w:val="7CBE0859"/>
    <w:rsid w:val="7CCC504D"/>
    <w:rsid w:val="7CD17508"/>
    <w:rsid w:val="7CDB656D"/>
    <w:rsid w:val="7D021F92"/>
    <w:rsid w:val="7D1338F5"/>
    <w:rsid w:val="7D152EC3"/>
    <w:rsid w:val="7D185FC2"/>
    <w:rsid w:val="7D237B73"/>
    <w:rsid w:val="7D242708"/>
    <w:rsid w:val="7D337729"/>
    <w:rsid w:val="7D38437C"/>
    <w:rsid w:val="7D406D18"/>
    <w:rsid w:val="7D43779B"/>
    <w:rsid w:val="7D503DA5"/>
    <w:rsid w:val="7D5134B7"/>
    <w:rsid w:val="7D5F17D7"/>
    <w:rsid w:val="7D6C75DF"/>
    <w:rsid w:val="7D8F21B9"/>
    <w:rsid w:val="7DAC0DCF"/>
    <w:rsid w:val="7DE466E7"/>
    <w:rsid w:val="7DFA2064"/>
    <w:rsid w:val="7E3E551B"/>
    <w:rsid w:val="7E4A4EFA"/>
    <w:rsid w:val="7E520966"/>
    <w:rsid w:val="7E5B29FD"/>
    <w:rsid w:val="7E5B42FD"/>
    <w:rsid w:val="7E6E2E4D"/>
    <w:rsid w:val="7EAD3051"/>
    <w:rsid w:val="7EBE6F11"/>
    <w:rsid w:val="7EC40A46"/>
    <w:rsid w:val="7ED473B2"/>
    <w:rsid w:val="7EE30DF1"/>
    <w:rsid w:val="7EFDB9FA"/>
    <w:rsid w:val="7F0722CE"/>
    <w:rsid w:val="7F0823BD"/>
    <w:rsid w:val="7F1E662F"/>
    <w:rsid w:val="7F22298D"/>
    <w:rsid w:val="7F364706"/>
    <w:rsid w:val="7F627088"/>
    <w:rsid w:val="7F6E2E4E"/>
    <w:rsid w:val="7F73490F"/>
    <w:rsid w:val="7F73672D"/>
    <w:rsid w:val="7F833D8D"/>
    <w:rsid w:val="7F8C2C66"/>
    <w:rsid w:val="7FCF5FEA"/>
    <w:rsid w:val="7FD065BE"/>
    <w:rsid w:val="7FD242E8"/>
    <w:rsid w:val="7FEF2720"/>
    <w:rsid w:val="9F7F601B"/>
    <w:rsid w:val="CFAF0290"/>
    <w:rsid w:val="D5F6A635"/>
    <w:rsid w:val="FA1D0532"/>
    <w:rsid w:val="FCE3705A"/>
    <w:rsid w:val="FEBA90BA"/>
    <w:rsid w:val="FEEFCD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5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43">
    <w:name w:val="Default Paragraph Font"/>
    <w:semiHidden/>
    <w:qFormat/>
    <w:uiPriority w:val="0"/>
  </w:style>
  <w:style w:type="table" w:default="1" w:styleId="41">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39"/>
    <w:pPr>
      <w:ind w:left="2520" w:leftChars="1200"/>
    </w:pPr>
  </w:style>
  <w:style w:type="paragraph" w:styleId="6">
    <w:name w:val="index 8"/>
    <w:basedOn w:val="1"/>
    <w:next w:val="1"/>
    <w:qFormat/>
    <w:uiPriority w:val="0"/>
    <w:pPr>
      <w:ind w:left="3920" w:leftChars="1400"/>
    </w:p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index 5"/>
    <w:basedOn w:val="1"/>
    <w:next w:val="1"/>
    <w:qFormat/>
    <w:uiPriority w:val="2"/>
    <w:pPr>
      <w:ind w:left="1680"/>
    </w:pPr>
  </w:style>
  <w:style w:type="paragraph" w:styleId="9">
    <w:name w:val="Document Map"/>
    <w:basedOn w:val="1"/>
    <w:semiHidden/>
    <w:qFormat/>
    <w:uiPriority w:val="0"/>
    <w:pPr>
      <w:shd w:val="clear" w:color="auto" w:fill="000080"/>
    </w:pPr>
  </w:style>
  <w:style w:type="paragraph" w:styleId="10">
    <w:name w:val="toa heading"/>
    <w:basedOn w:val="1"/>
    <w:next w:val="1"/>
    <w:unhideWhenUsed/>
    <w:qFormat/>
    <w:uiPriority w:val="99"/>
    <w:pPr>
      <w:spacing w:before="120" w:beforeLines="0"/>
    </w:pPr>
    <w:rPr>
      <w:rFonts w:ascii="Cambria" w:hAnsi="Cambria" w:cs="Times New Roman"/>
      <w:sz w:val="24"/>
      <w:szCs w:val="24"/>
    </w:rPr>
  </w:style>
  <w:style w:type="paragraph" w:styleId="11">
    <w:name w:val="annotation text"/>
    <w:basedOn w:val="1"/>
    <w:link w:val="52"/>
    <w:qFormat/>
    <w:uiPriority w:val="99"/>
    <w:pPr>
      <w:jc w:val="left"/>
    </w:pPr>
  </w:style>
  <w:style w:type="paragraph" w:styleId="12">
    <w:name w:val="Body Text"/>
    <w:basedOn w:val="1"/>
    <w:link w:val="53"/>
    <w:qFormat/>
    <w:uiPriority w:val="0"/>
    <w:pPr>
      <w:tabs>
        <w:tab w:val="left" w:pos="567"/>
      </w:tabs>
      <w:spacing w:before="120" w:line="22" w:lineRule="atLeast"/>
    </w:pPr>
    <w:rPr>
      <w:rFonts w:ascii="宋体" w:hAnsi="宋体"/>
      <w:sz w:val="24"/>
    </w:rPr>
  </w:style>
  <w:style w:type="paragraph" w:styleId="13">
    <w:name w:val="Body Text Indent"/>
    <w:basedOn w:val="1"/>
    <w:next w:val="1"/>
    <w:qFormat/>
    <w:uiPriority w:val="0"/>
    <w:pPr>
      <w:spacing w:line="360" w:lineRule="auto"/>
      <w:ind w:firstLine="570"/>
    </w:pPr>
    <w:rPr>
      <w:sz w:val="24"/>
    </w:rPr>
  </w:style>
  <w:style w:type="paragraph" w:styleId="14">
    <w:name w:val="toc 5"/>
    <w:basedOn w:val="1"/>
    <w:next w:val="1"/>
    <w:qFormat/>
    <w:uiPriority w:val="39"/>
    <w:pPr>
      <w:ind w:left="1680" w:leftChars="800"/>
    </w:p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next w:val="17"/>
    <w:link w:val="54"/>
    <w:qFormat/>
    <w:uiPriority w:val="0"/>
    <w:rPr>
      <w:rFonts w:ascii="宋体" w:hAnsi="Courier New"/>
      <w:szCs w:val="20"/>
    </w:rPr>
  </w:style>
  <w:style w:type="paragraph" w:styleId="17">
    <w:name w:val="index 7"/>
    <w:basedOn w:val="1"/>
    <w:next w:val="1"/>
    <w:qFormat/>
    <w:uiPriority w:val="0"/>
    <w:pPr>
      <w:autoSpaceDE/>
      <w:autoSpaceDN/>
      <w:adjustRightInd/>
      <w:ind w:left="1200" w:leftChars="1200"/>
    </w:pPr>
    <w:rPr>
      <w:color w:val="auto"/>
      <w:kern w:val="2"/>
      <w:szCs w:val="24"/>
    </w:rPr>
  </w:style>
  <w:style w:type="paragraph" w:styleId="18">
    <w:name w:val="toc 8"/>
    <w:basedOn w:val="1"/>
    <w:next w:val="1"/>
    <w:qFormat/>
    <w:uiPriority w:val="39"/>
    <w:pPr>
      <w:ind w:left="2940" w:leftChars="1400"/>
    </w:pPr>
  </w:style>
  <w:style w:type="paragraph" w:styleId="19">
    <w:name w:val="Date"/>
    <w:basedOn w:val="1"/>
    <w:next w:val="1"/>
    <w:link w:val="55"/>
    <w:qFormat/>
    <w:uiPriority w:val="0"/>
    <w:pPr>
      <w:ind w:left="100" w:leftChars="2500"/>
    </w:pPr>
    <w:rPr>
      <w:rFonts w:ascii="仿宋_GB2312" w:hAnsi="宋体" w:eastAsia="仿宋_GB2312"/>
      <w:color w:val="000000"/>
      <w:sz w:val="24"/>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link w:val="56"/>
    <w:qFormat/>
    <w:uiPriority w:val="0"/>
    <w:rPr>
      <w:sz w:val="18"/>
      <w:szCs w:val="18"/>
    </w:rPr>
  </w:style>
  <w:style w:type="paragraph" w:styleId="22">
    <w:name w:val="footer"/>
    <w:basedOn w:val="1"/>
    <w:next w:val="8"/>
    <w:link w:val="5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envelope return"/>
    <w:basedOn w:val="1"/>
    <w:unhideWhenUsed/>
    <w:qFormat/>
    <w:uiPriority w:val="99"/>
    <w:pPr>
      <w:snapToGrid w:val="0"/>
    </w:pPr>
    <w:rPr>
      <w:rFonts w:ascii="Arial" w:hAnsi="Arial"/>
    </w:rPr>
  </w:style>
  <w:style w:type="paragraph" w:styleId="24">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qFormat/>
    <w:uiPriority w:val="39"/>
    <w:pPr>
      <w:ind w:left="1260" w:leftChars="600"/>
    </w:pPr>
  </w:style>
  <w:style w:type="paragraph" w:styleId="27">
    <w:name w:val="Subtitle"/>
    <w:basedOn w:val="1"/>
    <w:next w:val="1"/>
    <w:qFormat/>
    <w:uiPriority w:val="0"/>
    <w:pPr>
      <w:wordWrap w:val="0"/>
      <w:spacing w:after="60"/>
      <w:jc w:val="center"/>
    </w:pPr>
    <w:rPr>
      <w:rFonts w:ascii="Calibri" w:hAnsi="Calibri" w:eastAsia="宋体" w:cs="Times New Roman"/>
      <w:sz w:val="24"/>
      <w:lang w:val="en-US" w:eastAsia="zh-CN" w:bidi="ar-SA"/>
    </w:rPr>
  </w:style>
  <w:style w:type="paragraph" w:styleId="28">
    <w:name w:val="footnote text"/>
    <w:basedOn w:val="1"/>
    <w:next w:val="12"/>
    <w:qFormat/>
    <w:uiPriority w:val="0"/>
    <w:pPr>
      <w:snapToGrid w:val="0"/>
      <w:jc w:val="left"/>
    </w:pPr>
    <w:rPr>
      <w:sz w:val="18"/>
    </w:rPr>
  </w:style>
  <w:style w:type="paragraph" w:styleId="29">
    <w:name w:val="toc 6"/>
    <w:basedOn w:val="1"/>
    <w:next w:val="1"/>
    <w:qFormat/>
    <w:uiPriority w:val="39"/>
    <w:pPr>
      <w:ind w:left="2100" w:leftChars="1000"/>
    </w:pPr>
  </w:style>
  <w:style w:type="paragraph" w:styleId="30">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1">
    <w:name w:val="toc 2"/>
    <w:basedOn w:val="1"/>
    <w:next w:val="1"/>
    <w:qFormat/>
    <w:uiPriority w:val="39"/>
    <w:pPr>
      <w:ind w:left="420" w:leftChars="200"/>
    </w:pPr>
  </w:style>
  <w:style w:type="paragraph" w:styleId="32">
    <w:name w:val="toc 9"/>
    <w:basedOn w:val="1"/>
    <w:next w:val="1"/>
    <w:qFormat/>
    <w:uiPriority w:val="39"/>
    <w:pPr>
      <w:ind w:left="3360" w:leftChars="1600"/>
    </w:pPr>
  </w:style>
  <w:style w:type="paragraph" w:styleId="33">
    <w:name w:val="Body Text 2"/>
    <w:basedOn w:val="1"/>
    <w:qFormat/>
    <w:uiPriority w:val="0"/>
    <w:pPr>
      <w:spacing w:after="120" w:line="480" w:lineRule="auto"/>
    </w:pPr>
    <w:rPr>
      <w:rFonts w:ascii="Arial" w:hAnsi="Arial"/>
      <w:sz w:val="24"/>
    </w:rPr>
  </w:style>
  <w:style w:type="paragraph" w:styleId="34">
    <w:name w:val="Normal (Web)"/>
    <w:basedOn w:val="1"/>
    <w:next w:val="35"/>
    <w:qFormat/>
    <w:uiPriority w:val="0"/>
    <w:pPr>
      <w:widowControl/>
      <w:spacing w:before="100" w:beforeAutospacing="1" w:after="100" w:afterAutospacing="1"/>
      <w:jc w:val="left"/>
    </w:pPr>
    <w:rPr>
      <w:rFonts w:ascii="宋体" w:hAnsi="宋体" w:cs="宋体"/>
      <w:kern w:val="0"/>
      <w:sz w:val="24"/>
    </w:rPr>
  </w:style>
  <w:style w:type="paragraph" w:customStyle="1" w:styleId="35">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6">
    <w:name w:val="index 1"/>
    <w:basedOn w:val="1"/>
    <w:next w:val="1"/>
    <w:semiHidden/>
    <w:qFormat/>
    <w:uiPriority w:val="0"/>
    <w:rPr>
      <w:szCs w:val="20"/>
    </w:rPr>
  </w:style>
  <w:style w:type="paragraph" w:styleId="37">
    <w:name w:val="Title"/>
    <w:basedOn w:val="1"/>
    <w:next w:val="1"/>
    <w:qFormat/>
    <w:uiPriority w:val="10"/>
    <w:pPr>
      <w:autoSpaceDE/>
      <w:autoSpaceDN/>
      <w:adjustRightInd/>
      <w:jc w:val="left"/>
      <w:textAlignment w:val="auto"/>
    </w:pPr>
    <w:rPr>
      <w:bCs/>
      <w:sz w:val="28"/>
      <w:szCs w:val="24"/>
      <w:lang w:bidi="ug-CN"/>
    </w:rPr>
  </w:style>
  <w:style w:type="paragraph" w:styleId="38">
    <w:name w:val="annotation subject"/>
    <w:basedOn w:val="11"/>
    <w:next w:val="11"/>
    <w:link w:val="59"/>
    <w:qFormat/>
    <w:uiPriority w:val="0"/>
    <w:rPr>
      <w:b/>
      <w:bCs/>
    </w:rPr>
  </w:style>
  <w:style w:type="paragraph" w:styleId="39">
    <w:name w:val="Body Text First Indent"/>
    <w:basedOn w:val="12"/>
    <w:unhideWhenUsed/>
    <w:qFormat/>
    <w:uiPriority w:val="99"/>
    <w:pPr>
      <w:ind w:firstLine="420" w:firstLineChars="100"/>
    </w:pPr>
  </w:style>
  <w:style w:type="paragraph" w:styleId="40">
    <w:name w:val="Body Text First Indent 2"/>
    <w:basedOn w:val="13"/>
    <w:qFormat/>
    <w:uiPriority w:val="0"/>
    <w:pPr>
      <w:ind w:firstLine="420" w:firstLineChars="200"/>
    </w:pPr>
    <w:rPr>
      <w:rFonts w:ascii="Calibri" w:hAnsi="Calibri" w:eastAsia="宋体" w:cs="Times New Roman"/>
      <w:szCs w:val="2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0"/>
    <w:rPr>
      <w:b/>
    </w:rPr>
  </w:style>
  <w:style w:type="character" w:styleId="45">
    <w:name w:val="page number"/>
    <w:basedOn w:val="43"/>
    <w:qFormat/>
    <w:uiPriority w:val="0"/>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character" w:styleId="48">
    <w:name w:val="HTML Sample"/>
    <w:basedOn w:val="43"/>
    <w:qFormat/>
    <w:uiPriority w:val="0"/>
    <w:rPr>
      <w:rFonts w:ascii="Courier New" w:hAnsi="Courier New"/>
    </w:rPr>
  </w:style>
  <w:style w:type="character" w:customStyle="1" w:styleId="49">
    <w:name w:val="标题 1 字符"/>
    <w:link w:val="2"/>
    <w:qFormat/>
    <w:uiPriority w:val="0"/>
    <w:rPr>
      <w:rFonts w:ascii="宋体"/>
      <w:b/>
      <w:kern w:val="44"/>
      <w:sz w:val="32"/>
    </w:rPr>
  </w:style>
  <w:style w:type="character" w:customStyle="1" w:styleId="50">
    <w:name w:val="标题 2 字符"/>
    <w:link w:val="3"/>
    <w:qFormat/>
    <w:uiPriority w:val="0"/>
    <w:rPr>
      <w:rFonts w:ascii="Arial" w:hAnsi="Arial" w:eastAsia="黑体"/>
      <w:b/>
      <w:sz w:val="30"/>
    </w:rPr>
  </w:style>
  <w:style w:type="character" w:customStyle="1" w:styleId="51">
    <w:name w:val="标题 3 字符"/>
    <w:link w:val="4"/>
    <w:qFormat/>
    <w:uiPriority w:val="0"/>
    <w:rPr>
      <w:rFonts w:ascii="宋体"/>
      <w:b/>
      <w:sz w:val="24"/>
      <w:u w:val="single"/>
    </w:rPr>
  </w:style>
  <w:style w:type="character" w:customStyle="1" w:styleId="52">
    <w:name w:val="批注文字 字符"/>
    <w:link w:val="11"/>
    <w:qFormat/>
    <w:uiPriority w:val="99"/>
    <w:rPr>
      <w:kern w:val="2"/>
      <w:sz w:val="21"/>
      <w:szCs w:val="24"/>
    </w:rPr>
  </w:style>
  <w:style w:type="character" w:customStyle="1" w:styleId="53">
    <w:name w:val="正文文本 字符"/>
    <w:link w:val="12"/>
    <w:qFormat/>
    <w:uiPriority w:val="0"/>
    <w:rPr>
      <w:rFonts w:ascii="宋体" w:hAnsi="宋体"/>
      <w:kern w:val="2"/>
      <w:sz w:val="24"/>
      <w:szCs w:val="24"/>
    </w:rPr>
  </w:style>
  <w:style w:type="character" w:customStyle="1" w:styleId="54">
    <w:name w:val="纯文本 字符"/>
    <w:link w:val="16"/>
    <w:qFormat/>
    <w:uiPriority w:val="0"/>
    <w:rPr>
      <w:rFonts w:ascii="宋体" w:hAnsi="Courier New"/>
      <w:kern w:val="2"/>
      <w:sz w:val="21"/>
    </w:rPr>
  </w:style>
  <w:style w:type="character" w:customStyle="1" w:styleId="55">
    <w:name w:val="日期 字符"/>
    <w:link w:val="19"/>
    <w:qFormat/>
    <w:uiPriority w:val="0"/>
    <w:rPr>
      <w:rFonts w:ascii="仿宋_GB2312" w:hAnsi="宋体" w:eastAsia="仿宋_GB2312"/>
      <w:color w:val="000000"/>
      <w:kern w:val="2"/>
      <w:sz w:val="24"/>
      <w:szCs w:val="24"/>
    </w:rPr>
  </w:style>
  <w:style w:type="character" w:customStyle="1" w:styleId="56">
    <w:name w:val="批注框文本 字符"/>
    <w:link w:val="21"/>
    <w:qFormat/>
    <w:uiPriority w:val="0"/>
    <w:rPr>
      <w:kern w:val="2"/>
      <w:sz w:val="18"/>
      <w:szCs w:val="18"/>
    </w:rPr>
  </w:style>
  <w:style w:type="character" w:customStyle="1" w:styleId="57">
    <w:name w:val="页脚 字符"/>
    <w:link w:val="22"/>
    <w:qFormat/>
    <w:uiPriority w:val="99"/>
    <w:rPr>
      <w:rFonts w:ascii="宋体"/>
      <w:sz w:val="18"/>
    </w:rPr>
  </w:style>
  <w:style w:type="character" w:customStyle="1" w:styleId="58">
    <w:name w:val="页眉 字符"/>
    <w:link w:val="24"/>
    <w:qFormat/>
    <w:uiPriority w:val="0"/>
    <w:rPr>
      <w:kern w:val="2"/>
      <w:sz w:val="18"/>
      <w:szCs w:val="18"/>
    </w:rPr>
  </w:style>
  <w:style w:type="character" w:customStyle="1" w:styleId="59">
    <w:name w:val="批注主题 字符"/>
    <w:link w:val="38"/>
    <w:qFormat/>
    <w:uiPriority w:val="0"/>
    <w:rPr>
      <w:b/>
      <w:bCs/>
      <w:kern w:val="2"/>
      <w:sz w:val="21"/>
      <w:szCs w:val="24"/>
    </w:rPr>
  </w:style>
  <w:style w:type="paragraph" w:customStyle="1" w:styleId="60">
    <w:name w:val="Default"/>
    <w:next w:val="61"/>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61">
    <w:name w:val="大标题"/>
    <w:basedOn w:val="1"/>
    <w:next w:val="40"/>
    <w:qFormat/>
    <w:uiPriority w:val="0"/>
    <w:pPr>
      <w:jc w:val="center"/>
    </w:pPr>
    <w:rPr>
      <w:rFonts w:ascii="Arial" w:hAnsi="Arial" w:eastAsia="宋体" w:cs="Times New Roman"/>
      <w:b/>
      <w:sz w:val="28"/>
      <w:szCs w:val="24"/>
    </w:rPr>
  </w:style>
  <w:style w:type="character" w:customStyle="1" w:styleId="62">
    <w:name w:val="批注主题 Char1"/>
    <w:semiHidden/>
    <w:qFormat/>
    <w:uiPriority w:val="99"/>
    <w:rPr>
      <w:b/>
      <w:bCs/>
      <w:kern w:val="2"/>
      <w:sz w:val="21"/>
      <w:szCs w:val="24"/>
    </w:rPr>
  </w:style>
  <w:style w:type="character" w:customStyle="1" w:styleId="63">
    <w:name w:val="正文缩进 Char1"/>
    <w:link w:val="64"/>
    <w:qFormat/>
    <w:uiPriority w:val="0"/>
    <w:rPr>
      <w:rFonts w:ascii="宋体"/>
      <w:sz w:val="24"/>
    </w:rPr>
  </w:style>
  <w:style w:type="paragraph" w:customStyle="1" w:styleId="64">
    <w:name w:val="正文缩进1"/>
    <w:basedOn w:val="1"/>
    <w:link w:val="63"/>
    <w:qFormat/>
    <w:uiPriority w:val="0"/>
    <w:pPr>
      <w:autoSpaceDE w:val="0"/>
      <w:autoSpaceDN w:val="0"/>
      <w:adjustRightInd w:val="0"/>
      <w:ind w:firstLine="420"/>
      <w:jc w:val="left"/>
    </w:pPr>
    <w:rPr>
      <w:rFonts w:ascii="宋体"/>
      <w:kern w:val="0"/>
      <w:sz w:val="24"/>
      <w:szCs w:val="20"/>
    </w:rPr>
  </w:style>
  <w:style w:type="character" w:customStyle="1" w:styleId="65">
    <w:name w:val="font21"/>
    <w:qFormat/>
    <w:uiPriority w:val="0"/>
    <w:rPr>
      <w:rFonts w:hint="eastAsia" w:ascii="宋体" w:hAnsi="宋体" w:eastAsia="宋体" w:cs="宋体"/>
      <w:color w:val="000000"/>
      <w:sz w:val="24"/>
      <w:szCs w:val="24"/>
      <w:u w:val="single"/>
    </w:rPr>
  </w:style>
  <w:style w:type="character" w:customStyle="1" w:styleId="66">
    <w:name w:val="批注框文本 Char1"/>
    <w:semiHidden/>
    <w:qFormat/>
    <w:uiPriority w:val="99"/>
    <w:rPr>
      <w:kern w:val="2"/>
      <w:sz w:val="18"/>
      <w:szCs w:val="18"/>
    </w:rPr>
  </w:style>
  <w:style w:type="character" w:customStyle="1" w:styleId="67">
    <w:name w:val="纯文本 Char1"/>
    <w:link w:val="68"/>
    <w:qFormat/>
    <w:uiPriority w:val="0"/>
    <w:rPr>
      <w:rFonts w:ascii="宋体" w:hAnsi="Courier New"/>
    </w:rPr>
  </w:style>
  <w:style w:type="paragraph" w:customStyle="1" w:styleId="68">
    <w:name w:val="纯文本1"/>
    <w:basedOn w:val="1"/>
    <w:link w:val="67"/>
    <w:qFormat/>
    <w:uiPriority w:val="0"/>
    <w:rPr>
      <w:rFonts w:ascii="宋体" w:hAnsi="Courier New"/>
      <w:kern w:val="0"/>
      <w:sz w:val="20"/>
      <w:szCs w:val="20"/>
    </w:rPr>
  </w:style>
  <w:style w:type="character" w:customStyle="1" w:styleId="69">
    <w:name w:val="font41"/>
    <w:qFormat/>
    <w:uiPriority w:val="0"/>
    <w:rPr>
      <w:rFonts w:hint="eastAsia" w:ascii="宋体" w:hAnsi="宋体" w:eastAsia="宋体" w:cs="宋体"/>
      <w:color w:val="000000"/>
      <w:sz w:val="20"/>
      <w:szCs w:val="20"/>
      <w:u w:val="none"/>
    </w:rPr>
  </w:style>
  <w:style w:type="character" w:customStyle="1" w:styleId="70">
    <w:name w:val="font01"/>
    <w:basedOn w:val="43"/>
    <w:qFormat/>
    <w:uiPriority w:val="0"/>
    <w:rPr>
      <w:rFonts w:hint="eastAsia" w:ascii="宋体" w:hAnsi="宋体" w:eastAsia="宋体" w:cs="宋体"/>
      <w:color w:val="000000"/>
      <w:sz w:val="24"/>
      <w:szCs w:val="24"/>
      <w:u w:val="none"/>
    </w:rPr>
  </w:style>
  <w:style w:type="character" w:customStyle="1" w:styleId="71">
    <w:name w:val="页眉 Char1"/>
    <w:semiHidden/>
    <w:qFormat/>
    <w:uiPriority w:val="99"/>
    <w:rPr>
      <w:kern w:val="2"/>
      <w:sz w:val="18"/>
      <w:szCs w:val="18"/>
    </w:rPr>
  </w:style>
  <w:style w:type="character" w:customStyle="1" w:styleId="72">
    <w:name w:val="NormalCharacter"/>
    <w:qFormat/>
    <w:uiPriority w:val="0"/>
    <w:rPr>
      <w:rFonts w:ascii="Times New Roman" w:hAnsi="Times New Roman" w:eastAsia="宋体"/>
    </w:rPr>
  </w:style>
  <w:style w:type="character" w:customStyle="1" w:styleId="73">
    <w:name w:val="font31"/>
    <w:qFormat/>
    <w:uiPriority w:val="0"/>
    <w:rPr>
      <w:rFonts w:hint="eastAsia" w:ascii="宋体" w:hAnsi="宋体" w:eastAsia="宋体" w:cs="宋体"/>
      <w:color w:val="000000"/>
      <w:sz w:val="18"/>
      <w:szCs w:val="18"/>
      <w:u w:val="none"/>
    </w:rPr>
  </w:style>
  <w:style w:type="character" w:customStyle="1" w:styleId="74">
    <w:name w:val="批注文字 Char1"/>
    <w:semiHidden/>
    <w:qFormat/>
    <w:uiPriority w:val="99"/>
    <w:rPr>
      <w:kern w:val="2"/>
      <w:sz w:val="21"/>
      <w:szCs w:val="24"/>
    </w:rPr>
  </w:style>
  <w:style w:type="character" w:customStyle="1" w:styleId="75">
    <w:name w:val="font11"/>
    <w:qFormat/>
    <w:uiPriority w:val="0"/>
    <w:rPr>
      <w:rFonts w:hint="eastAsia" w:ascii="宋体" w:hAnsi="宋体" w:eastAsia="宋体" w:cs="宋体"/>
      <w:color w:val="FF0000"/>
      <w:sz w:val="24"/>
      <w:szCs w:val="24"/>
      <w:u w:val="none"/>
    </w:rPr>
  </w:style>
  <w:style w:type="paragraph" w:customStyle="1" w:styleId="76">
    <w:name w:val="Char"/>
    <w:basedOn w:val="1"/>
    <w:qFormat/>
    <w:uiPriority w:val="0"/>
    <w:pPr>
      <w:tabs>
        <w:tab w:val="left" w:pos="360"/>
      </w:tabs>
    </w:pPr>
    <w:rPr>
      <w:sz w:val="24"/>
    </w:rPr>
  </w:style>
  <w:style w:type="paragraph" w:customStyle="1" w:styleId="77">
    <w:name w:val="Table Paragraph"/>
    <w:basedOn w:val="1"/>
    <w:qFormat/>
    <w:uiPriority w:val="1"/>
    <w:rPr>
      <w:rFonts w:ascii="微软雅黑" w:hAnsi="微软雅黑" w:eastAsia="微软雅黑" w:cs="微软雅黑"/>
      <w:lang w:val="zh-CN" w:eastAsia="zh-CN" w:bidi="zh-CN"/>
    </w:rPr>
  </w:style>
  <w:style w:type="paragraph" w:customStyle="1" w:styleId="78">
    <w:name w:val="图"/>
    <w:basedOn w:val="1"/>
    <w:qFormat/>
    <w:uiPriority w:val="0"/>
    <w:pPr>
      <w:keepNext/>
      <w:adjustRightInd w:val="0"/>
      <w:spacing w:before="60" w:after="60" w:line="300" w:lineRule="auto"/>
      <w:jc w:val="center"/>
      <w:textAlignment w:val="center"/>
    </w:pPr>
    <w:rPr>
      <w:snapToGrid w:val="0"/>
      <w:spacing w:val="20"/>
      <w:kern w:val="0"/>
      <w:sz w:val="24"/>
      <w:szCs w:val="20"/>
      <w:lang w:val="en-US" w:eastAsia="zh-CN"/>
    </w:rPr>
  </w:style>
  <w:style w:type="paragraph" w:customStyle="1" w:styleId="79">
    <w:name w:val="List Paragraph_950ef204-ccf4-4d36-8da3-09d279cbb147"/>
    <w:basedOn w:val="1"/>
    <w:qFormat/>
    <w:uiPriority w:val="99"/>
    <w:pPr>
      <w:ind w:firstLine="420" w:firstLineChars="200"/>
    </w:pPr>
  </w:style>
  <w:style w:type="paragraph" w:customStyle="1" w:styleId="80">
    <w:name w:val="WPS Plain"/>
    <w:basedOn w:val="1"/>
    <w:qFormat/>
    <w:uiPriority w:val="0"/>
    <w:pPr>
      <w:widowControl/>
      <w:adjustRightInd/>
      <w:spacing w:line="240" w:lineRule="auto"/>
      <w:jc w:val="left"/>
      <w:textAlignment w:val="auto"/>
    </w:pPr>
    <w:rPr>
      <w:rFonts w:ascii="Times New Roman"/>
      <w:sz w:val="24"/>
      <w:szCs w:val="24"/>
    </w:rPr>
  </w:style>
  <w:style w:type="paragraph" w:customStyle="1" w:styleId="8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kern w:val="2"/>
      <w:sz w:val="24"/>
    </w:rPr>
  </w:style>
  <w:style w:type="paragraph" w:customStyle="1" w:styleId="82">
    <w:name w:val="无间隔4"/>
    <w:basedOn w:val="1"/>
    <w:next w:val="1"/>
    <w:qFormat/>
    <w:uiPriority w:val="1"/>
    <w:rPr>
      <w:rFonts w:ascii="仿宋" w:hAnsi="仿宋" w:eastAsia="宋体" w:cs="仿宋"/>
      <w:sz w:val="21"/>
    </w:rPr>
  </w:style>
  <w:style w:type="paragraph" w:customStyle="1" w:styleId="83">
    <w:name w:val="样式1"/>
    <w:basedOn w:val="1"/>
    <w:qFormat/>
    <w:uiPriority w:val="0"/>
    <w:pPr>
      <w:jc w:val="center"/>
    </w:pPr>
    <w:rPr>
      <w:rFonts w:ascii="宋体" w:hAnsi="宋体"/>
      <w:sz w:val="30"/>
      <w:szCs w:val="28"/>
    </w:rPr>
  </w:style>
  <w:style w:type="paragraph" w:customStyle="1" w:styleId="84">
    <w:name w:val="列出段落1"/>
    <w:basedOn w:val="1"/>
    <w:qFormat/>
    <w:uiPriority w:val="0"/>
    <w:pPr>
      <w:ind w:firstLine="420" w:firstLineChars="200"/>
    </w:pPr>
    <w:rPr>
      <w:rFonts w:ascii="Calibri" w:hAnsi="Calibri"/>
      <w:szCs w:val="22"/>
    </w:rPr>
  </w:style>
  <w:style w:type="paragraph" w:styleId="85">
    <w:name w:val="List Paragraph"/>
    <w:basedOn w:val="1"/>
    <w:qFormat/>
    <w:uiPriority w:val="34"/>
    <w:pPr>
      <w:widowControl/>
      <w:ind w:firstLine="420" w:firstLineChars="200"/>
      <w:jc w:val="left"/>
    </w:pPr>
    <w:rPr>
      <w:kern w:val="0"/>
      <w:sz w:val="24"/>
    </w:rPr>
  </w:style>
  <w:style w:type="paragraph" w:customStyle="1" w:styleId="86">
    <w:name w:val="msolistparagraph"/>
    <w:qFormat/>
    <w:uiPriority w:val="0"/>
    <w:pPr>
      <w:ind w:firstLine="420" w:firstLineChars="200"/>
    </w:pPr>
    <w:rPr>
      <w:rFonts w:ascii="Calibri" w:hAnsi="Calibri" w:eastAsia="宋体" w:cs="Times New Roman"/>
      <w:sz w:val="21"/>
      <w:szCs w:val="22"/>
      <w:lang w:val="en-US" w:eastAsia="zh-CN" w:bidi="ar-SA"/>
    </w:rPr>
  </w:style>
  <w:style w:type="paragraph" w:customStyle="1" w:styleId="87">
    <w:name w:val="无间隔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索引 11"/>
    <w:basedOn w:val="1"/>
    <w:next w:val="1"/>
    <w:qFormat/>
    <w:uiPriority w:val="0"/>
    <w:pPr>
      <w:spacing w:line="360" w:lineRule="auto"/>
    </w:pPr>
    <w:rPr>
      <w:rFonts w:ascii="仿宋_GB2312" w:eastAsia="仿宋_GB2312"/>
      <w:sz w:val="24"/>
      <w:szCs w:val="20"/>
    </w:rPr>
  </w:style>
  <w:style w:type="paragraph" w:customStyle="1" w:styleId="89">
    <w:name w:val="列出段落2"/>
    <w:basedOn w:val="1"/>
    <w:unhideWhenUsed/>
    <w:qFormat/>
    <w:uiPriority w:val="34"/>
    <w:pPr>
      <w:ind w:firstLine="420" w:firstLineChars="200"/>
    </w:pPr>
    <w:rPr>
      <w:sz w:val="21"/>
    </w:rPr>
  </w:style>
  <w:style w:type="paragraph" w:customStyle="1" w:styleId="9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91">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2">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3">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94">
    <w:name w:val="font142"/>
    <w:basedOn w:val="43"/>
    <w:qFormat/>
    <w:uiPriority w:val="0"/>
    <w:rPr>
      <w:rFonts w:hint="eastAsia" w:ascii="仿宋" w:hAnsi="仿宋" w:eastAsia="仿宋" w:cs="仿宋"/>
      <w:color w:val="000000"/>
      <w:sz w:val="22"/>
      <w:szCs w:val="22"/>
      <w:u w:val="none"/>
      <w:vertAlign w:val="superscript"/>
    </w:rPr>
  </w:style>
  <w:style w:type="character" w:customStyle="1" w:styleId="95">
    <w:name w:val="font121"/>
    <w:basedOn w:val="43"/>
    <w:qFormat/>
    <w:uiPriority w:val="0"/>
    <w:rPr>
      <w:rFonts w:hint="eastAsia" w:ascii="仿宋" w:hAnsi="仿宋" w:eastAsia="仿宋" w:cs="仿宋"/>
      <w:color w:val="000000"/>
      <w:sz w:val="22"/>
      <w:szCs w:val="22"/>
      <w:u w:val="none"/>
    </w:rPr>
  </w:style>
  <w:style w:type="character" w:customStyle="1" w:styleId="96">
    <w:name w:val="font151"/>
    <w:basedOn w:val="43"/>
    <w:qFormat/>
    <w:uiPriority w:val="0"/>
    <w:rPr>
      <w:rFonts w:hint="eastAsia" w:ascii="仿宋" w:hAnsi="仿宋" w:eastAsia="仿宋" w:cs="仿宋"/>
      <w:b/>
      <w:bCs/>
      <w:color w:val="000000"/>
      <w:sz w:val="20"/>
      <w:szCs w:val="20"/>
      <w:u w:val="none"/>
    </w:rPr>
  </w:style>
  <w:style w:type="character" w:customStyle="1" w:styleId="97">
    <w:name w:val="font91"/>
    <w:basedOn w:val="43"/>
    <w:qFormat/>
    <w:uiPriority w:val="0"/>
    <w:rPr>
      <w:rFonts w:ascii="Arial" w:hAnsi="Arial" w:cs="Arial"/>
      <w:color w:val="000000"/>
      <w:sz w:val="22"/>
      <w:szCs w:val="22"/>
      <w:u w:val="none"/>
    </w:rPr>
  </w:style>
  <w:style w:type="character" w:customStyle="1" w:styleId="98">
    <w:name w:val="font161"/>
    <w:basedOn w:val="43"/>
    <w:qFormat/>
    <w:uiPriority w:val="0"/>
    <w:rPr>
      <w:rFonts w:hint="eastAsia" w:ascii="仿宋" w:hAnsi="仿宋" w:eastAsia="仿宋" w:cs="仿宋"/>
      <w:color w:val="2B2B2B"/>
      <w:sz w:val="22"/>
      <w:szCs w:val="22"/>
      <w:u w:val="none"/>
    </w:rPr>
  </w:style>
  <w:style w:type="paragraph" w:customStyle="1" w:styleId="99">
    <w:name w:val="List Paragraph_f9683573-c100-4db4-99b5-1784d657a8c4"/>
    <w:basedOn w:val="1"/>
    <w:qFormat/>
    <w:uiPriority w:val="34"/>
    <w:pPr>
      <w:ind w:firstLine="420" w:firstLineChars="200"/>
    </w:pPr>
  </w:style>
  <w:style w:type="paragraph" w:customStyle="1" w:styleId="100">
    <w:name w:val="Index6"/>
    <w:basedOn w:val="1"/>
    <w:next w:val="1"/>
    <w:qFormat/>
    <w:uiPriority w:val="0"/>
    <w:pPr>
      <w:ind w:left="2100"/>
      <w:jc w:val="both"/>
      <w:textAlignment w:val="baseline"/>
    </w:pPr>
  </w:style>
  <w:style w:type="paragraph" w:customStyle="1" w:styleId="101">
    <w:name w:val="BodyText"/>
    <w:basedOn w:val="1"/>
    <w:next w:val="1"/>
    <w:qFormat/>
    <w:uiPriority w:val="0"/>
    <w:pPr>
      <w:spacing w:line="360" w:lineRule="auto"/>
      <w:jc w:val="both"/>
      <w:textAlignment w:val="baseline"/>
    </w:pPr>
    <w:rPr>
      <w:kern w:val="2"/>
      <w:sz w:val="24"/>
      <w:szCs w:val="24"/>
      <w:u w:val="single"/>
      <w:lang w:val="en-US" w:eastAsia="zh-CN" w:bidi="ar-SA"/>
    </w:rPr>
  </w:style>
  <w:style w:type="paragraph" w:customStyle="1" w:styleId="102">
    <w:name w:val="Table Text"/>
    <w:basedOn w:val="1"/>
    <w:semiHidden/>
    <w:qFormat/>
    <w:uiPriority w:val="0"/>
    <w:rPr>
      <w:rFonts w:ascii="宋体" w:hAnsi="宋体" w:eastAsia="宋体" w:cs="宋体"/>
      <w:sz w:val="24"/>
      <w:szCs w:val="24"/>
      <w:lang w:val="en-US" w:eastAsia="en-US" w:bidi="ar-SA"/>
    </w:rPr>
  </w:style>
  <w:style w:type="table" w:customStyle="1" w:styleId="103">
    <w:name w:val="Table Normal"/>
    <w:unhideWhenUsed/>
    <w:qFormat/>
    <w:uiPriority w:val="0"/>
    <w:tblPr>
      <w:tblCellMar>
        <w:top w:w="0" w:type="dxa"/>
        <w:left w:w="0" w:type="dxa"/>
        <w:bottom w:w="0" w:type="dxa"/>
        <w:right w:w="0" w:type="dxa"/>
      </w:tblCellMar>
    </w:tblPr>
  </w:style>
  <w:style w:type="paragraph" w:customStyle="1" w:styleId="104">
    <w:name w:val="WPSOffice手动目录 1"/>
    <w:qFormat/>
    <w:uiPriority w:val="0"/>
    <w:pPr>
      <w:ind w:leftChars="0"/>
    </w:pPr>
    <w:rPr>
      <w:rFonts w:ascii="Times New Roman" w:hAnsi="Times New Roman" w:eastAsia="宋体" w:cs="Times New Roman"/>
      <w:sz w:val="20"/>
      <w:szCs w:val="20"/>
    </w:rPr>
  </w:style>
  <w:style w:type="paragraph" w:customStyle="1" w:styleId="105">
    <w:name w:val="WPSOffice手动目录 2"/>
    <w:qFormat/>
    <w:uiPriority w:val="0"/>
    <w:pPr>
      <w:ind w:leftChars="200"/>
    </w:pPr>
    <w:rPr>
      <w:rFonts w:ascii="Times New Roman" w:hAnsi="Times New Roman" w:eastAsia="宋体" w:cs="Times New Roman"/>
      <w:sz w:val="20"/>
      <w:szCs w:val="20"/>
    </w:rPr>
  </w:style>
  <w:style w:type="paragraph" w:customStyle="1" w:styleId="106">
    <w:name w:val="WPSOffice手动目录 3"/>
    <w:qFormat/>
    <w:uiPriority w:val="0"/>
    <w:pPr>
      <w:ind w:leftChars="400"/>
    </w:pPr>
    <w:rPr>
      <w:rFonts w:ascii="Times New Roman" w:hAnsi="Times New Roman" w:eastAsia="宋体" w:cs="Times New Roman"/>
      <w:sz w:val="20"/>
      <w:szCs w:val="20"/>
    </w:rPr>
  </w:style>
  <w:style w:type="paragraph" w:customStyle="1" w:styleId="107">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08">
    <w:name w:val="样式 首行缩进:  2 字符"/>
    <w:basedOn w:val="1"/>
    <w:qFormat/>
    <w:uiPriority w:val="0"/>
    <w:pPr>
      <w:spacing w:line="360" w:lineRule="auto"/>
      <w:ind w:firstLine="480" w:firstLineChars="200"/>
    </w:pPr>
    <w:rPr>
      <w:rFonts w:ascii="宋体" w:hAnsi="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1.xml"/><Relationship Id="rId39" Type="http://schemas.openxmlformats.org/officeDocument/2006/relationships/theme" Target="theme/theme1.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25154</Words>
  <Characters>26502</Characters>
  <Lines>479</Lines>
  <Paragraphs>134</Paragraphs>
  <TotalTime>62</TotalTime>
  <ScaleCrop>false</ScaleCrop>
  <LinksUpToDate>false</LinksUpToDate>
  <CharactersWithSpaces>30067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2021-05-17T08:56:00Z</dcterms:created>
  <dc:creator>USER-</dc:creator>
  <cp:lastModifiedBy>扉匣与桔</cp:lastModifiedBy>
  <cp:lastPrinted>2024-10-29T10:44:00Z</cp:lastPrinted>
  <dcterms:modified xsi:type="dcterms:W3CDTF">2025-07-16T09:48:39Z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CFE3D722F66341F29A5BD41B9300D73E_13</vt:lpwstr>
  </property>
  <property fmtid="{D5CDD505-2E9C-101B-9397-08002B2CF9AE}" pid="4" name="KSOTemplateDocerSaveRecord">
    <vt:lpwstr>eyJoZGlkIjoiZjkzNTk2MzBlOTM3NTlkMDAxY2M0MDJkNGZlYjgzNjUiLCJ1c2VySWQiOiIzMDIyODAwNDQifQ==</vt:lpwstr>
  </property>
</Properties>
</file>