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FB3CA">
      <w:pPr>
        <w:pStyle w:val="47"/>
        <w:spacing w:line="570" w:lineRule="atLeast"/>
        <w:jc w:val="center"/>
        <w:rPr>
          <w:rFonts w:hint="eastAsia" w:ascii="宋体" w:hAnsi="宋体" w:eastAsia="宋体" w:cs="宋体"/>
          <w:b/>
          <w:bCs/>
          <w:color w:val="auto"/>
          <w:sz w:val="72"/>
          <w:szCs w:val="72"/>
        </w:rPr>
      </w:pPr>
      <w:bookmarkStart w:id="0" w:name="_Toc856_WPSOffice_Level1"/>
      <w:bookmarkStart w:id="1" w:name="_Toc217446031"/>
      <w:bookmarkStart w:id="2" w:name="_Toc213397009"/>
      <w:bookmarkStart w:id="3" w:name="_Toc213496267"/>
      <w:bookmarkStart w:id="4" w:name="_Toc1115"/>
      <w:bookmarkStart w:id="5" w:name="_Toc213396945"/>
      <w:bookmarkStart w:id="6" w:name="_Toc213396759"/>
    </w:p>
    <w:p w14:paraId="379F5778">
      <w:pPr>
        <w:pStyle w:val="47"/>
        <w:spacing w:line="570" w:lineRule="atLeast"/>
        <w:jc w:val="center"/>
        <w:rPr>
          <w:rFonts w:hint="eastAsia" w:ascii="宋体" w:hAnsi="宋体" w:eastAsia="宋体" w:cs="宋体"/>
          <w:b/>
          <w:bCs/>
          <w:color w:val="auto"/>
          <w:sz w:val="60"/>
          <w:szCs w:val="60"/>
        </w:rPr>
      </w:pPr>
      <w:r>
        <w:rPr>
          <w:rFonts w:hint="eastAsia" w:ascii="宋体" w:hAnsi="宋体" w:cs="宋体"/>
          <w:b/>
          <w:bCs/>
          <w:color w:val="auto"/>
          <w:sz w:val="60"/>
          <w:szCs w:val="60"/>
          <w:lang w:val="en-US" w:eastAsia="zh-CN"/>
        </w:rPr>
        <w:t xml:space="preserve"> </w:t>
      </w:r>
      <w:r>
        <w:rPr>
          <w:rFonts w:hint="eastAsia" w:ascii="宋体" w:hAnsi="宋体" w:eastAsia="宋体" w:cs="宋体"/>
          <w:b/>
          <w:bCs/>
          <w:color w:val="auto"/>
          <w:sz w:val="60"/>
          <w:szCs w:val="60"/>
          <w:lang w:eastAsia="zh-CN"/>
        </w:rPr>
        <w:t>招</w:t>
      </w:r>
      <w:r>
        <w:rPr>
          <w:rFonts w:hint="eastAsia" w:ascii="宋体" w:hAnsi="宋体" w:cs="宋体"/>
          <w:b/>
          <w:bCs/>
          <w:color w:val="auto"/>
          <w:sz w:val="60"/>
          <w:szCs w:val="60"/>
          <w:lang w:val="en-US" w:eastAsia="zh-CN"/>
        </w:rPr>
        <w:t xml:space="preserve"> </w:t>
      </w:r>
      <w:r>
        <w:rPr>
          <w:rFonts w:hint="eastAsia" w:ascii="宋体" w:hAnsi="宋体" w:eastAsia="宋体" w:cs="宋体"/>
          <w:b/>
          <w:bCs/>
          <w:color w:val="auto"/>
          <w:sz w:val="60"/>
          <w:szCs w:val="60"/>
          <w:lang w:eastAsia="zh-CN"/>
        </w:rPr>
        <w:t>标</w:t>
      </w:r>
      <w:r>
        <w:rPr>
          <w:rFonts w:hint="eastAsia" w:ascii="宋体" w:hAnsi="宋体" w:cs="宋体"/>
          <w:b/>
          <w:bCs/>
          <w:color w:val="auto"/>
          <w:sz w:val="60"/>
          <w:szCs w:val="60"/>
          <w:lang w:val="en-US" w:eastAsia="zh-CN"/>
        </w:rPr>
        <w:t xml:space="preserve"> </w:t>
      </w:r>
      <w:r>
        <w:rPr>
          <w:rFonts w:hint="eastAsia" w:ascii="宋体" w:hAnsi="宋体" w:eastAsia="宋体" w:cs="宋体"/>
          <w:b/>
          <w:bCs/>
          <w:color w:val="auto"/>
          <w:sz w:val="60"/>
          <w:szCs w:val="60"/>
        </w:rPr>
        <w:t>文</w:t>
      </w:r>
      <w:r>
        <w:rPr>
          <w:rFonts w:hint="eastAsia" w:ascii="宋体" w:hAnsi="宋体" w:cs="宋体"/>
          <w:b/>
          <w:bCs/>
          <w:color w:val="auto"/>
          <w:sz w:val="60"/>
          <w:szCs w:val="60"/>
          <w:lang w:val="en-US" w:eastAsia="zh-CN"/>
        </w:rPr>
        <w:t xml:space="preserve"> </w:t>
      </w:r>
      <w:r>
        <w:rPr>
          <w:rFonts w:hint="eastAsia" w:ascii="宋体" w:hAnsi="宋体" w:eastAsia="宋体" w:cs="宋体"/>
          <w:b/>
          <w:bCs/>
          <w:color w:val="auto"/>
          <w:sz w:val="60"/>
          <w:szCs w:val="60"/>
        </w:rPr>
        <w:t>件</w:t>
      </w:r>
    </w:p>
    <w:p w14:paraId="56814957">
      <w:pPr>
        <w:pStyle w:val="47"/>
        <w:spacing w:line="570" w:lineRule="atLeast"/>
        <w:jc w:val="center"/>
        <w:rPr>
          <w:rFonts w:hint="eastAsia" w:ascii="宋体" w:hAnsi="宋体" w:eastAsia="宋体" w:cs="宋体"/>
          <w:b/>
          <w:bCs/>
          <w:color w:val="auto"/>
          <w:sz w:val="48"/>
          <w:szCs w:val="48"/>
        </w:rPr>
      </w:pPr>
    </w:p>
    <w:p w14:paraId="3A4E56E1">
      <w:pPr>
        <w:keepNext w:val="0"/>
        <w:keepLines w:val="0"/>
        <w:pageBreakBefore w:val="0"/>
        <w:widowControl w:val="0"/>
        <w:kinsoku/>
        <w:wordWrap/>
        <w:overflowPunct/>
        <w:topLinePunct w:val="0"/>
        <w:autoSpaceDE/>
        <w:autoSpaceDN/>
        <w:bidi w:val="0"/>
        <w:adjustRightInd/>
        <w:snapToGrid w:val="0"/>
        <w:spacing w:before="165" w:beforeLines="50" w:line="600" w:lineRule="auto"/>
        <w:jc w:val="center"/>
        <w:textAlignment w:val="auto"/>
        <w:rPr>
          <w:rFonts w:hint="eastAsia" w:ascii="宋体" w:hAnsi="宋体" w:eastAsia="宋体" w:cs="宋体"/>
          <w:b/>
          <w:bCs/>
          <w:sz w:val="36"/>
          <w:szCs w:val="36"/>
        </w:rPr>
      </w:pPr>
      <w:r>
        <w:rPr>
          <w:rFonts w:hint="eastAsia" w:ascii="宋体" w:hAnsi="宋体" w:eastAsia="宋体" w:cs="宋体"/>
          <w:b/>
          <w:bCs/>
          <w:sz w:val="32"/>
          <w:szCs w:val="32"/>
        </w:rPr>
        <w:t>（</w:t>
      </w:r>
      <w:r>
        <w:rPr>
          <w:rFonts w:hint="eastAsia" w:ascii="宋体" w:hAnsi="宋体" w:eastAsia="宋体" w:cs="宋体"/>
          <w:b/>
          <w:bCs/>
          <w:w w:val="95"/>
          <w:kern w:val="0"/>
          <w:sz w:val="32"/>
          <w:szCs w:val="32"/>
          <w:lang w:val="en-US" w:eastAsia="zh-CN" w:bidi="ar-SA"/>
        </w:rPr>
        <w:t>项目编号：</w:t>
      </w:r>
      <w:r>
        <w:rPr>
          <w:rFonts w:hint="eastAsia" w:ascii="宋体" w:hAnsi="宋体" w:cs="宋体"/>
          <w:b/>
          <w:bCs/>
          <w:w w:val="95"/>
          <w:kern w:val="0"/>
          <w:sz w:val="32"/>
          <w:szCs w:val="32"/>
          <w:lang w:val="en-US" w:eastAsia="zh-CN" w:bidi="ar-SA"/>
        </w:rPr>
        <w:t>JYGCHM2025-ZC011</w:t>
      </w:r>
      <w:r>
        <w:rPr>
          <w:rFonts w:hint="eastAsia" w:ascii="宋体" w:hAnsi="宋体" w:eastAsia="宋体" w:cs="宋体"/>
          <w:b/>
          <w:bCs/>
          <w:w w:val="95"/>
          <w:kern w:val="0"/>
          <w:sz w:val="32"/>
          <w:szCs w:val="32"/>
          <w:lang w:val="en-US" w:eastAsia="zh-CN" w:bidi="ar-SA"/>
        </w:rPr>
        <w:t>）</w:t>
      </w:r>
    </w:p>
    <w:p w14:paraId="4699AB65">
      <w:pPr>
        <w:pStyle w:val="47"/>
        <w:spacing w:line="570" w:lineRule="atLeast"/>
        <w:jc w:val="center"/>
        <w:rPr>
          <w:rFonts w:hint="eastAsia" w:ascii="宋体" w:hAnsi="宋体" w:eastAsia="宋体" w:cs="宋体"/>
          <w:b/>
          <w:bCs/>
          <w:color w:val="auto"/>
          <w:sz w:val="36"/>
          <w:szCs w:val="36"/>
        </w:rPr>
      </w:pPr>
    </w:p>
    <w:p w14:paraId="3113236E">
      <w:pPr>
        <w:pStyle w:val="47"/>
        <w:spacing w:line="570" w:lineRule="atLeast"/>
        <w:jc w:val="right"/>
        <w:rPr>
          <w:rFonts w:hint="eastAsia" w:ascii="宋体" w:hAnsi="宋体" w:eastAsia="宋体" w:cs="宋体"/>
          <w:b/>
          <w:bCs/>
          <w:color w:val="auto"/>
          <w:sz w:val="28"/>
          <w:szCs w:val="28"/>
        </w:rPr>
      </w:pPr>
    </w:p>
    <w:p w14:paraId="16B31DE6">
      <w:pPr>
        <w:pStyle w:val="47"/>
        <w:spacing w:line="570" w:lineRule="atLeast"/>
        <w:jc w:val="right"/>
        <w:rPr>
          <w:rFonts w:hint="eastAsia" w:ascii="宋体" w:hAnsi="宋体" w:eastAsia="宋体" w:cs="宋体"/>
          <w:b/>
          <w:bCs/>
          <w:color w:val="auto"/>
          <w:sz w:val="28"/>
          <w:szCs w:val="28"/>
        </w:rPr>
      </w:pPr>
    </w:p>
    <w:p w14:paraId="58522773">
      <w:pPr>
        <w:pStyle w:val="47"/>
        <w:spacing w:line="570" w:lineRule="atLeast"/>
        <w:jc w:val="center"/>
        <w:rPr>
          <w:rFonts w:hint="eastAsia" w:ascii="宋体" w:hAnsi="宋体" w:eastAsia="宋体" w:cs="宋体"/>
          <w:b/>
          <w:bCs/>
          <w:color w:val="auto"/>
          <w:sz w:val="28"/>
          <w:szCs w:val="28"/>
        </w:rPr>
      </w:pPr>
    </w:p>
    <w:p w14:paraId="1551FEAA">
      <w:pPr>
        <w:pStyle w:val="10"/>
        <w:spacing w:after="0" w:line="720" w:lineRule="auto"/>
        <w:ind w:firstLine="562" w:firstLineChars="200"/>
        <w:jc w:val="both"/>
        <w:rPr>
          <w:rFonts w:hint="eastAsia" w:ascii="宋体" w:hAnsi="宋体" w:cs="宋体"/>
          <w:b/>
          <w:sz w:val="28"/>
          <w:szCs w:val="28"/>
          <w:lang w:val="en-US" w:eastAsia="zh-CN"/>
        </w:rPr>
      </w:pPr>
      <w:r>
        <w:rPr>
          <w:rFonts w:hint="eastAsia" w:ascii="宋体" w:hAnsi="宋体" w:eastAsia="宋体" w:cs="宋体"/>
          <w:b/>
          <w:sz w:val="28"/>
          <w:szCs w:val="28"/>
          <w:lang w:val="en-US" w:eastAsia="zh-CN"/>
        </w:rPr>
        <w:t>项目名称：</w:t>
      </w:r>
      <w:r>
        <w:rPr>
          <w:rFonts w:hint="eastAsia" w:ascii="宋体" w:hAnsi="宋体" w:cs="宋体"/>
          <w:b/>
          <w:sz w:val="28"/>
          <w:szCs w:val="28"/>
          <w:u w:val="single"/>
          <w:lang w:val="en-US" w:eastAsia="zh-CN"/>
        </w:rPr>
        <w:t>电动汽车充电桩检定装置采购项目</w:t>
      </w:r>
    </w:p>
    <w:p w14:paraId="5E15FC41">
      <w:pPr>
        <w:pStyle w:val="10"/>
        <w:spacing w:after="0" w:line="720" w:lineRule="auto"/>
        <w:ind w:firstLine="562" w:firstLineChars="200"/>
        <w:jc w:val="both"/>
        <w:rPr>
          <w:rFonts w:hint="eastAsia" w:ascii="宋体" w:hAnsi="宋体" w:cs="宋体"/>
          <w:b/>
          <w:sz w:val="28"/>
          <w:szCs w:val="28"/>
          <w:u w:val="single"/>
          <w:lang w:val="en-US" w:eastAsia="zh-CN"/>
        </w:rPr>
      </w:pPr>
      <w:r>
        <w:rPr>
          <w:rFonts w:hint="eastAsia" w:ascii="宋体" w:hAnsi="宋体" w:eastAsia="宋体" w:cs="宋体"/>
          <w:b/>
          <w:sz w:val="28"/>
          <w:szCs w:val="28"/>
          <w:lang w:val="en-US" w:eastAsia="zh-CN"/>
        </w:rPr>
        <w:t>采购</w:t>
      </w:r>
      <w:r>
        <w:rPr>
          <w:rFonts w:hint="eastAsia" w:ascii="宋体" w:hAnsi="宋体" w:cs="宋体"/>
          <w:b/>
          <w:sz w:val="28"/>
          <w:szCs w:val="28"/>
          <w:lang w:val="en-US" w:eastAsia="zh-CN"/>
        </w:rPr>
        <w:t>单位</w:t>
      </w:r>
      <w:r>
        <w:rPr>
          <w:rFonts w:hint="eastAsia" w:ascii="宋体" w:hAnsi="宋体" w:eastAsia="宋体" w:cs="宋体"/>
          <w:b/>
          <w:sz w:val="28"/>
          <w:szCs w:val="28"/>
          <w:lang w:val="en-US" w:eastAsia="zh-CN"/>
        </w:rPr>
        <w:t>：</w:t>
      </w:r>
      <w:r>
        <w:rPr>
          <w:rFonts w:hint="eastAsia" w:ascii="宋体" w:hAnsi="宋体" w:cs="宋体"/>
          <w:b/>
          <w:sz w:val="28"/>
          <w:szCs w:val="28"/>
          <w:u w:val="single"/>
          <w:lang w:val="en-US" w:eastAsia="zh-CN"/>
        </w:rPr>
        <w:t>哈密市检验检测中心（哈密市质量与计量检测所）（盖章）</w:t>
      </w:r>
    </w:p>
    <w:p w14:paraId="622460A7">
      <w:pPr>
        <w:pStyle w:val="13"/>
        <w:keepNext w:val="0"/>
        <w:keepLines w:val="0"/>
        <w:pageBreakBefore w:val="0"/>
        <w:widowControl w:val="0"/>
        <w:kinsoku/>
        <w:wordWrap/>
        <w:overflowPunct/>
        <w:topLinePunct w:val="0"/>
        <w:autoSpaceDE/>
        <w:autoSpaceDN/>
        <w:bidi w:val="0"/>
        <w:adjustRightInd/>
        <w:snapToGrid w:val="0"/>
        <w:spacing w:before="50" w:after="120" w:line="600" w:lineRule="auto"/>
        <w:ind w:firstLine="562" w:firstLineChars="200"/>
        <w:textAlignment w:val="auto"/>
        <w:rPr>
          <w:rFonts w:hint="default" w:ascii="宋体" w:hAnsi="宋体" w:eastAsia="宋体" w:cs="宋体"/>
          <w:b/>
          <w:bCs/>
          <w:w w:val="95"/>
          <w:kern w:val="0"/>
          <w:sz w:val="28"/>
          <w:szCs w:val="28"/>
          <w:u w:val="single"/>
          <w:lang w:val="en-US" w:eastAsia="zh-CN" w:bidi="ar-SA"/>
        </w:rPr>
      </w:pPr>
      <w:r>
        <w:rPr>
          <w:rFonts w:hint="eastAsia" w:ascii="宋体" w:hAnsi="宋体" w:eastAsia="宋体" w:cs="宋体"/>
          <w:b/>
          <w:kern w:val="2"/>
          <w:sz w:val="28"/>
          <w:szCs w:val="28"/>
          <w:lang w:val="en-US" w:eastAsia="zh-CN" w:bidi="ar-SA"/>
        </w:rPr>
        <w:t>项目联系人：</w:t>
      </w:r>
      <w:r>
        <w:rPr>
          <w:rFonts w:hint="eastAsia" w:ascii="宋体" w:hAnsi="宋体" w:eastAsia="宋体" w:cs="宋体"/>
          <w:b/>
          <w:kern w:val="2"/>
          <w:sz w:val="28"/>
          <w:szCs w:val="28"/>
          <w:u w:val="single"/>
          <w:lang w:val="en-US" w:eastAsia="zh-CN" w:bidi="ar-SA"/>
        </w:rPr>
        <w:t>综合科</w:t>
      </w:r>
      <w:r>
        <w:rPr>
          <w:rFonts w:hint="eastAsia" w:ascii="宋体" w:hAnsi="宋体" w:eastAsia="宋体" w:cs="宋体"/>
          <w:b/>
          <w:bCs/>
          <w:w w:val="95"/>
          <w:kern w:val="0"/>
          <w:sz w:val="28"/>
          <w:szCs w:val="28"/>
          <w:lang w:val="en-US" w:eastAsia="zh-CN" w:bidi="ar-SA"/>
        </w:rPr>
        <w:t xml:space="preserve">    </w:t>
      </w:r>
      <w:r>
        <w:rPr>
          <w:rFonts w:hint="eastAsia" w:ascii="宋体" w:hAnsi="宋体" w:eastAsia="宋体" w:cs="宋体"/>
          <w:b/>
          <w:kern w:val="2"/>
          <w:sz w:val="28"/>
          <w:szCs w:val="28"/>
          <w:lang w:val="en-US" w:eastAsia="zh-CN" w:bidi="ar-SA"/>
        </w:rPr>
        <w:t xml:space="preserve">  </w:t>
      </w:r>
      <w:r>
        <w:rPr>
          <w:rFonts w:hint="eastAsia" w:hAnsi="宋体" w:cs="宋体"/>
          <w:b/>
          <w:kern w:val="2"/>
          <w:sz w:val="28"/>
          <w:szCs w:val="28"/>
          <w:lang w:val="en-US" w:eastAsia="zh-CN" w:bidi="ar-SA"/>
        </w:rPr>
        <w:t xml:space="preserve"> </w:t>
      </w:r>
      <w:r>
        <w:rPr>
          <w:rFonts w:hint="eastAsia" w:ascii="宋体" w:hAnsi="宋体" w:eastAsia="宋体" w:cs="宋体"/>
          <w:b/>
          <w:kern w:val="2"/>
          <w:sz w:val="28"/>
          <w:szCs w:val="28"/>
          <w:lang w:val="en-US" w:eastAsia="zh-CN" w:bidi="ar-SA"/>
        </w:rPr>
        <w:t>电话：</w:t>
      </w:r>
      <w:r>
        <w:rPr>
          <w:rFonts w:hint="eastAsia" w:ascii="宋体" w:hAnsi="宋体" w:eastAsia="宋体" w:cs="宋体"/>
          <w:b/>
          <w:kern w:val="2"/>
          <w:sz w:val="28"/>
          <w:szCs w:val="28"/>
          <w:u w:val="single"/>
          <w:lang w:val="en-US" w:eastAsia="zh-CN" w:bidi="ar-SA"/>
        </w:rPr>
        <w:t>0902-2257813</w:t>
      </w:r>
    </w:p>
    <w:p w14:paraId="6564772A">
      <w:pPr>
        <w:rPr>
          <w:rFonts w:hint="eastAsia"/>
          <w:lang w:val="en-US" w:eastAsia="zh-CN"/>
        </w:rPr>
      </w:pPr>
    </w:p>
    <w:p w14:paraId="1EEE953E">
      <w:pPr>
        <w:rPr>
          <w:rFonts w:hint="eastAsia" w:ascii="宋体" w:hAnsi="宋体" w:eastAsia="宋体" w:cs="宋体"/>
          <w:b/>
          <w:sz w:val="28"/>
          <w:szCs w:val="28"/>
          <w:lang w:val="en-US" w:eastAsia="zh-CN"/>
        </w:rPr>
      </w:pPr>
    </w:p>
    <w:p w14:paraId="6BAF6CD5">
      <w:pPr>
        <w:pStyle w:val="26"/>
        <w:rPr>
          <w:rFonts w:hint="eastAsia" w:ascii="宋体" w:hAnsi="宋体" w:eastAsia="宋体" w:cs="宋体"/>
          <w:b/>
          <w:sz w:val="28"/>
          <w:szCs w:val="28"/>
          <w:lang w:val="en-US" w:eastAsia="zh-CN"/>
        </w:rPr>
      </w:pPr>
    </w:p>
    <w:p w14:paraId="078584C2">
      <w:pPr>
        <w:pStyle w:val="25"/>
        <w:rPr>
          <w:rFonts w:hint="eastAsia"/>
          <w:lang w:val="en-US" w:eastAsia="zh-CN"/>
        </w:rPr>
      </w:pPr>
    </w:p>
    <w:p w14:paraId="3847ED8D">
      <w:pPr>
        <w:pStyle w:val="10"/>
        <w:spacing w:after="0" w:line="720" w:lineRule="auto"/>
        <w:ind w:firstLine="562" w:firstLineChars="200"/>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采购代理机构：</w:t>
      </w:r>
      <w:r>
        <w:rPr>
          <w:rFonts w:hint="eastAsia" w:ascii="宋体" w:hAnsi="宋体" w:cs="宋体"/>
          <w:b/>
          <w:sz w:val="28"/>
          <w:szCs w:val="28"/>
          <w:u w:val="single"/>
          <w:lang w:val="en-US" w:eastAsia="zh-CN"/>
        </w:rPr>
        <w:t>新疆聚友共创项目管理有限公司（盖章）</w:t>
      </w:r>
    </w:p>
    <w:p w14:paraId="1E3857AA">
      <w:pPr>
        <w:pStyle w:val="13"/>
        <w:keepNext w:val="0"/>
        <w:keepLines w:val="0"/>
        <w:pageBreakBefore w:val="0"/>
        <w:widowControl w:val="0"/>
        <w:kinsoku/>
        <w:wordWrap/>
        <w:overflowPunct/>
        <w:topLinePunct w:val="0"/>
        <w:autoSpaceDE/>
        <w:autoSpaceDN/>
        <w:bidi w:val="0"/>
        <w:adjustRightInd/>
        <w:snapToGrid w:val="0"/>
        <w:spacing w:before="50" w:after="120" w:line="600" w:lineRule="auto"/>
        <w:ind w:firstLine="562" w:firstLineChars="200"/>
        <w:textAlignment w:val="auto"/>
        <w:rPr>
          <w:rFonts w:hint="eastAsia" w:ascii="宋体" w:hAnsi="宋体" w:eastAsia="宋体" w:cs="宋体"/>
          <w:b/>
          <w:bCs/>
          <w:w w:val="95"/>
          <w:kern w:val="0"/>
          <w:sz w:val="32"/>
          <w:szCs w:val="32"/>
          <w:lang w:val="en-US" w:eastAsia="zh-CN" w:bidi="ar-SA"/>
        </w:rPr>
      </w:pPr>
      <w:r>
        <w:rPr>
          <w:rFonts w:hint="eastAsia" w:ascii="宋体" w:hAnsi="宋体" w:eastAsia="宋体" w:cs="宋体"/>
          <w:b/>
          <w:kern w:val="2"/>
          <w:sz w:val="28"/>
          <w:szCs w:val="28"/>
          <w:lang w:val="en-US" w:eastAsia="zh-CN" w:bidi="ar-SA"/>
        </w:rPr>
        <w:t>项目联系人：</w:t>
      </w:r>
      <w:r>
        <w:rPr>
          <w:rFonts w:hint="eastAsia" w:ascii="宋体" w:hAnsi="宋体" w:eastAsia="宋体" w:cs="宋体"/>
          <w:b/>
          <w:kern w:val="2"/>
          <w:sz w:val="28"/>
          <w:szCs w:val="28"/>
          <w:u w:val="single"/>
          <w:lang w:val="en-US" w:eastAsia="zh-CN" w:bidi="ar-SA"/>
        </w:rPr>
        <w:t>袁雪娇</w:t>
      </w:r>
      <w:r>
        <w:rPr>
          <w:rFonts w:hint="eastAsia" w:ascii="宋体" w:hAnsi="宋体" w:eastAsia="宋体" w:cs="宋体"/>
          <w:b/>
          <w:bCs/>
          <w:w w:val="95"/>
          <w:kern w:val="0"/>
          <w:sz w:val="32"/>
          <w:szCs w:val="32"/>
          <w:lang w:val="en-US" w:eastAsia="zh-CN" w:bidi="ar-SA"/>
        </w:rPr>
        <w:t xml:space="preserve">      </w:t>
      </w:r>
      <w:r>
        <w:rPr>
          <w:rFonts w:hint="eastAsia" w:ascii="宋体" w:hAnsi="宋体" w:eastAsia="宋体" w:cs="宋体"/>
          <w:b/>
          <w:kern w:val="2"/>
          <w:sz w:val="28"/>
          <w:szCs w:val="28"/>
          <w:lang w:val="en-US" w:eastAsia="zh-CN" w:bidi="ar-SA"/>
        </w:rPr>
        <w:t xml:space="preserve"> 电话</w:t>
      </w:r>
      <w:r>
        <w:rPr>
          <w:rFonts w:hint="eastAsia" w:ascii="宋体" w:hAnsi="宋体" w:eastAsia="宋体" w:cs="宋体"/>
          <w:b/>
          <w:bCs/>
          <w:w w:val="95"/>
          <w:kern w:val="0"/>
          <w:sz w:val="32"/>
          <w:szCs w:val="32"/>
          <w:lang w:val="en-US" w:eastAsia="zh-CN" w:bidi="ar-SA"/>
        </w:rPr>
        <w:t>：</w:t>
      </w:r>
      <w:r>
        <w:rPr>
          <w:rFonts w:hint="eastAsia" w:ascii="宋体" w:hAnsi="宋体" w:eastAsia="宋体" w:cs="宋体"/>
          <w:b/>
          <w:kern w:val="2"/>
          <w:sz w:val="28"/>
          <w:szCs w:val="28"/>
          <w:u w:val="single"/>
          <w:lang w:val="en-US" w:eastAsia="zh-CN" w:bidi="ar-SA"/>
        </w:rPr>
        <w:t>18119007791</w:t>
      </w:r>
    </w:p>
    <w:p w14:paraId="698561ED">
      <w:pPr>
        <w:spacing w:line="570" w:lineRule="atLeas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br w:type="page"/>
      </w:r>
      <w:r>
        <w:rPr>
          <w:rFonts w:hint="eastAsia" w:ascii="宋体" w:hAnsi="宋体" w:eastAsia="宋体" w:cs="宋体"/>
          <w:b/>
          <w:bCs/>
          <w:kern w:val="0"/>
          <w:sz w:val="32"/>
          <w:szCs w:val="32"/>
        </w:rPr>
        <w:t>目 录</w:t>
      </w:r>
    </w:p>
    <w:p w14:paraId="64AB5967">
      <w:pPr>
        <w:pStyle w:val="17"/>
        <w:tabs>
          <w:tab w:val="right" w:leader="dot" w:pos="9747"/>
        </w:tabs>
        <w:spacing w:line="240" w:lineRule="auto"/>
        <w:rPr>
          <w:rFonts w:hint="eastAsia" w:ascii="宋体" w:hAnsi="宋体" w:eastAsia="宋体" w:cs="宋体"/>
          <w:sz w:val="24"/>
          <w:szCs w:val="24"/>
        </w:rPr>
      </w:pPr>
      <w:bookmarkStart w:id="7" w:name="_Toc3329"/>
      <w:bookmarkStart w:id="8" w:name="_Toc22470"/>
      <w:bookmarkStart w:id="9" w:name="_Toc30457"/>
      <w:bookmarkStart w:id="10" w:name="_Toc10095"/>
      <w:bookmarkStart w:id="11" w:name="_Toc16329"/>
      <w:bookmarkStart w:id="12" w:name="_Toc9401"/>
      <w:r>
        <w:rPr>
          <w:rStyle w:val="48"/>
          <w:rFonts w:hint="eastAsia" w:ascii="宋体" w:hAnsi="宋体" w:eastAsia="宋体" w:cs="宋体"/>
          <w:b/>
          <w:bCs/>
          <w:sz w:val="32"/>
          <w:szCs w:val="32"/>
        </w:rPr>
        <w:fldChar w:fldCharType="begin"/>
      </w:r>
      <w:r>
        <w:rPr>
          <w:rStyle w:val="48"/>
          <w:rFonts w:hint="eastAsia" w:ascii="宋体" w:hAnsi="宋体" w:eastAsia="宋体" w:cs="宋体"/>
          <w:b/>
          <w:bCs/>
          <w:sz w:val="32"/>
          <w:szCs w:val="32"/>
        </w:rPr>
        <w:instrText xml:space="preserve">TOC \o "1-2" \h \u </w:instrText>
      </w:r>
      <w:r>
        <w:rPr>
          <w:rStyle w:val="48"/>
          <w:rFonts w:hint="eastAsia" w:ascii="宋体" w:hAnsi="宋体" w:eastAsia="宋体" w:cs="宋体"/>
          <w:b/>
          <w:bCs/>
          <w:sz w:val="32"/>
          <w:szCs w:val="32"/>
        </w:rPr>
        <w:fldChar w:fldCharType="separate"/>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_Toc7423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 xml:space="preserve">第一章 </w:t>
      </w:r>
      <w:r>
        <w:rPr>
          <w:rFonts w:hint="eastAsia" w:ascii="宋体" w:hAnsi="宋体" w:eastAsia="宋体" w:cs="宋体"/>
          <w:bCs/>
          <w:sz w:val="24"/>
          <w:szCs w:val="24"/>
          <w:lang w:eastAsia="zh-CN"/>
        </w:rPr>
        <w:t>招标</w:t>
      </w:r>
      <w:r>
        <w:rPr>
          <w:rFonts w:hint="eastAsia" w:ascii="宋体" w:hAnsi="宋体" w:eastAsia="宋体" w:cs="宋体"/>
          <w:bCs/>
          <w:sz w:val="24"/>
          <w:szCs w:val="24"/>
        </w:rPr>
        <w:t>公告</w:t>
      </w:r>
      <w:r>
        <w:rPr>
          <w:rFonts w:hint="eastAsia" w:ascii="宋体" w:hAnsi="宋体" w:eastAsia="宋体" w:cs="宋体"/>
          <w:sz w:val="24"/>
          <w:szCs w:val="24"/>
        </w:rPr>
        <w:t> </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_Toc7423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1411CE15">
      <w:pPr>
        <w:pStyle w:val="17"/>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_Toc15528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_Toc15528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47E54F10">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_Toc16523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rPr>
        <w:t>一、供应商须知前附表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_Toc16523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081E3A8E">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_Toc27836 </w:instrText>
      </w:r>
      <w:r>
        <w:rPr>
          <w:rFonts w:hint="eastAsia" w:ascii="宋体" w:hAnsi="宋体" w:eastAsia="宋体" w:cs="宋体"/>
          <w:bCs/>
          <w:sz w:val="24"/>
          <w:szCs w:val="24"/>
        </w:rPr>
        <w:fldChar w:fldCharType="separate"/>
      </w:r>
      <w:r>
        <w:rPr>
          <w:rFonts w:hint="eastAsia" w:ascii="宋体" w:hAnsi="宋体" w:eastAsia="宋体" w:cs="宋体"/>
          <w:bCs w:val="0"/>
          <w:sz w:val="24"/>
          <w:szCs w:val="24"/>
          <w:highlight w:val="none"/>
        </w:rPr>
        <w:t>二、总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_Toc27836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2A262CB9">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_Toc24401 </w:instrText>
      </w:r>
      <w:r>
        <w:rPr>
          <w:rFonts w:hint="eastAsia" w:ascii="宋体" w:hAnsi="宋体" w:eastAsia="宋体" w:cs="宋体"/>
          <w:bCs/>
          <w:sz w:val="24"/>
          <w:szCs w:val="24"/>
        </w:rPr>
        <w:fldChar w:fldCharType="separate"/>
      </w:r>
      <w:r>
        <w:rPr>
          <w:rFonts w:hint="eastAsia" w:ascii="宋体" w:hAnsi="宋体" w:eastAsia="宋体" w:cs="宋体"/>
          <w:bCs w:val="0"/>
          <w:sz w:val="24"/>
          <w:szCs w:val="24"/>
          <w:highlight w:val="none"/>
        </w:rPr>
        <w:t>三、采购文件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_Toc24401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4B30A076">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_Toc1543 </w:instrText>
      </w:r>
      <w:r>
        <w:rPr>
          <w:rFonts w:hint="eastAsia" w:ascii="宋体" w:hAnsi="宋体" w:eastAsia="宋体" w:cs="宋体"/>
          <w:bCs/>
          <w:sz w:val="24"/>
          <w:szCs w:val="24"/>
        </w:rPr>
        <w:fldChar w:fldCharType="separate"/>
      </w:r>
      <w:r>
        <w:rPr>
          <w:rFonts w:hint="eastAsia" w:ascii="宋体" w:hAnsi="宋体" w:eastAsia="宋体" w:cs="宋体"/>
          <w:bCs w:val="0"/>
          <w:sz w:val="24"/>
          <w:szCs w:val="24"/>
          <w:highlight w:val="none"/>
        </w:rPr>
        <w:t>四、响应文件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_Toc1543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7B4361E7">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_Toc10927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rPr>
        <w:t>五、开标和</w:t>
      </w:r>
      <w:r>
        <w:rPr>
          <w:rFonts w:hint="eastAsia" w:ascii="宋体" w:hAnsi="宋体" w:eastAsia="宋体" w:cs="宋体"/>
          <w:sz w:val="24"/>
          <w:szCs w:val="24"/>
          <w:highlight w:val="none"/>
          <w:lang w:eastAsia="zh-CN"/>
        </w:rPr>
        <w:t>中标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_Toc10927 \h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5F778D13">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_Toc30153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rPr>
        <w:t>六、签订及履行合同和验收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_Toc30153 \h </w:instrText>
      </w:r>
      <w:r>
        <w:rPr>
          <w:rFonts w:hint="eastAsia" w:ascii="宋体" w:hAnsi="宋体" w:eastAsia="宋体" w:cs="宋体"/>
          <w:sz w:val="24"/>
          <w:szCs w:val="24"/>
        </w:rPr>
        <w:fldChar w:fldCharType="separate"/>
      </w:r>
      <w:r>
        <w:rPr>
          <w:rFonts w:hint="eastAsia" w:ascii="宋体" w:hAnsi="宋体" w:eastAsia="宋体" w:cs="宋体"/>
          <w:sz w:val="24"/>
          <w:szCs w:val="24"/>
        </w:rPr>
        <w:t>- 14 -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5423D6FA">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_Toc7926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rPr>
        <w:t>七、投标纪律要求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_Toc7926 \h </w:instrText>
      </w:r>
      <w:r>
        <w:rPr>
          <w:rFonts w:hint="eastAsia" w:ascii="宋体" w:hAnsi="宋体" w:eastAsia="宋体" w:cs="宋体"/>
          <w:sz w:val="24"/>
          <w:szCs w:val="24"/>
        </w:rPr>
        <w:fldChar w:fldCharType="separate"/>
      </w:r>
      <w:r>
        <w:rPr>
          <w:rFonts w:hint="eastAsia" w:ascii="宋体" w:hAnsi="宋体" w:eastAsia="宋体" w:cs="宋体"/>
          <w:sz w:val="24"/>
          <w:szCs w:val="24"/>
        </w:rPr>
        <w:t>- 15 -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246C3DD6">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_Toc8943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rPr>
        <w:t>八、支付货款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_Toc8943 \h </w:instrText>
      </w:r>
      <w:r>
        <w:rPr>
          <w:rFonts w:hint="eastAsia" w:ascii="宋体" w:hAnsi="宋体" w:eastAsia="宋体" w:cs="宋体"/>
          <w:sz w:val="24"/>
          <w:szCs w:val="24"/>
        </w:rPr>
        <w:fldChar w:fldCharType="separate"/>
      </w:r>
      <w:r>
        <w:rPr>
          <w:rFonts w:hint="eastAsia" w:ascii="宋体" w:hAnsi="宋体" w:eastAsia="宋体" w:cs="宋体"/>
          <w:sz w:val="24"/>
          <w:szCs w:val="24"/>
        </w:rPr>
        <w:t>- 16 -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4ED4708F">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_Toc31672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rPr>
        <w:t>九、质疑和投诉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_Toc31672 \h </w:instrText>
      </w:r>
      <w:r>
        <w:rPr>
          <w:rFonts w:hint="eastAsia" w:ascii="宋体" w:hAnsi="宋体" w:eastAsia="宋体" w:cs="宋体"/>
          <w:sz w:val="24"/>
          <w:szCs w:val="24"/>
        </w:rPr>
        <w:fldChar w:fldCharType="separate"/>
      </w:r>
      <w:r>
        <w:rPr>
          <w:rFonts w:hint="eastAsia" w:ascii="宋体" w:hAnsi="宋体" w:eastAsia="宋体" w:cs="宋体"/>
          <w:sz w:val="24"/>
          <w:szCs w:val="24"/>
        </w:rPr>
        <w:t>- 16 -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3BE73583">
      <w:pPr>
        <w:pStyle w:val="17"/>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_Toc22963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rPr>
        <w:t>第三章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_Toc22963 \h </w:instrText>
      </w:r>
      <w:r>
        <w:rPr>
          <w:rFonts w:hint="eastAsia" w:ascii="宋体" w:hAnsi="宋体" w:eastAsia="宋体" w:cs="宋体"/>
          <w:sz w:val="24"/>
          <w:szCs w:val="24"/>
        </w:rPr>
        <w:fldChar w:fldCharType="separate"/>
      </w:r>
      <w:r>
        <w:rPr>
          <w:rFonts w:hint="eastAsia" w:ascii="宋体" w:hAnsi="宋体" w:eastAsia="宋体" w:cs="宋体"/>
          <w:sz w:val="24"/>
          <w:szCs w:val="24"/>
        </w:rPr>
        <w:t>- 17 -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23B6F541">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_Toc876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_Toc876 \h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21A4DBB5">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_Toc1333 </w:instrText>
      </w:r>
      <w:r>
        <w:rPr>
          <w:rFonts w:hint="eastAsia" w:ascii="宋体" w:hAnsi="宋体" w:eastAsia="宋体" w:cs="宋体"/>
          <w:bCs/>
          <w:sz w:val="24"/>
          <w:szCs w:val="24"/>
        </w:rPr>
        <w:fldChar w:fldCharType="separate"/>
      </w:r>
      <w:r>
        <w:rPr>
          <w:rFonts w:hint="eastAsia" w:ascii="宋体" w:hAnsi="宋体" w:eastAsia="宋体" w:cs="宋体"/>
          <w:bCs w:val="0"/>
          <w:kern w:val="2"/>
          <w:sz w:val="24"/>
          <w:szCs w:val="24"/>
          <w:lang w:val="en-US" w:eastAsia="zh-CN" w:bidi="ar-SA"/>
        </w:rPr>
        <w:t>二、</w:t>
      </w:r>
      <w:r>
        <w:rPr>
          <w:rFonts w:hint="eastAsia" w:ascii="宋体" w:hAnsi="宋体" w:eastAsia="宋体" w:cs="宋体"/>
          <w:bCs w:val="0"/>
          <w:kern w:val="2"/>
          <w:sz w:val="24"/>
          <w:szCs w:val="24"/>
          <w:highlight w:val="none"/>
          <w:lang w:val="en-US" w:eastAsia="zh-CN" w:bidi="ar-SA"/>
        </w:rPr>
        <w:t>商务文件组成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_Toc1333 \h </w:instrText>
      </w:r>
      <w:r>
        <w:rPr>
          <w:rFonts w:hint="eastAsia" w:ascii="宋体" w:hAnsi="宋体" w:eastAsia="宋体" w:cs="宋体"/>
          <w:sz w:val="24"/>
          <w:szCs w:val="24"/>
        </w:rPr>
        <w:fldChar w:fldCharType="separate"/>
      </w:r>
      <w:r>
        <w:rPr>
          <w:rFonts w:hint="eastAsia" w:ascii="宋体" w:hAnsi="宋体" w:eastAsia="宋体" w:cs="宋体"/>
          <w:sz w:val="24"/>
          <w:szCs w:val="24"/>
        </w:rPr>
        <w:t>- 22 -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04A5B5E1">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_Toc25906 </w:instrText>
      </w:r>
      <w:r>
        <w:rPr>
          <w:rFonts w:hint="eastAsia" w:ascii="宋体" w:hAnsi="宋体" w:eastAsia="宋体" w:cs="宋体"/>
          <w:bCs/>
          <w:sz w:val="24"/>
          <w:szCs w:val="24"/>
        </w:rPr>
        <w:fldChar w:fldCharType="separate"/>
      </w:r>
      <w:r>
        <w:rPr>
          <w:rFonts w:hint="eastAsia" w:ascii="宋体" w:hAnsi="宋体" w:eastAsia="宋体" w:cs="宋体"/>
          <w:spacing w:val="0"/>
          <w:sz w:val="24"/>
          <w:szCs w:val="24"/>
          <w:highlight w:val="none"/>
          <w:lang w:val="en-US" w:eastAsia="zh-CN"/>
        </w:rPr>
        <w:t>三</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val="en-US" w:eastAsia="zh-CN"/>
        </w:rPr>
        <w:t>报价</w:t>
      </w:r>
      <w:r>
        <w:rPr>
          <w:rFonts w:hint="eastAsia" w:ascii="宋体" w:hAnsi="宋体" w:eastAsia="宋体" w:cs="宋体"/>
          <w:spacing w:val="0"/>
          <w:sz w:val="24"/>
          <w:szCs w:val="24"/>
          <w:highlight w:val="none"/>
        </w:rPr>
        <w:t>文件组成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_Toc25906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42C76AA8">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_Toc11940 </w:instrText>
      </w:r>
      <w:r>
        <w:rPr>
          <w:rFonts w:hint="eastAsia" w:ascii="宋体" w:hAnsi="宋体" w:eastAsia="宋体" w:cs="宋体"/>
          <w:bCs/>
          <w:sz w:val="24"/>
          <w:szCs w:val="24"/>
        </w:rPr>
        <w:fldChar w:fldCharType="separate"/>
      </w:r>
      <w:r>
        <w:rPr>
          <w:rFonts w:hint="eastAsia" w:ascii="宋体" w:hAnsi="宋体" w:eastAsia="宋体" w:cs="宋体"/>
          <w:spacing w:val="0"/>
          <w:sz w:val="24"/>
          <w:szCs w:val="24"/>
          <w:highlight w:val="none"/>
          <w:lang w:val="en-US" w:eastAsia="zh-CN"/>
        </w:rPr>
        <w:t>四</w:t>
      </w:r>
      <w:r>
        <w:rPr>
          <w:rFonts w:hint="eastAsia" w:ascii="宋体" w:hAnsi="宋体" w:eastAsia="宋体" w:cs="宋体"/>
          <w:spacing w:val="0"/>
          <w:sz w:val="24"/>
          <w:szCs w:val="24"/>
          <w:highlight w:val="none"/>
        </w:rPr>
        <w:t>、技术文件组成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_Toc11940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6494BAC0">
      <w:pPr>
        <w:pStyle w:val="17"/>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_Toc2498 </w:instrText>
      </w:r>
      <w:r>
        <w:rPr>
          <w:rFonts w:hint="eastAsia" w:ascii="宋体" w:hAnsi="宋体" w:eastAsia="宋体" w:cs="宋体"/>
          <w:bCs/>
          <w:sz w:val="24"/>
          <w:szCs w:val="24"/>
        </w:rPr>
        <w:fldChar w:fldCharType="separate"/>
      </w:r>
      <w:r>
        <w:rPr>
          <w:rFonts w:hint="eastAsia" w:ascii="宋体" w:hAnsi="宋体" w:eastAsia="宋体" w:cs="宋体"/>
          <w:bCs/>
          <w:kern w:val="44"/>
          <w:sz w:val="24"/>
          <w:szCs w:val="24"/>
          <w:highlight w:val="none"/>
          <w:lang w:val="en-US" w:eastAsia="zh-CN" w:bidi="ar-SA"/>
        </w:rPr>
        <w:t>第四章  采购清单及技术要求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_Toc2498 \h </w:instrText>
      </w:r>
      <w:r>
        <w:rPr>
          <w:rFonts w:hint="eastAsia" w:ascii="宋体" w:hAnsi="宋体" w:eastAsia="宋体" w:cs="宋体"/>
          <w:sz w:val="24"/>
          <w:szCs w:val="24"/>
        </w:rPr>
        <w:fldChar w:fldCharType="separate"/>
      </w:r>
      <w:r>
        <w:rPr>
          <w:rFonts w:hint="eastAsia" w:ascii="宋体" w:hAnsi="宋体" w:eastAsia="宋体" w:cs="宋体"/>
          <w:sz w:val="24"/>
          <w:szCs w:val="24"/>
        </w:rPr>
        <w:t>- 38 -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291532BA">
      <w:pPr>
        <w:pStyle w:val="17"/>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_Toc14073 </w:instrText>
      </w:r>
      <w:r>
        <w:rPr>
          <w:rFonts w:hint="eastAsia" w:ascii="宋体" w:hAnsi="宋体" w:eastAsia="宋体" w:cs="宋体"/>
          <w:bCs/>
          <w:sz w:val="24"/>
          <w:szCs w:val="24"/>
        </w:rPr>
        <w:fldChar w:fldCharType="separate"/>
      </w:r>
      <w:r>
        <w:rPr>
          <w:rFonts w:hint="eastAsia" w:ascii="宋体" w:hAnsi="宋体" w:eastAsia="宋体" w:cs="宋体"/>
          <w:bCs/>
          <w:sz w:val="24"/>
          <w:szCs w:val="24"/>
          <w:highlight w:val="none"/>
        </w:rPr>
        <w:t>第</w:t>
      </w:r>
      <w:r>
        <w:rPr>
          <w:rFonts w:hint="eastAsia" w:ascii="宋体" w:hAnsi="宋体" w:eastAsia="宋体" w:cs="宋体"/>
          <w:bCs/>
          <w:sz w:val="24"/>
          <w:szCs w:val="24"/>
          <w:highlight w:val="none"/>
          <w:lang w:val="en-US" w:eastAsia="zh-CN"/>
        </w:rPr>
        <w:t>五</w:t>
      </w:r>
      <w:r>
        <w:rPr>
          <w:rFonts w:hint="eastAsia" w:ascii="宋体" w:hAnsi="宋体" w:eastAsia="宋体" w:cs="宋体"/>
          <w:bCs/>
          <w:sz w:val="24"/>
          <w:szCs w:val="24"/>
          <w:highlight w:val="none"/>
        </w:rPr>
        <w:t>章</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_Toc14073 \h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5C3F1FAD">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_Toc1229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rPr>
        <w:t>1.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_Toc1229 \h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52C2B0C1">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_Toc10073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rPr>
        <w:t>2. 评标方法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_Toc10073 \h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1BE94A6D">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_Toc13904 </w:instrText>
      </w:r>
      <w:r>
        <w:rPr>
          <w:rFonts w:hint="eastAsia" w:ascii="宋体" w:hAnsi="宋体" w:eastAsia="宋体" w:cs="宋体"/>
          <w:bCs/>
          <w:sz w:val="24"/>
          <w:szCs w:val="24"/>
        </w:rPr>
        <w:fldChar w:fldCharType="separate"/>
      </w:r>
      <w:r>
        <w:rPr>
          <w:rFonts w:hint="eastAsia" w:ascii="宋体" w:hAnsi="宋体" w:eastAsia="宋体" w:cs="宋体"/>
          <w:bCs/>
          <w:sz w:val="24"/>
          <w:szCs w:val="24"/>
          <w:highlight w:val="none"/>
        </w:rPr>
        <w:t>3</w:t>
      </w:r>
      <w:r>
        <w:rPr>
          <w:rFonts w:hint="eastAsia" w:ascii="宋体" w:hAnsi="宋体" w:eastAsia="宋体" w:cs="宋体"/>
          <w:sz w:val="24"/>
          <w:szCs w:val="24"/>
          <w:highlight w:val="none"/>
        </w:rPr>
        <w:t>. 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_Toc13904 \h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3340E54B">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_Toc5513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rPr>
        <w:t>4. 评标细则及标准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_Toc5513 \h </w:instrText>
      </w:r>
      <w:r>
        <w:rPr>
          <w:rFonts w:hint="eastAsia" w:ascii="宋体" w:hAnsi="宋体" w:eastAsia="宋体" w:cs="宋体"/>
          <w:sz w:val="24"/>
          <w:szCs w:val="24"/>
        </w:rPr>
        <w:fldChar w:fldCharType="separate"/>
      </w:r>
      <w:r>
        <w:rPr>
          <w:rFonts w:hint="eastAsia" w:ascii="宋体" w:hAnsi="宋体" w:eastAsia="宋体" w:cs="宋体"/>
          <w:sz w:val="24"/>
          <w:szCs w:val="24"/>
        </w:rPr>
        <w:t>- 44 -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75918873">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_Toc17330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rPr>
        <w:t>5. 废标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_Toc17330 \h </w:instrText>
      </w:r>
      <w:r>
        <w:rPr>
          <w:rFonts w:hint="eastAsia" w:ascii="宋体" w:hAnsi="宋体" w:eastAsia="宋体" w:cs="宋体"/>
          <w:sz w:val="24"/>
          <w:szCs w:val="24"/>
        </w:rPr>
        <w:fldChar w:fldCharType="separate"/>
      </w:r>
      <w:r>
        <w:rPr>
          <w:rFonts w:hint="eastAsia" w:ascii="宋体" w:hAnsi="宋体" w:eastAsia="宋体" w:cs="宋体"/>
          <w:sz w:val="24"/>
          <w:szCs w:val="24"/>
        </w:rPr>
        <w:t>- 48 -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36AC1348">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_Toc17704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rPr>
        <w:t>6. 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_Toc17704 \h </w:instrText>
      </w:r>
      <w:r>
        <w:rPr>
          <w:rFonts w:hint="eastAsia" w:ascii="宋体" w:hAnsi="宋体" w:eastAsia="宋体" w:cs="宋体"/>
          <w:sz w:val="24"/>
          <w:szCs w:val="24"/>
        </w:rPr>
        <w:fldChar w:fldCharType="separate"/>
      </w:r>
      <w:r>
        <w:rPr>
          <w:rFonts w:hint="eastAsia" w:ascii="宋体" w:hAnsi="宋体" w:eastAsia="宋体" w:cs="宋体"/>
          <w:sz w:val="24"/>
          <w:szCs w:val="24"/>
        </w:rPr>
        <w:t>- 48 -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6070C235">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_Toc3749 </w:instrText>
      </w:r>
      <w:r>
        <w:rPr>
          <w:rFonts w:hint="eastAsia" w:ascii="宋体" w:hAnsi="宋体" w:eastAsia="宋体" w:cs="宋体"/>
          <w:bCs/>
          <w:sz w:val="24"/>
          <w:szCs w:val="24"/>
        </w:rPr>
        <w:fldChar w:fldCharType="separate"/>
      </w:r>
      <w:r>
        <w:rPr>
          <w:rFonts w:hint="eastAsia" w:ascii="宋体" w:hAnsi="宋体" w:eastAsia="宋体" w:cs="宋体"/>
          <w:bCs w:val="0"/>
          <w:sz w:val="24"/>
          <w:szCs w:val="24"/>
          <w:highlight w:val="none"/>
        </w:rPr>
        <w:t xml:space="preserve">7. </w:t>
      </w:r>
      <w:r>
        <w:rPr>
          <w:rFonts w:hint="eastAsia" w:ascii="宋体" w:hAnsi="宋体" w:eastAsia="宋体" w:cs="宋体"/>
          <w:sz w:val="24"/>
          <w:szCs w:val="24"/>
          <w:highlight w:val="none"/>
        </w:rPr>
        <w:t>评标专家在政府采购活动中承担以下义务：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_Toc3749 \h </w:instrText>
      </w:r>
      <w:r>
        <w:rPr>
          <w:rFonts w:hint="eastAsia" w:ascii="宋体" w:hAnsi="宋体" w:eastAsia="宋体" w:cs="宋体"/>
          <w:sz w:val="24"/>
          <w:szCs w:val="24"/>
        </w:rPr>
        <w:fldChar w:fldCharType="separate"/>
      </w:r>
      <w:r>
        <w:rPr>
          <w:rFonts w:hint="eastAsia" w:ascii="宋体" w:hAnsi="宋体" w:eastAsia="宋体" w:cs="宋体"/>
          <w:sz w:val="24"/>
          <w:szCs w:val="24"/>
        </w:rPr>
        <w:t>- 48 -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3AEEB4C0">
      <w:pPr>
        <w:pStyle w:val="20"/>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_Toc13187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rPr>
        <w:t>8. 评审专家在政府采购活动中应当遵守以下工作纪律：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_Toc13187 \h </w:instrText>
      </w:r>
      <w:r>
        <w:rPr>
          <w:rFonts w:hint="eastAsia" w:ascii="宋体" w:hAnsi="宋体" w:eastAsia="宋体" w:cs="宋体"/>
          <w:sz w:val="24"/>
          <w:szCs w:val="24"/>
        </w:rPr>
        <w:fldChar w:fldCharType="separate"/>
      </w:r>
      <w:r>
        <w:rPr>
          <w:rFonts w:hint="eastAsia" w:ascii="宋体" w:hAnsi="宋体" w:eastAsia="宋体" w:cs="宋体"/>
          <w:sz w:val="24"/>
          <w:szCs w:val="24"/>
        </w:rPr>
        <w:t>- 49 -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282A2A6F">
      <w:pPr>
        <w:pStyle w:val="17"/>
        <w:tabs>
          <w:tab w:val="right" w:leader="dot" w:pos="9747"/>
        </w:tabs>
        <w:spacing w:line="24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_Toc16407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章  合同主要条款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_Toc16407 \h </w:instrText>
      </w:r>
      <w:r>
        <w:rPr>
          <w:rFonts w:hint="eastAsia" w:ascii="宋体" w:hAnsi="宋体" w:eastAsia="宋体" w:cs="宋体"/>
          <w:sz w:val="24"/>
          <w:szCs w:val="24"/>
        </w:rPr>
        <w:fldChar w:fldCharType="separate"/>
      </w:r>
      <w:r>
        <w:rPr>
          <w:rFonts w:hint="eastAsia" w:ascii="宋体" w:hAnsi="宋体" w:eastAsia="宋体" w:cs="宋体"/>
          <w:sz w:val="24"/>
          <w:szCs w:val="24"/>
        </w:rPr>
        <w:t>- 51 -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2C98A52B">
      <w:pPr>
        <w:spacing w:line="240" w:lineRule="auto"/>
        <w:jc w:val="center"/>
        <w:outlineLvl w:val="0"/>
        <w:rPr>
          <w:rStyle w:val="48"/>
          <w:rFonts w:hint="eastAsia" w:ascii="宋体" w:hAnsi="宋体" w:eastAsia="宋体" w:cs="宋体"/>
          <w:b/>
          <w:bCs/>
          <w:sz w:val="32"/>
          <w:szCs w:val="32"/>
        </w:rPr>
        <w:sectPr>
          <w:headerReference r:id="rId3" w:type="default"/>
          <w:footerReference r:id="rId4" w:type="default"/>
          <w:pgSz w:w="11907" w:h="16840"/>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bCs/>
          <w:sz w:val="21"/>
          <w:szCs w:val="32"/>
        </w:rPr>
        <w:fldChar w:fldCharType="end"/>
      </w:r>
    </w:p>
    <w:p w14:paraId="028AD129">
      <w:pPr>
        <w:spacing w:line="360" w:lineRule="auto"/>
        <w:jc w:val="center"/>
        <w:outlineLvl w:val="0"/>
        <w:rPr>
          <w:rFonts w:hint="eastAsia" w:ascii="宋体" w:hAnsi="宋体" w:eastAsia="宋体" w:cs="宋体"/>
          <w:sz w:val="24"/>
          <w:szCs w:val="24"/>
        </w:rPr>
      </w:pPr>
      <w:bookmarkStart w:id="13" w:name="_Toc7423"/>
      <w:bookmarkStart w:id="14" w:name="_Toc1541"/>
      <w:bookmarkStart w:id="15" w:name="_Toc14957"/>
      <w:r>
        <w:rPr>
          <w:rStyle w:val="48"/>
          <w:rFonts w:hint="eastAsia" w:ascii="宋体" w:hAnsi="宋体" w:eastAsia="宋体" w:cs="宋体"/>
          <w:b/>
          <w:bCs/>
          <w:sz w:val="32"/>
          <w:szCs w:val="32"/>
        </w:rPr>
        <w:t xml:space="preserve">第一章 </w:t>
      </w:r>
      <w:bookmarkEnd w:id="7"/>
      <w:bookmarkEnd w:id="8"/>
      <w:bookmarkEnd w:id="9"/>
      <w:bookmarkEnd w:id="10"/>
      <w:bookmarkEnd w:id="11"/>
      <w:r>
        <w:rPr>
          <w:rStyle w:val="48"/>
          <w:rFonts w:hint="eastAsia" w:ascii="宋体" w:hAnsi="宋体" w:eastAsia="宋体" w:cs="宋体"/>
          <w:b/>
          <w:bCs/>
          <w:sz w:val="32"/>
          <w:szCs w:val="32"/>
          <w:lang w:eastAsia="zh-CN"/>
        </w:rPr>
        <w:t>招标</w:t>
      </w:r>
      <w:r>
        <w:rPr>
          <w:rStyle w:val="48"/>
          <w:rFonts w:hint="eastAsia" w:ascii="宋体" w:hAnsi="宋体" w:eastAsia="宋体" w:cs="宋体"/>
          <w:b/>
          <w:bCs/>
          <w:sz w:val="32"/>
          <w:szCs w:val="32"/>
        </w:rPr>
        <w:t>公告</w:t>
      </w:r>
      <w:bookmarkEnd w:id="12"/>
      <w:r>
        <w:rPr>
          <w:rFonts w:hint="eastAsia" w:ascii="宋体" w:hAnsi="宋体" w:eastAsia="宋体" w:cs="宋体"/>
          <w:sz w:val="24"/>
          <w:szCs w:val="24"/>
        </w:rPr>
        <w:t> </w:t>
      </w:r>
      <w:bookmarkEnd w:id="13"/>
      <w:bookmarkEnd w:id="14"/>
      <w:bookmarkEnd w:id="15"/>
    </w:p>
    <w:p w14:paraId="41C26559">
      <w:pPr>
        <w:pStyle w:val="47"/>
        <w:keepNext w:val="0"/>
        <w:keepLines w:val="0"/>
        <w:pageBreakBefore w:val="0"/>
        <w:widowControl w:val="0"/>
        <w:kinsoku w:val="0"/>
        <w:wordWrap w:val="0"/>
        <w:overflowPunct w:val="0"/>
        <w:topLinePunct/>
        <w:autoSpaceDE w:val="0"/>
        <w:autoSpaceDN w:val="0"/>
        <w:bidi w:val="0"/>
        <w:adjustRightInd w:val="0"/>
        <w:snapToGrid/>
        <w:spacing w:line="360" w:lineRule="auto"/>
        <w:ind w:firstLine="720" w:firstLineChars="300"/>
        <w:jc w:val="both"/>
        <w:textAlignment w:val="auto"/>
        <w:outlineLvl w:val="9"/>
        <w:rPr>
          <w:rFonts w:hint="eastAsia" w:ascii="宋体" w:hAnsi="宋体" w:eastAsia="宋体" w:cs="宋体"/>
          <w:sz w:val="24"/>
          <w:szCs w:val="24"/>
        </w:rPr>
      </w:pPr>
      <w:r>
        <w:rPr>
          <w:rFonts w:hint="eastAsia" w:ascii="宋体" w:hAnsi="宋体" w:cs="宋体"/>
          <w:bCs/>
          <w:color w:val="auto"/>
          <w:kern w:val="2"/>
          <w:sz w:val="24"/>
          <w:szCs w:val="28"/>
          <w:highlight w:val="none"/>
          <w:u w:val="single"/>
          <w:lang w:val="en-US" w:eastAsia="zh-CN" w:bidi="ar-SA"/>
        </w:rPr>
        <w:t>电动汽车充电桩检定装置采购项目</w:t>
      </w:r>
      <w:r>
        <w:rPr>
          <w:rFonts w:hint="eastAsia" w:ascii="宋体" w:hAnsi="宋体" w:eastAsia="宋体" w:cs="宋体"/>
          <w:sz w:val="24"/>
          <w:szCs w:val="28"/>
        </w:rPr>
        <w:t>的潜在供应商应在</w:t>
      </w:r>
      <w:r>
        <w:rPr>
          <w:rFonts w:hint="eastAsia" w:ascii="宋体" w:hAnsi="宋体" w:eastAsia="宋体" w:cs="宋体"/>
          <w:sz w:val="24"/>
          <w:szCs w:val="28"/>
          <w:u w:val="single"/>
        </w:rPr>
        <w:t>新疆政府采购网（http://www.ccgp-xinjiang.gov.cn）</w:t>
      </w:r>
      <w:r>
        <w:rPr>
          <w:rFonts w:hint="eastAsia" w:ascii="宋体" w:hAnsi="宋体" w:eastAsia="宋体" w:cs="宋体"/>
          <w:sz w:val="24"/>
          <w:szCs w:val="28"/>
        </w:rPr>
        <w:t>政采云平台线上获取采购文件，并于</w:t>
      </w:r>
      <w:r>
        <w:rPr>
          <w:rFonts w:hint="eastAsia" w:ascii="宋体" w:hAnsi="宋体" w:cs="宋体"/>
          <w:color w:val="auto"/>
          <w:sz w:val="24"/>
          <w:szCs w:val="28"/>
          <w:highlight w:val="none"/>
          <w:u w:val="single"/>
          <w:lang w:eastAsia="zh-CN"/>
        </w:rPr>
        <w:t>2025年07月23日10时00分</w:t>
      </w:r>
      <w:r>
        <w:rPr>
          <w:rFonts w:hint="eastAsia" w:ascii="宋体" w:hAnsi="宋体" w:eastAsia="宋体" w:cs="宋体"/>
          <w:bCs/>
          <w:sz w:val="24"/>
          <w:szCs w:val="28"/>
        </w:rPr>
        <w:t>（北京时间）前提交响应文件</w:t>
      </w:r>
      <w:r>
        <w:rPr>
          <w:rFonts w:hint="eastAsia" w:ascii="宋体" w:hAnsi="宋体" w:eastAsia="宋体" w:cs="宋体"/>
          <w:sz w:val="24"/>
          <w:szCs w:val="28"/>
        </w:rPr>
        <w:t>。</w:t>
      </w:r>
    </w:p>
    <w:p w14:paraId="3A8DE7F3">
      <w:pPr>
        <w:pStyle w:val="42"/>
        <w:tabs>
          <w:tab w:val="left" w:pos="1424"/>
        </w:tabs>
        <w:spacing w:line="360" w:lineRule="auto"/>
        <w:ind w:left="0" w:leftChars="0" w:firstLine="0" w:firstLineChars="0"/>
        <w:jc w:val="left"/>
        <w:outlineLvl w:val="9"/>
        <w:rPr>
          <w:rFonts w:hint="eastAsia" w:ascii="宋体" w:hAnsi="宋体" w:eastAsia="宋体" w:cs="宋体"/>
          <w:b/>
          <w:bCs/>
          <w:sz w:val="24"/>
        </w:rPr>
      </w:pPr>
      <w:r>
        <w:rPr>
          <w:rFonts w:hint="eastAsia" w:ascii="宋体" w:hAnsi="宋体" w:eastAsia="宋体" w:cs="宋体"/>
          <w:b/>
          <w:bCs/>
          <w:sz w:val="24"/>
        </w:rPr>
        <w:t>一、项目基本情况</w:t>
      </w:r>
    </w:p>
    <w:p w14:paraId="74C7A80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eastAsia="zh-CN"/>
        </w:rPr>
        <w:t>项目名称：</w:t>
      </w:r>
      <w:r>
        <w:rPr>
          <w:rFonts w:hint="eastAsia" w:cs="宋体"/>
          <w:i w:val="0"/>
          <w:caps w:val="0"/>
          <w:color w:val="auto"/>
          <w:spacing w:val="0"/>
          <w:sz w:val="24"/>
          <w:szCs w:val="24"/>
          <w:highlight w:val="none"/>
          <w:lang w:val="en-US" w:eastAsia="zh-CN"/>
        </w:rPr>
        <w:t>电动汽车充电桩检定装置采购项目</w:t>
      </w:r>
    </w:p>
    <w:p w14:paraId="4D97C92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eastAsia="zh-CN"/>
        </w:rPr>
        <w:t>项目编号：</w:t>
      </w:r>
      <w:r>
        <w:rPr>
          <w:rFonts w:hint="eastAsia" w:cs="宋体"/>
          <w:i w:val="0"/>
          <w:caps w:val="0"/>
          <w:color w:val="auto"/>
          <w:spacing w:val="0"/>
          <w:sz w:val="24"/>
          <w:szCs w:val="24"/>
          <w:highlight w:val="none"/>
          <w:lang w:val="en-US" w:eastAsia="zh-CN"/>
        </w:rPr>
        <w:t>JYGCHM2025-ZC011</w:t>
      </w:r>
    </w:p>
    <w:p w14:paraId="2CAFE0B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i w:val="0"/>
          <w:caps w:val="0"/>
          <w:color w:val="auto"/>
          <w:spacing w:val="0"/>
          <w:sz w:val="24"/>
          <w:szCs w:val="24"/>
          <w:highlight w:val="none"/>
          <w:lang w:eastAsia="zh-CN"/>
        </w:rPr>
      </w:pPr>
      <w:r>
        <w:rPr>
          <w:rFonts w:hint="eastAsia" w:ascii="宋体" w:hAnsi="宋体" w:eastAsia="宋体" w:cs="宋体"/>
          <w:i w:val="0"/>
          <w:caps w:val="0"/>
          <w:color w:val="auto"/>
          <w:spacing w:val="0"/>
          <w:sz w:val="24"/>
          <w:szCs w:val="24"/>
          <w:highlight w:val="none"/>
          <w:lang w:eastAsia="zh-CN"/>
        </w:rPr>
        <w:t>采购方式：</w:t>
      </w:r>
      <w:r>
        <w:rPr>
          <w:rFonts w:hint="eastAsia" w:ascii="宋体" w:hAnsi="宋体" w:eastAsia="宋体" w:cs="宋体"/>
          <w:i w:val="0"/>
          <w:caps w:val="0"/>
          <w:color w:val="auto"/>
          <w:spacing w:val="0"/>
          <w:sz w:val="24"/>
          <w:szCs w:val="24"/>
          <w:highlight w:val="none"/>
          <w:lang w:val="en-US" w:eastAsia="zh-CN"/>
        </w:rPr>
        <w:t>公开</w:t>
      </w:r>
      <w:r>
        <w:rPr>
          <w:rFonts w:hint="eastAsia" w:ascii="宋体" w:hAnsi="宋体" w:eastAsia="宋体" w:cs="宋体"/>
          <w:i w:val="0"/>
          <w:caps w:val="0"/>
          <w:color w:val="auto"/>
          <w:spacing w:val="0"/>
          <w:sz w:val="24"/>
          <w:szCs w:val="24"/>
          <w:highlight w:val="none"/>
          <w:lang w:eastAsia="zh-CN"/>
        </w:rPr>
        <w:t>招标</w:t>
      </w:r>
    </w:p>
    <w:p w14:paraId="472134D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eastAsia="zh-CN"/>
        </w:rPr>
        <w:t>预算金额：</w:t>
      </w:r>
      <w:r>
        <w:rPr>
          <w:rFonts w:hint="eastAsia" w:cs="宋体"/>
          <w:i w:val="0"/>
          <w:caps w:val="0"/>
          <w:color w:val="auto"/>
          <w:spacing w:val="0"/>
          <w:sz w:val="24"/>
          <w:szCs w:val="24"/>
          <w:highlight w:val="none"/>
          <w:lang w:val="en-US" w:eastAsia="zh-CN"/>
        </w:rPr>
        <w:t>468000.00元</w:t>
      </w:r>
    </w:p>
    <w:p w14:paraId="72C8CBF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eastAsia="zh-CN"/>
        </w:rPr>
        <w:t>最高限价：</w:t>
      </w:r>
      <w:r>
        <w:rPr>
          <w:rFonts w:hint="eastAsia" w:cs="宋体"/>
          <w:i w:val="0"/>
          <w:caps w:val="0"/>
          <w:color w:val="auto"/>
          <w:spacing w:val="0"/>
          <w:sz w:val="24"/>
          <w:szCs w:val="24"/>
          <w:highlight w:val="none"/>
          <w:lang w:val="en-US" w:eastAsia="zh-CN"/>
        </w:rPr>
        <w:t>468000.00元</w:t>
      </w:r>
    </w:p>
    <w:p w14:paraId="72D1A3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i w:val="0"/>
          <w:caps w:val="0"/>
          <w:color w:val="auto"/>
          <w:spacing w:val="0"/>
          <w:sz w:val="24"/>
          <w:szCs w:val="24"/>
          <w:highlight w:val="none"/>
          <w:lang w:eastAsia="zh-CN"/>
        </w:rPr>
        <w:t>采购需求：</w:t>
      </w:r>
      <w:r>
        <w:rPr>
          <w:rFonts w:hint="eastAsia" w:cs="宋体"/>
          <w:i w:val="0"/>
          <w:caps w:val="0"/>
          <w:color w:val="auto"/>
          <w:spacing w:val="0"/>
          <w:sz w:val="24"/>
          <w:szCs w:val="24"/>
          <w:highlight w:val="none"/>
          <w:lang w:eastAsia="zh-CN"/>
        </w:rPr>
        <w:t>采购电动汽车充电桩检定装置（具体采购内容详见招标文件）</w:t>
      </w:r>
    </w:p>
    <w:p w14:paraId="50E8A5E2">
      <w:pPr>
        <w:pStyle w:val="42"/>
        <w:tabs>
          <w:tab w:val="left" w:pos="1424"/>
        </w:tabs>
        <w:spacing w:line="360" w:lineRule="auto"/>
        <w:ind w:left="0" w:leftChars="0" w:firstLine="480" w:firstLineChars="200"/>
        <w:jc w:val="left"/>
        <w:outlineLvl w:val="9"/>
        <w:rPr>
          <w:rFonts w:hint="eastAsia" w:ascii="宋体" w:hAnsi="宋体" w:eastAsia="宋体" w:cs="宋体"/>
          <w:b w:val="0"/>
          <w:bCs/>
          <w:i w:val="0"/>
          <w:caps w:val="0"/>
          <w:color w:val="auto"/>
          <w:spacing w:val="0"/>
          <w:kern w:val="0"/>
          <w:sz w:val="24"/>
          <w:szCs w:val="24"/>
          <w:highlight w:val="none"/>
          <w:lang w:val="en-US" w:eastAsia="zh-CN" w:bidi="ar-SA"/>
        </w:rPr>
      </w:pPr>
      <w:r>
        <w:rPr>
          <w:rFonts w:hint="eastAsia" w:ascii="宋体" w:hAnsi="宋体" w:eastAsia="宋体" w:cs="宋体"/>
          <w:b w:val="0"/>
          <w:bCs/>
          <w:i w:val="0"/>
          <w:caps w:val="0"/>
          <w:color w:val="auto"/>
          <w:spacing w:val="0"/>
          <w:kern w:val="0"/>
          <w:sz w:val="24"/>
          <w:szCs w:val="24"/>
          <w:highlight w:val="none"/>
          <w:lang w:val="en-US" w:eastAsia="zh-CN" w:bidi="ar-SA"/>
        </w:rPr>
        <w:t xml:space="preserve">合同履行期限（供货期限）：自合同签订后15个工作日内，须完成全部安装、调试与试运行工作，且同步取得国家级的检定证书，四项工作须同时达标完成，以确保项目完整交付。                                                                                                                          </w:t>
      </w:r>
    </w:p>
    <w:p w14:paraId="3A54802E">
      <w:pPr>
        <w:pStyle w:val="42"/>
        <w:tabs>
          <w:tab w:val="left" w:pos="1424"/>
        </w:tabs>
        <w:spacing w:line="360" w:lineRule="auto"/>
        <w:ind w:left="0" w:leftChars="0" w:firstLine="482" w:firstLineChars="200"/>
        <w:jc w:val="left"/>
        <w:outlineLvl w:val="9"/>
        <w:rPr>
          <w:rFonts w:hint="eastAsia" w:ascii="宋体" w:hAnsi="宋体" w:eastAsia="宋体" w:cs="宋体"/>
          <w:b/>
          <w:bCs/>
          <w:sz w:val="24"/>
        </w:rPr>
      </w:pPr>
      <w:r>
        <w:rPr>
          <w:rFonts w:hint="eastAsia" w:ascii="宋体" w:hAnsi="宋体" w:eastAsia="宋体" w:cs="宋体"/>
          <w:b/>
          <w:bCs/>
          <w:sz w:val="24"/>
        </w:rPr>
        <w:t>二、申请人的资格要求：</w:t>
      </w:r>
    </w:p>
    <w:p w14:paraId="1602BF35">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Style w:val="30"/>
          <w:rFonts w:hint="eastAsia" w:ascii="宋体" w:hAnsi="宋体" w:eastAsia="宋体" w:cs="宋体"/>
          <w:b w:val="0"/>
          <w:bCs/>
          <w:color w:val="auto"/>
          <w:sz w:val="24"/>
          <w:szCs w:val="24"/>
          <w:highlight w:val="none"/>
        </w:rPr>
      </w:pPr>
      <w:bookmarkStart w:id="16" w:name="_Toc30530"/>
      <w:r>
        <w:rPr>
          <w:rStyle w:val="30"/>
          <w:rFonts w:hint="eastAsia" w:ascii="宋体" w:hAnsi="宋体" w:eastAsia="宋体" w:cs="宋体"/>
          <w:b w:val="0"/>
          <w:bCs/>
          <w:color w:val="auto"/>
          <w:sz w:val="24"/>
          <w:szCs w:val="24"/>
          <w:highlight w:val="none"/>
        </w:rPr>
        <w:t>1.满足《中华人民共和国政府采购法》第二十二条规定：</w:t>
      </w:r>
      <w:bookmarkEnd w:id="16"/>
    </w:p>
    <w:p w14:paraId="1866F3D6">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Style w:val="30"/>
          <w:rFonts w:hint="eastAsia" w:ascii="宋体" w:hAnsi="宋体" w:eastAsia="宋体" w:cs="宋体"/>
          <w:b w:val="0"/>
          <w:bCs/>
          <w:color w:val="auto"/>
          <w:sz w:val="24"/>
          <w:szCs w:val="24"/>
          <w:highlight w:val="none"/>
        </w:rPr>
      </w:pPr>
      <w:bookmarkStart w:id="17" w:name="_Toc20138"/>
      <w:r>
        <w:rPr>
          <w:rStyle w:val="30"/>
          <w:rFonts w:hint="eastAsia" w:ascii="宋体" w:hAnsi="宋体" w:eastAsia="宋体" w:cs="宋体"/>
          <w:b w:val="0"/>
          <w:bCs/>
          <w:color w:val="auto"/>
          <w:sz w:val="24"/>
          <w:szCs w:val="24"/>
          <w:highlight w:val="none"/>
        </w:rPr>
        <w:t>2.落实政府采购政策需满足的资格要求：</w:t>
      </w:r>
      <w:r>
        <w:rPr>
          <w:rStyle w:val="30"/>
          <w:rFonts w:hint="eastAsia" w:cs="宋体"/>
          <w:b w:val="0"/>
          <w:bCs/>
          <w:color w:val="auto"/>
          <w:sz w:val="24"/>
          <w:szCs w:val="24"/>
          <w:highlight w:val="none"/>
          <w:lang w:val="en-US" w:eastAsia="zh-CN"/>
        </w:rPr>
        <w:t>本项目专门面向中小企业采购的项目</w:t>
      </w:r>
      <w:r>
        <w:rPr>
          <w:rStyle w:val="30"/>
          <w:rFonts w:hint="eastAsia" w:ascii="宋体" w:hAnsi="宋体" w:eastAsia="宋体" w:cs="宋体"/>
          <w:b w:val="0"/>
          <w:bCs/>
          <w:color w:val="auto"/>
          <w:sz w:val="24"/>
          <w:szCs w:val="24"/>
          <w:highlight w:val="none"/>
        </w:rPr>
        <w:t>；</w:t>
      </w:r>
      <w:bookmarkEnd w:id="17"/>
    </w:p>
    <w:p w14:paraId="109AE6C4">
      <w:pPr>
        <w:pStyle w:val="42"/>
        <w:tabs>
          <w:tab w:val="left" w:pos="1424"/>
        </w:tabs>
        <w:spacing w:line="360" w:lineRule="auto"/>
        <w:ind w:left="0" w:leftChars="0" w:firstLine="0" w:firstLineChars="0"/>
        <w:jc w:val="left"/>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三、获取采购文件</w:t>
      </w:r>
    </w:p>
    <w:p w14:paraId="0B51DF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时间：</w:t>
      </w:r>
      <w:r>
        <w:rPr>
          <w:rFonts w:hint="eastAsia" w:ascii="宋体" w:hAnsi="宋体" w:cs="宋体"/>
          <w:color w:val="auto"/>
          <w:sz w:val="24"/>
          <w:szCs w:val="24"/>
          <w:highlight w:val="none"/>
          <w:lang w:val="en-US" w:eastAsia="zh-CN"/>
        </w:rPr>
        <w:t>2025年07月03日至2025年07月10日</w:t>
      </w:r>
      <w:r>
        <w:rPr>
          <w:rFonts w:hint="eastAsia" w:ascii="宋体" w:hAnsi="宋体" w:eastAsia="宋体" w:cs="宋体"/>
          <w:sz w:val="24"/>
          <w:szCs w:val="24"/>
          <w:highlight w:val="none"/>
          <w:lang w:val="en-US" w:eastAsia="zh-CN"/>
        </w:rPr>
        <w:t>上午00:00-12:00，下午12:00-23:59（北京时间，法定节假日除外）。</w:t>
      </w:r>
    </w:p>
    <w:p w14:paraId="1EC77C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地点：新疆政府采购网（http://www.ccgp-xinjiang.gov.cn）政采云平台线上获取</w:t>
      </w:r>
    </w:p>
    <w:p w14:paraId="2E542A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方式：供应商登录政采云平台https://www.zcygov.cn/在线申请获取采购文件（进入“项目采购”应用，在获取采购文件菜单中选择项目，申请获取采购文件）</w:t>
      </w:r>
    </w:p>
    <w:p w14:paraId="3641BA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售价（元）：0</w:t>
      </w:r>
    </w:p>
    <w:p w14:paraId="76556437">
      <w:pPr>
        <w:pStyle w:val="42"/>
        <w:tabs>
          <w:tab w:val="left" w:pos="1424"/>
        </w:tabs>
        <w:spacing w:line="360" w:lineRule="auto"/>
        <w:ind w:left="0" w:leftChars="0" w:firstLine="0" w:firstLineChars="0"/>
        <w:jc w:val="left"/>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四、响应文件提交</w:t>
      </w:r>
    </w:p>
    <w:p w14:paraId="66434C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截止时间：2025年07月23日10时00分（北京时间）</w:t>
      </w:r>
    </w:p>
    <w:p w14:paraId="6ADBF5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地点：新疆政府采购网（http://www.ccgp-xinjiang.gov.cn）政采云平台）</w:t>
      </w:r>
    </w:p>
    <w:p w14:paraId="0FC235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（逾期未上传的或不符合规定的投标文件将被拒绝接收）</w:t>
      </w:r>
    </w:p>
    <w:p w14:paraId="1DC75C5E">
      <w:pPr>
        <w:pStyle w:val="42"/>
        <w:tabs>
          <w:tab w:val="left" w:pos="1424"/>
        </w:tabs>
        <w:spacing w:line="360" w:lineRule="auto"/>
        <w:ind w:left="0" w:leftChars="0" w:firstLine="0" w:firstLineChars="0"/>
        <w:jc w:val="left"/>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五、开启</w:t>
      </w:r>
    </w:p>
    <w:p w14:paraId="511217D6">
      <w:pPr>
        <w:pStyle w:val="41"/>
        <w:spacing w:line="360" w:lineRule="auto"/>
        <w:ind w:left="0" w:leftChars="0" w:right="-727" w:rightChars="-346" w:firstLine="482" w:firstLineChars="200"/>
        <w:outlineLvl w:val="9"/>
        <w:rPr>
          <w:rFonts w:hint="eastAsia" w:ascii="宋体" w:hAnsi="宋体" w:eastAsia="宋体" w:cs="宋体"/>
          <w:sz w:val="24"/>
        </w:rPr>
      </w:pPr>
      <w:r>
        <w:rPr>
          <w:rFonts w:hint="eastAsia" w:ascii="宋体" w:hAnsi="宋体" w:eastAsia="宋体" w:cs="宋体"/>
          <w:sz w:val="24"/>
        </w:rPr>
        <w:t>开标时间</w:t>
      </w:r>
      <w:r>
        <w:rPr>
          <w:rFonts w:hint="eastAsia" w:ascii="宋体" w:hAnsi="宋体" w:eastAsia="宋体" w:cs="宋体"/>
          <w:bCs/>
          <w:sz w:val="24"/>
        </w:rPr>
        <w:t>：</w:t>
      </w:r>
      <w:r>
        <w:rPr>
          <w:rFonts w:hint="eastAsia" w:ascii="宋体" w:hAnsi="宋体" w:eastAsia="宋体" w:cs="宋体"/>
          <w:bCs/>
          <w:sz w:val="24"/>
          <w:lang w:eastAsia="zh-CN"/>
        </w:rPr>
        <w:t>2025年07月23日10时00分</w:t>
      </w:r>
      <w:r>
        <w:rPr>
          <w:rFonts w:hint="eastAsia" w:ascii="宋体" w:hAnsi="宋体" w:eastAsia="宋体" w:cs="宋体"/>
          <w:bCs/>
          <w:sz w:val="24"/>
        </w:rPr>
        <w:t>（北京时间）</w:t>
      </w:r>
    </w:p>
    <w:p w14:paraId="347184BD">
      <w:pPr>
        <w:pStyle w:val="42"/>
        <w:keepNext w:val="0"/>
        <w:keepLines w:val="0"/>
        <w:pageBreakBefore w:val="0"/>
        <w:widowControl w:val="0"/>
        <w:tabs>
          <w:tab w:val="left" w:pos="1424"/>
        </w:tabs>
        <w:kinsoku w:val="0"/>
        <w:wordWrap w:val="0"/>
        <w:overflowPunct/>
        <w:topLinePunct w:val="0"/>
        <w:autoSpaceDE/>
        <w:autoSpaceDN/>
        <w:bidi w:val="0"/>
        <w:adjustRightInd/>
        <w:snapToGrid/>
        <w:spacing w:line="360" w:lineRule="auto"/>
        <w:ind w:left="0" w:leftChars="0" w:firstLine="482" w:firstLineChars="200"/>
        <w:jc w:val="left"/>
        <w:textAlignment w:val="auto"/>
        <w:outlineLvl w:val="9"/>
        <w:rPr>
          <w:rFonts w:hint="eastAsia" w:ascii="宋体" w:hAnsi="宋体" w:eastAsia="宋体" w:cs="宋体"/>
          <w:sz w:val="24"/>
        </w:rPr>
      </w:pPr>
      <w:r>
        <w:rPr>
          <w:rFonts w:hint="eastAsia" w:ascii="宋体" w:hAnsi="宋体" w:eastAsia="宋体" w:cs="宋体"/>
          <w:sz w:val="24"/>
        </w:rPr>
        <w:t>开标地点：政采云远程不见面开标大厅（本项目采用远程不见面交易的模式。开标当日，投标人无需到达开标现场，仅需在任意地点登录政采云平台</w:t>
      </w:r>
      <w:r>
        <w:rPr>
          <w:rFonts w:hint="eastAsia" w:ascii="宋体" w:hAnsi="宋体" w:eastAsia="宋体" w:cs="宋体"/>
          <w:sz w:val="24"/>
          <w:lang w:eastAsia="zh-CN"/>
        </w:rPr>
        <w:t>）</w:t>
      </w:r>
      <w:r>
        <w:rPr>
          <w:rFonts w:hint="eastAsia" w:ascii="宋体" w:hAnsi="宋体" w:eastAsia="宋体" w:cs="宋体"/>
          <w:sz w:val="24"/>
        </w:rPr>
        <w:t>（http://www.ccgp-xinjiang.gov.cn）不见面开标系统（进入“项目采购”应用，在开标评标菜单中选择进入开标大厅）</w:t>
      </w:r>
    </w:p>
    <w:p w14:paraId="5B04260D">
      <w:pPr>
        <w:pStyle w:val="42"/>
        <w:tabs>
          <w:tab w:val="left" w:pos="1424"/>
        </w:tabs>
        <w:spacing w:line="360" w:lineRule="auto"/>
        <w:ind w:left="0" w:leftChars="0" w:firstLine="0" w:firstLineChars="0"/>
        <w:jc w:val="left"/>
        <w:outlineLvl w:val="9"/>
        <w:rPr>
          <w:rFonts w:hint="eastAsia" w:ascii="宋体" w:hAnsi="宋体" w:eastAsia="宋体" w:cs="宋体"/>
          <w:b/>
          <w:bCs/>
          <w:sz w:val="24"/>
        </w:rPr>
      </w:pPr>
      <w:r>
        <w:rPr>
          <w:rFonts w:hint="eastAsia" w:ascii="宋体" w:hAnsi="宋体" w:eastAsia="宋体" w:cs="宋体"/>
          <w:b/>
          <w:bCs/>
          <w:sz w:val="24"/>
        </w:rPr>
        <w:t>六、公告期限</w:t>
      </w:r>
    </w:p>
    <w:p w14:paraId="04B42BD8">
      <w:pPr>
        <w:pStyle w:val="49"/>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w:t>
      </w:r>
    </w:p>
    <w:p w14:paraId="50CE3384">
      <w:pPr>
        <w:pStyle w:val="49"/>
        <w:spacing w:line="360" w:lineRule="auto"/>
        <w:outlineLvl w:val="9"/>
        <w:rPr>
          <w:rFonts w:hint="eastAsia" w:ascii="宋体" w:hAnsi="宋体" w:eastAsia="宋体" w:cs="宋体"/>
          <w:b/>
          <w:bCs/>
          <w:sz w:val="24"/>
          <w:szCs w:val="24"/>
        </w:rPr>
      </w:pPr>
      <w:r>
        <w:rPr>
          <w:rFonts w:hint="eastAsia" w:ascii="宋体" w:hAnsi="宋体" w:eastAsia="宋体" w:cs="宋体"/>
          <w:b/>
          <w:bCs/>
          <w:sz w:val="24"/>
          <w:szCs w:val="24"/>
        </w:rPr>
        <w:t>七、其他补充事宜</w:t>
      </w:r>
    </w:p>
    <w:p w14:paraId="44110208">
      <w:pPr>
        <w:pStyle w:val="6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rPr>
          <w:rStyle w:val="30"/>
          <w:rFonts w:hint="eastAsia" w:ascii="宋体" w:hAnsi="宋体" w:eastAsia="宋体" w:cs="宋体"/>
          <w:b w:val="0"/>
          <w:bCs w:val="0"/>
          <w:i w:val="0"/>
          <w:color w:val="auto"/>
          <w:spacing w:val="0"/>
          <w:w w:val="100"/>
          <w:kern w:val="2"/>
          <w:sz w:val="24"/>
          <w:szCs w:val="24"/>
          <w:highlight w:val="none"/>
          <w:lang w:val="en-US" w:eastAsia="zh-CN" w:bidi="ar-SA"/>
        </w:rPr>
      </w:pPr>
      <w:r>
        <w:rPr>
          <w:rStyle w:val="30"/>
          <w:rFonts w:hint="eastAsia" w:ascii="宋体" w:hAnsi="宋体" w:eastAsia="宋体" w:cs="宋体"/>
          <w:b w:val="0"/>
          <w:bCs w:val="0"/>
          <w:i w:val="0"/>
          <w:color w:val="auto"/>
          <w:spacing w:val="0"/>
          <w:w w:val="100"/>
          <w:kern w:val="2"/>
          <w:sz w:val="24"/>
          <w:szCs w:val="24"/>
          <w:highlight w:val="none"/>
          <w:lang w:val="en-US" w:eastAsia="zh-CN" w:bidi="ar-SA"/>
        </w:rPr>
        <w:t>1、本公告在新疆政府采购网发布。</w:t>
      </w:r>
    </w:p>
    <w:p w14:paraId="0A438C94">
      <w:pPr>
        <w:pStyle w:val="6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rPr>
          <w:rStyle w:val="30"/>
          <w:rFonts w:hint="eastAsia" w:ascii="宋体" w:hAnsi="宋体" w:eastAsia="宋体" w:cs="宋体"/>
          <w:b w:val="0"/>
          <w:bCs w:val="0"/>
          <w:i w:val="0"/>
          <w:color w:val="auto"/>
          <w:spacing w:val="0"/>
          <w:w w:val="100"/>
          <w:kern w:val="2"/>
          <w:sz w:val="24"/>
          <w:szCs w:val="24"/>
          <w:highlight w:val="none"/>
          <w:lang w:val="en-US" w:eastAsia="zh-CN" w:bidi="ar-SA"/>
        </w:rPr>
      </w:pPr>
      <w:r>
        <w:rPr>
          <w:rStyle w:val="30"/>
          <w:rFonts w:hint="eastAsia" w:ascii="宋体" w:hAnsi="宋体" w:eastAsia="宋体" w:cs="宋体"/>
          <w:b w:val="0"/>
          <w:bCs w:val="0"/>
          <w:i w:val="0"/>
          <w:color w:val="auto"/>
          <w:spacing w:val="0"/>
          <w:w w:val="100"/>
          <w:kern w:val="2"/>
          <w:sz w:val="24"/>
          <w:szCs w:val="24"/>
          <w:highlight w:val="none"/>
          <w:lang w:val="en-US" w:eastAsia="zh-CN" w:bidi="ar-SA"/>
        </w:rPr>
        <w:t>2、请投标单位随时关注本项目的澄清、答疑、变更事项。</w:t>
      </w:r>
    </w:p>
    <w:p w14:paraId="25DE187C">
      <w:pPr>
        <w:pStyle w:val="6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rPr>
          <w:rStyle w:val="30"/>
          <w:rFonts w:hint="eastAsia" w:ascii="宋体" w:hAnsi="宋体" w:eastAsia="宋体" w:cs="宋体"/>
          <w:b w:val="0"/>
          <w:bCs w:val="0"/>
          <w:i w:val="0"/>
          <w:color w:val="auto"/>
          <w:spacing w:val="0"/>
          <w:w w:val="100"/>
          <w:kern w:val="2"/>
          <w:sz w:val="24"/>
          <w:szCs w:val="24"/>
          <w:highlight w:val="none"/>
          <w:lang w:val="en-US" w:eastAsia="zh-CN" w:bidi="ar-SA"/>
        </w:rPr>
      </w:pPr>
      <w:r>
        <w:rPr>
          <w:rStyle w:val="30"/>
          <w:rFonts w:hint="eastAsia" w:ascii="宋体" w:hAnsi="宋体" w:eastAsia="宋体" w:cs="宋体"/>
          <w:b w:val="0"/>
          <w:bCs w:val="0"/>
          <w:i w:val="0"/>
          <w:color w:val="auto"/>
          <w:spacing w:val="0"/>
          <w:w w:val="100"/>
          <w:kern w:val="2"/>
          <w:sz w:val="24"/>
          <w:szCs w:val="24"/>
          <w:highlight w:val="none"/>
          <w:lang w:val="en-US" w:eastAsia="zh-CN" w:bidi="ar-SA"/>
        </w:rPr>
        <w:t>3、本项目实行电子招投标，供应商须登录政采云平台申请获取招标文件，并通过政采云电子投标客户端制作响应文件，同时自行承担与投标有关的一切费用。</w:t>
      </w:r>
    </w:p>
    <w:p w14:paraId="02072798">
      <w:pPr>
        <w:pStyle w:val="6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rPr>
          <w:rStyle w:val="30"/>
          <w:rFonts w:hint="eastAsia" w:ascii="宋体" w:hAnsi="宋体" w:eastAsia="宋体" w:cs="宋体"/>
          <w:b w:val="0"/>
          <w:bCs w:val="0"/>
          <w:i w:val="0"/>
          <w:color w:val="auto"/>
          <w:spacing w:val="0"/>
          <w:w w:val="100"/>
          <w:kern w:val="2"/>
          <w:sz w:val="24"/>
          <w:szCs w:val="24"/>
          <w:highlight w:val="none"/>
          <w:lang w:val="en-US" w:eastAsia="zh-CN" w:bidi="ar-SA"/>
        </w:rPr>
      </w:pPr>
      <w:r>
        <w:rPr>
          <w:rStyle w:val="30"/>
          <w:rFonts w:hint="eastAsia" w:ascii="宋体" w:hAnsi="宋体" w:eastAsia="宋体" w:cs="宋体"/>
          <w:b w:val="0"/>
          <w:bCs w:val="0"/>
          <w:i w:val="0"/>
          <w:color w:val="auto"/>
          <w:spacing w:val="0"/>
          <w:w w:val="100"/>
          <w:kern w:val="2"/>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07FB93E3">
      <w:pPr>
        <w:pStyle w:val="6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rPr>
          <w:rStyle w:val="30"/>
          <w:rFonts w:hint="eastAsia" w:ascii="宋体" w:hAnsi="宋体" w:eastAsia="宋体" w:cs="宋体"/>
          <w:b w:val="0"/>
          <w:bCs w:val="0"/>
          <w:i w:val="0"/>
          <w:color w:val="auto"/>
          <w:spacing w:val="0"/>
          <w:w w:val="100"/>
          <w:kern w:val="2"/>
          <w:sz w:val="24"/>
          <w:szCs w:val="24"/>
          <w:highlight w:val="none"/>
          <w:lang w:val="en-US" w:eastAsia="zh-CN" w:bidi="ar-SA"/>
        </w:rPr>
      </w:pPr>
      <w:r>
        <w:rPr>
          <w:rStyle w:val="30"/>
          <w:rFonts w:hint="eastAsia" w:ascii="宋体" w:hAnsi="宋体" w:eastAsia="宋体" w:cs="宋体"/>
          <w:b w:val="0"/>
          <w:bCs w:val="0"/>
          <w:i w:val="0"/>
          <w:color w:val="auto"/>
          <w:spacing w:val="0"/>
          <w:w w:val="100"/>
          <w:kern w:val="2"/>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21FD3F7A">
      <w:pPr>
        <w:pStyle w:val="6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rPr>
          <w:rStyle w:val="30"/>
          <w:rFonts w:hint="eastAsia" w:ascii="宋体" w:hAnsi="宋体" w:eastAsia="宋体" w:cs="宋体"/>
          <w:b w:val="0"/>
          <w:bCs w:val="0"/>
          <w:i w:val="0"/>
          <w:color w:val="auto"/>
          <w:spacing w:val="0"/>
          <w:w w:val="100"/>
          <w:kern w:val="2"/>
          <w:sz w:val="24"/>
          <w:szCs w:val="24"/>
          <w:highlight w:val="none"/>
          <w:lang w:val="en-US" w:eastAsia="zh-CN" w:bidi="ar-SA"/>
        </w:rPr>
      </w:pPr>
      <w:r>
        <w:rPr>
          <w:rStyle w:val="30"/>
          <w:rFonts w:hint="eastAsia" w:ascii="宋体" w:hAnsi="宋体" w:eastAsia="宋体" w:cs="宋体"/>
          <w:b w:val="0"/>
          <w:bCs w:val="0"/>
          <w:i w:val="0"/>
          <w:color w:val="auto"/>
          <w:spacing w:val="0"/>
          <w:w w:val="100"/>
          <w:kern w:val="2"/>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3D77801C">
      <w:pPr>
        <w:pStyle w:val="6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rPr>
          <w:rStyle w:val="30"/>
          <w:rFonts w:hint="eastAsia" w:ascii="宋体" w:hAnsi="宋体" w:eastAsia="宋体" w:cs="宋体"/>
          <w:b w:val="0"/>
          <w:bCs w:val="0"/>
          <w:i w:val="0"/>
          <w:color w:val="auto"/>
          <w:spacing w:val="0"/>
          <w:w w:val="100"/>
          <w:kern w:val="2"/>
          <w:sz w:val="24"/>
          <w:szCs w:val="24"/>
          <w:highlight w:val="none"/>
          <w:lang w:val="en-US" w:eastAsia="zh-CN" w:bidi="ar-SA"/>
        </w:rPr>
      </w:pPr>
      <w:r>
        <w:rPr>
          <w:rStyle w:val="30"/>
          <w:rFonts w:hint="eastAsia" w:ascii="宋体" w:hAnsi="宋体" w:eastAsia="宋体" w:cs="宋体"/>
          <w:b w:val="0"/>
          <w:bCs w:val="0"/>
          <w:i w:val="0"/>
          <w:color w:val="auto"/>
          <w:spacing w:val="0"/>
          <w:w w:val="100"/>
          <w:kern w:val="2"/>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3100B49">
      <w:pPr>
        <w:pStyle w:val="6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480" w:firstLineChars="200"/>
        <w:jc w:val="both"/>
        <w:rPr>
          <w:rStyle w:val="30"/>
          <w:rFonts w:hint="eastAsia" w:ascii="宋体" w:hAnsi="宋体" w:eastAsia="宋体" w:cs="宋体"/>
          <w:b/>
          <w:bCs/>
          <w:i w:val="0"/>
          <w:color w:val="auto"/>
          <w:spacing w:val="0"/>
          <w:w w:val="100"/>
          <w:kern w:val="2"/>
          <w:sz w:val="24"/>
          <w:szCs w:val="24"/>
          <w:highlight w:val="none"/>
          <w:lang w:val="en-US" w:eastAsia="zh-CN" w:bidi="ar-SA"/>
        </w:rPr>
      </w:pPr>
      <w:r>
        <w:rPr>
          <w:rStyle w:val="30"/>
          <w:rFonts w:hint="eastAsia" w:ascii="宋体" w:hAnsi="宋体" w:eastAsia="宋体" w:cs="宋体"/>
          <w:b w:val="0"/>
          <w:bCs w:val="0"/>
          <w:i w:val="0"/>
          <w:color w:val="auto"/>
          <w:spacing w:val="0"/>
          <w:w w:val="100"/>
          <w:kern w:val="2"/>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30"/>
          <w:rFonts w:hint="eastAsia" w:ascii="宋体" w:hAnsi="宋体" w:eastAsia="宋体" w:cs="宋体"/>
          <w:b/>
          <w:bCs/>
          <w:i w:val="0"/>
          <w:color w:val="auto"/>
          <w:spacing w:val="0"/>
          <w:w w:val="100"/>
          <w:kern w:val="2"/>
          <w:sz w:val="24"/>
          <w:szCs w:val="24"/>
          <w:highlight w:val="none"/>
          <w:lang w:val="en-US" w:eastAsia="zh-CN" w:bidi="ar-SA"/>
        </w:rPr>
        <w:t> </w:t>
      </w:r>
    </w:p>
    <w:p w14:paraId="53D1B6E8">
      <w:pPr>
        <w:pStyle w:val="49"/>
        <w:spacing w:line="360" w:lineRule="auto"/>
        <w:outlineLvl w:val="9"/>
        <w:rPr>
          <w:rFonts w:hint="eastAsia" w:ascii="宋体" w:hAnsi="宋体" w:eastAsia="宋体" w:cs="宋体"/>
          <w:b/>
          <w:bCs/>
          <w:sz w:val="24"/>
          <w:szCs w:val="24"/>
        </w:rPr>
      </w:pPr>
      <w:r>
        <w:rPr>
          <w:rFonts w:hint="eastAsia" w:ascii="宋体" w:hAnsi="宋体" w:eastAsia="宋体" w:cs="宋体"/>
          <w:b/>
          <w:bCs/>
          <w:sz w:val="24"/>
          <w:szCs w:val="24"/>
        </w:rPr>
        <w:t>八、对本次招标提出询问，请按以下方式联系。</w:t>
      </w:r>
    </w:p>
    <w:p w14:paraId="6E267BE4">
      <w:pPr>
        <w:pStyle w:val="49"/>
        <w:widowControl/>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1.采购人信息</w:t>
      </w:r>
    </w:p>
    <w:p w14:paraId="6897256E">
      <w:pPr>
        <w:pStyle w:val="49"/>
        <w:widowControl/>
        <w:spacing w:line="360" w:lineRule="auto"/>
        <w:ind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w:t>
      </w:r>
      <w:r>
        <w:rPr>
          <w:rFonts w:hint="eastAsia" w:ascii="宋体" w:hAnsi="宋体" w:cs="宋体"/>
          <w:sz w:val="24"/>
          <w:szCs w:val="24"/>
          <w:lang w:val="en-US" w:eastAsia="zh-CN"/>
        </w:rPr>
        <w:t xml:space="preserve">哈密市检验检测中心（哈密市质量与计量检测所）  </w:t>
      </w:r>
      <w:r>
        <w:rPr>
          <w:rFonts w:hint="eastAsia" w:ascii="宋体" w:hAnsi="宋体" w:eastAsia="宋体" w:cs="宋体"/>
          <w:sz w:val="24"/>
          <w:szCs w:val="24"/>
          <w:lang w:val="en-US" w:eastAsia="zh-CN"/>
        </w:rPr>
        <w:t xml:space="preserve">              </w:t>
      </w:r>
    </w:p>
    <w:p w14:paraId="2356FEEF">
      <w:pPr>
        <w:pStyle w:val="49"/>
        <w:widowControl/>
        <w:spacing w:line="360" w:lineRule="auto"/>
        <w:ind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r>
        <w:rPr>
          <w:rFonts w:hint="eastAsia" w:ascii="宋体" w:hAnsi="宋体" w:cs="宋体"/>
          <w:sz w:val="24"/>
          <w:szCs w:val="24"/>
          <w:lang w:val="en-US" w:eastAsia="zh-CN"/>
        </w:rPr>
        <w:t>综合科</w:t>
      </w:r>
    </w:p>
    <w:p w14:paraId="7E7093F1">
      <w:pPr>
        <w:pStyle w:val="49"/>
        <w:widowControl/>
        <w:spacing w:line="360" w:lineRule="auto"/>
        <w:ind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r>
        <w:rPr>
          <w:rFonts w:hint="eastAsia" w:ascii="宋体" w:hAnsi="宋体" w:cs="宋体"/>
          <w:sz w:val="24"/>
          <w:szCs w:val="24"/>
          <w:lang w:val="en-US" w:eastAsia="zh-CN"/>
        </w:rPr>
        <w:t>0902-2257813</w:t>
      </w:r>
      <w:r>
        <w:rPr>
          <w:rFonts w:hint="eastAsia" w:ascii="宋体" w:hAnsi="宋体" w:eastAsia="宋体" w:cs="宋体"/>
          <w:sz w:val="24"/>
          <w:szCs w:val="24"/>
          <w:lang w:val="en-US" w:eastAsia="zh-CN"/>
        </w:rPr>
        <w:t xml:space="preserve">      </w:t>
      </w:r>
    </w:p>
    <w:p w14:paraId="149C075A">
      <w:pPr>
        <w:pStyle w:val="49"/>
        <w:widowControl/>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2.采购代理机构信息</w:t>
      </w:r>
    </w:p>
    <w:p w14:paraId="4E02EA21">
      <w:pPr>
        <w:pStyle w:val="49"/>
        <w:widowControl/>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名 称：新疆</w:t>
      </w:r>
      <w:r>
        <w:rPr>
          <w:rFonts w:hint="eastAsia" w:ascii="宋体" w:hAnsi="宋体" w:eastAsia="宋体" w:cs="宋体"/>
          <w:sz w:val="24"/>
          <w:szCs w:val="24"/>
          <w:lang w:val="en-US" w:eastAsia="zh-CN"/>
        </w:rPr>
        <w:t>聚友共创项目管理有限公司</w:t>
      </w:r>
      <w:r>
        <w:rPr>
          <w:rFonts w:hint="eastAsia" w:ascii="宋体" w:hAnsi="宋体" w:eastAsia="宋体" w:cs="宋体"/>
          <w:sz w:val="24"/>
          <w:szCs w:val="24"/>
        </w:rPr>
        <w:t xml:space="preserve">             </w:t>
      </w:r>
    </w:p>
    <w:p w14:paraId="037E459D">
      <w:pPr>
        <w:pStyle w:val="49"/>
        <w:widowControl/>
        <w:spacing w:line="360" w:lineRule="auto"/>
        <w:ind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cs="宋体"/>
          <w:sz w:val="24"/>
          <w:szCs w:val="24"/>
          <w:lang w:val="en-US" w:eastAsia="zh-CN"/>
        </w:rPr>
        <w:t>新疆哈密市伊州区八一路西侧建设西路西延北侧鑫嘉瑞高层综合楼七楼701B-1</w:t>
      </w:r>
    </w:p>
    <w:p w14:paraId="17EBE5A2">
      <w:pPr>
        <w:pStyle w:val="49"/>
        <w:widowControl/>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 xml:space="preserve">3、项目联系方式：        </w:t>
      </w:r>
    </w:p>
    <w:p w14:paraId="41D72B26">
      <w:pPr>
        <w:pStyle w:val="49"/>
        <w:widowControl/>
        <w:spacing w:line="360" w:lineRule="auto"/>
        <w:ind w:firstLine="480" w:firstLineChars="200"/>
        <w:jc w:val="left"/>
        <w:outlineLvl w:val="9"/>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袁雪娇</w:t>
      </w:r>
    </w:p>
    <w:p w14:paraId="74E414D4">
      <w:pPr>
        <w:pStyle w:val="49"/>
        <w:widowControl/>
        <w:spacing w:line="360" w:lineRule="auto"/>
        <w:ind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18119007791</w:t>
      </w:r>
    </w:p>
    <w:p w14:paraId="6A66B54A">
      <w:pPr>
        <w:rPr>
          <w:rFonts w:hint="eastAsia" w:ascii="宋体" w:hAnsi="宋体" w:eastAsia="宋体" w:cs="宋体"/>
          <w:color w:val="auto"/>
          <w:sz w:val="30"/>
          <w:szCs w:val="30"/>
          <w:highlight w:val="none"/>
        </w:rPr>
      </w:pPr>
      <w:bookmarkStart w:id="18" w:name="_Toc14320"/>
      <w:r>
        <w:rPr>
          <w:rFonts w:hint="eastAsia" w:ascii="宋体" w:hAnsi="宋体" w:eastAsia="宋体" w:cs="宋体"/>
          <w:color w:val="auto"/>
          <w:sz w:val="30"/>
          <w:szCs w:val="30"/>
          <w:highlight w:val="none"/>
        </w:rPr>
        <w:br w:type="page"/>
      </w:r>
    </w:p>
    <w:p w14:paraId="4470CBC6">
      <w:pPr>
        <w:pStyle w:val="2"/>
        <w:spacing w:line="360" w:lineRule="exact"/>
        <w:jc w:val="center"/>
        <w:rPr>
          <w:rFonts w:hint="eastAsia" w:ascii="宋体" w:hAnsi="宋体" w:eastAsia="宋体" w:cs="宋体"/>
          <w:color w:val="auto"/>
          <w:sz w:val="30"/>
          <w:szCs w:val="30"/>
          <w:highlight w:val="none"/>
        </w:rPr>
      </w:pPr>
      <w:bookmarkStart w:id="19" w:name="_Toc15528"/>
      <w:bookmarkStart w:id="20" w:name="_Toc13642"/>
      <w:bookmarkStart w:id="21" w:name="_Toc16218"/>
      <w:r>
        <w:rPr>
          <w:rFonts w:hint="eastAsia" w:ascii="宋体" w:hAnsi="宋体" w:eastAsia="宋体" w:cs="宋体"/>
          <w:color w:val="auto"/>
          <w:sz w:val="30"/>
          <w:szCs w:val="30"/>
          <w:highlight w:val="none"/>
        </w:rPr>
        <w:t>第二章  供应商须知</w:t>
      </w:r>
      <w:bookmarkEnd w:id="0"/>
      <w:bookmarkEnd w:id="1"/>
      <w:bookmarkEnd w:id="2"/>
      <w:bookmarkEnd w:id="3"/>
      <w:bookmarkEnd w:id="4"/>
      <w:bookmarkEnd w:id="5"/>
      <w:bookmarkEnd w:id="6"/>
      <w:bookmarkEnd w:id="18"/>
      <w:bookmarkEnd w:id="19"/>
      <w:bookmarkEnd w:id="20"/>
      <w:bookmarkEnd w:id="21"/>
    </w:p>
    <w:p w14:paraId="3698A075">
      <w:pPr>
        <w:pStyle w:val="3"/>
        <w:spacing w:line="240" w:lineRule="atLeast"/>
        <w:jc w:val="center"/>
        <w:rPr>
          <w:rFonts w:hint="eastAsia" w:ascii="宋体" w:hAnsi="宋体" w:eastAsia="宋体" w:cs="宋体"/>
          <w:color w:val="auto"/>
          <w:sz w:val="24"/>
          <w:szCs w:val="24"/>
          <w:highlight w:val="none"/>
        </w:rPr>
      </w:pPr>
      <w:bookmarkStart w:id="22" w:name="_Toc217446032"/>
      <w:bookmarkStart w:id="23" w:name="_Toc16523"/>
      <w:bookmarkStart w:id="24" w:name="_Toc213397010"/>
      <w:bookmarkStart w:id="25" w:name="_Toc213496268"/>
      <w:bookmarkStart w:id="26" w:name="_Toc189727030"/>
      <w:bookmarkStart w:id="27" w:name="_Toc213396946"/>
      <w:bookmarkStart w:id="28" w:name="_Toc4512"/>
      <w:bookmarkStart w:id="29" w:name="_Toc213396760"/>
      <w:r>
        <w:rPr>
          <w:rFonts w:hint="eastAsia" w:ascii="宋体" w:hAnsi="宋体" w:eastAsia="宋体" w:cs="宋体"/>
          <w:color w:val="auto"/>
          <w:sz w:val="24"/>
          <w:szCs w:val="24"/>
          <w:highlight w:val="none"/>
        </w:rPr>
        <w:t>一、供应商须知前附表</w:t>
      </w:r>
      <w:bookmarkEnd w:id="22"/>
      <w:bookmarkEnd w:id="23"/>
      <w:bookmarkEnd w:id="24"/>
      <w:bookmarkEnd w:id="25"/>
      <w:bookmarkEnd w:id="26"/>
      <w:bookmarkEnd w:id="27"/>
      <w:bookmarkEnd w:id="28"/>
      <w:bookmarkEnd w:id="29"/>
    </w:p>
    <w:tbl>
      <w:tblPr>
        <w:tblStyle w:val="27"/>
        <w:tblW w:w="107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2904"/>
        <w:gridCol w:w="7261"/>
      </w:tblGrid>
      <w:tr w14:paraId="7D3C48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5" w:type="dxa"/>
            <w:tcBorders>
              <w:tl2br w:val="nil"/>
              <w:tr2bl w:val="nil"/>
            </w:tcBorders>
            <w:noWrap w:val="0"/>
            <w:vAlign w:val="center"/>
          </w:tcPr>
          <w:p w14:paraId="26EF66FF">
            <w:pPr>
              <w:spacing w:line="24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2904" w:type="dxa"/>
            <w:tcBorders>
              <w:tl2br w:val="nil"/>
              <w:tr2bl w:val="nil"/>
            </w:tcBorders>
            <w:noWrap w:val="0"/>
            <w:vAlign w:val="center"/>
          </w:tcPr>
          <w:p w14:paraId="5A660A66">
            <w:pPr>
              <w:spacing w:line="24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名 称</w:t>
            </w:r>
          </w:p>
        </w:tc>
        <w:tc>
          <w:tcPr>
            <w:tcW w:w="7261" w:type="dxa"/>
            <w:tcBorders>
              <w:tl2br w:val="nil"/>
              <w:tr2bl w:val="nil"/>
            </w:tcBorders>
            <w:noWrap w:val="0"/>
            <w:vAlign w:val="center"/>
          </w:tcPr>
          <w:p w14:paraId="0B4693E4">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14:paraId="5B1CDC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565" w:type="dxa"/>
            <w:tcBorders>
              <w:tl2br w:val="nil"/>
              <w:tr2bl w:val="nil"/>
            </w:tcBorders>
            <w:noWrap w:val="0"/>
            <w:vAlign w:val="center"/>
          </w:tcPr>
          <w:p w14:paraId="2CB89191">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p>
        </w:tc>
        <w:tc>
          <w:tcPr>
            <w:tcW w:w="2904" w:type="dxa"/>
            <w:tcBorders>
              <w:tl2br w:val="nil"/>
              <w:tr2bl w:val="nil"/>
            </w:tcBorders>
            <w:noWrap w:val="0"/>
            <w:vAlign w:val="center"/>
          </w:tcPr>
          <w:p w14:paraId="01F02BC2">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采购人</w:t>
            </w:r>
          </w:p>
        </w:tc>
        <w:tc>
          <w:tcPr>
            <w:tcW w:w="7261" w:type="dxa"/>
            <w:tcBorders>
              <w:tl2br w:val="nil"/>
              <w:tr2bl w:val="nil"/>
            </w:tcBorders>
            <w:noWrap w:val="0"/>
            <w:vAlign w:val="center"/>
          </w:tcPr>
          <w:p w14:paraId="5EE120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  称：</w:t>
            </w:r>
            <w:r>
              <w:rPr>
                <w:rFonts w:hint="eastAsia" w:ascii="宋体" w:hAnsi="宋体" w:cs="宋体"/>
                <w:sz w:val="24"/>
                <w:szCs w:val="24"/>
                <w:lang w:val="en-US" w:eastAsia="zh-CN"/>
              </w:rPr>
              <w:t xml:space="preserve">哈密市检验检测中心（哈密市质量与计量检测所）  </w:t>
            </w:r>
          </w:p>
          <w:p w14:paraId="2C91050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  址：哈密市伊州区</w:t>
            </w:r>
          </w:p>
          <w:p w14:paraId="3703CE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w:t>
            </w:r>
            <w:r>
              <w:rPr>
                <w:rFonts w:hint="eastAsia" w:ascii="宋体" w:hAnsi="宋体" w:cs="宋体"/>
                <w:sz w:val="24"/>
                <w:szCs w:val="24"/>
                <w:highlight w:val="none"/>
                <w:lang w:val="en-US" w:eastAsia="zh-CN"/>
              </w:rPr>
              <w:t>综合科</w:t>
            </w:r>
          </w:p>
          <w:p w14:paraId="0FF68BF4">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电  话：</w:t>
            </w:r>
            <w:r>
              <w:rPr>
                <w:rFonts w:hint="eastAsia" w:ascii="宋体" w:hAnsi="宋体" w:cs="宋体"/>
                <w:sz w:val="24"/>
                <w:szCs w:val="24"/>
                <w:highlight w:val="none"/>
                <w:lang w:val="en-US" w:eastAsia="zh-CN"/>
              </w:rPr>
              <w:t>0902-2257813</w:t>
            </w:r>
          </w:p>
        </w:tc>
      </w:tr>
      <w:tr w14:paraId="5BB705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7D7059DA">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w:t>
            </w:r>
          </w:p>
        </w:tc>
        <w:tc>
          <w:tcPr>
            <w:tcW w:w="2904" w:type="dxa"/>
            <w:tcBorders>
              <w:tl2br w:val="nil"/>
              <w:tr2bl w:val="nil"/>
            </w:tcBorders>
            <w:noWrap w:val="0"/>
            <w:vAlign w:val="center"/>
          </w:tcPr>
          <w:p w14:paraId="413724AE">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采购代理机构</w:t>
            </w:r>
          </w:p>
        </w:tc>
        <w:tc>
          <w:tcPr>
            <w:tcW w:w="7261" w:type="dxa"/>
            <w:tcBorders>
              <w:tl2br w:val="nil"/>
              <w:tr2bl w:val="nil"/>
            </w:tcBorders>
            <w:noWrap w:val="0"/>
            <w:vAlign w:val="center"/>
          </w:tcPr>
          <w:p w14:paraId="616675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  称：新疆聚友共创项目管理有限公司</w:t>
            </w:r>
          </w:p>
          <w:p w14:paraId="234A08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  址：</w:t>
            </w:r>
            <w:r>
              <w:rPr>
                <w:rFonts w:hint="eastAsia" w:ascii="宋体" w:hAnsi="宋体" w:cs="宋体"/>
                <w:sz w:val="24"/>
                <w:szCs w:val="24"/>
                <w:highlight w:val="none"/>
                <w:lang w:val="en-US" w:eastAsia="zh-CN"/>
              </w:rPr>
              <w:t>新疆哈密市伊州区八一路西侧建设西路西延北侧鑫嘉瑞高层综合楼七楼701B-1</w:t>
            </w:r>
          </w:p>
          <w:p w14:paraId="7B7338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联系人：袁雪娇</w:t>
            </w:r>
          </w:p>
          <w:p w14:paraId="196E8837">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电  话：18119007791</w:t>
            </w:r>
          </w:p>
        </w:tc>
      </w:tr>
      <w:tr w14:paraId="40E57C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65" w:type="dxa"/>
            <w:tcBorders>
              <w:tl2br w:val="nil"/>
              <w:tr2bl w:val="nil"/>
            </w:tcBorders>
            <w:noWrap w:val="0"/>
            <w:vAlign w:val="center"/>
          </w:tcPr>
          <w:p w14:paraId="5C453124">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w:t>
            </w:r>
          </w:p>
        </w:tc>
        <w:tc>
          <w:tcPr>
            <w:tcW w:w="2904" w:type="dxa"/>
            <w:tcBorders>
              <w:tl2br w:val="nil"/>
              <w:tr2bl w:val="nil"/>
            </w:tcBorders>
            <w:noWrap w:val="0"/>
            <w:vAlign w:val="center"/>
          </w:tcPr>
          <w:p w14:paraId="4DDAAE2C">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项目名称</w:t>
            </w:r>
          </w:p>
        </w:tc>
        <w:tc>
          <w:tcPr>
            <w:tcW w:w="7261" w:type="dxa"/>
            <w:tcBorders>
              <w:tl2br w:val="nil"/>
              <w:tr2bl w:val="nil"/>
            </w:tcBorders>
            <w:noWrap w:val="0"/>
            <w:vAlign w:val="center"/>
          </w:tcPr>
          <w:p w14:paraId="0B4BA017">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电动汽车充电桩检定装置采购项目</w:t>
            </w:r>
          </w:p>
        </w:tc>
      </w:tr>
      <w:tr w14:paraId="6583F5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2E417342">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4</w:t>
            </w:r>
          </w:p>
        </w:tc>
        <w:tc>
          <w:tcPr>
            <w:tcW w:w="2904" w:type="dxa"/>
            <w:tcBorders>
              <w:tl2br w:val="nil"/>
              <w:tr2bl w:val="nil"/>
            </w:tcBorders>
            <w:noWrap w:val="0"/>
            <w:vAlign w:val="center"/>
          </w:tcPr>
          <w:p w14:paraId="796D1E52">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项目地点</w:t>
            </w:r>
          </w:p>
        </w:tc>
        <w:tc>
          <w:tcPr>
            <w:tcW w:w="7261" w:type="dxa"/>
            <w:tcBorders>
              <w:tl2br w:val="nil"/>
              <w:tr2bl w:val="nil"/>
            </w:tcBorders>
            <w:noWrap w:val="0"/>
            <w:vAlign w:val="center"/>
          </w:tcPr>
          <w:p w14:paraId="20331D65">
            <w:pPr>
              <w:spacing w:line="360" w:lineRule="auto"/>
              <w:jc w:val="left"/>
              <w:rPr>
                <w:rFonts w:hint="eastAsia"/>
                <w:lang w:eastAsia="zh-CN"/>
              </w:rPr>
            </w:pPr>
            <w:r>
              <w:rPr>
                <w:rFonts w:hint="eastAsia" w:ascii="宋体" w:hAnsi="宋体" w:cs="宋体"/>
                <w:color w:val="auto"/>
                <w:sz w:val="24"/>
                <w:szCs w:val="24"/>
                <w:highlight w:val="none"/>
                <w:lang w:eastAsia="zh-CN"/>
              </w:rPr>
              <w:t>哈密市</w:t>
            </w:r>
          </w:p>
        </w:tc>
      </w:tr>
      <w:tr w14:paraId="5BA337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251B2323">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5</w:t>
            </w:r>
          </w:p>
        </w:tc>
        <w:tc>
          <w:tcPr>
            <w:tcW w:w="2904" w:type="dxa"/>
            <w:tcBorders>
              <w:tl2br w:val="nil"/>
              <w:tr2bl w:val="nil"/>
            </w:tcBorders>
            <w:noWrap w:val="0"/>
            <w:vAlign w:val="center"/>
          </w:tcPr>
          <w:p w14:paraId="4F4FF4A1">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资金来源、预算金额及采购最高限价</w:t>
            </w:r>
          </w:p>
        </w:tc>
        <w:tc>
          <w:tcPr>
            <w:tcW w:w="7261" w:type="dxa"/>
            <w:tcBorders>
              <w:tl2br w:val="nil"/>
              <w:tr2bl w:val="nil"/>
            </w:tcBorders>
            <w:noWrap w:val="0"/>
            <w:vAlign w:val="center"/>
          </w:tcPr>
          <w:p w14:paraId="722B554E">
            <w:pPr>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lang w:val="en-US" w:eastAsia="zh-CN"/>
              </w:rPr>
              <w:t>本项目资金来源为：财政拨款</w:t>
            </w:r>
          </w:p>
          <w:p w14:paraId="3CD2AB3E">
            <w:pPr>
              <w:pStyle w:val="26"/>
              <w:spacing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2、预算金额</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468000.00元</w:t>
            </w:r>
          </w:p>
          <w:p w14:paraId="3311BF3D">
            <w:pPr>
              <w:pStyle w:val="26"/>
              <w:spacing w:line="360" w:lineRule="auto"/>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3、最高限价：</w:t>
            </w:r>
            <w:r>
              <w:rPr>
                <w:rFonts w:hint="eastAsia" w:ascii="宋体" w:hAnsi="宋体" w:cs="宋体"/>
                <w:color w:val="auto"/>
                <w:sz w:val="24"/>
                <w:szCs w:val="24"/>
                <w:highlight w:val="none"/>
                <w:lang w:val="en-US" w:eastAsia="zh-CN"/>
              </w:rPr>
              <w:t>468000.00元</w:t>
            </w:r>
          </w:p>
        </w:tc>
      </w:tr>
      <w:tr w14:paraId="64172D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5" w:type="dxa"/>
            <w:tcBorders>
              <w:tl2br w:val="nil"/>
              <w:tr2bl w:val="nil"/>
            </w:tcBorders>
            <w:noWrap w:val="0"/>
            <w:vAlign w:val="center"/>
          </w:tcPr>
          <w:p w14:paraId="7ACEB9E9">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6</w:t>
            </w:r>
          </w:p>
        </w:tc>
        <w:tc>
          <w:tcPr>
            <w:tcW w:w="2904" w:type="dxa"/>
            <w:tcBorders>
              <w:tl2br w:val="nil"/>
              <w:tr2bl w:val="nil"/>
            </w:tcBorders>
            <w:noWrap w:val="0"/>
            <w:vAlign w:val="center"/>
          </w:tcPr>
          <w:p w14:paraId="226514F3">
            <w:pPr>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采购</w:t>
            </w:r>
            <w:r>
              <w:rPr>
                <w:rFonts w:hint="eastAsia" w:ascii="宋体" w:hAnsi="宋体" w:eastAsia="宋体" w:cs="宋体"/>
                <w:b/>
                <w:bCs w:val="0"/>
                <w:color w:val="auto"/>
                <w:sz w:val="24"/>
                <w:szCs w:val="24"/>
                <w:highlight w:val="none"/>
                <w:lang w:val="en-US" w:eastAsia="zh-CN"/>
              </w:rPr>
              <w:t>内容</w:t>
            </w:r>
          </w:p>
        </w:tc>
        <w:tc>
          <w:tcPr>
            <w:tcW w:w="7261" w:type="dxa"/>
            <w:tcBorders>
              <w:tl2br w:val="nil"/>
              <w:tr2bl w:val="nil"/>
            </w:tcBorders>
            <w:noWrap w:val="0"/>
            <w:vAlign w:val="center"/>
          </w:tcPr>
          <w:p w14:paraId="42B09228">
            <w:pPr>
              <w:pStyle w:val="23"/>
              <w:spacing w:before="75" w:beforeAutospacing="0" w:after="75" w:afterAutospacing="0" w:line="360" w:lineRule="auto"/>
              <w:jc w:val="left"/>
              <w:rPr>
                <w:rFonts w:hint="eastAsia" w:ascii="宋体" w:hAnsi="宋体" w:eastAsia="宋体" w:cs="宋体"/>
                <w:color w:val="auto"/>
                <w:sz w:val="24"/>
                <w:szCs w:val="24"/>
                <w:highlight w:val="none"/>
              </w:rPr>
            </w:pPr>
            <w:r>
              <w:rPr>
                <w:rFonts w:hint="eastAsia" w:cs="宋体"/>
                <w:i w:val="0"/>
                <w:caps w:val="0"/>
                <w:color w:val="auto"/>
                <w:spacing w:val="0"/>
                <w:sz w:val="24"/>
                <w:szCs w:val="24"/>
                <w:highlight w:val="none"/>
                <w:lang w:eastAsia="zh-CN"/>
              </w:rPr>
              <w:t>采购电动汽车充电桩检定装置</w:t>
            </w:r>
            <w:r>
              <w:rPr>
                <w:rFonts w:hint="eastAsia" w:cs="宋体"/>
                <w:i w:val="0"/>
                <w:caps w:val="0"/>
                <w:color w:val="auto"/>
                <w:spacing w:val="0"/>
                <w:sz w:val="24"/>
                <w:szCs w:val="24"/>
                <w:highlight w:val="none"/>
                <w:lang w:val="en-US" w:eastAsia="zh-CN"/>
              </w:rPr>
              <w:t>（详见第四章 采购清单及技术要求）</w:t>
            </w:r>
          </w:p>
        </w:tc>
      </w:tr>
      <w:tr w14:paraId="03633D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39DFC1BB">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7</w:t>
            </w:r>
          </w:p>
        </w:tc>
        <w:tc>
          <w:tcPr>
            <w:tcW w:w="2904" w:type="dxa"/>
            <w:tcBorders>
              <w:tl2br w:val="nil"/>
              <w:tr2bl w:val="nil"/>
            </w:tcBorders>
            <w:noWrap w:val="0"/>
            <w:vAlign w:val="center"/>
          </w:tcPr>
          <w:p w14:paraId="6F8B854D">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标段（包）划分</w:t>
            </w:r>
          </w:p>
        </w:tc>
        <w:tc>
          <w:tcPr>
            <w:tcW w:w="7261" w:type="dxa"/>
            <w:tcBorders>
              <w:tl2br w:val="nil"/>
              <w:tr2bl w:val="nil"/>
            </w:tcBorders>
            <w:noWrap w:val="0"/>
            <w:vAlign w:val="center"/>
          </w:tcPr>
          <w:p w14:paraId="1182496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本次采购共1个标段（包）</w:t>
            </w:r>
          </w:p>
        </w:tc>
      </w:tr>
      <w:tr w14:paraId="063943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5" w:type="dxa"/>
            <w:tcBorders>
              <w:tl2br w:val="nil"/>
              <w:tr2bl w:val="nil"/>
            </w:tcBorders>
            <w:noWrap w:val="0"/>
            <w:vAlign w:val="center"/>
          </w:tcPr>
          <w:p w14:paraId="3CF042E9">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8</w:t>
            </w:r>
          </w:p>
        </w:tc>
        <w:tc>
          <w:tcPr>
            <w:tcW w:w="2904" w:type="dxa"/>
            <w:tcBorders>
              <w:tl2br w:val="nil"/>
              <w:tr2bl w:val="nil"/>
            </w:tcBorders>
            <w:noWrap w:val="0"/>
            <w:vAlign w:val="center"/>
          </w:tcPr>
          <w:p w14:paraId="276A1201">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供货期</w:t>
            </w:r>
          </w:p>
        </w:tc>
        <w:tc>
          <w:tcPr>
            <w:tcW w:w="7261" w:type="dxa"/>
            <w:tcBorders>
              <w:tl2br w:val="nil"/>
              <w:tr2bl w:val="nil"/>
            </w:tcBorders>
            <w:noWrap w:val="0"/>
            <w:vAlign w:val="center"/>
          </w:tcPr>
          <w:p w14:paraId="65E84E38">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自合同签订后15个工作日内，须完成全部安装、调试与试运行工作，且同步取得国家级的检定证书，四项工作须同时达标完成，以确保项目完整交付。</w:t>
            </w:r>
          </w:p>
        </w:tc>
      </w:tr>
      <w:tr w14:paraId="20C49B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5" w:type="dxa"/>
            <w:tcBorders>
              <w:tl2br w:val="nil"/>
              <w:tr2bl w:val="nil"/>
            </w:tcBorders>
            <w:noWrap w:val="0"/>
            <w:vAlign w:val="center"/>
          </w:tcPr>
          <w:p w14:paraId="170F5C1F">
            <w:pPr>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9</w:t>
            </w:r>
          </w:p>
        </w:tc>
        <w:tc>
          <w:tcPr>
            <w:tcW w:w="2904" w:type="dxa"/>
            <w:tcBorders>
              <w:tl2br w:val="nil"/>
              <w:tr2bl w:val="nil"/>
            </w:tcBorders>
            <w:noWrap w:val="0"/>
            <w:vAlign w:val="center"/>
          </w:tcPr>
          <w:p w14:paraId="45154AB5">
            <w:pPr>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供货地点</w:t>
            </w:r>
          </w:p>
        </w:tc>
        <w:tc>
          <w:tcPr>
            <w:tcW w:w="7261" w:type="dxa"/>
            <w:tcBorders>
              <w:tl2br w:val="nil"/>
              <w:tr2bl w:val="nil"/>
            </w:tcBorders>
            <w:noWrap w:val="0"/>
            <w:vAlign w:val="center"/>
          </w:tcPr>
          <w:p w14:paraId="3D594B38">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按照甲方指定的任何地点供货</w:t>
            </w:r>
          </w:p>
        </w:tc>
      </w:tr>
      <w:tr w14:paraId="361D86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4666C07F">
            <w:pPr>
              <w:spacing w:line="36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10</w:t>
            </w:r>
          </w:p>
        </w:tc>
        <w:tc>
          <w:tcPr>
            <w:tcW w:w="2904" w:type="dxa"/>
            <w:tcBorders>
              <w:tl2br w:val="nil"/>
              <w:tr2bl w:val="nil"/>
            </w:tcBorders>
            <w:noWrap w:val="0"/>
            <w:vAlign w:val="center"/>
          </w:tcPr>
          <w:p w14:paraId="564B38D5">
            <w:pPr>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质量要求</w:t>
            </w:r>
          </w:p>
        </w:tc>
        <w:tc>
          <w:tcPr>
            <w:tcW w:w="7261" w:type="dxa"/>
            <w:tcBorders>
              <w:tl2br w:val="nil"/>
              <w:tr2bl w:val="nil"/>
            </w:tcBorders>
            <w:noWrap w:val="0"/>
            <w:vAlign w:val="center"/>
          </w:tcPr>
          <w:p w14:paraId="065A17E8">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合格</w:t>
            </w:r>
          </w:p>
        </w:tc>
      </w:tr>
      <w:tr w14:paraId="7EE34D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3A164576">
            <w:pPr>
              <w:spacing w:line="36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11</w:t>
            </w:r>
          </w:p>
        </w:tc>
        <w:tc>
          <w:tcPr>
            <w:tcW w:w="2904" w:type="dxa"/>
            <w:tcBorders>
              <w:tl2br w:val="nil"/>
              <w:tr2bl w:val="nil"/>
            </w:tcBorders>
            <w:noWrap w:val="0"/>
            <w:vAlign w:val="center"/>
          </w:tcPr>
          <w:p w14:paraId="74114980">
            <w:pPr>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质保期</w:t>
            </w:r>
          </w:p>
        </w:tc>
        <w:tc>
          <w:tcPr>
            <w:tcW w:w="7261" w:type="dxa"/>
            <w:tcBorders>
              <w:tl2br w:val="nil"/>
              <w:tr2bl w:val="nil"/>
            </w:tcBorders>
            <w:noWrap w:val="0"/>
            <w:vAlign w:val="center"/>
          </w:tcPr>
          <w:p w14:paraId="1523B888">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本项目的质保期不少于3年（具体以甲乙双方签订采购合同为准）</w:t>
            </w:r>
          </w:p>
          <w:p w14:paraId="6B738DC4">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质保期自货物最终验收合格之日起算，质保期内中标人对所提供的货物实行包换、包退且不收取任何费用</w:t>
            </w:r>
            <w:r>
              <w:rPr>
                <w:rFonts w:hint="eastAsia" w:ascii="宋体" w:hAnsi="宋体" w:cs="宋体"/>
                <w:color w:val="auto"/>
                <w:sz w:val="24"/>
                <w:szCs w:val="24"/>
                <w:highlight w:val="none"/>
                <w:lang w:val="en-US" w:eastAsia="zh-CN"/>
              </w:rPr>
              <w:t>。</w:t>
            </w:r>
          </w:p>
        </w:tc>
      </w:tr>
      <w:tr w14:paraId="4601E5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6D442A0D">
            <w:pPr>
              <w:spacing w:line="36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12</w:t>
            </w:r>
          </w:p>
        </w:tc>
        <w:tc>
          <w:tcPr>
            <w:tcW w:w="2904" w:type="dxa"/>
            <w:tcBorders>
              <w:tl2br w:val="nil"/>
              <w:tr2bl w:val="nil"/>
            </w:tcBorders>
            <w:noWrap w:val="0"/>
            <w:vAlign w:val="center"/>
          </w:tcPr>
          <w:p w14:paraId="33113038">
            <w:pPr>
              <w:keepNext w:val="0"/>
              <w:keepLines w:val="0"/>
              <w:pageBreakBefore w:val="0"/>
              <w:widowControl w:val="0"/>
              <w:kinsoku/>
              <w:overflowPunct/>
              <w:topLinePunct w:val="0"/>
              <w:bidi w:val="0"/>
              <w:adjustRightInd w:val="0"/>
              <w:snapToGrid w:val="0"/>
              <w:spacing w:line="360" w:lineRule="auto"/>
              <w:ind w:left="0" w:leftChars="0"/>
              <w:jc w:val="center"/>
              <w:rPr>
                <w:rFonts w:hint="eastAsia" w:ascii="宋体" w:hAnsi="宋体" w:eastAsia="宋体" w:cs="宋体"/>
                <w:b/>
                <w:bCs w:val="0"/>
                <w:color w:val="auto"/>
                <w:sz w:val="24"/>
                <w:szCs w:val="24"/>
                <w:highlight w:val="none"/>
              </w:rPr>
            </w:pPr>
            <w:r>
              <w:rPr>
                <w:rFonts w:hint="eastAsia" w:ascii="宋体" w:hAnsi="宋体" w:eastAsia="宋体" w:cs="宋体"/>
                <w:b/>
                <w:bCs/>
                <w:color w:val="auto"/>
                <w:spacing w:val="0"/>
                <w:sz w:val="24"/>
                <w:szCs w:val="24"/>
                <w:highlight w:val="none"/>
              </w:rPr>
              <w:t>信息公告媒体</w:t>
            </w:r>
          </w:p>
        </w:tc>
        <w:tc>
          <w:tcPr>
            <w:tcW w:w="7261" w:type="dxa"/>
            <w:tcBorders>
              <w:tl2br w:val="nil"/>
              <w:tr2bl w:val="nil"/>
            </w:tcBorders>
            <w:noWrap w:val="0"/>
            <w:vAlign w:val="center"/>
          </w:tcPr>
          <w:p w14:paraId="042E771A">
            <w:pPr>
              <w:keepNext w:val="0"/>
              <w:keepLines w:val="0"/>
              <w:pageBreakBefore w:val="0"/>
              <w:widowControl w:val="0"/>
              <w:kinsoku/>
              <w:overflowPunct/>
              <w:topLinePunct w:val="0"/>
              <w:bidi w:val="0"/>
              <w:adjustRightInd w:val="0"/>
              <w:snapToGrid w:val="0"/>
              <w:spacing w:line="360" w:lineRule="auto"/>
              <w:ind w:left="0" w:lef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eastAsia="zh-CN"/>
              </w:rPr>
              <w:t>新疆</w:t>
            </w:r>
            <w:r>
              <w:rPr>
                <w:rFonts w:hint="eastAsia" w:ascii="宋体" w:hAnsi="宋体" w:eastAsia="宋体" w:cs="宋体"/>
                <w:color w:val="auto"/>
                <w:spacing w:val="0"/>
                <w:kern w:val="0"/>
                <w:sz w:val="24"/>
                <w:szCs w:val="24"/>
                <w:highlight w:val="none"/>
                <w:lang w:val="en-US" w:eastAsia="zh-CN"/>
              </w:rPr>
              <w:t>政府采购网</w:t>
            </w:r>
          </w:p>
        </w:tc>
      </w:tr>
      <w:tr w14:paraId="14BCB8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4989E797">
            <w:pPr>
              <w:spacing w:line="36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13</w:t>
            </w:r>
          </w:p>
        </w:tc>
        <w:tc>
          <w:tcPr>
            <w:tcW w:w="2904" w:type="dxa"/>
            <w:tcBorders>
              <w:tl2br w:val="nil"/>
              <w:tr2bl w:val="nil"/>
            </w:tcBorders>
            <w:noWrap w:val="0"/>
            <w:vAlign w:val="center"/>
          </w:tcPr>
          <w:p w14:paraId="6A23B4F4">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供应商资格要求</w:t>
            </w:r>
          </w:p>
        </w:tc>
        <w:tc>
          <w:tcPr>
            <w:tcW w:w="7261" w:type="dxa"/>
            <w:tcBorders>
              <w:tl2br w:val="nil"/>
              <w:tr2bl w:val="nil"/>
            </w:tcBorders>
            <w:noWrap w:val="0"/>
            <w:vAlign w:val="center"/>
          </w:tcPr>
          <w:p w14:paraId="328841DE">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1.满足《中华人民共和国政府采购法》第二十二条规定：</w:t>
            </w:r>
          </w:p>
          <w:p w14:paraId="430AD26C">
            <w:pPr>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sz w:val="24"/>
                <w:szCs w:val="24"/>
              </w:rPr>
              <w:t>2.落实政府采购政策需满足的资格要求：</w:t>
            </w:r>
            <w:r>
              <w:rPr>
                <w:rFonts w:hint="eastAsia" w:ascii="宋体" w:hAnsi="宋体" w:cs="宋体"/>
                <w:color w:val="000000"/>
                <w:sz w:val="24"/>
                <w:szCs w:val="24"/>
                <w:lang w:val="en-US" w:eastAsia="zh-CN"/>
              </w:rPr>
              <w:t>本项目专门面向中小企业采购的项目</w:t>
            </w:r>
            <w:r>
              <w:rPr>
                <w:rFonts w:hint="eastAsia" w:ascii="宋体" w:hAnsi="宋体" w:eastAsia="宋体" w:cs="宋体"/>
                <w:color w:val="000000"/>
                <w:sz w:val="24"/>
                <w:szCs w:val="24"/>
              </w:rPr>
              <w:t>；</w:t>
            </w:r>
          </w:p>
        </w:tc>
      </w:tr>
      <w:tr w14:paraId="3FE3D3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08398D48">
            <w:pPr>
              <w:spacing w:line="36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14</w:t>
            </w:r>
          </w:p>
        </w:tc>
        <w:tc>
          <w:tcPr>
            <w:tcW w:w="2904" w:type="dxa"/>
            <w:tcBorders>
              <w:tl2br w:val="nil"/>
              <w:tr2bl w:val="nil"/>
            </w:tcBorders>
            <w:noWrap w:val="0"/>
            <w:vAlign w:val="center"/>
          </w:tcPr>
          <w:p w14:paraId="18FD9865">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投标保证金</w:t>
            </w:r>
          </w:p>
        </w:tc>
        <w:tc>
          <w:tcPr>
            <w:tcW w:w="7261" w:type="dxa"/>
            <w:tcBorders>
              <w:tl2br w:val="nil"/>
              <w:tr2bl w:val="nil"/>
            </w:tcBorders>
            <w:noWrap w:val="0"/>
            <w:vAlign w:val="center"/>
          </w:tcPr>
          <w:p w14:paraId="1BD337DC">
            <w:pPr>
              <w:spacing w:line="360" w:lineRule="auto"/>
              <w:jc w:val="left"/>
              <w:rPr>
                <w:rFonts w:hint="eastAsia" w:ascii="宋体" w:hAnsi="宋体" w:eastAsia="宋体" w:cs="宋体"/>
                <w:color w:val="FF0000"/>
                <w:sz w:val="24"/>
                <w:szCs w:val="24"/>
                <w:highlight w:val="cyan"/>
              </w:rPr>
            </w:pPr>
            <w:r>
              <w:rPr>
                <w:rFonts w:hint="eastAsia" w:ascii="宋体" w:hAnsi="宋体" w:eastAsia="宋体" w:cs="宋体"/>
                <w:color w:val="000000"/>
                <w:sz w:val="24"/>
                <w:szCs w:val="24"/>
              </w:rPr>
              <w:t>投标保证金金额：</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000.00</w:t>
            </w:r>
            <w:r>
              <w:rPr>
                <w:rFonts w:hint="eastAsia" w:ascii="宋体" w:hAnsi="宋体" w:eastAsia="宋体" w:cs="宋体"/>
                <w:color w:val="000000"/>
                <w:sz w:val="24"/>
                <w:szCs w:val="24"/>
              </w:rPr>
              <w:t>元</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玖仟</w:t>
            </w:r>
            <w:r>
              <w:rPr>
                <w:rFonts w:hint="eastAsia" w:ascii="宋体" w:hAnsi="宋体" w:eastAsia="宋体" w:cs="宋体"/>
                <w:color w:val="000000"/>
                <w:sz w:val="24"/>
                <w:szCs w:val="24"/>
              </w:rPr>
              <w:t>元整）</w:t>
            </w:r>
          </w:p>
          <w:p w14:paraId="7DD6CD9C">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投标保证金的形式：由供应商基本账户转账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保函</w:t>
            </w:r>
            <w:r>
              <w:rPr>
                <w:rFonts w:hint="eastAsia" w:ascii="宋体" w:hAnsi="宋体" w:eastAsia="宋体" w:cs="宋体"/>
                <w:color w:val="000000"/>
                <w:sz w:val="24"/>
                <w:szCs w:val="24"/>
                <w:lang w:val="en-US" w:eastAsia="zh-CN"/>
              </w:rPr>
              <w:t>等形式</w:t>
            </w:r>
            <w:r>
              <w:rPr>
                <w:rFonts w:hint="eastAsia" w:ascii="宋体" w:hAnsi="宋体" w:eastAsia="宋体" w:cs="宋体"/>
                <w:color w:val="000000"/>
                <w:sz w:val="24"/>
                <w:szCs w:val="24"/>
              </w:rPr>
              <w:t>。</w:t>
            </w:r>
          </w:p>
          <w:p w14:paraId="40E8861A">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采购代理机构的开户银行及账号如下：</w:t>
            </w:r>
          </w:p>
          <w:p w14:paraId="0E460B0D">
            <w:pPr>
              <w:spacing w:line="360" w:lineRule="auto"/>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账户名称：</w:t>
            </w:r>
            <w:r>
              <w:rPr>
                <w:rFonts w:hint="eastAsia" w:ascii="宋体" w:hAnsi="宋体" w:eastAsia="宋体" w:cs="宋体"/>
                <w:color w:val="000000"/>
                <w:sz w:val="24"/>
                <w:szCs w:val="24"/>
                <w:lang w:eastAsia="zh-CN"/>
              </w:rPr>
              <w:t>新疆聚友共创项目管理有限公司</w:t>
            </w:r>
            <w:r>
              <w:rPr>
                <w:rFonts w:hint="eastAsia" w:ascii="宋体" w:hAnsi="宋体" w:eastAsia="宋体" w:cs="宋体"/>
                <w:color w:val="000000"/>
                <w:sz w:val="24"/>
                <w:szCs w:val="24"/>
                <w:lang w:val="en-US" w:eastAsia="zh-CN"/>
              </w:rPr>
              <w:t>哈密分公司</w:t>
            </w:r>
          </w:p>
          <w:p w14:paraId="12E5F5C9">
            <w:pPr>
              <w:spacing w:line="360" w:lineRule="auto"/>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三证合一：</w:t>
            </w:r>
            <w:r>
              <w:rPr>
                <w:rFonts w:hint="eastAsia" w:ascii="宋体" w:hAnsi="宋体" w:eastAsia="宋体" w:cs="宋体"/>
                <w:color w:val="000000"/>
                <w:sz w:val="24"/>
                <w:szCs w:val="24"/>
              </w:rPr>
              <w:t>91659011MABKXYUM9A</w:t>
            </w:r>
          </w:p>
          <w:p w14:paraId="212B7F00">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CN"/>
              </w:rPr>
              <w:t>账    号：</w:t>
            </w:r>
            <w:r>
              <w:rPr>
                <w:rFonts w:hint="eastAsia" w:ascii="宋体" w:hAnsi="宋体" w:eastAsia="宋体" w:cs="宋体"/>
                <w:color w:val="000000"/>
                <w:sz w:val="24"/>
                <w:szCs w:val="24"/>
              </w:rPr>
              <w:t>107687777485</w:t>
            </w:r>
          </w:p>
          <w:p w14:paraId="5C2FFA6D">
            <w:pPr>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zh-CN"/>
              </w:rPr>
              <w:t>开户行号：</w:t>
            </w:r>
            <w:r>
              <w:rPr>
                <w:rFonts w:hint="eastAsia" w:ascii="宋体" w:hAnsi="宋体" w:eastAsia="宋体" w:cs="宋体"/>
                <w:color w:val="000000"/>
                <w:sz w:val="24"/>
                <w:szCs w:val="24"/>
                <w:lang w:eastAsia="zh-CN"/>
              </w:rPr>
              <w:t>104884001031</w:t>
            </w:r>
          </w:p>
          <w:p w14:paraId="285CC214">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CN"/>
              </w:rPr>
              <w:t>开 户 行：</w:t>
            </w:r>
            <w:r>
              <w:rPr>
                <w:rFonts w:hint="eastAsia" w:ascii="宋体" w:hAnsi="宋体" w:eastAsia="宋体" w:cs="宋体"/>
                <w:color w:val="000000"/>
                <w:sz w:val="24"/>
                <w:szCs w:val="24"/>
              </w:rPr>
              <w:t>中国银行股份有限公司哈密市火车站支行</w:t>
            </w:r>
          </w:p>
          <w:p w14:paraId="6E33A17A">
            <w:pPr>
              <w:spacing w:line="36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000000"/>
                <w:sz w:val="24"/>
                <w:szCs w:val="24"/>
              </w:rPr>
              <w:t>投标保证金的递交截止时间：同开标时间（以银行记录确认到账为准），投标保证金汇款凭证上用途栏应注明:项目名称+投标保证金。未按以上要求递交投标保证金及提供保证金交纳凭证的视为无效，采购人将拒绝其投标。</w:t>
            </w:r>
          </w:p>
        </w:tc>
      </w:tr>
      <w:tr w14:paraId="59EEC3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32132115">
            <w:pPr>
              <w:spacing w:line="360" w:lineRule="auto"/>
              <w:jc w:val="cente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1</w:t>
            </w:r>
            <w:r>
              <w:rPr>
                <w:rFonts w:hint="eastAsia" w:ascii="宋体" w:hAnsi="宋体" w:cs="宋体"/>
                <w:b/>
                <w:bCs w:val="0"/>
                <w:color w:val="auto"/>
                <w:sz w:val="24"/>
                <w:szCs w:val="24"/>
                <w:highlight w:val="none"/>
                <w:lang w:val="en-US" w:eastAsia="zh-CN"/>
              </w:rPr>
              <w:t>5</w:t>
            </w:r>
          </w:p>
        </w:tc>
        <w:tc>
          <w:tcPr>
            <w:tcW w:w="2904" w:type="dxa"/>
            <w:tcBorders>
              <w:tl2br w:val="nil"/>
              <w:tr2bl w:val="nil"/>
            </w:tcBorders>
            <w:noWrap w:val="0"/>
            <w:vAlign w:val="center"/>
          </w:tcPr>
          <w:p w14:paraId="77F428E3">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是否接受联合体投标</w:t>
            </w:r>
          </w:p>
        </w:tc>
        <w:tc>
          <w:tcPr>
            <w:tcW w:w="7261" w:type="dxa"/>
            <w:tcBorders>
              <w:tl2br w:val="nil"/>
              <w:tr2bl w:val="nil"/>
            </w:tcBorders>
            <w:noWrap w:val="0"/>
            <w:vAlign w:val="center"/>
          </w:tcPr>
          <w:p w14:paraId="3944766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接受</w:t>
            </w:r>
          </w:p>
        </w:tc>
      </w:tr>
      <w:tr w14:paraId="63FB41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358F387B">
            <w:pPr>
              <w:spacing w:line="360" w:lineRule="auto"/>
              <w:jc w:val="cente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1</w:t>
            </w:r>
            <w:r>
              <w:rPr>
                <w:rFonts w:hint="eastAsia" w:ascii="宋体" w:hAnsi="宋体" w:cs="宋体"/>
                <w:b/>
                <w:bCs w:val="0"/>
                <w:color w:val="auto"/>
                <w:sz w:val="24"/>
                <w:szCs w:val="24"/>
                <w:highlight w:val="none"/>
                <w:lang w:val="en-US" w:eastAsia="zh-CN"/>
              </w:rPr>
              <w:t>6</w:t>
            </w:r>
          </w:p>
        </w:tc>
        <w:tc>
          <w:tcPr>
            <w:tcW w:w="2904" w:type="dxa"/>
            <w:tcBorders>
              <w:tl2br w:val="nil"/>
              <w:tr2bl w:val="nil"/>
            </w:tcBorders>
            <w:noWrap w:val="0"/>
            <w:vAlign w:val="center"/>
          </w:tcPr>
          <w:p w14:paraId="086F54AA">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分包</w:t>
            </w:r>
          </w:p>
        </w:tc>
        <w:tc>
          <w:tcPr>
            <w:tcW w:w="7261" w:type="dxa"/>
            <w:tcBorders>
              <w:tl2br w:val="nil"/>
              <w:tr2bl w:val="nil"/>
            </w:tcBorders>
            <w:noWrap w:val="0"/>
            <w:vAlign w:val="center"/>
          </w:tcPr>
          <w:p w14:paraId="3D0F86F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不允许/</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允许</w:t>
            </w:r>
          </w:p>
        </w:tc>
      </w:tr>
      <w:tr w14:paraId="225024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20021693">
            <w:pPr>
              <w:spacing w:line="360" w:lineRule="auto"/>
              <w:jc w:val="cente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1</w:t>
            </w:r>
            <w:r>
              <w:rPr>
                <w:rFonts w:hint="eastAsia" w:ascii="宋体" w:hAnsi="宋体" w:cs="宋体"/>
                <w:b/>
                <w:bCs w:val="0"/>
                <w:color w:val="auto"/>
                <w:sz w:val="24"/>
                <w:szCs w:val="24"/>
                <w:highlight w:val="none"/>
                <w:lang w:val="en-US" w:eastAsia="zh-CN"/>
              </w:rPr>
              <w:t>7</w:t>
            </w:r>
          </w:p>
        </w:tc>
        <w:tc>
          <w:tcPr>
            <w:tcW w:w="2904" w:type="dxa"/>
            <w:tcBorders>
              <w:tl2br w:val="nil"/>
              <w:tr2bl w:val="nil"/>
            </w:tcBorders>
            <w:noWrap w:val="0"/>
            <w:vAlign w:val="center"/>
          </w:tcPr>
          <w:p w14:paraId="59502C12">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响应文件递交截止时间及开标时间</w:t>
            </w:r>
          </w:p>
        </w:tc>
        <w:tc>
          <w:tcPr>
            <w:tcW w:w="7261" w:type="dxa"/>
            <w:tcBorders>
              <w:tl2br w:val="nil"/>
              <w:tr2bl w:val="nil"/>
            </w:tcBorders>
            <w:noWrap w:val="0"/>
            <w:vAlign w:val="center"/>
          </w:tcPr>
          <w:p w14:paraId="2DDF7903">
            <w:pPr>
              <w:pStyle w:val="51"/>
              <w:spacing w:line="360" w:lineRule="auto"/>
              <w:ind w:leftChars="-1" w:hanging="2" w:hangingChars="1"/>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响应文件递交截止时间及开标时</w:t>
            </w:r>
            <w:r>
              <w:rPr>
                <w:rFonts w:hint="eastAsia" w:ascii="宋体" w:hAnsi="宋体" w:eastAsia="宋体" w:cs="宋体"/>
                <w:color w:val="auto"/>
                <w:sz w:val="24"/>
                <w:szCs w:val="24"/>
                <w:highlight w:val="none"/>
                <w:lang w:val="en-US" w:eastAsia="zh-CN"/>
              </w:rPr>
              <w:t>间：</w:t>
            </w:r>
            <w:r>
              <w:rPr>
                <w:rFonts w:hint="eastAsia" w:ascii="宋体" w:hAnsi="宋体" w:cs="宋体"/>
                <w:color w:val="auto"/>
                <w:sz w:val="24"/>
                <w:szCs w:val="24"/>
                <w:highlight w:val="none"/>
                <w:lang w:val="en-US" w:eastAsia="zh-CN"/>
              </w:rPr>
              <w:t>2025年07月23日10时00分（北京时间）</w:t>
            </w:r>
          </w:p>
          <w:p w14:paraId="60516C46">
            <w:pPr>
              <w:pStyle w:val="51"/>
              <w:spacing w:line="360" w:lineRule="auto"/>
              <w:ind w:leftChars="-1" w:hanging="2" w:hangingChars="1"/>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采用不见面开标</w:t>
            </w:r>
          </w:p>
          <w:p w14:paraId="6C080B99">
            <w:pPr>
              <w:pStyle w:val="51"/>
              <w:spacing w:line="360" w:lineRule="auto"/>
              <w:ind w:leftChars="-1" w:hanging="2" w:hangingChars="1"/>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开标地点：政采云远程不见面开标大厅</w:t>
            </w:r>
          </w:p>
          <w:p w14:paraId="5E6CFB0A">
            <w:pPr>
              <w:pStyle w:val="51"/>
              <w:spacing w:line="360" w:lineRule="auto"/>
              <w:ind w:leftChars="-1" w:hanging="2" w:hangingChars="1"/>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不见面开标默认解密时长：30分钟</w:t>
            </w:r>
          </w:p>
          <w:p w14:paraId="4C47839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注：在约定的时间里未完成解密操作，视为自动弃标。</w:t>
            </w:r>
          </w:p>
        </w:tc>
      </w:tr>
      <w:tr w14:paraId="51825D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5" w:type="dxa"/>
            <w:tcBorders>
              <w:tl2br w:val="nil"/>
              <w:tr2bl w:val="nil"/>
            </w:tcBorders>
            <w:noWrap w:val="0"/>
            <w:vAlign w:val="center"/>
          </w:tcPr>
          <w:p w14:paraId="6317412E">
            <w:pPr>
              <w:spacing w:line="360" w:lineRule="auto"/>
              <w:jc w:val="cente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1</w:t>
            </w:r>
            <w:r>
              <w:rPr>
                <w:rFonts w:hint="eastAsia" w:ascii="宋体" w:hAnsi="宋体" w:cs="宋体"/>
                <w:b/>
                <w:bCs w:val="0"/>
                <w:color w:val="auto"/>
                <w:sz w:val="24"/>
                <w:szCs w:val="24"/>
                <w:highlight w:val="none"/>
                <w:lang w:val="en-US" w:eastAsia="zh-CN"/>
              </w:rPr>
              <w:t>8</w:t>
            </w:r>
          </w:p>
        </w:tc>
        <w:tc>
          <w:tcPr>
            <w:tcW w:w="2904" w:type="dxa"/>
            <w:tcBorders>
              <w:tl2br w:val="nil"/>
              <w:tr2bl w:val="nil"/>
            </w:tcBorders>
            <w:noWrap w:val="0"/>
            <w:vAlign w:val="center"/>
          </w:tcPr>
          <w:p w14:paraId="5E4057D9">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响应文件</w:t>
            </w:r>
          </w:p>
        </w:tc>
        <w:tc>
          <w:tcPr>
            <w:tcW w:w="7261" w:type="dxa"/>
            <w:tcBorders>
              <w:tl2br w:val="nil"/>
              <w:tr2bl w:val="nil"/>
            </w:tcBorders>
            <w:noWrap w:val="0"/>
            <w:vAlign w:val="center"/>
          </w:tcPr>
          <w:p w14:paraId="0532E19E">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1．本项目采用不见面开标、供应商需要递交电子投标文件，加密的电子投标文件，在投标截止时间前通过新疆政府采购网平台上传到指定位置。</w:t>
            </w:r>
          </w:p>
          <w:p w14:paraId="5312534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2.本项目采用远程不见面交易的模式。开标当日，供应商无需到达开标现场，仅需在任意地点新疆政府采购网         (http://www.ccgp-xinjiang.gov.cn)政采云线上平台开标 完成远程解密、提疑澄清、开标、结果公布等交互环节。 供应商必须使用能正确解密投标文件的“新疆政府采购网政采云数字证书”在规定的时间内完成远程解密， 因供应商原因未能解密、解密失败或解密超时，视为供应商撤销其投标文件，系统内投标文件将被退回； 因采购人原因或网上招投标平台发生故障，导致无法按时完成投标文件解密或开、评标工作无法进行的，可根据实际情况相应延迟解密时间或调整开、评标时间。</w:t>
            </w:r>
          </w:p>
        </w:tc>
      </w:tr>
      <w:tr w14:paraId="3E14CD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428AE9EB">
            <w:pPr>
              <w:spacing w:line="360" w:lineRule="auto"/>
              <w:jc w:val="cente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1</w:t>
            </w:r>
            <w:r>
              <w:rPr>
                <w:rFonts w:hint="eastAsia" w:ascii="宋体" w:hAnsi="宋体" w:cs="宋体"/>
                <w:b/>
                <w:bCs w:val="0"/>
                <w:color w:val="auto"/>
                <w:sz w:val="24"/>
                <w:szCs w:val="24"/>
                <w:highlight w:val="none"/>
                <w:lang w:val="en-US" w:eastAsia="zh-CN"/>
              </w:rPr>
              <w:t>9</w:t>
            </w:r>
          </w:p>
        </w:tc>
        <w:tc>
          <w:tcPr>
            <w:tcW w:w="2904" w:type="dxa"/>
            <w:tcBorders>
              <w:tl2br w:val="nil"/>
              <w:tr2bl w:val="nil"/>
            </w:tcBorders>
            <w:noWrap w:val="0"/>
            <w:vAlign w:val="center"/>
          </w:tcPr>
          <w:p w14:paraId="3905F5CC">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投标报价</w:t>
            </w:r>
          </w:p>
        </w:tc>
        <w:tc>
          <w:tcPr>
            <w:tcW w:w="7261" w:type="dxa"/>
            <w:tcBorders>
              <w:tl2br w:val="nil"/>
              <w:tr2bl w:val="nil"/>
            </w:tcBorders>
            <w:noWrap w:val="0"/>
            <w:vAlign w:val="center"/>
          </w:tcPr>
          <w:p w14:paraId="083CBB30">
            <w:pPr>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最高限价：</w:t>
            </w:r>
            <w:r>
              <w:rPr>
                <w:rFonts w:hint="eastAsia" w:ascii="宋体" w:hAnsi="宋体" w:cs="宋体"/>
                <w:color w:val="auto"/>
                <w:sz w:val="24"/>
                <w:szCs w:val="24"/>
                <w:highlight w:val="none"/>
                <w:lang w:val="en-US" w:eastAsia="zh-CN"/>
              </w:rPr>
              <w:t>468000.00元（</w:t>
            </w:r>
            <w:r>
              <w:rPr>
                <w:rFonts w:hint="eastAsia" w:asciiTheme="minorEastAsia" w:hAnsiTheme="minorEastAsia" w:eastAsiaTheme="minorEastAsia" w:cstheme="minorEastAsia"/>
                <w:color w:val="auto"/>
                <w:sz w:val="24"/>
                <w:szCs w:val="24"/>
                <w:highlight w:val="none"/>
              </w:rPr>
              <w:t>投标报价不得等于或高于最高限价金额，否则将按无效投标处理)</w:t>
            </w:r>
          </w:p>
          <w:p w14:paraId="606BE0BD">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供应商的报价明显低于其他通过符合性审查供应商的报价，有可能影响产品质量或者不能诚信履约的，供应商应在评标现场合理的时间内提供书面说明，必要时提交相关证明材料；供应商不能证明其报价合理性的，自行承担相关责任。</w:t>
            </w:r>
          </w:p>
        </w:tc>
      </w:tr>
      <w:tr w14:paraId="27B99D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3BC44A6A">
            <w:pPr>
              <w:spacing w:line="36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20</w:t>
            </w:r>
          </w:p>
        </w:tc>
        <w:tc>
          <w:tcPr>
            <w:tcW w:w="2904" w:type="dxa"/>
            <w:tcBorders>
              <w:tl2br w:val="nil"/>
              <w:tr2bl w:val="nil"/>
            </w:tcBorders>
            <w:noWrap w:val="0"/>
            <w:vAlign w:val="center"/>
          </w:tcPr>
          <w:p w14:paraId="648CBEB7">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踏勘现场</w:t>
            </w:r>
          </w:p>
        </w:tc>
        <w:tc>
          <w:tcPr>
            <w:tcW w:w="7261" w:type="dxa"/>
            <w:tcBorders>
              <w:tl2br w:val="nil"/>
              <w:tr2bl w:val="nil"/>
            </w:tcBorders>
            <w:noWrap w:val="0"/>
            <w:vAlign w:val="center"/>
          </w:tcPr>
          <w:p w14:paraId="4DAA26C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不组织，供应商自行踏勘，无论供应商对现场考察与否，都将被视为熟悉履行合同有关的一切情况。</w:t>
            </w:r>
          </w:p>
        </w:tc>
      </w:tr>
      <w:tr w14:paraId="288FB6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666D41E2">
            <w:pPr>
              <w:spacing w:line="36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21</w:t>
            </w:r>
          </w:p>
        </w:tc>
        <w:tc>
          <w:tcPr>
            <w:tcW w:w="2904" w:type="dxa"/>
            <w:tcBorders>
              <w:tl2br w:val="nil"/>
              <w:tr2bl w:val="nil"/>
            </w:tcBorders>
            <w:noWrap w:val="0"/>
            <w:vAlign w:val="center"/>
          </w:tcPr>
          <w:p w14:paraId="6F09FD46">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投标答疑会</w:t>
            </w:r>
          </w:p>
        </w:tc>
        <w:tc>
          <w:tcPr>
            <w:tcW w:w="7261" w:type="dxa"/>
            <w:tcBorders>
              <w:tl2br w:val="nil"/>
              <w:tr2bl w:val="nil"/>
            </w:tcBorders>
            <w:noWrap w:val="0"/>
            <w:vAlign w:val="center"/>
          </w:tcPr>
          <w:p w14:paraId="6D9445B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不召开</w:t>
            </w:r>
          </w:p>
        </w:tc>
      </w:tr>
      <w:tr w14:paraId="658232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354989C2">
            <w:pPr>
              <w:spacing w:line="36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22</w:t>
            </w:r>
          </w:p>
        </w:tc>
        <w:tc>
          <w:tcPr>
            <w:tcW w:w="2904" w:type="dxa"/>
            <w:tcBorders>
              <w:tl2br w:val="nil"/>
              <w:tr2bl w:val="nil"/>
            </w:tcBorders>
            <w:noWrap w:val="0"/>
            <w:vAlign w:val="center"/>
          </w:tcPr>
          <w:p w14:paraId="508AFF6A">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供应商提出问题或要求</w:t>
            </w:r>
          </w:p>
          <w:p w14:paraId="3CC71D2D">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澄清采购文件的截止时间</w:t>
            </w:r>
          </w:p>
        </w:tc>
        <w:tc>
          <w:tcPr>
            <w:tcW w:w="7261" w:type="dxa"/>
            <w:tcBorders>
              <w:tl2br w:val="nil"/>
              <w:tr2bl w:val="nil"/>
            </w:tcBorders>
            <w:noWrap w:val="0"/>
            <w:vAlign w:val="center"/>
          </w:tcPr>
          <w:p w14:paraId="2EF290A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供应商应当在知道或应当知道（即收到采购文件之日或者采购文件公告期限届满之日）其权益受到损害之日起七个工作日内书面提出。</w:t>
            </w:r>
          </w:p>
        </w:tc>
      </w:tr>
      <w:tr w14:paraId="0DF705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53FCA2DB">
            <w:pPr>
              <w:spacing w:line="36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23</w:t>
            </w:r>
          </w:p>
        </w:tc>
        <w:tc>
          <w:tcPr>
            <w:tcW w:w="2904" w:type="dxa"/>
            <w:tcBorders>
              <w:tl2br w:val="nil"/>
              <w:tr2bl w:val="nil"/>
            </w:tcBorders>
            <w:noWrap w:val="0"/>
            <w:vAlign w:val="center"/>
          </w:tcPr>
          <w:p w14:paraId="48D92585">
            <w:pPr>
              <w:keepNext w:val="0"/>
              <w:keepLines w:val="0"/>
              <w:pageBreakBefore w:val="0"/>
              <w:widowControl w:val="0"/>
              <w:kinsoku/>
              <w:overflowPunct/>
              <w:topLinePunct w:val="0"/>
              <w:bidi w:val="0"/>
              <w:adjustRightInd w:val="0"/>
              <w:snapToGrid w:val="0"/>
              <w:spacing w:line="360" w:lineRule="auto"/>
              <w:ind w:left="0" w:leftChars="0"/>
              <w:jc w:val="center"/>
              <w:rPr>
                <w:rFonts w:hint="eastAsia" w:ascii="宋体" w:hAnsi="宋体" w:eastAsia="宋体" w:cs="宋体"/>
                <w:b/>
                <w:bCs w:val="0"/>
                <w:color w:val="auto"/>
                <w:sz w:val="24"/>
                <w:szCs w:val="24"/>
                <w:highlight w:val="none"/>
              </w:rPr>
            </w:pPr>
            <w:r>
              <w:rPr>
                <w:rFonts w:hint="eastAsia" w:ascii="宋体" w:hAnsi="宋体" w:eastAsia="宋体" w:cs="宋体"/>
                <w:b/>
                <w:bCs/>
                <w:color w:val="auto"/>
                <w:spacing w:val="0"/>
                <w:sz w:val="24"/>
                <w:szCs w:val="24"/>
                <w:highlight w:val="none"/>
              </w:rPr>
              <w:t>是否允许投报进口产品</w:t>
            </w:r>
          </w:p>
        </w:tc>
        <w:tc>
          <w:tcPr>
            <w:tcW w:w="7261" w:type="dxa"/>
            <w:tcBorders>
              <w:tl2br w:val="nil"/>
              <w:tr2bl w:val="nil"/>
            </w:tcBorders>
            <w:noWrap w:val="0"/>
            <w:vAlign w:val="center"/>
          </w:tcPr>
          <w:p w14:paraId="1D026EA3">
            <w:pPr>
              <w:keepNext w:val="0"/>
              <w:keepLines w:val="0"/>
              <w:pageBreakBefore w:val="0"/>
              <w:widowControl w:val="0"/>
              <w:kinsoku/>
              <w:overflowPunct/>
              <w:topLinePunct w:val="0"/>
              <w:autoSpaceDE w:val="0"/>
              <w:autoSpaceDN w:val="0"/>
              <w:bidi w:val="0"/>
              <w:adjustRightInd w:val="0"/>
              <w:snapToGrid w:val="0"/>
              <w:spacing w:line="36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rPr>
              <w:t>否</w:t>
            </w:r>
          </w:p>
        </w:tc>
      </w:tr>
      <w:tr w14:paraId="6B7002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5BE662BE">
            <w:pPr>
              <w:spacing w:line="36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24</w:t>
            </w:r>
          </w:p>
        </w:tc>
        <w:tc>
          <w:tcPr>
            <w:tcW w:w="2904" w:type="dxa"/>
            <w:tcBorders>
              <w:tl2br w:val="nil"/>
              <w:tr2bl w:val="nil"/>
            </w:tcBorders>
            <w:noWrap w:val="0"/>
            <w:vAlign w:val="center"/>
          </w:tcPr>
          <w:p w14:paraId="2C828831">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投标有效期</w:t>
            </w:r>
          </w:p>
        </w:tc>
        <w:tc>
          <w:tcPr>
            <w:tcW w:w="7261" w:type="dxa"/>
            <w:tcBorders>
              <w:tl2br w:val="nil"/>
              <w:tr2bl w:val="nil"/>
            </w:tcBorders>
            <w:noWrap w:val="0"/>
            <w:vAlign w:val="center"/>
          </w:tcPr>
          <w:p w14:paraId="3DACEDE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从开标之日起90日历天</w:t>
            </w:r>
          </w:p>
        </w:tc>
      </w:tr>
      <w:tr w14:paraId="16AD7A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7F69A803">
            <w:pPr>
              <w:spacing w:line="36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25</w:t>
            </w:r>
          </w:p>
        </w:tc>
        <w:tc>
          <w:tcPr>
            <w:tcW w:w="2904" w:type="dxa"/>
            <w:tcBorders>
              <w:tl2br w:val="nil"/>
              <w:tr2bl w:val="nil"/>
            </w:tcBorders>
            <w:noWrap w:val="0"/>
            <w:vAlign w:val="center"/>
          </w:tcPr>
          <w:p w14:paraId="27B0D611">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评标委员会的组建</w:t>
            </w:r>
          </w:p>
        </w:tc>
        <w:tc>
          <w:tcPr>
            <w:tcW w:w="7261" w:type="dxa"/>
            <w:tcBorders>
              <w:tl2br w:val="nil"/>
              <w:tr2bl w:val="nil"/>
            </w:tcBorders>
            <w:noWrap w:val="0"/>
            <w:vAlign w:val="center"/>
          </w:tcPr>
          <w:p w14:paraId="31A2ED78">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小组构成：</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人；</w:t>
            </w:r>
          </w:p>
          <w:p w14:paraId="4C10992B">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评标专家确定方式：</w:t>
            </w:r>
            <w:r>
              <w:rPr>
                <w:rFonts w:hint="eastAsia" w:ascii="宋体" w:hAnsi="宋体" w:eastAsia="宋体" w:cs="宋体"/>
                <w:bCs/>
                <w:color w:val="auto"/>
                <w:sz w:val="24"/>
                <w:szCs w:val="24"/>
              </w:rPr>
              <w:t>经济、技术专家不少于</w:t>
            </w:r>
            <w:r>
              <w:rPr>
                <w:rFonts w:hint="eastAsia" w:ascii="宋体" w:hAnsi="宋体" w:eastAsia="宋体" w:cs="宋体"/>
                <w:bCs/>
                <w:color w:val="auto"/>
                <w:sz w:val="24"/>
                <w:szCs w:val="24"/>
                <w:lang w:eastAsia="zh-CN"/>
              </w:rPr>
              <w:t>招标</w:t>
            </w:r>
            <w:r>
              <w:rPr>
                <w:rFonts w:hint="eastAsia" w:ascii="宋体" w:hAnsi="宋体" w:eastAsia="宋体" w:cs="宋体"/>
                <w:bCs/>
                <w:color w:val="auto"/>
                <w:sz w:val="24"/>
                <w:szCs w:val="24"/>
              </w:rPr>
              <w:t>小组组成人员的三分之二，从政采云专家库随机抽取。</w:t>
            </w:r>
          </w:p>
        </w:tc>
      </w:tr>
      <w:tr w14:paraId="3DA276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4CC7267B">
            <w:pPr>
              <w:spacing w:line="36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26</w:t>
            </w:r>
          </w:p>
        </w:tc>
        <w:tc>
          <w:tcPr>
            <w:tcW w:w="2904" w:type="dxa"/>
            <w:tcBorders>
              <w:tl2br w:val="nil"/>
              <w:tr2bl w:val="nil"/>
            </w:tcBorders>
            <w:noWrap w:val="0"/>
            <w:vAlign w:val="center"/>
          </w:tcPr>
          <w:p w14:paraId="773EB267">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评标办法</w:t>
            </w:r>
          </w:p>
        </w:tc>
        <w:tc>
          <w:tcPr>
            <w:tcW w:w="7261" w:type="dxa"/>
            <w:tcBorders>
              <w:tl2br w:val="nil"/>
              <w:tr2bl w:val="nil"/>
            </w:tcBorders>
            <w:noWrap w:val="0"/>
            <w:vAlign w:val="center"/>
          </w:tcPr>
          <w:p w14:paraId="0B90431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w:t>
            </w:r>
          </w:p>
        </w:tc>
      </w:tr>
      <w:tr w14:paraId="2D28C0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747C22D3">
            <w:pPr>
              <w:spacing w:line="36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27</w:t>
            </w:r>
          </w:p>
        </w:tc>
        <w:tc>
          <w:tcPr>
            <w:tcW w:w="2904" w:type="dxa"/>
            <w:tcBorders>
              <w:tl2br w:val="nil"/>
              <w:tr2bl w:val="nil"/>
            </w:tcBorders>
            <w:noWrap w:val="0"/>
            <w:vAlign w:val="center"/>
          </w:tcPr>
          <w:p w14:paraId="4062ACE3">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是否授权评标委员会确定</w:t>
            </w:r>
            <w:r>
              <w:rPr>
                <w:rFonts w:hint="eastAsia" w:ascii="宋体" w:hAnsi="宋体" w:eastAsia="宋体" w:cs="宋体"/>
                <w:b/>
                <w:bCs w:val="0"/>
                <w:color w:val="auto"/>
                <w:sz w:val="24"/>
                <w:szCs w:val="24"/>
                <w:highlight w:val="none"/>
                <w:lang w:eastAsia="zh-CN"/>
              </w:rPr>
              <w:t>中标</w:t>
            </w:r>
            <w:r>
              <w:rPr>
                <w:rFonts w:hint="eastAsia" w:ascii="宋体" w:hAnsi="宋体" w:eastAsia="宋体" w:cs="宋体"/>
                <w:b/>
                <w:bCs w:val="0"/>
                <w:color w:val="auto"/>
                <w:sz w:val="24"/>
                <w:szCs w:val="24"/>
                <w:highlight w:val="none"/>
              </w:rPr>
              <w:t>人</w:t>
            </w:r>
          </w:p>
        </w:tc>
        <w:tc>
          <w:tcPr>
            <w:tcW w:w="7261" w:type="dxa"/>
            <w:tcBorders>
              <w:tl2br w:val="nil"/>
              <w:tr2bl w:val="nil"/>
            </w:tcBorders>
            <w:noWrap w:val="0"/>
            <w:vAlign w:val="center"/>
          </w:tcPr>
          <w:p w14:paraId="2CCF2D1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否，推荐3名</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候选人。</w:t>
            </w:r>
          </w:p>
        </w:tc>
      </w:tr>
      <w:tr w14:paraId="7BAAA2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4ABC68F9">
            <w:pPr>
              <w:spacing w:line="36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28</w:t>
            </w:r>
          </w:p>
        </w:tc>
        <w:tc>
          <w:tcPr>
            <w:tcW w:w="2904" w:type="dxa"/>
            <w:tcBorders>
              <w:tl2br w:val="nil"/>
              <w:tr2bl w:val="nil"/>
            </w:tcBorders>
            <w:noWrap w:val="0"/>
            <w:vAlign w:val="center"/>
          </w:tcPr>
          <w:p w14:paraId="2F6CB561">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代理服务费</w:t>
            </w:r>
          </w:p>
        </w:tc>
        <w:tc>
          <w:tcPr>
            <w:tcW w:w="7261" w:type="dxa"/>
            <w:tcBorders>
              <w:tl2br w:val="nil"/>
              <w:tr2bl w:val="nil"/>
            </w:tcBorders>
            <w:noWrap w:val="0"/>
            <w:vAlign w:val="center"/>
          </w:tcPr>
          <w:p w14:paraId="6C07194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按照发改价格〔2015〕299号通知要求，参照国家计委计价格〔2002〕1980号文及发改价格〔2011〕534号文的标准，由中标人支付。</w:t>
            </w:r>
          </w:p>
        </w:tc>
      </w:tr>
      <w:tr w14:paraId="305C61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1514234B">
            <w:pPr>
              <w:spacing w:line="36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29</w:t>
            </w:r>
          </w:p>
        </w:tc>
        <w:tc>
          <w:tcPr>
            <w:tcW w:w="2904" w:type="dxa"/>
            <w:tcBorders>
              <w:tl2br w:val="nil"/>
              <w:tr2bl w:val="nil"/>
            </w:tcBorders>
            <w:noWrap w:val="0"/>
            <w:vAlign w:val="center"/>
          </w:tcPr>
          <w:p w14:paraId="49A41A8B">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付款方式</w:t>
            </w:r>
          </w:p>
        </w:tc>
        <w:tc>
          <w:tcPr>
            <w:tcW w:w="7261" w:type="dxa"/>
            <w:tcBorders>
              <w:tl2br w:val="nil"/>
              <w:tr2bl w:val="nil"/>
            </w:tcBorders>
            <w:noWrap w:val="0"/>
            <w:vAlign w:val="center"/>
          </w:tcPr>
          <w:p w14:paraId="73B91114">
            <w:pPr>
              <w:spacing w:line="360" w:lineRule="auto"/>
              <w:jc w:val="left"/>
              <w:rPr>
                <w:rFonts w:hint="default" w:ascii="宋体" w:hAnsi="宋体" w:eastAsia="宋体" w:cs="宋体"/>
                <w:color w:val="auto"/>
                <w:sz w:val="24"/>
                <w:szCs w:val="24"/>
                <w:highlight w:val="cyan"/>
                <w:lang w:val="en-US" w:eastAsia="zh-CN"/>
              </w:rPr>
            </w:pPr>
            <w:r>
              <w:rPr>
                <w:rFonts w:hint="eastAsia" w:ascii="宋体" w:hAnsi="宋体" w:eastAsia="宋体" w:cs="宋体"/>
                <w:color w:val="auto"/>
                <w:sz w:val="24"/>
                <w:szCs w:val="24"/>
                <w:highlight w:val="none"/>
                <w:lang w:val="en-US" w:eastAsia="zh-CN"/>
              </w:rPr>
              <w:t>合同签订后10个工作日内支付合同总额的30%作为预付款；</w:t>
            </w:r>
            <w:r>
              <w:rPr>
                <w:rFonts w:hint="default" w:ascii="宋体" w:hAnsi="宋体" w:eastAsia="宋体" w:cs="宋体"/>
                <w:color w:val="auto"/>
                <w:sz w:val="24"/>
                <w:szCs w:val="24"/>
                <w:highlight w:val="none"/>
                <w:lang w:val="en-US" w:eastAsia="zh-CN"/>
              </w:rPr>
              <w:t>验收合格后</w:t>
            </w:r>
            <w:r>
              <w:rPr>
                <w:rFonts w:hint="eastAsia" w:ascii="宋体" w:hAnsi="宋体" w:eastAsia="宋体" w:cs="宋体"/>
                <w:color w:val="auto"/>
                <w:sz w:val="24"/>
                <w:szCs w:val="24"/>
                <w:highlight w:val="none"/>
                <w:lang w:val="en-US" w:eastAsia="zh-CN"/>
              </w:rPr>
              <w:t>30</w:t>
            </w:r>
            <w:r>
              <w:rPr>
                <w:rFonts w:hint="default" w:ascii="宋体" w:hAnsi="宋体" w:eastAsia="宋体" w:cs="宋体"/>
                <w:color w:val="auto"/>
                <w:sz w:val="24"/>
                <w:szCs w:val="24"/>
                <w:highlight w:val="none"/>
                <w:lang w:val="en-US" w:eastAsia="zh-CN"/>
              </w:rPr>
              <w:t>个工作日内支付</w:t>
            </w:r>
            <w:r>
              <w:rPr>
                <w:rFonts w:hint="eastAsia" w:ascii="宋体" w:hAnsi="宋体" w:eastAsia="宋体" w:cs="宋体"/>
                <w:color w:val="auto"/>
                <w:sz w:val="24"/>
                <w:szCs w:val="24"/>
                <w:highlight w:val="none"/>
                <w:lang w:val="en-US" w:eastAsia="zh-CN"/>
              </w:rPr>
              <w:t>30</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年底</w:t>
            </w:r>
            <w:r>
              <w:rPr>
                <w:rFonts w:hint="default" w:ascii="宋体" w:hAnsi="宋体" w:eastAsia="宋体" w:cs="宋体"/>
                <w:color w:val="auto"/>
                <w:sz w:val="24"/>
                <w:szCs w:val="24"/>
                <w:highlight w:val="none"/>
                <w:lang w:val="en-US" w:eastAsia="zh-CN"/>
              </w:rPr>
              <w:t>累计支付至合同总额的</w:t>
            </w:r>
            <w:r>
              <w:rPr>
                <w:rFonts w:hint="eastAsia" w:ascii="宋体" w:hAnsi="宋体" w:eastAsia="宋体" w:cs="宋体"/>
                <w:color w:val="auto"/>
                <w:sz w:val="24"/>
                <w:szCs w:val="24"/>
                <w:highlight w:val="none"/>
                <w:lang w:val="en-US" w:eastAsia="zh-CN"/>
              </w:rPr>
              <w:t>100</w:t>
            </w:r>
            <w:r>
              <w:rPr>
                <w:rFonts w:hint="default"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p>
        </w:tc>
      </w:tr>
      <w:tr w14:paraId="544170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65" w:type="dxa"/>
            <w:tcBorders>
              <w:tl2br w:val="nil"/>
              <w:tr2bl w:val="nil"/>
            </w:tcBorders>
            <w:noWrap w:val="0"/>
            <w:vAlign w:val="center"/>
          </w:tcPr>
          <w:p w14:paraId="521E8B71">
            <w:pPr>
              <w:spacing w:line="360" w:lineRule="auto"/>
              <w:jc w:val="center"/>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30</w:t>
            </w:r>
          </w:p>
        </w:tc>
        <w:tc>
          <w:tcPr>
            <w:tcW w:w="2904" w:type="dxa"/>
            <w:tcBorders>
              <w:tl2br w:val="nil"/>
              <w:tr2bl w:val="nil"/>
            </w:tcBorders>
            <w:noWrap w:val="0"/>
            <w:vAlign w:val="center"/>
          </w:tcPr>
          <w:p w14:paraId="0B57C7E4">
            <w:pPr>
              <w:spacing w:line="360" w:lineRule="auto"/>
              <w:jc w:val="center"/>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履约保证金</w:t>
            </w:r>
          </w:p>
        </w:tc>
        <w:tc>
          <w:tcPr>
            <w:tcW w:w="7261" w:type="dxa"/>
            <w:tcBorders>
              <w:tl2br w:val="nil"/>
              <w:tr2bl w:val="nil"/>
            </w:tcBorders>
            <w:noWrap w:val="0"/>
            <w:vAlign w:val="center"/>
          </w:tcPr>
          <w:p w14:paraId="7C568D50">
            <w:pPr>
              <w:spacing w:line="360" w:lineRule="auto"/>
              <w:jc w:val="left"/>
              <w:rPr>
                <w:rFonts w:hint="default" w:ascii="宋体" w:hAnsi="宋体" w:eastAsia="宋体" w:cs="宋体"/>
                <w:color w:val="auto"/>
                <w:sz w:val="24"/>
                <w:szCs w:val="24"/>
                <w:highlight w:val="cyan"/>
                <w:lang w:val="en-US" w:eastAsia="zh-CN"/>
              </w:rPr>
            </w:pPr>
            <w:r>
              <w:rPr>
                <w:rFonts w:hint="eastAsia" w:ascii="宋体" w:hAnsi="宋体" w:eastAsia="宋体" w:cs="宋体"/>
                <w:color w:val="auto"/>
                <w:sz w:val="24"/>
                <w:szCs w:val="24"/>
                <w:highlight w:val="none"/>
                <w:lang w:val="en-US" w:eastAsia="zh-CN"/>
              </w:rPr>
              <w:t>/</w:t>
            </w:r>
          </w:p>
        </w:tc>
      </w:tr>
      <w:tr w14:paraId="0F0E92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46D783BC">
            <w:pPr>
              <w:spacing w:line="360" w:lineRule="auto"/>
              <w:jc w:val="center"/>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31</w:t>
            </w:r>
          </w:p>
        </w:tc>
        <w:tc>
          <w:tcPr>
            <w:tcW w:w="2904" w:type="dxa"/>
            <w:tcBorders>
              <w:tl2br w:val="nil"/>
              <w:tr2bl w:val="nil"/>
            </w:tcBorders>
            <w:noWrap w:val="0"/>
            <w:vAlign w:val="center"/>
          </w:tcPr>
          <w:p w14:paraId="2B222A70">
            <w:pPr>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所属行业</w:t>
            </w:r>
          </w:p>
        </w:tc>
        <w:tc>
          <w:tcPr>
            <w:tcW w:w="7261" w:type="dxa"/>
            <w:tcBorders>
              <w:tl2br w:val="nil"/>
              <w:tr2bl w:val="nil"/>
            </w:tcBorders>
            <w:noWrap w:val="0"/>
            <w:vAlign w:val="center"/>
          </w:tcPr>
          <w:p w14:paraId="33917A7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r w14:paraId="42A788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4321CA8C">
            <w:pPr>
              <w:spacing w:line="360" w:lineRule="auto"/>
              <w:jc w:val="center"/>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32</w:t>
            </w:r>
          </w:p>
        </w:tc>
        <w:tc>
          <w:tcPr>
            <w:tcW w:w="2904" w:type="dxa"/>
            <w:tcBorders>
              <w:tl2br w:val="nil"/>
              <w:tr2bl w:val="nil"/>
            </w:tcBorders>
            <w:noWrap w:val="0"/>
            <w:vAlign w:val="center"/>
          </w:tcPr>
          <w:p w14:paraId="254B66FB">
            <w:pPr>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cs="宋体"/>
                <w:b/>
                <w:bCs/>
                <w:sz w:val="24"/>
              </w:rPr>
              <w:t>签字或盖章要求</w:t>
            </w:r>
          </w:p>
        </w:tc>
        <w:tc>
          <w:tcPr>
            <w:tcW w:w="7261" w:type="dxa"/>
            <w:tcBorders>
              <w:tl2br w:val="nil"/>
              <w:tr2bl w:val="nil"/>
            </w:tcBorders>
            <w:noWrap w:val="0"/>
            <w:vAlign w:val="center"/>
          </w:tcPr>
          <w:p w14:paraId="26A6F55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sz w:val="24"/>
                <w:szCs w:val="24"/>
              </w:rPr>
              <w:t>响应文件格式文件要求盖单位章和签字的地方，投标人均应使用 CA 数字证书加盖企业电子签章和法定代表人的电子签章。</w:t>
            </w:r>
          </w:p>
        </w:tc>
      </w:tr>
      <w:tr w14:paraId="0E4CB3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748C0C26">
            <w:pPr>
              <w:spacing w:line="360" w:lineRule="auto"/>
              <w:jc w:val="center"/>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33</w:t>
            </w:r>
          </w:p>
        </w:tc>
        <w:tc>
          <w:tcPr>
            <w:tcW w:w="2904" w:type="dxa"/>
            <w:tcBorders>
              <w:tl2br w:val="nil"/>
              <w:tr2bl w:val="nil"/>
            </w:tcBorders>
            <w:noWrap w:val="0"/>
            <w:vAlign w:val="center"/>
          </w:tcPr>
          <w:p w14:paraId="65B3A259">
            <w:pPr>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cs="宋体"/>
                <w:b/>
                <w:bCs/>
                <w:sz w:val="24"/>
              </w:rPr>
              <w:t>中小微型企业有关政策</w:t>
            </w:r>
          </w:p>
        </w:tc>
        <w:tc>
          <w:tcPr>
            <w:tcW w:w="7261" w:type="dxa"/>
            <w:tcBorders>
              <w:tl2br w:val="nil"/>
              <w:tr2bl w:val="nil"/>
            </w:tcBorders>
            <w:noWrap w:val="0"/>
            <w:vAlign w:val="center"/>
          </w:tcPr>
          <w:p w14:paraId="7D90354F">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sz w:val="24"/>
              </w:rPr>
              <w:t>根据财政部、工业和信息化部发布的关于印发《政府采购促进中小企业发展管理办法》的通知，财库[2020]46号）规定执行；</w:t>
            </w:r>
          </w:p>
        </w:tc>
      </w:tr>
      <w:tr w14:paraId="602909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5" w:type="dxa"/>
            <w:tcBorders>
              <w:tl2br w:val="nil"/>
              <w:tr2bl w:val="nil"/>
            </w:tcBorders>
            <w:noWrap w:val="0"/>
            <w:vAlign w:val="center"/>
          </w:tcPr>
          <w:p w14:paraId="67989A71">
            <w:pPr>
              <w:spacing w:line="360" w:lineRule="auto"/>
              <w:jc w:val="center"/>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34</w:t>
            </w:r>
          </w:p>
        </w:tc>
        <w:tc>
          <w:tcPr>
            <w:tcW w:w="2904" w:type="dxa"/>
            <w:tcBorders>
              <w:tl2br w:val="nil"/>
              <w:tr2bl w:val="nil"/>
            </w:tcBorders>
            <w:noWrap w:val="0"/>
            <w:vAlign w:val="center"/>
          </w:tcPr>
          <w:p w14:paraId="5642587A">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其他</w:t>
            </w:r>
          </w:p>
        </w:tc>
        <w:tc>
          <w:tcPr>
            <w:tcW w:w="7261" w:type="dxa"/>
            <w:tcBorders>
              <w:tl2br w:val="nil"/>
              <w:tr2bl w:val="nil"/>
            </w:tcBorders>
            <w:noWrap w:val="0"/>
            <w:vAlign w:val="center"/>
          </w:tcPr>
          <w:p w14:paraId="4DD4FDA9">
            <w:pPr>
              <w:numPr>
                <w:ilvl w:val="0"/>
                <w:numId w:val="2"/>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本次采购如有变更、澄清或其他通知将在发布采购公告的网站上公布。</w:t>
            </w:r>
          </w:p>
          <w:p w14:paraId="769732FF">
            <w:pPr>
              <w:numPr>
                <w:ilvl w:val="0"/>
                <w:numId w:val="2"/>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加密的响应文件中提供的供应商报价为一次报价，评标小组会对各供应商的响应文件进行初步评审（资格评审</w:t>
            </w:r>
            <w:bookmarkStart w:id="331" w:name="_GoBack"/>
            <w:bookmarkEnd w:id="331"/>
            <w:r>
              <w:rPr>
                <w:rFonts w:hint="eastAsia" w:ascii="宋体" w:hAnsi="宋体" w:eastAsia="宋体" w:cs="宋体"/>
                <w:color w:val="auto"/>
                <w:sz w:val="24"/>
                <w:szCs w:val="24"/>
                <w:highlight w:val="none"/>
                <w:lang w:val="en-US" w:eastAsia="zh-CN"/>
              </w:rPr>
              <w:t>、符合性评审）；</w:t>
            </w:r>
          </w:p>
          <w:p w14:paraId="1D83077C">
            <w:pPr>
              <w:numPr>
                <w:ilvl w:val="0"/>
                <w:numId w:val="2"/>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示：开标时，请供应商随时关注政采云账号内的站内信；注册时留下的注册人的手机短息（系统会推送短信至注册联系人的手机），但此短信仅系友情提示，并不具有任何约束性和必要性，采购代理机构不承担投标人未收到短信而引起的一切后果和法律责任</w:t>
            </w:r>
          </w:p>
        </w:tc>
      </w:tr>
    </w:tbl>
    <w:p w14:paraId="7BF6DB2C">
      <w:pPr>
        <w:pStyle w:val="3"/>
        <w:spacing w:line="400" w:lineRule="exact"/>
        <w:jc w:val="center"/>
        <w:outlineLvl w:val="9"/>
        <w:rPr>
          <w:rFonts w:hint="eastAsia" w:ascii="宋体" w:hAnsi="宋体" w:eastAsia="宋体" w:cs="宋体"/>
          <w:bCs w:val="0"/>
          <w:color w:val="auto"/>
          <w:highlight w:val="none"/>
        </w:rPr>
      </w:pPr>
    </w:p>
    <w:p w14:paraId="041DE74D">
      <w:pPr>
        <w:pStyle w:val="3"/>
        <w:spacing w:before="0" w:after="0" w:line="360" w:lineRule="auto"/>
        <w:jc w:val="center"/>
        <w:rPr>
          <w:rFonts w:hint="eastAsia" w:ascii="宋体" w:hAnsi="宋体" w:eastAsia="宋体" w:cs="宋体"/>
          <w:bCs w:val="0"/>
          <w:color w:val="auto"/>
          <w:highlight w:val="none"/>
        </w:rPr>
      </w:pPr>
      <w:r>
        <w:rPr>
          <w:rFonts w:hint="eastAsia" w:ascii="宋体" w:hAnsi="宋体" w:eastAsia="宋体" w:cs="宋体"/>
          <w:bCs w:val="0"/>
          <w:color w:val="auto"/>
          <w:highlight w:val="none"/>
        </w:rPr>
        <w:br w:type="page"/>
      </w:r>
      <w:bookmarkStart w:id="30" w:name="_Toc27836"/>
      <w:bookmarkStart w:id="31" w:name="_Toc30379"/>
      <w:r>
        <w:rPr>
          <w:rFonts w:hint="eastAsia" w:ascii="宋体" w:hAnsi="宋体" w:eastAsia="宋体" w:cs="宋体"/>
          <w:bCs w:val="0"/>
          <w:color w:val="auto"/>
          <w:sz w:val="30"/>
          <w:szCs w:val="30"/>
          <w:highlight w:val="none"/>
        </w:rPr>
        <w:t>二、总  则</w:t>
      </w:r>
      <w:bookmarkEnd w:id="30"/>
      <w:bookmarkEnd w:id="31"/>
    </w:p>
    <w:p w14:paraId="415BE6C3">
      <w:pPr>
        <w:pStyle w:val="4"/>
        <w:spacing w:before="0" w:after="0" w:line="360" w:lineRule="auto"/>
        <w:ind w:firstLine="482" w:firstLineChars="200"/>
        <w:rPr>
          <w:rFonts w:hint="eastAsia" w:ascii="宋体" w:hAnsi="宋体" w:eastAsia="宋体" w:cs="宋体"/>
          <w:color w:val="auto"/>
          <w:sz w:val="24"/>
          <w:highlight w:val="none"/>
        </w:rPr>
      </w:pPr>
      <w:bookmarkStart w:id="32" w:name="_Toc183682342"/>
      <w:bookmarkStart w:id="33" w:name="_Toc183582205"/>
      <w:bookmarkStart w:id="34" w:name="_Toc28641"/>
      <w:bookmarkStart w:id="35" w:name="_Toc217446034"/>
      <w:r>
        <w:rPr>
          <w:rFonts w:hint="eastAsia" w:ascii="宋体" w:hAnsi="宋体" w:eastAsia="宋体" w:cs="宋体"/>
          <w:color w:val="auto"/>
          <w:sz w:val="24"/>
          <w:highlight w:val="none"/>
        </w:rPr>
        <w:t>1.</w:t>
      </w:r>
      <w:bookmarkEnd w:id="32"/>
      <w:bookmarkEnd w:id="33"/>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适用范围</w:t>
      </w:r>
      <w:bookmarkEnd w:id="34"/>
      <w:bookmarkEnd w:id="35"/>
    </w:p>
    <w:p w14:paraId="12FA5B09">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本采购文件仅适用于本次采购项目。</w:t>
      </w:r>
    </w:p>
    <w:p w14:paraId="5876D05A">
      <w:pPr>
        <w:pStyle w:val="4"/>
        <w:spacing w:before="0" w:after="0" w:line="360" w:lineRule="auto"/>
        <w:ind w:firstLine="482" w:firstLineChars="200"/>
        <w:rPr>
          <w:rFonts w:hint="eastAsia" w:ascii="宋体" w:hAnsi="宋体" w:eastAsia="宋体" w:cs="宋体"/>
          <w:color w:val="auto"/>
          <w:sz w:val="24"/>
          <w:highlight w:val="none"/>
        </w:rPr>
      </w:pPr>
      <w:bookmarkStart w:id="36" w:name="_Toc183682343"/>
      <w:bookmarkStart w:id="37" w:name="_Toc183582206"/>
      <w:bookmarkStart w:id="38" w:name="_Toc6000"/>
      <w:bookmarkStart w:id="39" w:name="_Toc217446035"/>
      <w:r>
        <w:rPr>
          <w:rFonts w:hint="eastAsia" w:ascii="宋体" w:hAnsi="宋体" w:eastAsia="宋体" w:cs="宋体"/>
          <w:color w:val="auto"/>
          <w:sz w:val="24"/>
          <w:highlight w:val="none"/>
        </w:rPr>
        <w:t xml:space="preserve">2. </w:t>
      </w:r>
      <w:bookmarkEnd w:id="36"/>
      <w:bookmarkEnd w:id="37"/>
      <w:r>
        <w:rPr>
          <w:rFonts w:hint="eastAsia" w:ascii="宋体" w:hAnsi="宋体" w:eastAsia="宋体" w:cs="宋体"/>
          <w:color w:val="auto"/>
          <w:sz w:val="24"/>
          <w:highlight w:val="none"/>
        </w:rPr>
        <w:t>有关</w:t>
      </w:r>
      <w:r>
        <w:rPr>
          <w:rFonts w:hint="eastAsia" w:ascii="宋体" w:hAnsi="宋体" w:eastAsia="宋体" w:cs="宋体"/>
          <w:color w:val="auto"/>
          <w:sz w:val="24"/>
          <w:szCs w:val="24"/>
          <w:highlight w:val="none"/>
        </w:rPr>
        <w:t>定义</w:t>
      </w:r>
      <w:bookmarkEnd w:id="38"/>
      <w:bookmarkEnd w:id="39"/>
    </w:p>
    <w:p w14:paraId="165E10E1">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“采购人”系指依法进行政府采购的国家机关、事业单位、团体组织。本项目采购人是</w:t>
      </w:r>
      <w:r>
        <w:rPr>
          <w:rFonts w:hint="eastAsia" w:ascii="宋体" w:hAnsi="宋体" w:cs="宋体"/>
          <w:sz w:val="24"/>
          <w:szCs w:val="24"/>
          <w:u w:val="single"/>
          <w:lang w:val="en-US" w:eastAsia="zh-CN"/>
        </w:rPr>
        <w:t>哈密市检验检测中心（哈密市质量与计量检测所）</w:t>
      </w:r>
      <w:r>
        <w:rPr>
          <w:rFonts w:hint="eastAsia" w:ascii="宋体" w:hAnsi="宋体" w:eastAsia="宋体" w:cs="宋体"/>
          <w:color w:val="auto"/>
          <w:sz w:val="24"/>
          <w:highlight w:val="none"/>
        </w:rPr>
        <w:t>。</w:t>
      </w:r>
    </w:p>
    <w:p w14:paraId="224CE394">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 系指根据采购人的委托依法办理采购事宜的采购机构。本次采购的采购代理机构是</w:t>
      </w:r>
      <w:r>
        <w:rPr>
          <w:rFonts w:hint="eastAsia" w:ascii="宋体" w:hAnsi="宋体" w:eastAsia="宋体" w:cs="宋体"/>
          <w:color w:val="auto"/>
          <w:sz w:val="24"/>
          <w:highlight w:val="none"/>
          <w:u w:val="single"/>
          <w:lang w:eastAsia="zh-CN"/>
        </w:rPr>
        <w:t>新疆聚友共创项目管理有限公司</w:t>
      </w:r>
      <w:r>
        <w:rPr>
          <w:rFonts w:hint="eastAsia" w:ascii="宋体" w:hAnsi="宋体" w:eastAsia="宋体" w:cs="宋体"/>
          <w:color w:val="auto"/>
          <w:sz w:val="24"/>
          <w:highlight w:val="none"/>
        </w:rPr>
        <w:t>。</w:t>
      </w:r>
    </w:p>
    <w:p w14:paraId="1B8B2857">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“采购单位”系指“采购人”和“采购代理机构”的统称。</w:t>
      </w:r>
    </w:p>
    <w:p w14:paraId="3A917732">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“供应商”系指购买了采购文件拟参加投标和向采购人提供服务的供应商。</w:t>
      </w:r>
    </w:p>
    <w:p w14:paraId="4876A9DF">
      <w:pPr>
        <w:pStyle w:val="4"/>
        <w:spacing w:before="0" w:after="0" w:line="360" w:lineRule="auto"/>
        <w:ind w:firstLine="482" w:firstLineChars="200"/>
        <w:rPr>
          <w:rFonts w:hint="eastAsia" w:ascii="宋体" w:hAnsi="宋体" w:eastAsia="宋体" w:cs="宋体"/>
          <w:color w:val="auto"/>
          <w:sz w:val="24"/>
          <w:highlight w:val="none"/>
        </w:rPr>
      </w:pPr>
      <w:bookmarkStart w:id="40" w:name="_Toc183682344"/>
      <w:bookmarkStart w:id="41" w:name="_Toc183582207"/>
      <w:bookmarkStart w:id="42" w:name="_Toc217446036"/>
      <w:bookmarkStart w:id="43" w:name="_Toc217390843"/>
      <w:bookmarkStart w:id="44" w:name="_Toc673"/>
      <w:r>
        <w:rPr>
          <w:rFonts w:hint="eastAsia" w:ascii="宋体" w:hAnsi="宋体" w:eastAsia="宋体" w:cs="宋体"/>
          <w:color w:val="auto"/>
          <w:sz w:val="24"/>
          <w:highlight w:val="none"/>
        </w:rPr>
        <w:t>3. 合格的</w:t>
      </w:r>
      <w:bookmarkEnd w:id="40"/>
      <w:bookmarkEnd w:id="41"/>
      <w:bookmarkEnd w:id="42"/>
      <w:bookmarkEnd w:id="43"/>
      <w:r>
        <w:rPr>
          <w:rFonts w:hint="eastAsia" w:ascii="宋体" w:hAnsi="宋体" w:eastAsia="宋体" w:cs="宋体"/>
          <w:color w:val="auto"/>
          <w:sz w:val="24"/>
          <w:highlight w:val="none"/>
        </w:rPr>
        <w:t>供应商</w:t>
      </w:r>
      <w:bookmarkEnd w:id="44"/>
    </w:p>
    <w:p w14:paraId="306704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bookmarkStart w:id="45" w:name="_Toc217446037"/>
      <w:bookmarkStart w:id="46" w:name="_Toc183582208"/>
      <w:bookmarkStart w:id="47" w:name="_Toc183682345"/>
      <w:r>
        <w:rPr>
          <w:rFonts w:hint="eastAsia" w:asciiTheme="majorEastAsia" w:hAnsiTheme="majorEastAsia" w:eastAsiaTheme="majorEastAsia" w:cstheme="majorEastAsia"/>
          <w:sz w:val="24"/>
          <w:szCs w:val="24"/>
        </w:rPr>
        <w:t>1.1 供应商参加政府采购活动应当具备下列条件：</w:t>
      </w:r>
    </w:p>
    <w:p w14:paraId="24F43F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（一）具有独立承担民事责任的能力；</w:t>
      </w:r>
    </w:p>
    <w:p w14:paraId="45D72E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（二）具有良好的商业信誉和健全的财务会计制度；</w:t>
      </w:r>
    </w:p>
    <w:p w14:paraId="2D3EF0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（三）具有履行合同所必需的设备和专业技术能力；</w:t>
      </w:r>
    </w:p>
    <w:p w14:paraId="0AD239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（四）有依法缴纳税收和社会保障资金的良好记录；</w:t>
      </w:r>
    </w:p>
    <w:p w14:paraId="2A189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（五）参加政府采购活动前三年内，在经营活动中没有重大违法记录；</w:t>
      </w:r>
    </w:p>
    <w:p w14:paraId="489BD8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（六）法律、行政法规规定的其他条件。</w:t>
      </w:r>
    </w:p>
    <w:p w14:paraId="342D13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 凡参加投标的供应商必须具有履行本</w:t>
      </w:r>
      <w:r>
        <w:rPr>
          <w:rFonts w:hint="eastAsia" w:asciiTheme="majorEastAsia" w:hAnsiTheme="majorEastAsia" w:eastAsiaTheme="majorEastAsia" w:cstheme="majorEastAsia"/>
          <w:sz w:val="24"/>
          <w:szCs w:val="24"/>
          <w:lang w:eastAsia="zh-CN"/>
        </w:rPr>
        <w:t>招标</w:t>
      </w:r>
      <w:r>
        <w:rPr>
          <w:rFonts w:hint="eastAsia" w:asciiTheme="majorEastAsia" w:hAnsiTheme="majorEastAsia" w:eastAsiaTheme="majorEastAsia" w:cstheme="majorEastAsia"/>
          <w:sz w:val="24"/>
          <w:szCs w:val="24"/>
        </w:rPr>
        <w:t>文件规定的有关要求的能力，信誉良好。</w:t>
      </w:r>
    </w:p>
    <w:p w14:paraId="3E2555B7">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ajorEastAsia" w:hAnsiTheme="majorEastAsia" w:eastAsiaTheme="majorEastAsia" w:cstheme="majorEastAsia"/>
          <w:spacing w:val="-11"/>
          <w:sz w:val="24"/>
          <w:szCs w:val="24"/>
        </w:rPr>
      </w:pPr>
      <w:r>
        <w:rPr>
          <w:rFonts w:hint="eastAsia" w:asciiTheme="majorEastAsia" w:hAnsiTheme="majorEastAsia" w:eastAsiaTheme="majorEastAsia" w:cstheme="majorEastAsia"/>
          <w:spacing w:val="-11"/>
          <w:sz w:val="24"/>
          <w:szCs w:val="24"/>
        </w:rPr>
        <w:t>1.3 若采购人员及相关人员与供应商有下列利害关系之一的，应当回避：</w:t>
      </w:r>
    </w:p>
    <w:p w14:paraId="5E4485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1.3.1 参加采购活动前3年内与供应商存在劳动关系；</w:t>
      </w:r>
    </w:p>
    <w:p w14:paraId="0D4D25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1.3.2 参加采购活动前3年内担任供应商的董事、监事；</w:t>
      </w:r>
    </w:p>
    <w:p w14:paraId="1753D6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1.3.3 参加采购活动前3年内是供应商的控股股东或者实际控制人；</w:t>
      </w:r>
    </w:p>
    <w:p w14:paraId="4DE3884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1.3.4 与供应商的法定代表人或者负责人有夫妻、直系血亲、三代以内旁系血亲或者近姻亲关系；</w:t>
      </w:r>
    </w:p>
    <w:p w14:paraId="069876FA">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ajorEastAsia" w:hAnsiTheme="majorEastAsia" w:eastAsiaTheme="majorEastAsia" w:cstheme="majorEastAsia"/>
          <w:spacing w:val="-11"/>
          <w:sz w:val="24"/>
          <w:szCs w:val="24"/>
        </w:rPr>
      </w:pPr>
      <w:r>
        <w:rPr>
          <w:rFonts w:hint="eastAsia" w:asciiTheme="majorEastAsia" w:hAnsiTheme="majorEastAsia" w:eastAsiaTheme="majorEastAsia" w:cstheme="majorEastAsia"/>
          <w:spacing w:val="-11"/>
          <w:sz w:val="24"/>
          <w:szCs w:val="24"/>
        </w:rPr>
        <w:t>1.3.5 与供应商有其他可能影响政府采购活动公平、公正进行的关系。</w:t>
      </w:r>
    </w:p>
    <w:p w14:paraId="1A98CD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539A7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 采购人或者采购代理机构有下列情形之一的，属于以不合理的条件对供应商实行差别待遇或者歧视待遇：</w:t>
      </w:r>
    </w:p>
    <w:p w14:paraId="6390F0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1.4.1 就同一采购项目向供应商提供有差别的项目信息；</w:t>
      </w:r>
    </w:p>
    <w:p w14:paraId="6CE1CE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1.4.2 设定的资格、技术、商务条件与采购项目的具体特点和实际需要不相适应或者与合同履行无关；</w:t>
      </w:r>
    </w:p>
    <w:p w14:paraId="110661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1.4.3 采购需求中的技术、服务等要求指向特定供应商、特定产品；</w:t>
      </w:r>
    </w:p>
    <w:p w14:paraId="7E8C6718">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ajorEastAsia" w:hAnsiTheme="majorEastAsia" w:eastAsiaTheme="majorEastAsia" w:cstheme="majorEastAsia"/>
          <w:spacing w:val="-11"/>
          <w:sz w:val="24"/>
          <w:szCs w:val="24"/>
        </w:rPr>
      </w:pPr>
      <w:r>
        <w:rPr>
          <w:rFonts w:hint="eastAsia" w:asciiTheme="majorEastAsia" w:hAnsiTheme="majorEastAsia" w:eastAsiaTheme="majorEastAsia" w:cstheme="majorEastAsia"/>
          <w:spacing w:val="-11"/>
          <w:sz w:val="24"/>
          <w:szCs w:val="24"/>
        </w:rPr>
        <w:t>1.4.4 以特定行政区域或者特定行业的业绩、奖项作为中标和成交条件；</w:t>
      </w:r>
    </w:p>
    <w:p w14:paraId="32B516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1.4.5 对供应商采取不同的资格审查或者评审标准；</w:t>
      </w:r>
    </w:p>
    <w:p w14:paraId="4183EA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1.4.6 限定或者指定特定的专利、商标、品牌或者供应商；</w:t>
      </w:r>
    </w:p>
    <w:p w14:paraId="3DD74B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1.4.7 非法限定供应商的所有制形式、组织形式或者所在地；</w:t>
      </w:r>
    </w:p>
    <w:p w14:paraId="6F2971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1.4.8 以其他不合理条件限制或者排斥潜在供应商。</w:t>
      </w:r>
    </w:p>
    <w:p w14:paraId="55968D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 有下列情形之一的，视为供应商串通投标，其投标无效：</w:t>
      </w:r>
    </w:p>
    <w:p w14:paraId="7C4DF2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1.5.1不同供应商的响应文件由同一单位或者个人编制；</w:t>
      </w:r>
    </w:p>
    <w:p w14:paraId="2315E1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1.5.2不同供应商委托同一单位或者个人办理投标事宜；</w:t>
      </w:r>
    </w:p>
    <w:p w14:paraId="3DF44D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1.5.3不同供应商的响应文件载明的项目管理成员或者联系人员为同一人；</w:t>
      </w:r>
    </w:p>
    <w:p w14:paraId="615D7C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1.5.4不同供应商的响应文件异常一致或者投标报价呈规律性差异；</w:t>
      </w:r>
    </w:p>
    <w:p w14:paraId="2EC1AA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1.5.5不同供应商的响应文件相互混装；</w:t>
      </w:r>
    </w:p>
    <w:p w14:paraId="6740C6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1.5.6不同供应商的投标保证金从同一单位或者个人的账户转出。</w:t>
      </w:r>
    </w:p>
    <w:p w14:paraId="61C81A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 供应商在本次采购活动中，必须遵循《中华人民共和国政府采购法实施条例》等相关法令、法规的规定。</w:t>
      </w:r>
    </w:p>
    <w:p w14:paraId="0D77CA1F">
      <w:pPr>
        <w:pStyle w:val="4"/>
        <w:spacing w:before="0" w:after="0" w:line="360" w:lineRule="auto"/>
        <w:ind w:firstLine="482" w:firstLineChars="200"/>
        <w:rPr>
          <w:rFonts w:hint="eastAsia" w:ascii="宋体" w:hAnsi="宋体" w:eastAsia="宋体" w:cs="宋体"/>
          <w:color w:val="auto"/>
          <w:sz w:val="24"/>
          <w:highlight w:val="none"/>
        </w:rPr>
      </w:pPr>
      <w:bookmarkStart w:id="48" w:name="_Toc2336"/>
      <w:r>
        <w:rPr>
          <w:rFonts w:hint="eastAsia" w:ascii="宋体" w:hAnsi="宋体" w:eastAsia="宋体" w:cs="宋体"/>
          <w:color w:val="auto"/>
          <w:sz w:val="24"/>
          <w:highlight w:val="none"/>
        </w:rPr>
        <w:t>4. 投标费用</w:t>
      </w:r>
      <w:bookmarkEnd w:id="45"/>
      <w:bookmarkEnd w:id="46"/>
      <w:bookmarkEnd w:id="47"/>
      <w:bookmarkEnd w:id="48"/>
    </w:p>
    <w:p w14:paraId="5FE903E8">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供应商参加投标的有关费用由供应商自行承担。</w:t>
      </w:r>
    </w:p>
    <w:p w14:paraId="36175992">
      <w:pPr>
        <w:pStyle w:val="3"/>
        <w:spacing w:before="0" w:after="0" w:line="360" w:lineRule="auto"/>
        <w:jc w:val="center"/>
        <w:rPr>
          <w:rFonts w:hint="eastAsia" w:ascii="宋体" w:hAnsi="宋体" w:eastAsia="宋体" w:cs="宋体"/>
          <w:bCs w:val="0"/>
          <w:color w:val="auto"/>
          <w:sz w:val="30"/>
          <w:szCs w:val="30"/>
          <w:highlight w:val="none"/>
        </w:rPr>
      </w:pPr>
      <w:bookmarkStart w:id="49" w:name="_Toc183682346"/>
      <w:bookmarkStart w:id="50" w:name="_Toc89075875"/>
      <w:bookmarkStart w:id="51" w:name="_Toc183582209"/>
      <w:bookmarkStart w:id="52" w:name="_Toc77400779"/>
      <w:bookmarkStart w:id="53" w:name="_Toc217446038"/>
      <w:bookmarkStart w:id="54" w:name="_Toc24401"/>
      <w:bookmarkStart w:id="55" w:name="_Toc5215"/>
      <w:r>
        <w:rPr>
          <w:rFonts w:hint="eastAsia" w:ascii="宋体" w:hAnsi="宋体" w:eastAsia="宋体" w:cs="宋体"/>
          <w:bCs w:val="0"/>
          <w:color w:val="auto"/>
          <w:sz w:val="30"/>
          <w:szCs w:val="30"/>
          <w:highlight w:val="none"/>
        </w:rPr>
        <w:t>三、采购文件</w:t>
      </w:r>
      <w:bookmarkEnd w:id="49"/>
      <w:bookmarkEnd w:id="50"/>
      <w:bookmarkEnd w:id="51"/>
      <w:bookmarkEnd w:id="52"/>
      <w:bookmarkEnd w:id="53"/>
      <w:bookmarkEnd w:id="54"/>
      <w:bookmarkEnd w:id="55"/>
    </w:p>
    <w:p w14:paraId="51790453">
      <w:pPr>
        <w:pStyle w:val="4"/>
        <w:spacing w:before="0" w:after="0" w:line="360" w:lineRule="auto"/>
        <w:ind w:firstLine="482" w:firstLineChars="200"/>
        <w:rPr>
          <w:rFonts w:hint="eastAsia" w:ascii="宋体" w:hAnsi="宋体" w:eastAsia="宋体" w:cs="宋体"/>
          <w:color w:val="auto"/>
          <w:sz w:val="24"/>
          <w:szCs w:val="24"/>
          <w:highlight w:val="none"/>
        </w:rPr>
      </w:pPr>
      <w:bookmarkStart w:id="56" w:name="_Toc217446039"/>
      <w:bookmarkStart w:id="57" w:name="_Toc183582210"/>
      <w:bookmarkStart w:id="58" w:name="_Toc183682347"/>
      <w:bookmarkStart w:id="59" w:name="_Toc2908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．采购文件的构成</w:t>
      </w:r>
      <w:bookmarkEnd w:id="56"/>
      <w:bookmarkEnd w:id="57"/>
      <w:bookmarkEnd w:id="58"/>
      <w:bookmarkEnd w:id="59"/>
    </w:p>
    <w:p w14:paraId="444C2B20">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 采购文件是供应商准备响应文件和参加投标的依据，同时也是评标的重要依据，具有准法律文件性质。采购文件用以阐明采购项目所需的资质、技术、服务及报价等要求、采购程序、有关规定和注意事项以及合同主要条款等。本采购文件包括以下内容：</w:t>
      </w:r>
    </w:p>
    <w:p w14:paraId="30D69A0A">
      <w:pPr>
        <w:tabs>
          <w:tab w:val="left" w:pos="0"/>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招标公告</w:t>
      </w:r>
      <w:r>
        <w:rPr>
          <w:rFonts w:hint="eastAsia" w:ascii="宋体" w:hAnsi="宋体" w:eastAsia="宋体" w:cs="宋体"/>
          <w:color w:val="auto"/>
          <w:sz w:val="24"/>
          <w:szCs w:val="24"/>
          <w:highlight w:val="none"/>
        </w:rPr>
        <w:tab/>
      </w:r>
    </w:p>
    <w:p w14:paraId="0E31D07B">
      <w:pPr>
        <w:tabs>
          <w:tab w:val="left" w:pos="0"/>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w:t>
      </w:r>
      <w:r>
        <w:rPr>
          <w:rFonts w:hint="eastAsia" w:ascii="宋体" w:hAnsi="宋体" w:eastAsia="宋体" w:cs="宋体"/>
          <w:color w:val="auto"/>
          <w:sz w:val="24"/>
          <w:szCs w:val="24"/>
          <w:highlight w:val="none"/>
        </w:rPr>
        <w:tab/>
      </w:r>
    </w:p>
    <w:p w14:paraId="0014B9CD">
      <w:pPr>
        <w:tabs>
          <w:tab w:val="left" w:pos="0"/>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（3）响应文件格式</w:t>
      </w:r>
      <w:r>
        <w:rPr>
          <w:rFonts w:hint="eastAsia" w:ascii="宋体" w:hAnsi="宋体" w:eastAsia="宋体" w:cs="宋体"/>
          <w:color w:val="auto"/>
          <w:sz w:val="24"/>
          <w:szCs w:val="24"/>
          <w:highlight w:val="none"/>
        </w:rPr>
        <w:tab/>
      </w:r>
    </w:p>
    <w:p w14:paraId="367817AD">
      <w:pPr>
        <w:tabs>
          <w:tab w:val="left" w:pos="0"/>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采购清单及技术要求</w:t>
      </w:r>
      <w:r>
        <w:rPr>
          <w:rFonts w:hint="eastAsia" w:ascii="宋体" w:hAnsi="宋体" w:eastAsia="宋体" w:cs="宋体"/>
          <w:color w:val="auto"/>
          <w:sz w:val="24"/>
          <w:szCs w:val="24"/>
          <w:highlight w:val="none"/>
        </w:rPr>
        <w:tab/>
      </w:r>
    </w:p>
    <w:p w14:paraId="23922C76">
      <w:pPr>
        <w:tabs>
          <w:tab w:val="left" w:pos="0"/>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（5）评标办法</w:t>
      </w:r>
      <w:r>
        <w:rPr>
          <w:rFonts w:hint="eastAsia" w:ascii="宋体" w:hAnsi="宋体" w:eastAsia="宋体" w:cs="宋体"/>
          <w:color w:val="auto"/>
          <w:sz w:val="24"/>
          <w:szCs w:val="24"/>
          <w:highlight w:val="none"/>
        </w:rPr>
        <w:tab/>
      </w:r>
    </w:p>
    <w:p w14:paraId="02D9F6D6">
      <w:pPr>
        <w:tabs>
          <w:tab w:val="left" w:pos="0"/>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（6）合同主要条款</w:t>
      </w:r>
      <w:r>
        <w:rPr>
          <w:rFonts w:hint="eastAsia" w:ascii="宋体" w:hAnsi="宋体" w:eastAsia="宋体" w:cs="宋体"/>
          <w:color w:val="auto"/>
          <w:sz w:val="24"/>
          <w:szCs w:val="24"/>
          <w:highlight w:val="none"/>
        </w:rPr>
        <w:tab/>
      </w:r>
    </w:p>
    <w:p w14:paraId="7B627FAC">
      <w:pPr>
        <w:tabs>
          <w:tab w:val="left" w:pos="0"/>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30C5CD95">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2 供应商应认真阅读和充分理解采购文件中所有的事项、格式条款和规范要求。供应商没有对采购文件全面做出实质性响应是供应商的风险。没有按照采购文件要求作出实质性响应的响应文件将被拒绝。</w:t>
      </w:r>
    </w:p>
    <w:p w14:paraId="1EBE025B">
      <w:pPr>
        <w:pStyle w:val="4"/>
        <w:spacing w:before="0" w:after="0" w:line="360" w:lineRule="auto"/>
        <w:ind w:firstLine="482" w:firstLineChars="200"/>
        <w:rPr>
          <w:rFonts w:hint="eastAsia" w:ascii="宋体" w:hAnsi="宋体" w:eastAsia="宋体" w:cs="宋体"/>
          <w:color w:val="auto"/>
          <w:sz w:val="24"/>
          <w:szCs w:val="24"/>
          <w:highlight w:val="none"/>
        </w:rPr>
      </w:pPr>
      <w:bookmarkStart w:id="60" w:name="_Toc183582211"/>
      <w:bookmarkStart w:id="61" w:name="_Toc183682348"/>
      <w:bookmarkStart w:id="62" w:name="_Toc217446040"/>
      <w:bookmarkStart w:id="63" w:name="_Toc2920"/>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采购文件的澄清</w:t>
      </w:r>
      <w:bookmarkEnd w:id="60"/>
      <w:bookmarkEnd w:id="61"/>
      <w:r>
        <w:rPr>
          <w:rFonts w:hint="eastAsia" w:ascii="宋体" w:hAnsi="宋体" w:eastAsia="宋体" w:cs="宋体"/>
          <w:color w:val="auto"/>
          <w:sz w:val="24"/>
          <w:szCs w:val="24"/>
          <w:highlight w:val="none"/>
        </w:rPr>
        <w:t>和修改</w:t>
      </w:r>
      <w:bookmarkEnd w:id="62"/>
      <w:bookmarkEnd w:id="63"/>
    </w:p>
    <w:p w14:paraId="293985B0">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在投标截止时间前，采购单位无论出于何种原因，可以对采购文件进行澄清或者修改。</w:t>
      </w:r>
    </w:p>
    <w:p w14:paraId="576DF5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采购单位对已发出的采购文件进行澄清或者修改，将在采购文件要求的响应文件递交截止时间十五日前进行，并以书面（或公告）形式将澄清或者修改的内容通知所有购买了采购文件的供应商。该澄清或者修改的内容为采购文件的组成部分。</w:t>
      </w:r>
    </w:p>
    <w:p w14:paraId="02CB77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3 供应商对采购文件质疑或要求对采购文件进行澄清的，供应商应当在知道或应当知道（即收到采购文件之日或者采购文件公告期限届满之日）其权益受到损害之日起七个工作日内书面提出。</w:t>
      </w:r>
    </w:p>
    <w:p w14:paraId="2CA23F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.4 在投标截止时间前，采购单位可以视采购具体情况，延长投标截止时间和开标时间。</w:t>
      </w:r>
    </w:p>
    <w:p w14:paraId="2337AA85">
      <w:pPr>
        <w:pStyle w:val="4"/>
        <w:spacing w:before="0" w:after="0" w:line="360" w:lineRule="auto"/>
        <w:ind w:firstLine="482" w:firstLineChars="200"/>
        <w:rPr>
          <w:rFonts w:hint="eastAsia" w:ascii="宋体" w:hAnsi="宋体" w:eastAsia="宋体" w:cs="宋体"/>
          <w:color w:val="auto"/>
          <w:sz w:val="24"/>
          <w:szCs w:val="24"/>
          <w:highlight w:val="none"/>
        </w:rPr>
      </w:pPr>
      <w:bookmarkStart w:id="64" w:name="_Toc208848971"/>
      <w:bookmarkStart w:id="65" w:name="_Toc24101"/>
      <w:bookmarkStart w:id="66" w:name="_Toc217446041"/>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答疑会和现场考察</w:t>
      </w:r>
      <w:bookmarkEnd w:id="64"/>
      <w:bookmarkEnd w:id="65"/>
      <w:bookmarkEnd w:id="66"/>
    </w:p>
    <w:p w14:paraId="466FB182">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根据采购项目和具体情况，采购单位认为有必要，可以组织召开标前答疑会或组织供应商对项目现场进行考察。答疑会或进行现场考察的时间，采购单位将以书面形式通知所有购买了采购文件的供应商。</w:t>
      </w:r>
    </w:p>
    <w:p w14:paraId="0CBAF75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 供应商考察现场所发生的一切费用由供应商自己承担。</w:t>
      </w:r>
    </w:p>
    <w:p w14:paraId="15EC7922">
      <w:pPr>
        <w:pStyle w:val="3"/>
        <w:spacing w:before="0" w:after="0" w:line="360" w:lineRule="auto"/>
        <w:jc w:val="center"/>
        <w:rPr>
          <w:rFonts w:hint="eastAsia" w:ascii="宋体" w:hAnsi="宋体" w:eastAsia="宋体" w:cs="宋体"/>
          <w:bCs w:val="0"/>
          <w:color w:val="auto"/>
          <w:highlight w:val="none"/>
        </w:rPr>
      </w:pPr>
      <w:bookmarkStart w:id="67" w:name="_Toc89075876"/>
      <w:bookmarkStart w:id="68" w:name="_Toc183682351"/>
      <w:bookmarkStart w:id="69" w:name="_Toc217446042"/>
      <w:bookmarkStart w:id="70" w:name="_Toc77400780"/>
      <w:bookmarkStart w:id="71" w:name="_Toc183582214"/>
      <w:bookmarkStart w:id="72" w:name="_Toc1543"/>
      <w:bookmarkStart w:id="73" w:name="_Toc10112"/>
      <w:r>
        <w:rPr>
          <w:rFonts w:hint="eastAsia" w:ascii="宋体" w:hAnsi="宋体" w:eastAsia="宋体" w:cs="宋体"/>
          <w:bCs w:val="0"/>
          <w:color w:val="auto"/>
          <w:sz w:val="30"/>
          <w:szCs w:val="30"/>
          <w:highlight w:val="none"/>
        </w:rPr>
        <w:t>四、</w:t>
      </w:r>
      <w:bookmarkEnd w:id="67"/>
      <w:bookmarkEnd w:id="68"/>
      <w:bookmarkEnd w:id="69"/>
      <w:bookmarkEnd w:id="70"/>
      <w:bookmarkEnd w:id="71"/>
      <w:r>
        <w:rPr>
          <w:rFonts w:hint="eastAsia" w:ascii="宋体" w:hAnsi="宋体" w:eastAsia="宋体" w:cs="宋体"/>
          <w:bCs w:val="0"/>
          <w:color w:val="auto"/>
          <w:sz w:val="30"/>
          <w:szCs w:val="30"/>
          <w:highlight w:val="none"/>
        </w:rPr>
        <w:t>响应文件</w:t>
      </w:r>
      <w:bookmarkEnd w:id="72"/>
      <w:bookmarkEnd w:id="73"/>
    </w:p>
    <w:p w14:paraId="1567D5A2">
      <w:pPr>
        <w:pStyle w:val="4"/>
        <w:spacing w:before="0" w:after="0" w:line="360" w:lineRule="auto"/>
        <w:ind w:firstLine="482" w:firstLineChars="200"/>
        <w:rPr>
          <w:rFonts w:hint="eastAsia" w:ascii="宋体" w:hAnsi="宋体" w:eastAsia="宋体" w:cs="宋体"/>
          <w:bCs w:val="0"/>
          <w:color w:val="auto"/>
          <w:sz w:val="24"/>
          <w:szCs w:val="24"/>
          <w:highlight w:val="none"/>
        </w:rPr>
      </w:pPr>
      <w:bookmarkStart w:id="74" w:name="_Toc24813"/>
      <w:bookmarkStart w:id="75" w:name="_Toc183582215"/>
      <w:bookmarkStart w:id="76" w:name="_Toc217446043"/>
      <w:bookmarkStart w:id="77" w:name="_Toc183682352"/>
      <w:r>
        <w:rPr>
          <w:rFonts w:hint="eastAsia" w:ascii="宋体" w:hAnsi="宋体" w:eastAsia="宋体" w:cs="宋体"/>
          <w:bCs w:val="0"/>
          <w:color w:val="auto"/>
          <w:sz w:val="24"/>
          <w:szCs w:val="24"/>
          <w:highlight w:val="none"/>
          <w:lang w:val="en-US" w:eastAsia="zh-CN"/>
        </w:rPr>
        <w:t>8</w:t>
      </w:r>
      <w:r>
        <w:rPr>
          <w:rFonts w:hint="eastAsia" w:ascii="宋体" w:hAnsi="宋体" w:eastAsia="宋体" w:cs="宋体"/>
          <w:bCs w:val="0"/>
          <w:color w:val="auto"/>
          <w:sz w:val="24"/>
          <w:szCs w:val="24"/>
          <w:highlight w:val="none"/>
        </w:rPr>
        <w:t>．响应文件的语言</w:t>
      </w:r>
      <w:bookmarkEnd w:id="74"/>
      <w:bookmarkEnd w:id="75"/>
      <w:bookmarkEnd w:id="76"/>
      <w:bookmarkEnd w:id="77"/>
    </w:p>
    <w:p w14:paraId="50F70D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供应商提交的响应文件以及供应商与采购单位就有关投标的所有来往书面文件均须使用中文。响应文件中如附有外文资料，必须逐一对应翻译成中文并加盖供应商公章后附在相关外文资料后面，否则，供应商的响应文件将作为无效投标处理。</w:t>
      </w:r>
    </w:p>
    <w:p w14:paraId="1FE8B8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翻译的中文资料与外文资料如果出现差异和矛盾时，以中文为准。但不能故意错误翻译，否则，供应商的响应文件将作为无效投标处理。</w:t>
      </w:r>
    </w:p>
    <w:p w14:paraId="1C4E4D7F">
      <w:pPr>
        <w:pStyle w:val="4"/>
        <w:spacing w:before="0" w:after="0" w:line="360" w:lineRule="auto"/>
        <w:ind w:firstLine="482" w:firstLineChars="200"/>
        <w:rPr>
          <w:rFonts w:hint="eastAsia" w:ascii="宋体" w:hAnsi="宋体" w:eastAsia="宋体" w:cs="宋体"/>
          <w:color w:val="auto"/>
          <w:sz w:val="24"/>
          <w:szCs w:val="24"/>
          <w:highlight w:val="none"/>
        </w:rPr>
      </w:pPr>
      <w:bookmarkStart w:id="78" w:name="_Toc183682353"/>
      <w:bookmarkStart w:id="79" w:name="_Toc9628"/>
      <w:bookmarkStart w:id="80" w:name="_Toc183582216"/>
      <w:bookmarkStart w:id="81" w:name="_Toc217446044"/>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．计量单位</w:t>
      </w:r>
      <w:bookmarkEnd w:id="78"/>
      <w:bookmarkEnd w:id="79"/>
      <w:bookmarkEnd w:id="80"/>
      <w:bookmarkEnd w:id="81"/>
    </w:p>
    <w:p w14:paraId="0B044F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除技术规格及要求中另有规定外，本采购项下的投标均采用国家法定的计量单位。</w:t>
      </w:r>
    </w:p>
    <w:p w14:paraId="7FD56A59">
      <w:pPr>
        <w:pStyle w:val="4"/>
        <w:spacing w:before="0" w:after="0" w:line="360" w:lineRule="auto"/>
        <w:ind w:firstLine="482" w:firstLineChars="200"/>
        <w:rPr>
          <w:rFonts w:hint="eastAsia" w:ascii="宋体" w:hAnsi="宋体" w:eastAsia="宋体" w:cs="宋体"/>
          <w:color w:val="auto"/>
          <w:sz w:val="24"/>
          <w:szCs w:val="24"/>
          <w:highlight w:val="none"/>
        </w:rPr>
      </w:pPr>
      <w:bookmarkStart w:id="82" w:name="_Toc217446045"/>
      <w:bookmarkStart w:id="83" w:name="_Toc12379"/>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投标货币</w:t>
      </w:r>
      <w:bookmarkEnd w:id="82"/>
      <w:bookmarkEnd w:id="83"/>
    </w:p>
    <w:p w14:paraId="3D263D63">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本次采购项目的投标均以人民币报价。</w:t>
      </w:r>
    </w:p>
    <w:p w14:paraId="0A907A86">
      <w:pPr>
        <w:pStyle w:val="4"/>
        <w:spacing w:before="0" w:after="0" w:line="360" w:lineRule="auto"/>
        <w:ind w:firstLine="482" w:firstLineChars="200"/>
        <w:rPr>
          <w:rFonts w:hint="eastAsia" w:ascii="宋体" w:hAnsi="宋体" w:eastAsia="宋体" w:cs="宋体"/>
          <w:color w:val="auto"/>
          <w:sz w:val="24"/>
          <w:szCs w:val="24"/>
          <w:highlight w:val="none"/>
        </w:rPr>
      </w:pPr>
      <w:bookmarkStart w:id="84" w:name="_Toc17069"/>
      <w:bookmarkStart w:id="85" w:name="_Toc217446046"/>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联合体投标</w:t>
      </w:r>
      <w:bookmarkEnd w:id="84"/>
      <w:bookmarkEnd w:id="85"/>
    </w:p>
    <w:p w14:paraId="23513C68">
      <w:pPr>
        <w:spacing w:line="360" w:lineRule="auto"/>
        <w:ind w:firstLine="480" w:firstLineChars="200"/>
        <w:rPr>
          <w:rFonts w:hint="eastAsia" w:ascii="宋体" w:hAnsi="宋体" w:eastAsia="宋体" w:cs="宋体"/>
          <w:color w:val="auto"/>
          <w:sz w:val="24"/>
          <w:szCs w:val="24"/>
          <w:highlight w:val="none"/>
        </w:rPr>
      </w:pPr>
      <w:bookmarkStart w:id="86" w:name="_Toc217446047"/>
      <w:r>
        <w:rPr>
          <w:rFonts w:hint="eastAsia" w:ascii="宋体" w:hAnsi="宋体" w:eastAsia="宋体" w:cs="宋体"/>
          <w:color w:val="auto"/>
          <w:sz w:val="24"/>
          <w:szCs w:val="24"/>
          <w:highlight w:val="none"/>
        </w:rPr>
        <w:t>供应商须知前附表规定的联合体要求。</w:t>
      </w:r>
    </w:p>
    <w:p w14:paraId="5A30B1E5">
      <w:pPr>
        <w:pStyle w:val="4"/>
        <w:spacing w:before="0" w:after="0" w:line="360" w:lineRule="auto"/>
        <w:ind w:firstLine="482" w:firstLineChars="200"/>
        <w:rPr>
          <w:rFonts w:hint="eastAsia" w:ascii="宋体" w:hAnsi="宋体" w:eastAsia="宋体" w:cs="宋体"/>
          <w:bCs w:val="0"/>
          <w:color w:val="auto"/>
          <w:sz w:val="24"/>
          <w:szCs w:val="24"/>
          <w:highlight w:val="none"/>
        </w:rPr>
      </w:pPr>
      <w:bookmarkStart w:id="87" w:name="_Toc32053"/>
      <w:r>
        <w:rPr>
          <w:rFonts w:hint="eastAsia" w:ascii="宋体" w:hAnsi="宋体" w:eastAsia="宋体" w:cs="宋体"/>
          <w:bCs w:val="0"/>
          <w:color w:val="auto"/>
          <w:sz w:val="24"/>
          <w:szCs w:val="24"/>
          <w:highlight w:val="none"/>
        </w:rPr>
        <w:t>1</w:t>
      </w:r>
      <w:r>
        <w:rPr>
          <w:rFonts w:hint="eastAsia" w:ascii="宋体" w:hAnsi="宋体" w:eastAsia="宋体" w:cs="宋体"/>
          <w:bCs w:val="0"/>
          <w:color w:val="auto"/>
          <w:sz w:val="24"/>
          <w:szCs w:val="24"/>
          <w:highlight w:val="none"/>
          <w:lang w:val="en-US" w:eastAsia="zh-CN"/>
        </w:rPr>
        <w:t>2</w:t>
      </w:r>
      <w:r>
        <w:rPr>
          <w:rFonts w:hint="eastAsia" w:ascii="宋体" w:hAnsi="宋体" w:eastAsia="宋体" w:cs="宋体"/>
          <w:bCs w:val="0"/>
          <w:color w:val="auto"/>
          <w:sz w:val="24"/>
          <w:szCs w:val="24"/>
          <w:highlight w:val="none"/>
        </w:rPr>
        <w:t>. 知识产权</w:t>
      </w:r>
      <w:bookmarkEnd w:id="86"/>
      <w:bookmarkEnd w:id="87"/>
    </w:p>
    <w:p w14:paraId="56602995">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3697001D">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采购人享有本项目实施过程中产生的知识成果及知识产权。</w:t>
      </w:r>
    </w:p>
    <w:p w14:paraId="0F7AE4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14:paraId="07E23C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.4 如采用供应商所不拥有的知识产权，则在投标报价中必须包括合法获取该知识产权的相关费用。 </w:t>
      </w:r>
    </w:p>
    <w:p w14:paraId="2F914A41">
      <w:pPr>
        <w:pStyle w:val="4"/>
        <w:spacing w:before="0" w:after="0" w:line="360" w:lineRule="auto"/>
        <w:ind w:firstLine="482" w:firstLineChars="200"/>
        <w:rPr>
          <w:rFonts w:hint="eastAsia" w:ascii="宋体" w:hAnsi="宋体" w:eastAsia="宋体" w:cs="宋体"/>
          <w:color w:val="auto"/>
          <w:sz w:val="24"/>
          <w:szCs w:val="24"/>
          <w:highlight w:val="none"/>
        </w:rPr>
      </w:pPr>
      <w:bookmarkStart w:id="88" w:name="_Toc183582217"/>
      <w:bookmarkStart w:id="89" w:name="_Toc7571"/>
      <w:bookmarkStart w:id="90" w:name="_Toc217446048"/>
      <w:bookmarkStart w:id="91" w:name="_Toc183682354"/>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．响应文件的组成</w:t>
      </w:r>
      <w:bookmarkEnd w:id="88"/>
      <w:bookmarkEnd w:id="89"/>
      <w:bookmarkEnd w:id="90"/>
      <w:bookmarkEnd w:id="91"/>
    </w:p>
    <w:p w14:paraId="3D6B26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供应商应按照采购文件的规定和要求编制响应文件。采购文件允许分包的，供应商拟在</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后将</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项目的非主体、非关键性工作交由他人完成的，应当在响应文件中载明。供应商编写的响应文件应包括下列部分：</w:t>
      </w:r>
    </w:p>
    <w:p w14:paraId="25A15C9F">
      <w:pPr>
        <w:spacing w:line="360" w:lineRule="auto"/>
        <w:ind w:firstLine="480" w:firstLineChars="200"/>
        <w:rPr>
          <w:rFonts w:hint="eastAsia" w:ascii="宋体" w:hAnsi="宋体" w:eastAsia="宋体" w:cs="宋体"/>
          <w:color w:val="auto"/>
          <w:sz w:val="24"/>
          <w:szCs w:val="24"/>
          <w:highlight w:val="none"/>
          <w:lang w:val="en-US" w:eastAsia="zh-CN"/>
        </w:rPr>
      </w:pPr>
      <w:bookmarkStart w:id="92" w:name="_Toc183682355"/>
      <w:bookmarkStart w:id="93" w:name="_Toc183582218"/>
      <w:bookmarkStart w:id="94" w:name="_Toc217446049"/>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资格审查资料（详见第三章 响应文件格式）</w:t>
      </w:r>
    </w:p>
    <w:p w14:paraId="6249E490">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商务文件组成（详见第三章 响应文件格式）</w:t>
      </w:r>
    </w:p>
    <w:p w14:paraId="29CF11ED">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报价文件组成（详见第三章 响应文件格式）</w:t>
      </w:r>
    </w:p>
    <w:p w14:paraId="500AE43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4、技术文件组成（详见第三章 响应文件格式）</w:t>
      </w:r>
    </w:p>
    <w:p w14:paraId="26ADF6F8">
      <w:pPr>
        <w:pStyle w:val="4"/>
        <w:tabs>
          <w:tab w:val="left" w:pos="3480"/>
        </w:tabs>
        <w:spacing w:before="0" w:after="0" w:line="360" w:lineRule="auto"/>
        <w:ind w:firstLine="482" w:firstLineChars="200"/>
        <w:jc w:val="left"/>
        <w:rPr>
          <w:rFonts w:hint="eastAsia" w:ascii="宋体" w:hAnsi="宋体" w:eastAsia="宋体" w:cs="宋体"/>
          <w:color w:val="auto"/>
          <w:sz w:val="24"/>
          <w:szCs w:val="24"/>
          <w:highlight w:val="none"/>
        </w:rPr>
      </w:pPr>
      <w:bookmarkStart w:id="95" w:name="_Toc8011"/>
      <w:r>
        <w:rPr>
          <w:rFonts w:hint="eastAsia" w:ascii="宋体" w:hAnsi="宋体" w:eastAsia="宋体" w:cs="宋体"/>
          <w:b/>
          <w:bCs/>
          <w:color w:val="auto"/>
          <w:kern w:val="2"/>
          <w:sz w:val="24"/>
          <w:szCs w:val="24"/>
          <w:highlight w:val="none"/>
          <w:lang w:val="en-US" w:eastAsia="zh-CN" w:bidi="ar-SA"/>
        </w:rPr>
        <w:t>14．响应文件格式</w:t>
      </w:r>
      <w:bookmarkEnd w:id="92"/>
      <w:bookmarkEnd w:id="93"/>
      <w:bookmarkEnd w:id="94"/>
      <w:bookmarkEnd w:id="95"/>
      <w:r>
        <w:rPr>
          <w:rFonts w:hint="eastAsia" w:ascii="宋体" w:hAnsi="宋体" w:eastAsia="宋体" w:cs="宋体"/>
          <w:color w:val="auto"/>
          <w:sz w:val="24"/>
          <w:szCs w:val="24"/>
          <w:highlight w:val="none"/>
        </w:rPr>
        <w:tab/>
      </w:r>
    </w:p>
    <w:p w14:paraId="48E06CDD">
      <w:pPr>
        <w:tabs>
          <w:tab w:val="left" w:pos="7665"/>
        </w:tabs>
        <w:spacing w:line="360" w:lineRule="auto"/>
        <w:ind w:firstLine="480" w:firstLineChars="200"/>
        <w:rPr>
          <w:rFonts w:hint="eastAsia" w:ascii="宋体" w:hAnsi="宋体" w:eastAsia="宋体" w:cs="宋体"/>
          <w:color w:val="auto"/>
          <w:sz w:val="24"/>
          <w:szCs w:val="24"/>
        </w:rPr>
      </w:pPr>
      <w:bookmarkStart w:id="96" w:name="_Toc217446050"/>
      <w:bookmarkStart w:id="97" w:name="_Toc183682360"/>
      <w:bookmarkStart w:id="98" w:name="_Toc183582223"/>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供应商应严格按照</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文件第三章中提供的“响应文件格式”填写相关内容。除明确允许供应商可以自行编写的外，供应商不得以“响应文件格式”规定之外的方式填写相关内容。</w:t>
      </w:r>
    </w:p>
    <w:p w14:paraId="3C3EA39A">
      <w:pPr>
        <w:tabs>
          <w:tab w:val="left" w:pos="766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对于没有格式要求的响应文件由供应商自行编写。</w:t>
      </w:r>
    </w:p>
    <w:p w14:paraId="38C33B3D">
      <w:pPr>
        <w:tabs>
          <w:tab w:val="left" w:pos="7665"/>
        </w:tabs>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14.3应商提供的响应文件应当使用招标文件所提供响应文件格式（表格可按照同样格式扩展），并保证所提供的资料的真实性。未提供格式的，供应商可自行编制。</w:t>
      </w:r>
    </w:p>
    <w:p w14:paraId="54B07307">
      <w:pPr>
        <w:tabs>
          <w:tab w:val="left" w:pos="766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14.4</w:t>
      </w: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编制中所需提交的证明材料</w:t>
      </w:r>
      <w:r>
        <w:rPr>
          <w:rFonts w:hint="eastAsia" w:ascii="宋体" w:hAnsi="宋体" w:eastAsia="宋体" w:cs="宋体"/>
          <w:color w:val="auto"/>
          <w:sz w:val="24"/>
          <w:szCs w:val="24"/>
          <w:lang w:val="en-US" w:eastAsia="zh-CN"/>
        </w:rPr>
        <w:t>须加盖供应商电子公章</w:t>
      </w:r>
      <w:r>
        <w:rPr>
          <w:rFonts w:hint="eastAsia" w:ascii="宋体" w:hAnsi="宋体" w:eastAsia="宋体" w:cs="宋体"/>
          <w:color w:val="auto"/>
          <w:sz w:val="24"/>
          <w:szCs w:val="24"/>
        </w:rPr>
        <w:t>，且内容须清晰可辩。</w:t>
      </w:r>
    </w:p>
    <w:p w14:paraId="7FD4CC0B">
      <w:pPr>
        <w:tabs>
          <w:tab w:val="left" w:pos="766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14.5</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严禁涂改或行间插字和增删。除非这些修改是根据采购人的指示进行的，或者是供应商造成的必须修改的错误，必要的修改处必须有供应商法人代表或其授权代表人</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rPr>
        <w:t>。</w:t>
      </w:r>
    </w:p>
    <w:p w14:paraId="21449444">
      <w:pPr>
        <w:tabs>
          <w:tab w:val="left" w:pos="766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14.6</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中分标段的，</w:t>
      </w:r>
      <w:r>
        <w:rPr>
          <w:rFonts w:hint="eastAsia" w:ascii="宋体" w:hAnsi="宋体" w:eastAsia="宋体" w:cs="宋体"/>
          <w:color w:val="auto"/>
          <w:sz w:val="24"/>
          <w:szCs w:val="24"/>
          <w:lang w:val="zh-CN"/>
        </w:rPr>
        <w:t>供应商须针对本单位所投标段分别编制响应文件并单独提交。</w:t>
      </w:r>
      <w:r>
        <w:rPr>
          <w:rFonts w:hint="eastAsia" w:ascii="宋体" w:hAnsi="宋体" w:eastAsia="宋体" w:cs="宋体"/>
          <w:color w:val="auto"/>
          <w:sz w:val="24"/>
          <w:szCs w:val="24"/>
        </w:rPr>
        <w:t>供应商应当按照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的要求编制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应当对</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提出的要求和条件作出明确响应。</w:t>
      </w:r>
    </w:p>
    <w:p w14:paraId="6291E47E">
      <w:pPr>
        <w:tabs>
          <w:tab w:val="left" w:pos="766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14.7</w:t>
      </w:r>
      <w:r>
        <w:rPr>
          <w:rFonts w:hint="eastAsia" w:ascii="宋体" w:hAnsi="宋体" w:eastAsia="宋体" w:cs="宋体"/>
          <w:color w:val="auto"/>
          <w:sz w:val="24"/>
          <w:szCs w:val="24"/>
        </w:rPr>
        <w:t>电子</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制作时，按照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中明确的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目录和格式进行编制，保证目录清晰、内容完整。</w:t>
      </w:r>
    </w:p>
    <w:p w14:paraId="5D754619">
      <w:pPr>
        <w:tabs>
          <w:tab w:val="left" w:pos="7665"/>
        </w:tabs>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14.8</w:t>
      </w:r>
      <w:r>
        <w:rPr>
          <w:rFonts w:hint="eastAsia" w:ascii="宋体" w:hAnsi="宋体" w:eastAsia="宋体" w:cs="宋体"/>
          <w:color w:val="auto"/>
          <w:sz w:val="24"/>
          <w:szCs w:val="24"/>
        </w:rPr>
        <w:t>电子</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须使用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lang w:val="en-US" w:eastAsia="zh-CN"/>
        </w:rPr>
        <w:t>电子公章</w:t>
      </w:r>
      <w:r>
        <w:rPr>
          <w:rFonts w:hint="eastAsia" w:ascii="宋体" w:hAnsi="宋体" w:eastAsia="宋体" w:cs="宋体"/>
          <w:color w:val="auto"/>
          <w:sz w:val="24"/>
          <w:szCs w:val="24"/>
        </w:rPr>
        <w:t>以及法定代表人的电子签</w:t>
      </w:r>
      <w:r>
        <w:rPr>
          <w:rFonts w:hint="eastAsia" w:ascii="宋体" w:hAnsi="宋体" w:eastAsia="宋体" w:cs="宋体"/>
          <w:color w:val="auto"/>
          <w:sz w:val="24"/>
          <w:szCs w:val="24"/>
          <w:lang w:val="en-US" w:eastAsia="zh-CN"/>
        </w:rPr>
        <w:t>名（或手写签名的扫描件）</w:t>
      </w:r>
      <w:r>
        <w:rPr>
          <w:rFonts w:hint="eastAsia" w:ascii="宋体" w:hAnsi="宋体" w:eastAsia="宋体" w:cs="宋体"/>
          <w:color w:val="auto"/>
          <w:sz w:val="24"/>
          <w:szCs w:val="24"/>
        </w:rPr>
        <w:t>。</w:t>
      </w:r>
      <w:r>
        <w:rPr>
          <w:rFonts w:hint="eastAsia" w:ascii="宋体" w:hAnsi="宋体" w:eastAsia="宋体" w:cs="宋体"/>
          <w:b/>
          <w:bCs/>
          <w:color w:val="auto"/>
          <w:sz w:val="24"/>
          <w:szCs w:val="24"/>
        </w:rPr>
        <w:t>若无电子签章</w:t>
      </w:r>
      <w:r>
        <w:rPr>
          <w:rFonts w:hint="eastAsia" w:ascii="宋体" w:hAnsi="宋体" w:eastAsia="宋体" w:cs="宋体"/>
          <w:b/>
          <w:bCs/>
          <w:color w:val="auto"/>
          <w:sz w:val="24"/>
          <w:szCs w:val="24"/>
          <w:lang w:val="en-US" w:eastAsia="zh-CN"/>
        </w:rPr>
        <w:t>/签名</w:t>
      </w:r>
      <w:r>
        <w:rPr>
          <w:rFonts w:hint="eastAsia" w:ascii="宋体" w:hAnsi="宋体" w:eastAsia="宋体" w:cs="宋体"/>
          <w:b/>
          <w:bCs/>
          <w:color w:val="auto"/>
          <w:sz w:val="24"/>
          <w:szCs w:val="24"/>
        </w:rPr>
        <w:t>，则视为</w:t>
      </w:r>
      <w:r>
        <w:rPr>
          <w:rFonts w:hint="eastAsia" w:ascii="宋体" w:hAnsi="宋体" w:eastAsia="宋体" w:cs="宋体"/>
          <w:b/>
          <w:bCs/>
          <w:color w:val="auto"/>
          <w:sz w:val="24"/>
          <w:szCs w:val="24"/>
          <w:lang w:eastAsia="zh-CN"/>
        </w:rPr>
        <w:t>无效响应</w:t>
      </w:r>
      <w:r>
        <w:rPr>
          <w:rFonts w:hint="eastAsia" w:ascii="宋体" w:hAnsi="宋体" w:eastAsia="宋体" w:cs="宋体"/>
          <w:b/>
          <w:bCs/>
          <w:color w:val="auto"/>
          <w:sz w:val="24"/>
          <w:szCs w:val="24"/>
        </w:rPr>
        <w:t>。</w:t>
      </w:r>
    </w:p>
    <w:p w14:paraId="3F66EF10">
      <w:pPr>
        <w:pStyle w:val="4"/>
        <w:spacing w:before="0" w:after="0" w:line="360" w:lineRule="auto"/>
        <w:ind w:firstLine="482" w:firstLineChars="200"/>
        <w:rPr>
          <w:rFonts w:hint="eastAsia" w:ascii="宋体" w:hAnsi="宋体" w:eastAsia="宋体" w:cs="宋体"/>
          <w:bCs w:val="0"/>
          <w:color w:val="auto"/>
          <w:sz w:val="24"/>
          <w:szCs w:val="24"/>
          <w:highlight w:val="none"/>
        </w:rPr>
      </w:pPr>
      <w:bookmarkStart w:id="99" w:name="_Toc14750"/>
      <w:r>
        <w:rPr>
          <w:rFonts w:hint="eastAsia" w:ascii="宋体" w:hAnsi="宋体" w:eastAsia="宋体" w:cs="宋体"/>
          <w:bCs w:val="0"/>
          <w:color w:val="auto"/>
          <w:sz w:val="24"/>
          <w:szCs w:val="24"/>
          <w:highlight w:val="none"/>
        </w:rPr>
        <w:t>1</w:t>
      </w:r>
      <w:r>
        <w:rPr>
          <w:rFonts w:hint="eastAsia" w:ascii="宋体" w:hAnsi="宋体" w:eastAsia="宋体" w:cs="宋体"/>
          <w:bCs w:val="0"/>
          <w:color w:val="auto"/>
          <w:sz w:val="24"/>
          <w:szCs w:val="24"/>
          <w:highlight w:val="none"/>
          <w:lang w:val="en-US" w:eastAsia="zh-CN"/>
        </w:rPr>
        <w:t>5</w:t>
      </w:r>
      <w:r>
        <w:rPr>
          <w:rFonts w:hint="eastAsia" w:ascii="宋体" w:hAnsi="宋体" w:eastAsia="宋体" w:cs="宋体"/>
          <w:bCs w:val="0"/>
          <w:color w:val="auto"/>
          <w:sz w:val="24"/>
          <w:szCs w:val="24"/>
          <w:highlight w:val="none"/>
        </w:rPr>
        <w:t>．投标保证金</w:t>
      </w:r>
      <w:bookmarkEnd w:id="96"/>
      <w:bookmarkEnd w:id="97"/>
      <w:bookmarkEnd w:id="98"/>
      <w:bookmarkEnd w:id="99"/>
    </w:p>
    <w:p w14:paraId="467CD5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供应商投标时，必须以人民币提交采购文件规定数额的投标保证金，并作为其投标的一部分。</w:t>
      </w:r>
    </w:p>
    <w:p w14:paraId="5F1917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.2未按采购文件要求在规定时间前交纳规定数额投标保证金的投标将被拒绝。</w:t>
      </w:r>
    </w:p>
    <w:p w14:paraId="684DEF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 供应商所交纳的投标保证金不计利息。</w:t>
      </w:r>
    </w:p>
    <w:p w14:paraId="209369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.4未</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人的投标保证金，将在</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通知书发出后五个工作日内全额退还。</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人的投标保证金，在合同签订生效并按规定交纳了履约保证金后五个工作日内全额退还。</w:t>
      </w:r>
    </w:p>
    <w:p w14:paraId="24C591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.5发生下列情形之一的，采购代理机构将不予退还供应商交纳的投标保证金：</w:t>
      </w:r>
    </w:p>
    <w:p w14:paraId="164F57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（1）在采购文件规定的投标截止时间内撤回投标；</w:t>
      </w:r>
    </w:p>
    <w:p w14:paraId="7B32A8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（2）在采购人确定</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人以前放弃</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候选资格的；</w:t>
      </w:r>
    </w:p>
    <w:p w14:paraId="7695E1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人的原因未能按照采购文件的规定与采购人签订合同；</w:t>
      </w:r>
    </w:p>
    <w:p w14:paraId="28A839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（4）由于</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人的原因未能按照采购文件的规定交纳履约保证金；</w:t>
      </w:r>
    </w:p>
    <w:p w14:paraId="4C520C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（5）投标有效期内，供应商在政府采购活动中有违法、违规、违纪行为。</w:t>
      </w:r>
    </w:p>
    <w:p w14:paraId="568D5D79">
      <w:pPr>
        <w:pStyle w:val="4"/>
        <w:spacing w:before="0" w:after="0" w:line="360" w:lineRule="auto"/>
        <w:ind w:firstLine="482" w:firstLineChars="200"/>
        <w:rPr>
          <w:rFonts w:hint="eastAsia" w:ascii="宋体" w:hAnsi="宋体" w:eastAsia="宋体" w:cs="宋体"/>
          <w:bCs w:val="0"/>
          <w:color w:val="auto"/>
          <w:sz w:val="24"/>
          <w:szCs w:val="24"/>
          <w:highlight w:val="none"/>
        </w:rPr>
      </w:pPr>
      <w:bookmarkStart w:id="100" w:name="_Toc217446051"/>
      <w:bookmarkStart w:id="101" w:name="_Toc183582224"/>
      <w:bookmarkStart w:id="102" w:name="_Toc183682361"/>
      <w:bookmarkStart w:id="103" w:name="_Toc29791"/>
      <w:r>
        <w:rPr>
          <w:rFonts w:hint="eastAsia" w:ascii="宋体" w:hAnsi="宋体" w:eastAsia="宋体" w:cs="宋体"/>
          <w:bCs w:val="0"/>
          <w:color w:val="auto"/>
          <w:sz w:val="24"/>
          <w:szCs w:val="24"/>
          <w:highlight w:val="none"/>
        </w:rPr>
        <w:t>1</w:t>
      </w:r>
      <w:r>
        <w:rPr>
          <w:rFonts w:hint="eastAsia" w:ascii="宋体" w:hAnsi="宋体" w:eastAsia="宋体" w:cs="宋体"/>
          <w:bCs w:val="0"/>
          <w:color w:val="auto"/>
          <w:sz w:val="24"/>
          <w:szCs w:val="24"/>
          <w:highlight w:val="none"/>
          <w:lang w:val="en-US" w:eastAsia="zh-CN"/>
        </w:rPr>
        <w:t>6</w:t>
      </w:r>
      <w:r>
        <w:rPr>
          <w:rFonts w:hint="eastAsia" w:ascii="宋体" w:hAnsi="宋体" w:eastAsia="宋体" w:cs="宋体"/>
          <w:bCs w:val="0"/>
          <w:color w:val="auto"/>
          <w:sz w:val="24"/>
          <w:szCs w:val="24"/>
          <w:highlight w:val="none"/>
        </w:rPr>
        <w:t>．投标有效期</w:t>
      </w:r>
      <w:bookmarkEnd w:id="100"/>
      <w:bookmarkEnd w:id="101"/>
      <w:bookmarkEnd w:id="102"/>
      <w:bookmarkEnd w:id="103"/>
    </w:p>
    <w:p w14:paraId="0DDBA203">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投标有效期详见供应商须知前附表。投标有效期短于此规定期限的投标，将被拒绝。</w:t>
      </w:r>
    </w:p>
    <w:p w14:paraId="33A15C86">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特殊情况下，采购人可于投标有效期满之前要求供应商同意延长有效期，要求与答复均应为书面形式。供应商可以拒绝上述要求，其投标保证金</w:t>
      </w:r>
      <w:r>
        <w:rPr>
          <w:rFonts w:hint="eastAsia" w:ascii="宋体" w:hAnsi="宋体" w:eastAsia="宋体" w:cs="宋体"/>
          <w:color w:val="auto"/>
          <w:spacing w:val="8"/>
          <w:sz w:val="24"/>
          <w:szCs w:val="24"/>
          <w:highlight w:val="none"/>
        </w:rPr>
        <w:t>不被没收。</w:t>
      </w:r>
      <w:r>
        <w:rPr>
          <w:rFonts w:hint="eastAsia" w:ascii="宋体" w:hAnsi="宋体" w:eastAsia="宋体" w:cs="宋体"/>
          <w:color w:val="auto"/>
          <w:sz w:val="24"/>
          <w:szCs w:val="24"/>
          <w:highlight w:val="none"/>
        </w:rPr>
        <w:t>拒绝延长投标有效期的供应商不得再参与该项目后续采购活动。同意延长投标有效期的供应商不能修改其响应文件，关于投标保证金的有关规定在延长的投标有效期内继续有效。</w:t>
      </w:r>
    </w:p>
    <w:p w14:paraId="04478A24">
      <w:pPr>
        <w:pStyle w:val="4"/>
        <w:spacing w:before="0" w:after="0" w:line="360" w:lineRule="auto"/>
        <w:ind w:firstLine="482" w:firstLineChars="200"/>
        <w:rPr>
          <w:rFonts w:hint="eastAsia" w:ascii="宋体" w:hAnsi="宋体" w:eastAsia="宋体" w:cs="宋体"/>
          <w:bCs w:val="0"/>
          <w:color w:val="auto"/>
          <w:sz w:val="24"/>
          <w:szCs w:val="24"/>
          <w:highlight w:val="none"/>
        </w:rPr>
      </w:pPr>
      <w:bookmarkStart w:id="104" w:name="_Toc217446052"/>
      <w:bookmarkStart w:id="105" w:name="_Toc183582225"/>
      <w:bookmarkStart w:id="106" w:name="_Toc11869"/>
      <w:bookmarkStart w:id="107" w:name="_Toc183682362"/>
      <w:r>
        <w:rPr>
          <w:rFonts w:hint="eastAsia" w:ascii="宋体" w:hAnsi="宋体" w:eastAsia="宋体" w:cs="宋体"/>
          <w:bCs w:val="0"/>
          <w:color w:val="auto"/>
          <w:sz w:val="24"/>
          <w:szCs w:val="24"/>
          <w:highlight w:val="none"/>
        </w:rPr>
        <w:t>1</w:t>
      </w:r>
      <w:r>
        <w:rPr>
          <w:rFonts w:hint="eastAsia" w:ascii="宋体" w:hAnsi="宋体" w:eastAsia="宋体" w:cs="宋体"/>
          <w:bCs w:val="0"/>
          <w:color w:val="auto"/>
          <w:sz w:val="24"/>
          <w:szCs w:val="24"/>
          <w:highlight w:val="none"/>
          <w:lang w:val="en-US" w:eastAsia="zh-CN"/>
        </w:rPr>
        <w:t>7</w:t>
      </w:r>
      <w:r>
        <w:rPr>
          <w:rFonts w:hint="eastAsia" w:ascii="宋体" w:hAnsi="宋体" w:eastAsia="宋体" w:cs="宋体"/>
          <w:bCs w:val="0"/>
          <w:color w:val="auto"/>
          <w:sz w:val="24"/>
          <w:szCs w:val="24"/>
          <w:highlight w:val="none"/>
        </w:rPr>
        <w:t>．响应文件的印制和签署</w:t>
      </w:r>
      <w:bookmarkEnd w:id="104"/>
      <w:bookmarkEnd w:id="105"/>
      <w:bookmarkEnd w:id="106"/>
      <w:bookmarkEnd w:id="107"/>
    </w:p>
    <w:p w14:paraId="63F8CF35">
      <w:pPr>
        <w:tabs>
          <w:tab w:val="left" w:pos="7665"/>
        </w:tabs>
        <w:spacing w:line="360" w:lineRule="auto"/>
        <w:ind w:firstLine="480" w:firstLineChars="200"/>
        <w:rPr>
          <w:rFonts w:hint="eastAsia" w:ascii="宋体" w:hAnsi="宋体" w:eastAsia="宋体" w:cs="宋体"/>
          <w:bCs/>
          <w:color w:val="auto"/>
          <w:sz w:val="24"/>
          <w:szCs w:val="24"/>
        </w:rPr>
      </w:pPr>
      <w:bookmarkStart w:id="108" w:name="_Toc89075877"/>
      <w:bookmarkStart w:id="109" w:name="_Toc183682363"/>
      <w:bookmarkStart w:id="110" w:name="_Toc183582226"/>
      <w:bookmarkStart w:id="111" w:name="_Toc77400781"/>
      <w:bookmarkStart w:id="112" w:name="_Toc217446053"/>
      <w:r>
        <w:rPr>
          <w:rFonts w:hint="eastAsia" w:ascii="宋体" w:hAnsi="宋体" w:eastAsia="宋体" w:cs="宋体"/>
          <w:bCs/>
          <w:color w:val="auto"/>
          <w:sz w:val="24"/>
          <w:szCs w:val="24"/>
        </w:rPr>
        <w:t>17.1 响应文件份数详见“供应商须知前附表”第1</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条。</w:t>
      </w:r>
    </w:p>
    <w:p w14:paraId="0DFDE61A">
      <w:pPr>
        <w:tabs>
          <w:tab w:val="left" w:pos="7665"/>
        </w:tabs>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17.2 招标文件要求供应商法定代表人或者被授权代表签字</w:t>
      </w:r>
      <w:r>
        <w:rPr>
          <w:rFonts w:hint="eastAsia" w:ascii="宋体" w:hAnsi="宋体" w:cs="宋体"/>
          <w:bCs/>
          <w:color w:val="auto"/>
          <w:sz w:val="24"/>
          <w:szCs w:val="24"/>
          <w:lang w:val="en-US" w:eastAsia="zh-CN"/>
        </w:rPr>
        <w:t>或盖章</w:t>
      </w:r>
      <w:r>
        <w:rPr>
          <w:rFonts w:hint="eastAsia" w:ascii="宋体" w:hAnsi="宋体" w:eastAsia="宋体" w:cs="宋体"/>
          <w:bCs/>
          <w:color w:val="auto"/>
          <w:sz w:val="24"/>
          <w:szCs w:val="24"/>
        </w:rPr>
        <w:t>处，均须</w:t>
      </w:r>
      <w:r>
        <w:rPr>
          <w:rFonts w:hint="eastAsia" w:ascii="宋体" w:hAnsi="宋体" w:cs="宋体"/>
          <w:bCs/>
          <w:color w:val="auto"/>
          <w:sz w:val="24"/>
          <w:szCs w:val="24"/>
          <w:lang w:val="en-US" w:eastAsia="zh-CN"/>
        </w:rPr>
        <w:t>签字或加</w:t>
      </w:r>
      <w:r>
        <w:rPr>
          <w:rFonts w:hint="eastAsia" w:ascii="宋体" w:hAnsi="宋体" w:eastAsia="宋体" w:cs="宋体"/>
          <w:bCs/>
          <w:color w:val="auto"/>
          <w:sz w:val="24"/>
          <w:szCs w:val="24"/>
        </w:rPr>
        <w:t>盖其个人电子印章，并逐页加盖单位公章的电子印章。</w:t>
      </w:r>
    </w:p>
    <w:p w14:paraId="180D82A6">
      <w:pPr>
        <w:tabs>
          <w:tab w:val="left" w:pos="7665"/>
        </w:tabs>
        <w:spacing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Cs/>
          <w:color w:val="auto"/>
          <w:sz w:val="24"/>
          <w:szCs w:val="24"/>
        </w:rPr>
        <w:t>17.3</w:t>
      </w:r>
      <w:r>
        <w:rPr>
          <w:rFonts w:hint="eastAsia" w:ascii="宋体" w:hAnsi="宋体" w:eastAsia="宋体" w:cs="宋体"/>
          <w:b w:val="0"/>
          <w:color w:val="auto"/>
          <w:sz w:val="24"/>
          <w:szCs w:val="24"/>
        </w:rPr>
        <w:t>响应文件应根据</w:t>
      </w:r>
      <w:r>
        <w:rPr>
          <w:rFonts w:hint="eastAsia" w:ascii="宋体" w:hAnsi="宋体" w:eastAsia="宋体" w:cs="宋体"/>
          <w:b w:val="0"/>
          <w:color w:val="auto"/>
          <w:sz w:val="24"/>
          <w:szCs w:val="24"/>
          <w:lang w:val="en-US" w:eastAsia="zh-CN"/>
        </w:rPr>
        <w:t>采购</w:t>
      </w:r>
      <w:r>
        <w:rPr>
          <w:rFonts w:hint="eastAsia" w:ascii="宋体" w:hAnsi="宋体" w:eastAsia="宋体" w:cs="宋体"/>
          <w:b w:val="0"/>
          <w:color w:val="auto"/>
          <w:sz w:val="24"/>
          <w:szCs w:val="24"/>
        </w:rPr>
        <w:t>文件的要求制作、签署、盖章，内容应完整。</w:t>
      </w:r>
    </w:p>
    <w:p w14:paraId="2D9E2888">
      <w:pPr>
        <w:pStyle w:val="4"/>
        <w:spacing w:before="0" w:after="0" w:line="360" w:lineRule="auto"/>
        <w:ind w:firstLine="482" w:firstLineChars="200"/>
        <w:rPr>
          <w:rFonts w:hint="eastAsia" w:ascii="宋体" w:hAnsi="宋体" w:eastAsia="宋体" w:cs="宋体"/>
          <w:color w:val="auto"/>
          <w:sz w:val="24"/>
          <w:szCs w:val="24"/>
          <w:highlight w:val="none"/>
        </w:rPr>
      </w:pPr>
      <w:bookmarkStart w:id="113" w:name="_Toc13948"/>
      <w:r>
        <w:rPr>
          <w:rFonts w:hint="eastAsia" w:ascii="宋体" w:hAnsi="宋体" w:eastAsia="宋体" w:cs="宋体"/>
          <w:bCs w:val="0"/>
          <w:color w:val="auto"/>
          <w:sz w:val="24"/>
          <w:szCs w:val="24"/>
          <w:highlight w:val="none"/>
        </w:rPr>
        <w:t>1</w:t>
      </w:r>
      <w:r>
        <w:rPr>
          <w:rFonts w:hint="eastAsia" w:ascii="宋体" w:hAnsi="宋体" w:eastAsia="宋体" w:cs="宋体"/>
          <w:bCs w:val="0"/>
          <w:color w:val="auto"/>
          <w:sz w:val="24"/>
          <w:szCs w:val="24"/>
          <w:highlight w:val="none"/>
          <w:lang w:val="en-US" w:eastAsia="zh-CN"/>
        </w:rPr>
        <w:t>8</w:t>
      </w:r>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响应文件的密封和标</w:t>
      </w:r>
      <w:bookmarkEnd w:id="108"/>
      <w:bookmarkEnd w:id="109"/>
      <w:bookmarkEnd w:id="110"/>
      <w:bookmarkEnd w:id="111"/>
      <w:r>
        <w:rPr>
          <w:rFonts w:hint="eastAsia" w:ascii="宋体" w:hAnsi="宋体" w:eastAsia="宋体" w:cs="宋体"/>
          <w:color w:val="auto"/>
          <w:sz w:val="24"/>
          <w:szCs w:val="24"/>
          <w:highlight w:val="none"/>
        </w:rPr>
        <w:t>注</w:t>
      </w:r>
      <w:bookmarkEnd w:id="112"/>
      <w:bookmarkEnd w:id="113"/>
    </w:p>
    <w:p w14:paraId="1AB93316">
      <w:pPr>
        <w:pStyle w:val="35"/>
        <w:spacing w:before="0" w:after="0" w:line="360" w:lineRule="auto"/>
        <w:ind w:firstLine="480" w:firstLineChars="200"/>
        <w:rPr>
          <w:rFonts w:hint="eastAsia" w:ascii="宋体" w:hAnsi="宋体" w:eastAsia="宋体" w:cs="宋体"/>
          <w:b w:val="0"/>
          <w:color w:val="auto"/>
          <w:sz w:val="24"/>
          <w:szCs w:val="24"/>
        </w:rPr>
      </w:pPr>
      <w:bookmarkStart w:id="114" w:name="_Toc17922"/>
      <w:bookmarkStart w:id="115" w:name="_Toc183682364"/>
      <w:bookmarkStart w:id="116" w:name="_Toc183582227"/>
      <w:bookmarkStart w:id="117" w:name="_Toc217446054"/>
      <w:r>
        <w:rPr>
          <w:rFonts w:hint="eastAsia" w:ascii="宋体" w:hAnsi="宋体" w:eastAsia="宋体" w:cs="宋体"/>
          <w:b w:val="0"/>
          <w:color w:val="auto"/>
          <w:sz w:val="24"/>
          <w:szCs w:val="24"/>
        </w:rPr>
        <w:t>本项目采用不见面开标。</w:t>
      </w:r>
      <w:bookmarkEnd w:id="114"/>
    </w:p>
    <w:p w14:paraId="5C5345FA">
      <w:pPr>
        <w:pStyle w:val="4"/>
        <w:spacing w:before="0" w:after="0" w:line="360" w:lineRule="auto"/>
        <w:ind w:firstLine="482" w:firstLineChars="200"/>
        <w:rPr>
          <w:rFonts w:hint="eastAsia" w:ascii="宋体" w:hAnsi="宋体" w:eastAsia="宋体" w:cs="宋体"/>
          <w:bCs w:val="0"/>
          <w:color w:val="auto"/>
          <w:sz w:val="24"/>
          <w:szCs w:val="24"/>
          <w:highlight w:val="none"/>
        </w:rPr>
      </w:pPr>
      <w:bookmarkStart w:id="118" w:name="_Toc7940"/>
      <w:r>
        <w:rPr>
          <w:rFonts w:hint="eastAsia" w:ascii="宋体" w:hAnsi="宋体" w:eastAsia="宋体" w:cs="宋体"/>
          <w:bCs w:val="0"/>
          <w:color w:val="auto"/>
          <w:sz w:val="24"/>
          <w:szCs w:val="24"/>
          <w:highlight w:val="none"/>
          <w:lang w:val="en-US" w:eastAsia="zh-CN"/>
        </w:rPr>
        <w:t>19</w:t>
      </w:r>
      <w:r>
        <w:rPr>
          <w:rFonts w:hint="eastAsia" w:ascii="宋体" w:hAnsi="宋体" w:eastAsia="宋体" w:cs="宋体"/>
          <w:bCs w:val="0"/>
          <w:color w:val="auto"/>
          <w:sz w:val="24"/>
          <w:szCs w:val="24"/>
          <w:highlight w:val="none"/>
        </w:rPr>
        <w:t>．响应文件的</w:t>
      </w:r>
      <w:bookmarkEnd w:id="115"/>
      <w:bookmarkEnd w:id="116"/>
      <w:r>
        <w:rPr>
          <w:rFonts w:hint="eastAsia" w:ascii="宋体" w:hAnsi="宋体" w:eastAsia="宋体" w:cs="宋体"/>
          <w:bCs w:val="0"/>
          <w:color w:val="auto"/>
          <w:sz w:val="24"/>
          <w:szCs w:val="24"/>
          <w:highlight w:val="none"/>
        </w:rPr>
        <w:t>递交</w:t>
      </w:r>
      <w:bookmarkEnd w:id="117"/>
      <w:bookmarkEnd w:id="118"/>
    </w:p>
    <w:p w14:paraId="7970256D">
      <w:pPr>
        <w:tabs>
          <w:tab w:val="left" w:pos="1080"/>
        </w:tabs>
        <w:spacing w:line="360" w:lineRule="auto"/>
        <w:ind w:firstLine="480" w:firstLineChars="200"/>
        <w:rPr>
          <w:rFonts w:hint="eastAsia" w:ascii="宋体" w:hAnsi="宋体" w:eastAsia="宋体" w:cs="宋体"/>
          <w:color w:val="auto"/>
          <w:sz w:val="24"/>
          <w:szCs w:val="24"/>
        </w:rPr>
      </w:pPr>
      <w:bookmarkStart w:id="119" w:name="_Toc183582228"/>
      <w:bookmarkStart w:id="120" w:name="_Toc183682365"/>
      <w:bookmarkStart w:id="121" w:name="_Toc217446055"/>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在招标文件要求提交投标文件的截止时间之后提交的投标文件，为无效投标文件，采购代理机构将拒绝接收。</w:t>
      </w:r>
    </w:p>
    <w:p w14:paraId="27E3511F">
      <w:pPr>
        <w:tabs>
          <w:tab w:val="left" w:pos="1080"/>
        </w:tabs>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19.2、项目采用不见面开标。只需将加密电子投标文件在投标截止时间前通过新疆政府采购网-政采云平台上传完成。上传时必须得到电脑“上传成功”的确认回复后方为上传成功。逾期上传的或者未上传到平台的投标文件，采购人不予受理。</w:t>
      </w:r>
    </w:p>
    <w:p w14:paraId="5FD30B4F">
      <w:pPr>
        <w:pStyle w:val="4"/>
        <w:spacing w:before="0" w:after="0" w:line="360" w:lineRule="auto"/>
        <w:ind w:firstLine="482" w:firstLineChars="200"/>
        <w:rPr>
          <w:rFonts w:hint="eastAsia" w:ascii="宋体" w:hAnsi="宋体" w:eastAsia="宋体" w:cs="宋体"/>
          <w:bCs w:val="0"/>
          <w:color w:val="auto"/>
          <w:sz w:val="24"/>
          <w:szCs w:val="24"/>
          <w:highlight w:val="none"/>
        </w:rPr>
      </w:pPr>
      <w:bookmarkStart w:id="122" w:name="_Toc11760"/>
      <w:r>
        <w:rPr>
          <w:rFonts w:hint="eastAsia" w:ascii="宋体" w:hAnsi="宋体" w:eastAsia="宋体" w:cs="宋体"/>
          <w:bCs w:val="0"/>
          <w:color w:val="auto"/>
          <w:sz w:val="24"/>
          <w:szCs w:val="24"/>
          <w:highlight w:val="none"/>
        </w:rPr>
        <w:t>2</w:t>
      </w:r>
      <w:r>
        <w:rPr>
          <w:rFonts w:hint="eastAsia" w:ascii="宋体" w:hAnsi="宋体" w:eastAsia="宋体" w:cs="宋体"/>
          <w:bCs w:val="0"/>
          <w:color w:val="auto"/>
          <w:sz w:val="24"/>
          <w:szCs w:val="24"/>
          <w:highlight w:val="none"/>
          <w:lang w:val="en-US" w:eastAsia="zh-CN"/>
        </w:rPr>
        <w:t>0</w:t>
      </w:r>
      <w:r>
        <w:rPr>
          <w:rFonts w:hint="eastAsia" w:ascii="宋体" w:hAnsi="宋体" w:eastAsia="宋体" w:cs="宋体"/>
          <w:bCs w:val="0"/>
          <w:color w:val="auto"/>
          <w:sz w:val="24"/>
          <w:szCs w:val="24"/>
          <w:highlight w:val="none"/>
        </w:rPr>
        <w:t>．响应文件的修改和撤</w:t>
      </w:r>
      <w:bookmarkEnd w:id="119"/>
      <w:bookmarkEnd w:id="120"/>
      <w:r>
        <w:rPr>
          <w:rFonts w:hint="eastAsia" w:ascii="宋体" w:hAnsi="宋体" w:eastAsia="宋体" w:cs="宋体"/>
          <w:bCs w:val="0"/>
          <w:color w:val="auto"/>
          <w:sz w:val="24"/>
          <w:szCs w:val="24"/>
          <w:highlight w:val="none"/>
        </w:rPr>
        <w:t>回</w:t>
      </w:r>
      <w:bookmarkEnd w:id="121"/>
      <w:bookmarkEnd w:id="122"/>
    </w:p>
    <w:p w14:paraId="0B0295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 供应商在递交响应文件后，可以修改或撤回其响应文件，但必须在规定的投标截止时间前，以书面形式通知采购代理机构。</w:t>
      </w:r>
    </w:p>
    <w:p w14:paraId="7C8E3C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在投标截止时间之后，供应商不得对其递交的响应文件做任何修改或撤回投标。</w:t>
      </w:r>
    </w:p>
    <w:p w14:paraId="3BB3D8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响应文件中如果出现计算上或累加上的算术错误，可按以下原则进行修改：</w:t>
      </w:r>
    </w:p>
    <w:p w14:paraId="01E5C0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（1）用数字表示的金额和用文字表示的金额不一致，应以文字表示的金额为准。</w:t>
      </w:r>
    </w:p>
    <w:p w14:paraId="2F59B7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（2）单价和数量的乘积与总价不一致时，以单价为准，并修正总价。</w:t>
      </w:r>
    </w:p>
    <w:p w14:paraId="322952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（3）单价金额小数点有明显错误的，以总价为准，修正单价。</w:t>
      </w:r>
    </w:p>
    <w:p w14:paraId="2F3EFD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按上述修正错误的方法调整的投标报价应对供应商具有约束力。如果供应商不接受修正后的价格，其投标将被拒绝。</w:t>
      </w:r>
    </w:p>
    <w:p w14:paraId="23034D3D">
      <w:pPr>
        <w:pStyle w:val="3"/>
        <w:spacing w:before="0" w:after="0" w:line="360" w:lineRule="auto"/>
        <w:jc w:val="center"/>
        <w:rPr>
          <w:rFonts w:hint="eastAsia" w:ascii="宋体" w:hAnsi="宋体" w:eastAsia="宋体" w:cs="宋体"/>
          <w:color w:val="auto"/>
          <w:sz w:val="30"/>
          <w:szCs w:val="30"/>
          <w:highlight w:val="none"/>
          <w:lang w:eastAsia="zh-CN"/>
        </w:rPr>
      </w:pPr>
      <w:bookmarkStart w:id="123" w:name="_Toc89075878"/>
      <w:bookmarkStart w:id="124" w:name="_Toc217446056"/>
      <w:bookmarkStart w:id="125" w:name="_Toc77400782"/>
      <w:bookmarkStart w:id="126" w:name="_Toc183582231"/>
      <w:bookmarkStart w:id="127" w:name="_Toc183682368"/>
      <w:bookmarkStart w:id="128" w:name="_Toc10927"/>
      <w:bookmarkStart w:id="129" w:name="_Toc24898"/>
      <w:r>
        <w:rPr>
          <w:rFonts w:hint="eastAsia" w:ascii="宋体" w:hAnsi="宋体" w:eastAsia="宋体" w:cs="宋体"/>
          <w:color w:val="auto"/>
          <w:sz w:val="30"/>
          <w:szCs w:val="30"/>
          <w:highlight w:val="none"/>
        </w:rPr>
        <w:t>五、开标和</w:t>
      </w:r>
      <w:bookmarkEnd w:id="123"/>
      <w:bookmarkEnd w:id="124"/>
      <w:bookmarkEnd w:id="125"/>
      <w:bookmarkEnd w:id="126"/>
      <w:bookmarkEnd w:id="127"/>
      <w:r>
        <w:rPr>
          <w:rFonts w:hint="eastAsia" w:ascii="宋体" w:hAnsi="宋体" w:eastAsia="宋体" w:cs="宋体"/>
          <w:color w:val="auto"/>
          <w:sz w:val="30"/>
          <w:szCs w:val="30"/>
          <w:highlight w:val="none"/>
          <w:lang w:eastAsia="zh-CN"/>
        </w:rPr>
        <w:t>中标</w:t>
      </w:r>
      <w:bookmarkEnd w:id="128"/>
      <w:bookmarkEnd w:id="129"/>
    </w:p>
    <w:p w14:paraId="62F3A486">
      <w:pPr>
        <w:pStyle w:val="4"/>
        <w:spacing w:before="0" w:after="0" w:line="360" w:lineRule="auto"/>
        <w:ind w:firstLine="482" w:firstLineChars="200"/>
        <w:rPr>
          <w:rFonts w:hint="eastAsia" w:ascii="宋体" w:hAnsi="宋体" w:eastAsia="宋体" w:cs="宋体"/>
          <w:bCs w:val="0"/>
          <w:color w:val="auto"/>
          <w:sz w:val="24"/>
          <w:szCs w:val="24"/>
          <w:highlight w:val="none"/>
        </w:rPr>
      </w:pPr>
      <w:bookmarkStart w:id="130" w:name="_Toc23862"/>
      <w:bookmarkStart w:id="131" w:name="_Toc183582232"/>
      <w:bookmarkStart w:id="132" w:name="_Toc183682369"/>
      <w:bookmarkStart w:id="133" w:name="_Toc217446057"/>
      <w:r>
        <w:rPr>
          <w:rFonts w:hint="eastAsia" w:ascii="宋体" w:hAnsi="宋体" w:eastAsia="宋体" w:cs="宋体"/>
          <w:bCs w:val="0"/>
          <w:color w:val="auto"/>
          <w:sz w:val="24"/>
          <w:szCs w:val="24"/>
          <w:highlight w:val="none"/>
        </w:rPr>
        <w:t>2</w:t>
      </w:r>
      <w:r>
        <w:rPr>
          <w:rFonts w:hint="eastAsia" w:ascii="宋体" w:hAnsi="宋体" w:eastAsia="宋体" w:cs="宋体"/>
          <w:bCs w:val="0"/>
          <w:color w:val="auto"/>
          <w:sz w:val="24"/>
          <w:szCs w:val="24"/>
          <w:highlight w:val="none"/>
          <w:lang w:val="en-US" w:eastAsia="zh-CN"/>
        </w:rPr>
        <w:t>1</w:t>
      </w:r>
      <w:r>
        <w:rPr>
          <w:rFonts w:hint="eastAsia" w:ascii="宋体" w:hAnsi="宋体" w:eastAsia="宋体" w:cs="宋体"/>
          <w:bCs w:val="0"/>
          <w:color w:val="auto"/>
          <w:sz w:val="24"/>
          <w:szCs w:val="24"/>
          <w:highlight w:val="none"/>
        </w:rPr>
        <w:t>．开标</w:t>
      </w:r>
      <w:bookmarkEnd w:id="130"/>
      <w:bookmarkEnd w:id="131"/>
      <w:bookmarkEnd w:id="132"/>
      <w:bookmarkEnd w:id="133"/>
    </w:p>
    <w:p w14:paraId="2E23CB0D">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.1 </w:t>
      </w:r>
      <w:r>
        <w:rPr>
          <w:rFonts w:hint="eastAsia" w:asciiTheme="majorEastAsia" w:hAnsiTheme="majorEastAsia" w:eastAsiaTheme="majorEastAsia" w:cstheme="majorEastAsia"/>
          <w:sz w:val="24"/>
          <w:szCs w:val="24"/>
        </w:rPr>
        <w:t>开标时间为</w:t>
      </w:r>
      <w:r>
        <w:rPr>
          <w:rFonts w:hint="eastAsia" w:asciiTheme="majorEastAsia" w:hAnsiTheme="majorEastAsia" w:eastAsiaTheme="majorEastAsia" w:cstheme="majorEastAsia"/>
          <w:sz w:val="24"/>
          <w:szCs w:val="24"/>
          <w:lang w:val="en-US" w:eastAsia="zh-CN"/>
        </w:rPr>
        <w:t>采购</w:t>
      </w:r>
      <w:r>
        <w:rPr>
          <w:rFonts w:hint="eastAsia" w:asciiTheme="majorEastAsia" w:hAnsiTheme="majorEastAsia" w:eastAsiaTheme="majorEastAsia" w:cstheme="majorEastAsia"/>
          <w:sz w:val="24"/>
          <w:szCs w:val="24"/>
        </w:rPr>
        <w:t>文件中提交响应文件的截止时间；开标地点为</w:t>
      </w:r>
      <w:r>
        <w:rPr>
          <w:rFonts w:hint="eastAsia" w:asciiTheme="majorEastAsia" w:hAnsiTheme="majorEastAsia" w:eastAsiaTheme="majorEastAsia" w:cstheme="majorEastAsia"/>
          <w:sz w:val="24"/>
          <w:szCs w:val="24"/>
          <w:lang w:val="en-US" w:eastAsia="zh-CN"/>
        </w:rPr>
        <w:t>采购</w:t>
      </w:r>
      <w:r>
        <w:rPr>
          <w:rFonts w:hint="eastAsia" w:asciiTheme="majorEastAsia" w:hAnsiTheme="majorEastAsia" w:eastAsiaTheme="majorEastAsia" w:cstheme="majorEastAsia"/>
          <w:sz w:val="24"/>
          <w:szCs w:val="24"/>
        </w:rPr>
        <w:t>文件中预先确定的地点</w:t>
      </w:r>
    </w:p>
    <w:p w14:paraId="2AB10A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 开标时，采购代理机构可以邀请有关监督管理部门对开标进行现场监督，也可以（非必须）申请公证机构对整个开标程序进行现场公证。</w:t>
      </w:r>
    </w:p>
    <w:p w14:paraId="7048FB5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.3 </w:t>
      </w:r>
      <w:r>
        <w:rPr>
          <w:rFonts w:hint="eastAsia" w:ascii="宋体" w:hAnsi="宋体" w:eastAsia="宋体" w:cs="宋体"/>
          <w:color w:val="auto"/>
          <w:sz w:val="24"/>
        </w:rPr>
        <w:t>采购人在规定的投标截止时间 (开标时间) 和供应商须知前附表规定的地点开标。供应商的法定代表人或其委托代理人无需到达开标现场，仅需在任意地点 通过新疆政府采购网 (政采云) ，使用 CA 密钥完成远程解密、提疑澄清、开标、结果公布等交互环节。</w:t>
      </w:r>
    </w:p>
    <w:p w14:paraId="2F97F9F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403BD2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.4 </w:t>
      </w:r>
      <w:r>
        <w:rPr>
          <w:rFonts w:hint="eastAsia" w:ascii="宋体" w:hAnsi="宋体" w:eastAsia="宋体" w:cs="宋体"/>
          <w:color w:val="auto"/>
          <w:sz w:val="24"/>
        </w:rPr>
        <w:t>对不同文字文本响应文件的解释发生异议的，以中文文本为准。</w:t>
      </w:r>
    </w:p>
    <w:p w14:paraId="47ACE3E0">
      <w:pPr>
        <w:pStyle w:val="4"/>
        <w:spacing w:before="0" w:after="0" w:line="360" w:lineRule="auto"/>
        <w:ind w:firstLine="482" w:firstLineChars="200"/>
        <w:rPr>
          <w:rFonts w:hint="eastAsia" w:ascii="宋体" w:hAnsi="宋体" w:eastAsia="宋体" w:cs="宋体"/>
          <w:bCs w:val="0"/>
          <w:color w:val="auto"/>
          <w:sz w:val="24"/>
          <w:szCs w:val="24"/>
          <w:highlight w:val="none"/>
        </w:rPr>
      </w:pPr>
      <w:bookmarkStart w:id="134" w:name="_Toc17682"/>
      <w:bookmarkStart w:id="135" w:name="_Toc217446058"/>
      <w:r>
        <w:rPr>
          <w:rFonts w:hint="eastAsia" w:ascii="宋体" w:hAnsi="宋体" w:eastAsia="宋体" w:cs="宋体"/>
          <w:bCs w:val="0"/>
          <w:color w:val="auto"/>
          <w:sz w:val="24"/>
          <w:szCs w:val="24"/>
          <w:highlight w:val="none"/>
        </w:rPr>
        <w:t>2</w:t>
      </w:r>
      <w:r>
        <w:rPr>
          <w:rFonts w:hint="eastAsia" w:ascii="宋体" w:hAnsi="宋体" w:eastAsia="宋体" w:cs="宋体"/>
          <w:bCs w:val="0"/>
          <w:color w:val="auto"/>
          <w:sz w:val="24"/>
          <w:szCs w:val="24"/>
          <w:highlight w:val="none"/>
          <w:lang w:val="en-US" w:eastAsia="zh-CN"/>
        </w:rPr>
        <w:t>2</w:t>
      </w:r>
      <w:r>
        <w:rPr>
          <w:rFonts w:hint="eastAsia" w:ascii="宋体" w:hAnsi="宋体" w:eastAsia="宋体" w:cs="宋体"/>
          <w:bCs w:val="0"/>
          <w:color w:val="auto"/>
          <w:sz w:val="24"/>
          <w:szCs w:val="24"/>
          <w:highlight w:val="none"/>
        </w:rPr>
        <w:t>. 开标程序</w:t>
      </w:r>
      <w:bookmarkEnd w:id="134"/>
      <w:bookmarkEnd w:id="135"/>
    </w:p>
    <w:p w14:paraId="5903BFD5">
      <w:pPr>
        <w:spacing w:line="360" w:lineRule="auto"/>
        <w:ind w:firstLine="480" w:firstLineChars="200"/>
        <w:rPr>
          <w:rFonts w:hint="eastAsia" w:ascii="宋体" w:hAnsi="宋体" w:eastAsia="宋体" w:cs="宋体"/>
          <w:color w:val="auto"/>
          <w:sz w:val="24"/>
        </w:rPr>
      </w:pPr>
      <w:bookmarkStart w:id="136" w:name="_Toc183682375"/>
      <w:bookmarkStart w:id="137" w:name="_Toc183582238"/>
      <w:bookmarkStart w:id="138" w:name="_Toc217446063"/>
      <w:r>
        <w:rPr>
          <w:rFonts w:hint="eastAsia" w:ascii="宋体" w:hAnsi="宋体" w:eastAsia="宋体" w:cs="宋体"/>
          <w:color w:val="auto"/>
          <w:sz w:val="24"/>
        </w:rPr>
        <w:t>开标会主持人按照</w:t>
      </w:r>
      <w:r>
        <w:rPr>
          <w:rFonts w:hint="eastAsia" w:ascii="宋体" w:hAnsi="宋体" w:eastAsia="宋体" w:cs="宋体"/>
          <w:color w:val="auto"/>
          <w:sz w:val="24"/>
          <w:lang w:eastAsia="zh-CN"/>
        </w:rPr>
        <w:t>招标</w:t>
      </w:r>
      <w:r>
        <w:rPr>
          <w:rFonts w:hint="eastAsia" w:ascii="宋体" w:hAnsi="宋体" w:eastAsia="宋体" w:cs="宋体"/>
          <w:color w:val="auto"/>
          <w:sz w:val="24"/>
        </w:rPr>
        <w:t>文件规定的开标时间宣布开标，按照规定要求主持开标会。开标将按以下程序进行：</w:t>
      </w:r>
    </w:p>
    <w:p w14:paraId="771D7B38">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22.1采购人在规定的响应文件递交截止时间（开标/招标时间）和供应商须知前附表规定的地点进行不见面远程开标/招标。供应商的法定代表人或其委托代理人无需到达开标/招标现场，仅需在任意地点登录政采云平台https://www.zcygov.cn/进入“政采云远程开标大厅”参加开标/招标会议，并使用CA密钥完成远程解密、提疑澄清、开标、结果公布等交互环节。</w:t>
      </w:r>
    </w:p>
    <w:p w14:paraId="5F7A1741">
      <w:pPr>
        <w:pStyle w:val="4"/>
        <w:spacing w:before="0" w:after="0" w:line="360" w:lineRule="auto"/>
        <w:ind w:firstLine="480" w:firstLineChars="200"/>
        <w:rPr>
          <w:rFonts w:hint="eastAsia" w:ascii="宋体" w:hAnsi="宋体" w:eastAsia="宋体" w:cs="宋体"/>
          <w:b w:val="0"/>
          <w:bCs w:val="0"/>
          <w:color w:val="auto"/>
          <w:kern w:val="2"/>
          <w:sz w:val="24"/>
          <w:szCs w:val="24"/>
          <w:lang w:val="en-US" w:eastAsia="zh-CN" w:bidi="ar-SA"/>
        </w:rPr>
      </w:pPr>
      <w:bookmarkStart w:id="139" w:name="_Toc25098"/>
      <w:r>
        <w:rPr>
          <w:rFonts w:hint="eastAsia" w:ascii="宋体" w:hAnsi="宋体" w:eastAsia="宋体" w:cs="宋体"/>
          <w:b w:val="0"/>
          <w:bCs w:val="0"/>
          <w:color w:val="auto"/>
          <w:kern w:val="2"/>
          <w:sz w:val="24"/>
          <w:szCs w:val="24"/>
          <w:lang w:val="en-US" w:eastAsia="zh-CN" w:bidi="ar-SA"/>
        </w:rPr>
        <w:t>22.2 开标/招标时，各供应商应在规定的解密时间（30分钟）内对本单位加密的电子响应文件进行解密，如在规定的解密时间内仍有供应商未解密，采购代理机构将采取“异常处理”，开启该单位的备份标书。采购代理机构工作人员在监督人员或公证人员监督下开启响应文件。</w:t>
      </w:r>
      <w:bookmarkEnd w:id="139"/>
    </w:p>
    <w:p w14:paraId="132DC33D">
      <w:pPr>
        <w:pStyle w:val="4"/>
        <w:spacing w:before="0" w:after="0" w:line="360" w:lineRule="auto"/>
        <w:ind w:firstLine="482" w:firstLineChars="200"/>
        <w:rPr>
          <w:rFonts w:hint="eastAsia" w:ascii="宋体" w:hAnsi="宋体" w:eastAsia="宋体" w:cs="宋体"/>
          <w:bCs w:val="0"/>
          <w:color w:val="auto"/>
          <w:sz w:val="24"/>
          <w:szCs w:val="24"/>
          <w:highlight w:val="none"/>
        </w:rPr>
      </w:pPr>
      <w:bookmarkStart w:id="140" w:name="_Toc5737"/>
      <w:r>
        <w:rPr>
          <w:rFonts w:hint="eastAsia" w:ascii="宋体" w:hAnsi="宋体" w:eastAsia="宋体" w:cs="宋体"/>
          <w:bCs w:val="0"/>
          <w:color w:val="auto"/>
          <w:sz w:val="24"/>
          <w:szCs w:val="24"/>
          <w:highlight w:val="none"/>
        </w:rPr>
        <w:t>2</w:t>
      </w:r>
      <w:r>
        <w:rPr>
          <w:rFonts w:hint="eastAsia" w:ascii="宋体" w:hAnsi="宋体" w:eastAsia="宋体" w:cs="宋体"/>
          <w:bCs w:val="0"/>
          <w:color w:val="auto"/>
          <w:sz w:val="24"/>
          <w:szCs w:val="24"/>
          <w:highlight w:val="none"/>
          <w:lang w:val="en-US" w:eastAsia="zh-CN"/>
        </w:rPr>
        <w:t>3</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eastAsia="zh-CN"/>
        </w:rPr>
        <w:t>中标</w:t>
      </w:r>
      <w:r>
        <w:rPr>
          <w:rFonts w:hint="eastAsia" w:ascii="宋体" w:hAnsi="宋体" w:eastAsia="宋体" w:cs="宋体"/>
          <w:bCs w:val="0"/>
          <w:color w:val="auto"/>
          <w:sz w:val="24"/>
          <w:szCs w:val="24"/>
          <w:highlight w:val="none"/>
        </w:rPr>
        <w:t>通知</w:t>
      </w:r>
      <w:bookmarkEnd w:id="136"/>
      <w:bookmarkEnd w:id="137"/>
      <w:r>
        <w:rPr>
          <w:rFonts w:hint="eastAsia" w:ascii="宋体" w:hAnsi="宋体" w:eastAsia="宋体" w:cs="宋体"/>
          <w:bCs w:val="0"/>
          <w:color w:val="auto"/>
          <w:sz w:val="24"/>
          <w:szCs w:val="24"/>
          <w:highlight w:val="none"/>
        </w:rPr>
        <w:t>书</w:t>
      </w:r>
      <w:bookmarkEnd w:id="138"/>
      <w:bookmarkEnd w:id="140"/>
    </w:p>
    <w:p w14:paraId="41D0B2DD">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通知书为签订政府采购合同的依据，是合同的有效组成部分。</w:t>
      </w:r>
    </w:p>
    <w:p w14:paraId="1317066A">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通知书对采购人和</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人均具有法律效力。</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通知书发出后，采购人改变</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结果，或者</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人无正当理由放弃</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的，应当承担相应的法律责任。</w:t>
      </w:r>
    </w:p>
    <w:p w14:paraId="7300CF45">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人的响应文件本应作为无效投标处理或者有政府采购法律法规规章制度规定的</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无效情形的，采购代理机构在取得有权主体的认定以后，应当宣布发出的</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通知书无效，并收回发出的</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通知书（</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人也应当缴回），依法重新确定</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人或者重新开展采购活动。</w:t>
      </w:r>
    </w:p>
    <w:p w14:paraId="6BDA7740">
      <w:pPr>
        <w:pStyle w:val="3"/>
        <w:spacing w:before="0" w:after="0" w:line="360" w:lineRule="auto"/>
        <w:jc w:val="center"/>
        <w:rPr>
          <w:rFonts w:hint="eastAsia" w:ascii="宋体" w:hAnsi="宋体" w:eastAsia="宋体" w:cs="宋体"/>
          <w:color w:val="auto"/>
          <w:sz w:val="30"/>
          <w:szCs w:val="30"/>
          <w:highlight w:val="none"/>
        </w:rPr>
      </w:pPr>
      <w:bookmarkStart w:id="141" w:name="_Toc31910"/>
      <w:bookmarkStart w:id="142" w:name="_Toc217446064"/>
      <w:bookmarkStart w:id="143" w:name="_Toc30153"/>
      <w:bookmarkStart w:id="144" w:name="_Toc183682377"/>
      <w:bookmarkStart w:id="145" w:name="_Toc183582240"/>
      <w:r>
        <w:rPr>
          <w:rFonts w:hint="eastAsia" w:ascii="宋体" w:hAnsi="宋体" w:eastAsia="宋体" w:cs="宋体"/>
          <w:color w:val="auto"/>
          <w:sz w:val="30"/>
          <w:szCs w:val="30"/>
          <w:highlight w:val="none"/>
        </w:rPr>
        <w:t>六、签订及履行合同和验收</w:t>
      </w:r>
      <w:bookmarkEnd w:id="141"/>
      <w:bookmarkEnd w:id="142"/>
      <w:bookmarkEnd w:id="143"/>
    </w:p>
    <w:p w14:paraId="46FD030A">
      <w:pPr>
        <w:pStyle w:val="4"/>
        <w:spacing w:before="0" w:after="0" w:line="360" w:lineRule="auto"/>
        <w:ind w:firstLine="482" w:firstLineChars="200"/>
        <w:rPr>
          <w:rFonts w:hint="eastAsia" w:ascii="宋体" w:hAnsi="宋体" w:eastAsia="宋体" w:cs="宋体"/>
          <w:b w:val="0"/>
          <w:color w:val="auto"/>
          <w:sz w:val="24"/>
          <w:szCs w:val="24"/>
          <w:highlight w:val="none"/>
        </w:rPr>
      </w:pPr>
      <w:bookmarkStart w:id="146" w:name="_Toc217446065"/>
      <w:bookmarkStart w:id="147" w:name="_Toc4180"/>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b w:val="0"/>
          <w:color w:val="auto"/>
          <w:sz w:val="24"/>
          <w:szCs w:val="24"/>
          <w:highlight w:val="none"/>
        </w:rPr>
        <w:t xml:space="preserve"> 签订合同</w:t>
      </w:r>
      <w:bookmarkEnd w:id="146"/>
      <w:bookmarkEnd w:id="147"/>
    </w:p>
    <w:p w14:paraId="7FF142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人在收到采购人发出的《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通知书》后，应在法律法规规定的时间内与采购人签订采购合同。由于</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人的原因逾期未与采购人签订采购合同的，将视为放弃</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，取消其</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资格并将按相关规定进行处理。</w:t>
      </w:r>
    </w:p>
    <w:p w14:paraId="010425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 采购人不得向</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人提出任何不合理的要求，作为签订合同的条件，不得与</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人私下订立背离合同实质性内容的任何协议，所签订的合同不得对采购文件和</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人响应文件作实质性修改。</w:t>
      </w:r>
    </w:p>
    <w:p w14:paraId="317F2D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.3 </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人因不可抗力原因不能履行采购合同或放弃</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的，采购人可以与排在</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人之后第一位的</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候选人签订采购合同，以此类推。</w:t>
      </w:r>
    </w:p>
    <w:p w14:paraId="64292C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.4 </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人在合同签订之后三个工作日内，将签订的合同（一份）送采购代理机构。</w:t>
      </w:r>
    </w:p>
    <w:p w14:paraId="768F78F4">
      <w:pPr>
        <w:pStyle w:val="4"/>
        <w:spacing w:before="0" w:after="0" w:line="360" w:lineRule="auto"/>
        <w:ind w:firstLine="482" w:firstLineChars="200"/>
        <w:rPr>
          <w:rFonts w:hint="eastAsia" w:ascii="宋体" w:hAnsi="宋体" w:eastAsia="宋体" w:cs="宋体"/>
          <w:b w:val="0"/>
          <w:color w:val="auto"/>
          <w:sz w:val="24"/>
          <w:szCs w:val="24"/>
          <w:highlight w:val="none"/>
        </w:rPr>
      </w:pPr>
      <w:bookmarkStart w:id="148" w:name="_Toc217446066"/>
      <w:bookmarkStart w:id="149" w:name="_Toc20685"/>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sz w:val="24"/>
          <w:szCs w:val="24"/>
          <w:highlight w:val="none"/>
        </w:rPr>
        <w:t>合同分包</w:t>
      </w:r>
      <w:bookmarkEnd w:id="148"/>
      <w:bookmarkEnd w:id="149"/>
    </w:p>
    <w:p w14:paraId="606776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 若本项目允许分包的，经采购人同意，</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人可以依法采取分包方式履行合同。这种要求应当在合同签订之前征得采购人同意，并且分包供应商履行的分包项目的品牌、规格型号及技术要求等，必须与</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的一致。</w:t>
      </w:r>
    </w:p>
    <w:p w14:paraId="65CC11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 采购合同实行分包履行的，</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人就采购项目和分包项目向采购人负责，分包供应商就分包项目承担责任。</w:t>
      </w:r>
    </w:p>
    <w:p w14:paraId="765B488F">
      <w:pPr>
        <w:pStyle w:val="4"/>
        <w:spacing w:before="0" w:after="0" w:line="360" w:lineRule="auto"/>
        <w:ind w:firstLine="482" w:firstLineChars="200"/>
        <w:rPr>
          <w:rFonts w:hint="eastAsia" w:ascii="宋体" w:hAnsi="宋体" w:eastAsia="宋体" w:cs="宋体"/>
          <w:b w:val="0"/>
          <w:color w:val="auto"/>
          <w:sz w:val="24"/>
          <w:szCs w:val="24"/>
          <w:highlight w:val="none"/>
        </w:rPr>
      </w:pPr>
      <w:bookmarkStart w:id="150" w:name="_Toc217446067"/>
      <w:bookmarkStart w:id="151" w:name="_Toc28868"/>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sz w:val="24"/>
          <w:szCs w:val="24"/>
          <w:highlight w:val="none"/>
        </w:rPr>
        <w:t>采购人增加合同标的权</w:t>
      </w:r>
      <w:bookmarkEnd w:id="150"/>
      <w:r>
        <w:rPr>
          <w:rFonts w:hint="eastAsia" w:ascii="宋体" w:hAnsi="宋体" w:eastAsia="宋体" w:cs="宋体"/>
          <w:b w:val="0"/>
          <w:color w:val="auto"/>
          <w:sz w:val="24"/>
          <w:szCs w:val="24"/>
          <w:highlight w:val="none"/>
        </w:rPr>
        <w:t>利</w:t>
      </w:r>
      <w:bookmarkEnd w:id="151"/>
    </w:p>
    <w:p w14:paraId="6CC364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采购合同履行过程中，采购人需要追加与合同标的相同的货物或者服务的，在不改变合同其他条款的前提下，可以与</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供应商协商签订补充合同，但所有补充合同的采购金额不得超过原合同采购金额的百分之十。</w:t>
      </w:r>
    </w:p>
    <w:p w14:paraId="50530810">
      <w:pPr>
        <w:pStyle w:val="4"/>
        <w:spacing w:before="0" w:after="0" w:line="360" w:lineRule="auto"/>
        <w:ind w:firstLine="482" w:firstLineChars="200"/>
        <w:rPr>
          <w:rFonts w:hint="eastAsia" w:ascii="宋体" w:hAnsi="宋体" w:eastAsia="宋体" w:cs="宋体"/>
          <w:b w:val="0"/>
          <w:color w:val="auto"/>
          <w:sz w:val="24"/>
          <w:szCs w:val="24"/>
          <w:highlight w:val="none"/>
        </w:rPr>
      </w:pPr>
      <w:bookmarkStart w:id="152" w:name="_Toc12518"/>
      <w:bookmarkStart w:id="153" w:name="_Toc217446068"/>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sz w:val="24"/>
          <w:szCs w:val="24"/>
          <w:highlight w:val="none"/>
        </w:rPr>
        <w:t>履约保证金</w:t>
      </w:r>
      <w:bookmarkEnd w:id="152"/>
      <w:bookmarkEnd w:id="153"/>
    </w:p>
    <w:p w14:paraId="1226D62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人应在合同签订之前交纳采购文件规定数额的履约保证金。</w:t>
      </w:r>
    </w:p>
    <w:p w14:paraId="723082AC">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 如果</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人在规定的合同签订时间内，没有按照采购文件的规定交纳履约保证金，且又无正当理由的，将视为放弃</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，其交纳的投标保证金将不与退还。</w:t>
      </w:r>
    </w:p>
    <w:p w14:paraId="7E170385">
      <w:pPr>
        <w:pStyle w:val="4"/>
        <w:spacing w:before="0" w:after="0" w:line="360" w:lineRule="auto"/>
        <w:ind w:firstLine="482" w:firstLineChars="200"/>
        <w:rPr>
          <w:rFonts w:hint="eastAsia" w:ascii="宋体" w:hAnsi="宋体" w:eastAsia="宋体" w:cs="宋体"/>
          <w:b w:val="0"/>
          <w:color w:val="auto"/>
          <w:sz w:val="24"/>
          <w:szCs w:val="24"/>
          <w:highlight w:val="none"/>
        </w:rPr>
      </w:pPr>
      <w:bookmarkStart w:id="154" w:name="_Toc217446069"/>
      <w:bookmarkStart w:id="155" w:name="_Toc990"/>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b w:val="0"/>
          <w:color w:val="auto"/>
          <w:sz w:val="24"/>
          <w:szCs w:val="24"/>
          <w:highlight w:val="none"/>
        </w:rPr>
        <w:t xml:space="preserve"> 履行合同</w:t>
      </w:r>
      <w:bookmarkEnd w:id="154"/>
      <w:bookmarkEnd w:id="155"/>
    </w:p>
    <w:p w14:paraId="4C3FDA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人与采购人签订合同后，合同双方应严格执行合同条款，履行合同规定的义务，保证合同的顺利完成。</w:t>
      </w:r>
    </w:p>
    <w:p w14:paraId="16358A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 在合同履行过程中，如发生合同纠纷，合同双方应按照有关规定进行处理。</w:t>
      </w:r>
    </w:p>
    <w:p w14:paraId="4A0449B8">
      <w:pPr>
        <w:pStyle w:val="4"/>
        <w:spacing w:before="0" w:after="0" w:line="360" w:lineRule="auto"/>
        <w:ind w:firstLine="482" w:firstLineChars="200"/>
        <w:rPr>
          <w:rFonts w:hint="eastAsia" w:ascii="宋体" w:hAnsi="宋体" w:eastAsia="宋体" w:cs="宋体"/>
          <w:b w:val="0"/>
          <w:color w:val="auto"/>
          <w:sz w:val="24"/>
          <w:szCs w:val="24"/>
          <w:highlight w:val="none"/>
        </w:rPr>
      </w:pPr>
      <w:bookmarkStart w:id="156" w:name="_Toc13966"/>
      <w:bookmarkStart w:id="157" w:name="_Toc217446070"/>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sz w:val="24"/>
          <w:szCs w:val="24"/>
          <w:highlight w:val="none"/>
        </w:rPr>
        <w:t>验收</w:t>
      </w:r>
      <w:bookmarkEnd w:id="156"/>
      <w:bookmarkEnd w:id="157"/>
    </w:p>
    <w:p w14:paraId="2658D4C1">
      <w:pPr>
        <w:pStyle w:val="6"/>
        <w:spacing w:line="360" w:lineRule="auto"/>
        <w:ind w:firstLine="480"/>
        <w:rPr>
          <w:rFonts w:hint="eastAsia" w:ascii="宋体" w:hAnsi="宋体" w:eastAsia="宋体" w:cs="宋体"/>
          <w:color w:val="auto"/>
          <w:sz w:val="24"/>
          <w:highlight w:val="none"/>
        </w:rPr>
      </w:pPr>
      <w:bookmarkStart w:id="158" w:name="_Toc217446071"/>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人与采购人应严格按照国家财政部《关于进一步加强政府采购需求和履约验收管理的指导意见》（</w:t>
      </w:r>
      <w:r>
        <w:rPr>
          <w:rFonts w:hint="eastAsia" w:ascii="宋体" w:hAnsi="宋体" w:eastAsia="宋体" w:cs="宋体"/>
          <w:color w:val="auto"/>
          <w:sz w:val="24"/>
          <w:highlight w:val="none"/>
          <w:shd w:val="clear" w:color="auto" w:fill="FFFFFF"/>
        </w:rPr>
        <w:t>财库〔2016〕205号</w:t>
      </w:r>
      <w:r>
        <w:rPr>
          <w:rFonts w:hint="eastAsia" w:ascii="宋体" w:hAnsi="宋体" w:eastAsia="宋体" w:cs="宋体"/>
          <w:color w:val="auto"/>
          <w:sz w:val="24"/>
          <w:highlight w:val="none"/>
        </w:rPr>
        <w:t>）的要求进行验收。</w:t>
      </w:r>
    </w:p>
    <w:bookmarkEnd w:id="144"/>
    <w:bookmarkEnd w:id="145"/>
    <w:bookmarkEnd w:id="158"/>
    <w:p w14:paraId="79D8F952">
      <w:pPr>
        <w:pStyle w:val="3"/>
        <w:spacing w:before="0" w:after="0" w:line="360" w:lineRule="auto"/>
        <w:jc w:val="center"/>
        <w:rPr>
          <w:rFonts w:hint="eastAsia" w:ascii="宋体" w:hAnsi="宋体" w:eastAsia="宋体" w:cs="宋体"/>
          <w:color w:val="auto"/>
          <w:szCs w:val="28"/>
          <w:highlight w:val="none"/>
        </w:rPr>
      </w:pPr>
      <w:bookmarkStart w:id="159" w:name="_Toc217446074"/>
      <w:bookmarkStart w:id="160" w:name="_Toc10921"/>
      <w:bookmarkStart w:id="161" w:name="_Toc7926"/>
      <w:bookmarkStart w:id="162" w:name="_Toc183682380"/>
      <w:bookmarkStart w:id="163" w:name="_Toc183582243"/>
      <w:r>
        <w:rPr>
          <w:rFonts w:hint="eastAsia" w:ascii="宋体" w:hAnsi="宋体" w:eastAsia="宋体" w:cs="宋体"/>
          <w:color w:val="auto"/>
          <w:sz w:val="30"/>
          <w:szCs w:val="30"/>
          <w:highlight w:val="none"/>
        </w:rPr>
        <w:t>七、投标纪律要求</w:t>
      </w:r>
      <w:bookmarkEnd w:id="159"/>
      <w:bookmarkEnd w:id="160"/>
      <w:bookmarkEnd w:id="161"/>
    </w:p>
    <w:p w14:paraId="6471B5B2">
      <w:pPr>
        <w:pStyle w:val="4"/>
        <w:spacing w:before="0" w:after="0" w:line="360" w:lineRule="auto"/>
        <w:ind w:firstLine="482" w:firstLineChars="200"/>
        <w:rPr>
          <w:rFonts w:hint="eastAsia" w:ascii="宋体" w:hAnsi="宋体" w:eastAsia="宋体" w:cs="宋体"/>
          <w:bCs w:val="0"/>
          <w:color w:val="auto"/>
          <w:sz w:val="24"/>
          <w:szCs w:val="24"/>
          <w:highlight w:val="none"/>
        </w:rPr>
      </w:pPr>
      <w:bookmarkStart w:id="164" w:name="_Toc15623"/>
      <w:bookmarkStart w:id="165" w:name="_Toc217446075"/>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 </w:t>
      </w:r>
      <w:r>
        <w:rPr>
          <w:rFonts w:hint="eastAsia" w:ascii="宋体" w:hAnsi="宋体" w:eastAsia="宋体" w:cs="宋体"/>
          <w:bCs w:val="0"/>
          <w:color w:val="auto"/>
          <w:sz w:val="24"/>
          <w:szCs w:val="24"/>
          <w:highlight w:val="none"/>
        </w:rPr>
        <w:t>供应商不得具有的情形</w:t>
      </w:r>
      <w:bookmarkEnd w:id="164"/>
      <w:bookmarkEnd w:id="165"/>
    </w:p>
    <w:p w14:paraId="38870854">
      <w:pPr>
        <w:pStyle w:val="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供应商参加投标不得有下列情形：</w:t>
      </w:r>
    </w:p>
    <w:p w14:paraId="54543C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w:t>
      </w:r>
    </w:p>
    <w:p w14:paraId="430F69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（2）采取不正当手段诋毁、排挤其他供应商；</w:t>
      </w:r>
    </w:p>
    <w:p w14:paraId="6D881D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（3）与采购单位、其他供应商恶意串通；</w:t>
      </w:r>
    </w:p>
    <w:p w14:paraId="69C862D5">
      <w:pPr>
        <w:pStyle w:val="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（4）向采购单位、评标委员会成员行贿或者提供其他不正当利益；</w:t>
      </w:r>
    </w:p>
    <w:p w14:paraId="31E816D9">
      <w:pPr>
        <w:pStyle w:val="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（5）在采购过程中与采购单位进行协商谈判；</w:t>
      </w:r>
    </w:p>
    <w:p w14:paraId="439B36FE">
      <w:pPr>
        <w:pStyle w:val="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（6）拒绝有关部门的监督检查或者向监督检查部门提供虚假情况。</w:t>
      </w:r>
    </w:p>
    <w:p w14:paraId="53CF2293">
      <w:pPr>
        <w:pStyle w:val="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有上述情形之一的供应商，属于不合格供应商，其投标或</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资格将被取消。</w:t>
      </w:r>
    </w:p>
    <w:p w14:paraId="3B3A4193">
      <w:pPr>
        <w:pStyle w:val="3"/>
        <w:spacing w:before="0" w:after="0" w:line="360" w:lineRule="auto"/>
        <w:jc w:val="center"/>
        <w:rPr>
          <w:rFonts w:hint="eastAsia" w:ascii="宋体" w:hAnsi="宋体" w:eastAsia="宋体" w:cs="宋体"/>
          <w:b w:val="0"/>
          <w:bCs w:val="0"/>
          <w:color w:val="auto"/>
          <w:sz w:val="30"/>
          <w:szCs w:val="30"/>
          <w:highlight w:val="none"/>
        </w:rPr>
      </w:pPr>
      <w:bookmarkStart w:id="166" w:name="_Toc16463"/>
      <w:bookmarkStart w:id="167" w:name="_Toc217446076"/>
      <w:bookmarkStart w:id="168" w:name="_Toc8943"/>
      <w:r>
        <w:rPr>
          <w:rFonts w:hint="eastAsia" w:ascii="宋体" w:hAnsi="宋体" w:eastAsia="宋体" w:cs="宋体"/>
          <w:color w:val="auto"/>
          <w:sz w:val="30"/>
          <w:szCs w:val="30"/>
          <w:highlight w:val="none"/>
        </w:rPr>
        <w:t>八、支付货款</w:t>
      </w:r>
      <w:bookmarkEnd w:id="166"/>
      <w:bookmarkEnd w:id="167"/>
      <w:bookmarkEnd w:id="168"/>
    </w:p>
    <w:p w14:paraId="71070534">
      <w:pPr>
        <w:pStyle w:val="4"/>
        <w:spacing w:before="0" w:after="0" w:line="360" w:lineRule="auto"/>
        <w:ind w:firstLine="482" w:firstLineChars="200"/>
        <w:rPr>
          <w:rFonts w:hint="eastAsia" w:ascii="宋体" w:hAnsi="宋体" w:eastAsia="宋体" w:cs="宋体"/>
          <w:b w:val="0"/>
          <w:color w:val="auto"/>
          <w:sz w:val="24"/>
          <w:szCs w:val="24"/>
          <w:highlight w:val="none"/>
        </w:rPr>
      </w:pPr>
      <w:bookmarkStart w:id="169" w:name="_Toc13309"/>
      <w:bookmarkStart w:id="170" w:name="_Toc217446077"/>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b w:val="0"/>
          <w:color w:val="auto"/>
          <w:sz w:val="24"/>
          <w:szCs w:val="24"/>
          <w:highlight w:val="none"/>
        </w:rPr>
        <w:t xml:space="preserve"> 申请支付</w:t>
      </w:r>
      <w:bookmarkEnd w:id="169"/>
      <w:bookmarkEnd w:id="170"/>
    </w:p>
    <w:p w14:paraId="0AD2F3D0">
      <w:pPr>
        <w:pStyle w:val="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.1采购项目验收合格，采购人签署《验收结算书》后，向财政部门提出支付申请。采购人的自有资金，由采购人直接支付给</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人或者按照有关规定执行。</w:t>
      </w:r>
    </w:p>
    <w:p w14:paraId="646D369E">
      <w:pPr>
        <w:pStyle w:val="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财政部门根据采购人的支付申请，并对采购合同进行审核后，直接将服务费集中支付给</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w:t>
      </w:r>
      <w:bookmarkStart w:id="171" w:name="_Toc217446078"/>
    </w:p>
    <w:p w14:paraId="75B5CECB">
      <w:pPr>
        <w:pStyle w:val="3"/>
        <w:spacing w:before="0" w:after="0" w:line="360" w:lineRule="auto"/>
        <w:jc w:val="center"/>
        <w:rPr>
          <w:rFonts w:hint="eastAsia" w:ascii="宋体" w:hAnsi="宋体" w:eastAsia="宋体" w:cs="宋体"/>
          <w:color w:val="auto"/>
          <w:szCs w:val="28"/>
          <w:highlight w:val="none"/>
        </w:rPr>
      </w:pPr>
      <w:bookmarkStart w:id="172" w:name="_Toc31672"/>
      <w:bookmarkStart w:id="173" w:name="_Toc6737"/>
      <w:r>
        <w:rPr>
          <w:rFonts w:hint="eastAsia" w:ascii="宋体" w:hAnsi="宋体" w:eastAsia="宋体" w:cs="宋体"/>
          <w:color w:val="auto"/>
          <w:sz w:val="30"/>
          <w:szCs w:val="30"/>
          <w:highlight w:val="none"/>
        </w:rPr>
        <w:t>九、质疑和投诉</w:t>
      </w:r>
      <w:bookmarkEnd w:id="171"/>
      <w:bookmarkEnd w:id="172"/>
      <w:bookmarkEnd w:id="173"/>
      <w:bookmarkStart w:id="174" w:name="_Toc217446079"/>
    </w:p>
    <w:p w14:paraId="6F77AFF1">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End w:id="174"/>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．质疑、投诉的接收和处理严格按照《中华人共和国政府采购法</w:t>
      </w:r>
      <w:bookmarkEnd w:id="162"/>
      <w:bookmarkEnd w:id="163"/>
      <w:r>
        <w:rPr>
          <w:rFonts w:hint="eastAsia" w:ascii="宋体" w:hAnsi="宋体" w:eastAsia="宋体" w:cs="宋体"/>
          <w:color w:val="auto"/>
          <w:sz w:val="24"/>
          <w:highlight w:val="none"/>
        </w:rPr>
        <w:t>》、《政府采购质疑和投诉办法》、《财政部关于加强政府采购供应商投诉受理审查工作的通知》的规定办理。</w:t>
      </w:r>
    </w:p>
    <w:p w14:paraId="3B0000D8">
      <w:pPr>
        <w:spacing w:after="340" w:line="720" w:lineRule="auto"/>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175" w:name="_Toc5850_WPSOffice_Level1"/>
      <w:bookmarkStart w:id="176" w:name="_Toc22609"/>
      <w:bookmarkStart w:id="177" w:name="_Toc12586"/>
    </w:p>
    <w:p w14:paraId="36A35007">
      <w:pPr>
        <w:pStyle w:val="2"/>
        <w:spacing w:line="360" w:lineRule="exact"/>
        <w:jc w:val="center"/>
        <w:rPr>
          <w:rFonts w:hint="eastAsia" w:ascii="宋体" w:hAnsi="宋体" w:eastAsia="宋体" w:cs="宋体"/>
          <w:color w:val="auto"/>
          <w:sz w:val="30"/>
          <w:szCs w:val="30"/>
          <w:highlight w:val="none"/>
        </w:rPr>
      </w:pPr>
      <w:bookmarkStart w:id="178" w:name="_Toc31155"/>
      <w:bookmarkStart w:id="179" w:name="_Toc13673"/>
      <w:bookmarkStart w:id="180" w:name="_Toc22963"/>
      <w:r>
        <w:rPr>
          <w:rFonts w:hint="eastAsia" w:ascii="宋体" w:hAnsi="宋体" w:eastAsia="宋体" w:cs="宋体"/>
          <w:color w:val="auto"/>
          <w:sz w:val="30"/>
          <w:szCs w:val="30"/>
          <w:highlight w:val="none"/>
        </w:rPr>
        <w:t>第三章  响应文件格式</w:t>
      </w:r>
      <w:bookmarkEnd w:id="175"/>
      <w:bookmarkEnd w:id="176"/>
      <w:bookmarkEnd w:id="177"/>
      <w:bookmarkEnd w:id="178"/>
      <w:bookmarkEnd w:id="179"/>
      <w:bookmarkEnd w:id="180"/>
    </w:p>
    <w:p w14:paraId="3131836E">
      <w:pPr>
        <w:spacing w:line="360" w:lineRule="exact"/>
        <w:jc w:val="both"/>
        <w:outlineLvl w:val="9"/>
        <w:rPr>
          <w:rFonts w:hint="eastAsia" w:asciiTheme="majorEastAsia" w:hAnsiTheme="majorEastAsia" w:eastAsiaTheme="majorEastAsia" w:cstheme="majorEastAsia"/>
          <w:b/>
          <w:color w:val="auto"/>
          <w:kern w:val="2"/>
          <w:sz w:val="24"/>
          <w:szCs w:val="16"/>
          <w:highlight w:val="none"/>
          <w:lang w:val="en-US" w:eastAsia="zh-CN" w:bidi="ar-SA"/>
        </w:rPr>
      </w:pPr>
      <w:bookmarkStart w:id="181" w:name="_Toc20356"/>
      <w:bookmarkStart w:id="182" w:name="_Toc103813468"/>
      <w:bookmarkStart w:id="183" w:name="_Toc112868868"/>
      <w:bookmarkStart w:id="184" w:name="_Toc80205938"/>
      <w:r>
        <w:rPr>
          <w:rFonts w:hint="eastAsia" w:asciiTheme="majorEastAsia" w:hAnsiTheme="majorEastAsia" w:eastAsiaTheme="majorEastAsia" w:cstheme="majorEastAsia"/>
          <w:b/>
          <w:color w:val="auto"/>
          <w:kern w:val="2"/>
          <w:sz w:val="24"/>
          <w:szCs w:val="16"/>
          <w:highlight w:val="none"/>
          <w:lang w:val="en-US" w:eastAsia="zh-CN" w:bidi="ar-SA"/>
        </w:rPr>
        <w:t xml:space="preserve"> 封面</w:t>
      </w:r>
      <w:bookmarkEnd w:id="181"/>
      <w:bookmarkEnd w:id="182"/>
      <w:bookmarkEnd w:id="183"/>
      <w:bookmarkEnd w:id="184"/>
    </w:p>
    <w:p w14:paraId="52DDC42F">
      <w:pPr>
        <w:snapToGrid w:val="0"/>
        <w:spacing w:before="120" w:beforeLines="50" w:after="50"/>
        <w:jc w:val="center"/>
        <w:rPr>
          <w:rFonts w:hint="eastAsia" w:asciiTheme="majorEastAsia" w:hAnsiTheme="majorEastAsia" w:eastAsiaTheme="majorEastAsia" w:cstheme="majorEastAsia"/>
          <w:color w:val="auto"/>
          <w:sz w:val="52"/>
          <w:szCs w:val="20"/>
          <w:highlight w:val="none"/>
        </w:rPr>
      </w:pPr>
    </w:p>
    <w:p w14:paraId="2277B50E">
      <w:pPr>
        <w:snapToGrid w:val="0"/>
        <w:spacing w:before="120" w:beforeLines="50" w:after="50"/>
        <w:jc w:val="center"/>
        <w:rPr>
          <w:rFonts w:hint="eastAsia" w:asciiTheme="majorEastAsia" w:hAnsiTheme="majorEastAsia" w:eastAsiaTheme="majorEastAsia" w:cstheme="majorEastAsia"/>
          <w:color w:val="auto"/>
          <w:sz w:val="48"/>
          <w:szCs w:val="18"/>
          <w:highlight w:val="none"/>
        </w:rPr>
      </w:pPr>
    </w:p>
    <w:p w14:paraId="3AF9F75C">
      <w:pPr>
        <w:snapToGrid w:val="0"/>
        <w:spacing w:before="120" w:beforeLines="50" w:after="50"/>
        <w:jc w:val="center"/>
        <w:rPr>
          <w:rFonts w:hint="eastAsia" w:asciiTheme="majorEastAsia" w:hAnsiTheme="majorEastAsia" w:eastAsiaTheme="majorEastAsia" w:cstheme="majorEastAsia"/>
          <w:bCs/>
          <w:color w:val="auto"/>
          <w:sz w:val="22"/>
          <w:szCs w:val="18"/>
          <w:highlight w:val="none"/>
        </w:rPr>
      </w:pPr>
    </w:p>
    <w:p w14:paraId="5524B66E">
      <w:pPr>
        <w:snapToGrid w:val="0"/>
        <w:spacing w:before="120" w:beforeLines="50" w:after="50"/>
        <w:jc w:val="center"/>
        <w:rPr>
          <w:rFonts w:hint="eastAsia" w:asciiTheme="majorEastAsia" w:hAnsiTheme="majorEastAsia" w:eastAsiaTheme="majorEastAsia" w:cstheme="majorEastAsia"/>
          <w:b/>
          <w:bCs/>
          <w:color w:val="auto"/>
          <w:sz w:val="52"/>
          <w:szCs w:val="40"/>
          <w:highlight w:val="none"/>
        </w:rPr>
      </w:pPr>
      <w:r>
        <w:rPr>
          <w:rFonts w:hint="eastAsia" w:asciiTheme="majorEastAsia" w:hAnsiTheme="majorEastAsia" w:eastAsiaTheme="majorEastAsia" w:cstheme="majorEastAsia"/>
          <w:b/>
          <w:bCs/>
          <w:color w:val="auto"/>
          <w:sz w:val="52"/>
          <w:szCs w:val="40"/>
          <w:highlight w:val="none"/>
        </w:rPr>
        <w:t>响  应  文  件</w:t>
      </w:r>
    </w:p>
    <w:p w14:paraId="76066C2A">
      <w:pPr>
        <w:snapToGrid w:val="0"/>
        <w:spacing w:before="120" w:beforeLines="50" w:after="50"/>
        <w:rPr>
          <w:rFonts w:hint="eastAsia" w:asciiTheme="majorEastAsia" w:hAnsiTheme="majorEastAsia" w:eastAsiaTheme="majorEastAsia" w:cstheme="majorEastAsia"/>
          <w:bCs/>
          <w:color w:val="auto"/>
          <w:sz w:val="22"/>
          <w:szCs w:val="18"/>
          <w:highlight w:val="none"/>
        </w:rPr>
      </w:pPr>
    </w:p>
    <w:p w14:paraId="545A8E73">
      <w:pPr>
        <w:snapToGrid w:val="0"/>
        <w:spacing w:before="120" w:beforeLines="50" w:after="50"/>
        <w:rPr>
          <w:rFonts w:hint="eastAsia" w:asciiTheme="majorEastAsia" w:hAnsiTheme="majorEastAsia" w:eastAsiaTheme="majorEastAsia" w:cstheme="majorEastAsia"/>
          <w:bCs/>
          <w:color w:val="auto"/>
          <w:sz w:val="22"/>
          <w:szCs w:val="18"/>
          <w:highlight w:val="none"/>
        </w:rPr>
      </w:pPr>
    </w:p>
    <w:p w14:paraId="51642E58">
      <w:pPr>
        <w:snapToGrid w:val="0"/>
        <w:spacing w:before="120" w:beforeLines="50" w:after="50"/>
        <w:rPr>
          <w:rFonts w:hint="eastAsia" w:asciiTheme="majorEastAsia" w:hAnsiTheme="majorEastAsia" w:eastAsiaTheme="majorEastAsia" w:cstheme="majorEastAsia"/>
          <w:bCs/>
          <w:color w:val="auto"/>
          <w:sz w:val="22"/>
          <w:szCs w:val="18"/>
          <w:highlight w:val="none"/>
        </w:rPr>
      </w:pPr>
    </w:p>
    <w:p w14:paraId="45573688">
      <w:pPr>
        <w:snapToGrid w:val="0"/>
        <w:spacing w:before="120" w:beforeLines="50" w:after="50"/>
        <w:rPr>
          <w:rFonts w:hint="eastAsia" w:asciiTheme="majorEastAsia" w:hAnsiTheme="majorEastAsia" w:eastAsiaTheme="majorEastAsia" w:cstheme="majorEastAsia"/>
          <w:bCs/>
          <w:color w:val="auto"/>
          <w:sz w:val="22"/>
          <w:szCs w:val="18"/>
          <w:highlight w:val="none"/>
        </w:rPr>
      </w:pPr>
    </w:p>
    <w:p w14:paraId="06999ED1">
      <w:pPr>
        <w:snapToGrid w:val="0"/>
        <w:spacing w:before="120" w:beforeLines="50" w:after="50"/>
        <w:rPr>
          <w:rFonts w:hint="eastAsia" w:asciiTheme="majorEastAsia" w:hAnsiTheme="majorEastAsia" w:eastAsiaTheme="majorEastAsia" w:cstheme="majorEastAsia"/>
          <w:bCs/>
          <w:color w:val="auto"/>
          <w:sz w:val="28"/>
          <w:szCs w:val="28"/>
          <w:highlight w:val="none"/>
        </w:rPr>
      </w:pPr>
    </w:p>
    <w:p w14:paraId="6D339760">
      <w:pPr>
        <w:snapToGrid w:val="0"/>
        <w:spacing w:before="120" w:beforeLines="50" w:after="50"/>
        <w:rPr>
          <w:rFonts w:hint="eastAsia" w:asciiTheme="majorEastAsia" w:hAnsiTheme="majorEastAsia" w:eastAsiaTheme="majorEastAsia" w:cstheme="majorEastAsia"/>
          <w:bCs/>
          <w:color w:val="auto"/>
          <w:sz w:val="28"/>
          <w:szCs w:val="28"/>
          <w:highlight w:val="none"/>
        </w:rPr>
      </w:pPr>
    </w:p>
    <w:p w14:paraId="21F6A37F">
      <w:pPr>
        <w:snapToGrid w:val="0"/>
        <w:spacing w:before="120" w:beforeLines="50" w:after="50"/>
        <w:rPr>
          <w:rFonts w:hint="eastAsia"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项目名称：</w:t>
      </w:r>
    </w:p>
    <w:p w14:paraId="1B2780D1">
      <w:pPr>
        <w:snapToGrid w:val="0"/>
        <w:spacing w:before="120" w:beforeLines="50" w:after="50"/>
        <w:rPr>
          <w:rFonts w:hint="eastAsia" w:asciiTheme="majorEastAsia" w:hAnsiTheme="majorEastAsia" w:eastAsiaTheme="majorEastAsia" w:cstheme="majorEastAsia"/>
          <w:bCs/>
          <w:color w:val="auto"/>
          <w:sz w:val="28"/>
          <w:szCs w:val="28"/>
          <w:highlight w:val="none"/>
        </w:rPr>
      </w:pPr>
    </w:p>
    <w:p w14:paraId="15387C06">
      <w:pPr>
        <w:snapToGrid w:val="0"/>
        <w:spacing w:before="120" w:beforeLines="50" w:after="50"/>
        <w:rPr>
          <w:rFonts w:hint="eastAsia"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项目编号：</w:t>
      </w:r>
    </w:p>
    <w:p w14:paraId="2F653308">
      <w:pPr>
        <w:snapToGrid w:val="0"/>
        <w:spacing w:before="120" w:beforeLines="50" w:after="50"/>
        <w:rPr>
          <w:rFonts w:hint="eastAsia" w:asciiTheme="majorEastAsia" w:hAnsiTheme="majorEastAsia" w:eastAsiaTheme="majorEastAsia" w:cstheme="majorEastAsia"/>
          <w:bCs/>
          <w:color w:val="auto"/>
          <w:sz w:val="28"/>
          <w:szCs w:val="28"/>
          <w:highlight w:val="none"/>
          <w:lang w:val="en-US" w:eastAsia="zh-CN"/>
        </w:rPr>
      </w:pPr>
    </w:p>
    <w:p w14:paraId="49E68920">
      <w:pPr>
        <w:snapToGrid w:val="0"/>
        <w:spacing w:before="120" w:beforeLines="50" w:after="50"/>
        <w:rPr>
          <w:rFonts w:hint="eastAsia" w:asciiTheme="majorEastAsia" w:hAnsiTheme="majorEastAsia" w:eastAsiaTheme="majorEastAsia" w:cstheme="majorEastAsia"/>
          <w:bCs/>
          <w:color w:val="auto"/>
          <w:sz w:val="28"/>
          <w:szCs w:val="28"/>
          <w:highlight w:val="none"/>
          <w:lang w:eastAsia="zh-CN"/>
        </w:rPr>
      </w:pPr>
      <w:r>
        <w:rPr>
          <w:rFonts w:hint="eastAsia" w:asciiTheme="majorEastAsia" w:hAnsiTheme="majorEastAsia" w:eastAsiaTheme="majorEastAsia" w:cstheme="majorEastAsia"/>
          <w:bCs/>
          <w:color w:val="auto"/>
          <w:sz w:val="28"/>
          <w:szCs w:val="28"/>
          <w:highlight w:val="none"/>
          <w:lang w:eastAsia="zh-CN"/>
        </w:rPr>
        <w:t>联</w:t>
      </w:r>
      <w:r>
        <w:rPr>
          <w:rFonts w:hint="eastAsia" w:asciiTheme="majorEastAsia" w:hAnsiTheme="majorEastAsia" w:eastAsiaTheme="majorEastAsia" w:cstheme="majorEastAsia"/>
          <w:bCs/>
          <w:color w:val="auto"/>
          <w:sz w:val="28"/>
          <w:szCs w:val="28"/>
          <w:highlight w:val="none"/>
          <w:lang w:val="en-US" w:eastAsia="zh-CN"/>
        </w:rPr>
        <w:t xml:space="preserve"> </w:t>
      </w:r>
      <w:r>
        <w:rPr>
          <w:rFonts w:hint="eastAsia" w:asciiTheme="majorEastAsia" w:hAnsiTheme="majorEastAsia" w:eastAsiaTheme="majorEastAsia" w:cstheme="majorEastAsia"/>
          <w:bCs/>
          <w:color w:val="auto"/>
          <w:sz w:val="28"/>
          <w:szCs w:val="28"/>
          <w:highlight w:val="none"/>
          <w:lang w:eastAsia="zh-CN"/>
        </w:rPr>
        <w:t>系</w:t>
      </w:r>
      <w:r>
        <w:rPr>
          <w:rFonts w:hint="eastAsia" w:asciiTheme="majorEastAsia" w:hAnsiTheme="majorEastAsia" w:eastAsiaTheme="majorEastAsia" w:cstheme="majorEastAsia"/>
          <w:bCs/>
          <w:color w:val="auto"/>
          <w:sz w:val="28"/>
          <w:szCs w:val="28"/>
          <w:highlight w:val="none"/>
          <w:lang w:val="en-US" w:eastAsia="zh-CN"/>
        </w:rPr>
        <w:t xml:space="preserve"> </w:t>
      </w:r>
      <w:r>
        <w:rPr>
          <w:rFonts w:hint="eastAsia" w:asciiTheme="majorEastAsia" w:hAnsiTheme="majorEastAsia" w:eastAsiaTheme="majorEastAsia" w:cstheme="majorEastAsia"/>
          <w:bCs/>
          <w:color w:val="auto"/>
          <w:sz w:val="28"/>
          <w:szCs w:val="28"/>
          <w:highlight w:val="none"/>
          <w:lang w:eastAsia="zh-CN"/>
        </w:rPr>
        <w:t>人：</w:t>
      </w:r>
    </w:p>
    <w:p w14:paraId="39D27FFD">
      <w:pPr>
        <w:snapToGrid w:val="0"/>
        <w:spacing w:before="120" w:beforeLines="50" w:after="50"/>
        <w:rPr>
          <w:rFonts w:hint="eastAsia" w:asciiTheme="majorEastAsia" w:hAnsiTheme="majorEastAsia" w:eastAsiaTheme="majorEastAsia" w:cstheme="majorEastAsia"/>
          <w:bCs/>
          <w:color w:val="auto"/>
          <w:sz w:val="28"/>
          <w:szCs w:val="28"/>
          <w:highlight w:val="none"/>
          <w:lang w:eastAsia="zh-CN"/>
        </w:rPr>
      </w:pPr>
    </w:p>
    <w:p w14:paraId="46BDADD4">
      <w:pPr>
        <w:snapToGrid w:val="0"/>
        <w:spacing w:before="120" w:beforeLines="50" w:after="50"/>
        <w:rPr>
          <w:rFonts w:hint="eastAsia" w:asciiTheme="majorEastAsia" w:hAnsiTheme="majorEastAsia" w:eastAsiaTheme="majorEastAsia" w:cstheme="majorEastAsia"/>
          <w:bCs/>
          <w:color w:val="auto"/>
          <w:sz w:val="28"/>
          <w:szCs w:val="28"/>
          <w:highlight w:val="none"/>
          <w:lang w:eastAsia="zh-CN"/>
        </w:rPr>
      </w:pPr>
      <w:r>
        <w:rPr>
          <w:rFonts w:hint="eastAsia" w:asciiTheme="majorEastAsia" w:hAnsiTheme="majorEastAsia" w:eastAsiaTheme="majorEastAsia" w:cstheme="majorEastAsia"/>
          <w:bCs/>
          <w:color w:val="auto"/>
          <w:sz w:val="28"/>
          <w:szCs w:val="28"/>
          <w:highlight w:val="none"/>
          <w:lang w:eastAsia="zh-CN"/>
        </w:rPr>
        <w:t>联系电话：</w:t>
      </w:r>
    </w:p>
    <w:p w14:paraId="6D90B6EB">
      <w:pPr>
        <w:snapToGrid w:val="0"/>
        <w:spacing w:before="120" w:beforeLines="50" w:after="50"/>
        <w:rPr>
          <w:rFonts w:hint="eastAsia" w:asciiTheme="majorEastAsia" w:hAnsiTheme="majorEastAsia" w:eastAsiaTheme="majorEastAsia" w:cstheme="majorEastAsia"/>
          <w:bCs/>
          <w:color w:val="auto"/>
          <w:sz w:val="28"/>
          <w:szCs w:val="28"/>
          <w:highlight w:val="none"/>
          <w:lang w:eastAsia="zh-CN"/>
        </w:rPr>
      </w:pPr>
    </w:p>
    <w:p w14:paraId="6081DA74">
      <w:pPr>
        <w:snapToGrid w:val="0"/>
        <w:spacing w:before="120" w:beforeLines="50" w:after="50"/>
        <w:rPr>
          <w:rFonts w:hint="eastAsia"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供应商名称（盖章）：</w:t>
      </w:r>
    </w:p>
    <w:p w14:paraId="6F343DB7">
      <w:pPr>
        <w:snapToGrid w:val="0"/>
        <w:spacing w:before="120" w:beforeLines="50" w:after="50"/>
        <w:rPr>
          <w:rFonts w:hint="eastAsia" w:asciiTheme="majorEastAsia" w:hAnsiTheme="majorEastAsia" w:eastAsiaTheme="majorEastAsia" w:cstheme="majorEastAsia"/>
          <w:bCs/>
          <w:color w:val="auto"/>
          <w:sz w:val="28"/>
          <w:szCs w:val="28"/>
          <w:highlight w:val="none"/>
        </w:rPr>
      </w:pPr>
    </w:p>
    <w:p w14:paraId="2560A8CC">
      <w:pPr>
        <w:snapToGrid w:val="0"/>
        <w:spacing w:before="120" w:beforeLines="50" w:after="50"/>
        <w:rPr>
          <w:rFonts w:hint="eastAsia" w:asciiTheme="majorEastAsia" w:hAnsiTheme="majorEastAsia" w:eastAsiaTheme="majorEastAsia" w:cstheme="majorEastAsia"/>
          <w:bCs/>
          <w:color w:val="auto"/>
          <w:sz w:val="28"/>
          <w:szCs w:val="28"/>
          <w:highlight w:val="none"/>
        </w:rPr>
      </w:pPr>
    </w:p>
    <w:p w14:paraId="7609B689">
      <w:pPr>
        <w:snapToGrid w:val="0"/>
        <w:spacing w:before="120" w:beforeLines="50" w:after="50"/>
        <w:jc w:val="center"/>
        <w:rPr>
          <w:rFonts w:hint="eastAsia"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首次响应文件提交截止时间前不得解密</w:t>
      </w:r>
    </w:p>
    <w:p w14:paraId="63D59823">
      <w:pPr>
        <w:snapToGrid w:val="0"/>
        <w:spacing w:before="120" w:beforeLines="50" w:after="50"/>
        <w:rPr>
          <w:rFonts w:hint="eastAsia" w:asciiTheme="majorEastAsia" w:hAnsiTheme="majorEastAsia" w:eastAsiaTheme="majorEastAsia" w:cstheme="majorEastAsia"/>
          <w:bCs/>
          <w:color w:val="auto"/>
          <w:sz w:val="28"/>
          <w:szCs w:val="28"/>
          <w:highlight w:val="none"/>
        </w:rPr>
      </w:pPr>
    </w:p>
    <w:p w14:paraId="50B0660E">
      <w:pPr>
        <w:snapToGrid w:val="0"/>
        <w:spacing w:before="120" w:beforeLines="50" w:after="50"/>
        <w:ind w:firstLine="3360" w:firstLineChars="1200"/>
        <w:jc w:val="both"/>
        <w:rPr>
          <w:rFonts w:hint="eastAsia"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年    月    日</w:t>
      </w:r>
    </w:p>
    <w:p w14:paraId="4109B3AF">
      <w:pPr>
        <w:snapToGrid w:val="0"/>
        <w:spacing w:before="120" w:beforeLines="50" w:after="50"/>
        <w:rPr>
          <w:rFonts w:hint="eastAsia" w:asciiTheme="majorEastAsia" w:hAnsiTheme="majorEastAsia" w:eastAsiaTheme="majorEastAsia" w:cstheme="majorEastAsia"/>
          <w:bCs/>
          <w:color w:val="auto"/>
          <w:sz w:val="32"/>
          <w:szCs w:val="32"/>
          <w:highlight w:val="none"/>
        </w:rPr>
        <w:sectPr>
          <w:footerReference r:id="rId5" w:type="default"/>
          <w:pgSz w:w="11906" w:h="16838"/>
          <w:pgMar w:top="1134" w:right="1134" w:bottom="1134" w:left="1134" w:header="720" w:footer="720" w:gutter="0"/>
          <w:pgBorders>
            <w:top w:val="none" w:sz="0" w:space="0"/>
            <w:left w:val="none" w:sz="0" w:space="0"/>
            <w:bottom w:val="none" w:sz="0" w:space="0"/>
            <w:right w:val="none" w:sz="0" w:space="0"/>
          </w:pgBorders>
          <w:pgNumType w:fmt="numberInDash" w:start="1"/>
          <w:cols w:space="720" w:num="1"/>
          <w:rtlGutter w:val="0"/>
          <w:docGrid w:linePitch="1" w:charSpace="0"/>
        </w:sectPr>
      </w:pPr>
    </w:p>
    <w:p w14:paraId="5517AB8E">
      <w:pPr>
        <w:spacing w:line="500" w:lineRule="exact"/>
        <w:jc w:val="center"/>
        <w:outlineLvl w:val="1"/>
        <w:rPr>
          <w:rFonts w:hint="eastAsia" w:asciiTheme="majorEastAsia" w:hAnsiTheme="majorEastAsia" w:eastAsiaTheme="majorEastAsia" w:cstheme="majorEastAsia"/>
          <w:b/>
          <w:color w:val="auto"/>
          <w:sz w:val="32"/>
          <w:highlight w:val="none"/>
          <w:lang w:eastAsia="zh-CN"/>
        </w:rPr>
      </w:pPr>
      <w:bookmarkStart w:id="185" w:name="_Toc80205939"/>
      <w:bookmarkStart w:id="186" w:name="_Toc18027"/>
      <w:bookmarkStart w:id="187" w:name="_Toc112868869"/>
      <w:bookmarkStart w:id="188" w:name="_Toc103813469"/>
      <w:bookmarkStart w:id="189" w:name="_Toc876"/>
      <w:bookmarkStart w:id="190" w:name="_Toc854"/>
      <w:r>
        <w:rPr>
          <w:rFonts w:hint="eastAsia" w:asciiTheme="majorEastAsia" w:hAnsiTheme="majorEastAsia" w:eastAsiaTheme="majorEastAsia" w:cstheme="majorEastAsia"/>
          <w:b/>
          <w:color w:val="auto"/>
          <w:sz w:val="32"/>
          <w:highlight w:val="none"/>
          <w:lang w:val="en-US" w:eastAsia="zh-CN"/>
        </w:rPr>
        <w:t>一</w:t>
      </w:r>
      <w:r>
        <w:rPr>
          <w:rFonts w:hint="eastAsia" w:asciiTheme="majorEastAsia" w:hAnsiTheme="majorEastAsia" w:eastAsiaTheme="majorEastAsia" w:cstheme="majorEastAsia"/>
          <w:b/>
          <w:color w:val="auto"/>
          <w:sz w:val="32"/>
          <w:highlight w:val="none"/>
          <w:lang w:eastAsia="zh-CN"/>
        </w:rPr>
        <w:t>、</w:t>
      </w:r>
      <w:bookmarkEnd w:id="185"/>
      <w:bookmarkEnd w:id="186"/>
      <w:bookmarkEnd w:id="187"/>
      <w:bookmarkEnd w:id="188"/>
      <w:r>
        <w:rPr>
          <w:rFonts w:hint="eastAsia" w:asciiTheme="majorEastAsia" w:hAnsiTheme="majorEastAsia" w:eastAsiaTheme="majorEastAsia" w:cstheme="majorEastAsia"/>
          <w:b/>
          <w:color w:val="auto"/>
          <w:sz w:val="32"/>
          <w:highlight w:val="none"/>
          <w:lang w:val="en-US" w:eastAsia="zh-CN"/>
        </w:rPr>
        <w:t>资格审查资料</w:t>
      </w:r>
      <w:bookmarkEnd w:id="189"/>
      <w:bookmarkEnd w:id="190"/>
    </w:p>
    <w:p w14:paraId="1204BBF6">
      <w:pPr>
        <w:rPr>
          <w:rFonts w:hint="eastAsia" w:ascii="宋体" w:hAnsi="宋体" w:eastAsia="宋体" w:cs="宋体"/>
          <w:color w:val="auto"/>
          <w:sz w:val="30"/>
          <w:szCs w:val="30"/>
          <w:highlight w:val="none"/>
        </w:rPr>
      </w:pPr>
      <w:bookmarkStart w:id="191" w:name="_Toc217446082"/>
    </w:p>
    <w:p w14:paraId="64B7648E">
      <w:pPr>
        <w:bidi w:val="0"/>
        <w:spacing w:line="360" w:lineRule="auto"/>
        <w:jc w:val="left"/>
        <w:outlineLvl w:val="2"/>
        <w:rPr>
          <w:rFonts w:hint="eastAsia"/>
          <w:b/>
          <w:bCs/>
          <w:color w:val="auto"/>
          <w:sz w:val="28"/>
          <w:szCs w:val="36"/>
          <w:highlight w:val="none"/>
        </w:rPr>
      </w:pPr>
      <w:bookmarkStart w:id="192" w:name="_Toc24480"/>
      <w:bookmarkStart w:id="193" w:name="_Toc112868870"/>
      <w:bookmarkStart w:id="194" w:name="_Toc80205940"/>
      <w:bookmarkStart w:id="195" w:name="_Toc103813470"/>
      <w:bookmarkStart w:id="196" w:name="_Toc21904"/>
      <w:r>
        <w:rPr>
          <w:rFonts w:hint="eastAsia"/>
          <w:b/>
          <w:bCs/>
          <w:color w:val="auto"/>
          <w:sz w:val="28"/>
          <w:szCs w:val="36"/>
          <w:highlight w:val="none"/>
          <w:lang w:val="en-US" w:eastAsia="zh-CN"/>
        </w:rPr>
        <w:t>1、</w:t>
      </w:r>
      <w:r>
        <w:rPr>
          <w:rFonts w:hint="eastAsia"/>
          <w:b/>
          <w:bCs/>
          <w:color w:val="auto"/>
          <w:sz w:val="28"/>
          <w:szCs w:val="36"/>
          <w:highlight w:val="none"/>
        </w:rPr>
        <w:t>《中华人民共和国政府采购法》第二十二条应当具备的条件；</w:t>
      </w:r>
      <w:bookmarkEnd w:id="192"/>
    </w:p>
    <w:p w14:paraId="25DFB863">
      <w:pPr>
        <w:pStyle w:val="61"/>
        <w:pageBreakBefore w:val="0"/>
        <w:kinsoku/>
        <w:wordWrap/>
        <w:overflowPunct/>
        <w:topLinePunct w:val="0"/>
        <w:bidi w:val="0"/>
        <w:snapToGrid/>
        <w:spacing w:before="0" w:beforeAutospacing="0" w:after="0" w:afterAutospacing="0" w:line="360" w:lineRule="auto"/>
        <w:jc w:val="both"/>
        <w:rPr>
          <w:rStyle w:val="59"/>
          <w:rFonts w:hint="eastAsia" w:ascii="宋体" w:hAnsi="宋体" w:eastAsia="宋体" w:cs="宋体"/>
          <w:b w:val="0"/>
          <w:i w:val="0"/>
          <w:color w:val="auto"/>
          <w:spacing w:val="0"/>
          <w:w w:val="100"/>
          <w:kern w:val="0"/>
          <w:sz w:val="24"/>
          <w:szCs w:val="24"/>
          <w:highlight w:val="none"/>
          <w:lang w:val="en-US" w:eastAsia="zh-CN" w:bidi="ar-SA"/>
        </w:rPr>
      </w:pPr>
      <w:r>
        <w:rPr>
          <w:rStyle w:val="59"/>
          <w:rFonts w:hint="eastAsia" w:ascii="宋体" w:hAnsi="宋体" w:eastAsia="宋体" w:cs="宋体"/>
          <w:b w:val="0"/>
          <w:i w:val="0"/>
          <w:color w:val="auto"/>
          <w:spacing w:val="0"/>
          <w:w w:val="100"/>
          <w:kern w:val="0"/>
          <w:sz w:val="24"/>
          <w:szCs w:val="24"/>
          <w:highlight w:val="none"/>
          <w:lang w:val="en-US" w:eastAsia="zh-CN" w:bidi="ar-SA"/>
        </w:rPr>
        <w:t>①具有独立承担民事责任的能力；</w:t>
      </w:r>
    </w:p>
    <w:p w14:paraId="31F54536">
      <w:pPr>
        <w:pStyle w:val="61"/>
        <w:pageBreakBefore w:val="0"/>
        <w:kinsoku/>
        <w:wordWrap/>
        <w:overflowPunct/>
        <w:topLinePunct w:val="0"/>
        <w:bidi w:val="0"/>
        <w:snapToGrid/>
        <w:spacing w:before="0" w:beforeAutospacing="0" w:after="0" w:afterAutospacing="0" w:line="360" w:lineRule="auto"/>
        <w:jc w:val="both"/>
        <w:rPr>
          <w:rStyle w:val="59"/>
          <w:rFonts w:hint="eastAsia" w:ascii="宋体" w:hAnsi="宋体" w:eastAsia="宋体" w:cs="宋体"/>
          <w:b w:val="0"/>
          <w:i w:val="0"/>
          <w:color w:val="auto"/>
          <w:spacing w:val="0"/>
          <w:w w:val="100"/>
          <w:kern w:val="0"/>
          <w:sz w:val="24"/>
          <w:szCs w:val="24"/>
          <w:highlight w:val="none"/>
          <w:lang w:val="en-US" w:eastAsia="zh-CN" w:bidi="ar-SA"/>
        </w:rPr>
      </w:pPr>
      <w:r>
        <w:rPr>
          <w:rStyle w:val="59"/>
          <w:rFonts w:hint="eastAsia" w:ascii="宋体" w:hAnsi="宋体" w:eastAsia="宋体" w:cs="宋体"/>
          <w:b w:val="0"/>
          <w:i w:val="0"/>
          <w:color w:val="auto"/>
          <w:spacing w:val="0"/>
          <w:w w:val="100"/>
          <w:kern w:val="0"/>
          <w:sz w:val="24"/>
          <w:szCs w:val="24"/>
          <w:highlight w:val="none"/>
          <w:lang w:val="en-US" w:eastAsia="zh-CN" w:bidi="ar-SA"/>
        </w:rPr>
        <w:t>②具有良好的商业信誉和健全的财务会计制度；</w:t>
      </w:r>
    </w:p>
    <w:p w14:paraId="092A2ACB">
      <w:pPr>
        <w:pStyle w:val="61"/>
        <w:pageBreakBefore w:val="0"/>
        <w:kinsoku/>
        <w:wordWrap/>
        <w:overflowPunct/>
        <w:topLinePunct w:val="0"/>
        <w:bidi w:val="0"/>
        <w:snapToGrid/>
        <w:spacing w:before="0" w:beforeAutospacing="0" w:after="0" w:afterAutospacing="0" w:line="360" w:lineRule="auto"/>
        <w:jc w:val="both"/>
        <w:rPr>
          <w:rStyle w:val="59"/>
          <w:rFonts w:hint="eastAsia" w:ascii="宋体" w:hAnsi="宋体" w:eastAsia="宋体" w:cs="宋体"/>
          <w:b w:val="0"/>
          <w:i w:val="0"/>
          <w:color w:val="auto"/>
          <w:spacing w:val="0"/>
          <w:w w:val="100"/>
          <w:kern w:val="0"/>
          <w:sz w:val="24"/>
          <w:szCs w:val="24"/>
          <w:highlight w:val="none"/>
          <w:lang w:val="en-US" w:eastAsia="zh-CN" w:bidi="ar-SA"/>
        </w:rPr>
      </w:pPr>
      <w:r>
        <w:rPr>
          <w:rStyle w:val="59"/>
          <w:rFonts w:hint="eastAsia" w:ascii="宋体" w:hAnsi="宋体" w:eastAsia="宋体" w:cs="宋体"/>
          <w:b w:val="0"/>
          <w:i w:val="0"/>
          <w:color w:val="auto"/>
          <w:spacing w:val="0"/>
          <w:w w:val="100"/>
          <w:kern w:val="0"/>
          <w:sz w:val="24"/>
          <w:szCs w:val="24"/>
          <w:highlight w:val="none"/>
          <w:lang w:val="en-US" w:eastAsia="zh-CN" w:bidi="ar-SA"/>
        </w:rPr>
        <w:t>③具有履行合同所必需的设备和专业技术能力；</w:t>
      </w:r>
    </w:p>
    <w:p w14:paraId="668CAD1F">
      <w:pPr>
        <w:pStyle w:val="61"/>
        <w:pageBreakBefore w:val="0"/>
        <w:kinsoku/>
        <w:wordWrap/>
        <w:overflowPunct/>
        <w:topLinePunct w:val="0"/>
        <w:bidi w:val="0"/>
        <w:snapToGrid/>
        <w:spacing w:before="0" w:beforeAutospacing="0" w:after="0" w:afterAutospacing="0" w:line="360" w:lineRule="auto"/>
        <w:jc w:val="both"/>
        <w:rPr>
          <w:rStyle w:val="59"/>
          <w:rFonts w:hint="eastAsia" w:ascii="宋体" w:hAnsi="宋体" w:eastAsia="宋体" w:cs="宋体"/>
          <w:b w:val="0"/>
          <w:i w:val="0"/>
          <w:color w:val="auto"/>
          <w:spacing w:val="0"/>
          <w:w w:val="100"/>
          <w:kern w:val="0"/>
          <w:sz w:val="24"/>
          <w:szCs w:val="24"/>
          <w:highlight w:val="none"/>
          <w:lang w:val="en-US" w:eastAsia="zh-CN" w:bidi="ar-SA"/>
        </w:rPr>
      </w:pPr>
      <w:r>
        <w:rPr>
          <w:rStyle w:val="59"/>
          <w:rFonts w:hint="eastAsia" w:ascii="宋体" w:hAnsi="宋体" w:eastAsia="宋体" w:cs="宋体"/>
          <w:b w:val="0"/>
          <w:i w:val="0"/>
          <w:color w:val="auto"/>
          <w:spacing w:val="0"/>
          <w:w w:val="100"/>
          <w:kern w:val="0"/>
          <w:sz w:val="24"/>
          <w:szCs w:val="24"/>
          <w:highlight w:val="none"/>
          <w:lang w:val="en-US" w:eastAsia="zh-CN" w:bidi="ar-SA"/>
        </w:rPr>
        <w:t>④有依法缴纳税收和社会保障资金的良好记录；</w:t>
      </w:r>
    </w:p>
    <w:p w14:paraId="722BC9B3">
      <w:pPr>
        <w:pStyle w:val="61"/>
        <w:pageBreakBefore w:val="0"/>
        <w:kinsoku/>
        <w:wordWrap/>
        <w:overflowPunct/>
        <w:topLinePunct w:val="0"/>
        <w:bidi w:val="0"/>
        <w:snapToGrid/>
        <w:spacing w:before="0" w:beforeAutospacing="0" w:after="0" w:afterAutospacing="0" w:line="360" w:lineRule="auto"/>
        <w:jc w:val="both"/>
        <w:rPr>
          <w:rStyle w:val="59"/>
          <w:rFonts w:hint="eastAsia" w:ascii="宋体" w:hAnsi="宋体" w:eastAsia="宋体" w:cs="宋体"/>
          <w:b w:val="0"/>
          <w:i w:val="0"/>
          <w:color w:val="auto"/>
          <w:spacing w:val="0"/>
          <w:w w:val="100"/>
          <w:kern w:val="0"/>
          <w:sz w:val="24"/>
          <w:szCs w:val="24"/>
          <w:highlight w:val="none"/>
          <w:lang w:val="en-US" w:eastAsia="zh-CN" w:bidi="ar-SA"/>
        </w:rPr>
      </w:pPr>
      <w:r>
        <w:rPr>
          <w:rStyle w:val="59"/>
          <w:rFonts w:hint="eastAsia" w:ascii="宋体" w:hAnsi="宋体" w:eastAsia="宋体" w:cs="宋体"/>
          <w:b w:val="0"/>
          <w:i w:val="0"/>
          <w:color w:val="auto"/>
          <w:spacing w:val="0"/>
          <w:w w:val="100"/>
          <w:kern w:val="0"/>
          <w:sz w:val="24"/>
          <w:szCs w:val="24"/>
          <w:highlight w:val="none"/>
          <w:lang w:val="en-US" w:eastAsia="zh-CN" w:bidi="ar-SA"/>
        </w:rPr>
        <w:t>⑤参加政府采购活动前三年内，在经营活动中没有重大违法记录；</w:t>
      </w:r>
    </w:p>
    <w:p w14:paraId="5ADB1D25">
      <w:pPr>
        <w:pStyle w:val="61"/>
        <w:pageBreakBefore w:val="0"/>
        <w:kinsoku/>
        <w:wordWrap/>
        <w:overflowPunct/>
        <w:topLinePunct w:val="0"/>
        <w:bidi w:val="0"/>
        <w:snapToGrid/>
        <w:spacing w:before="0" w:beforeAutospacing="0" w:after="0" w:afterAutospacing="0" w:line="360" w:lineRule="auto"/>
        <w:jc w:val="both"/>
        <w:rPr>
          <w:rStyle w:val="59"/>
          <w:rFonts w:hint="eastAsia" w:ascii="宋体" w:hAnsi="宋体" w:eastAsia="宋体" w:cs="宋体"/>
          <w:b w:val="0"/>
          <w:i w:val="0"/>
          <w:color w:val="auto"/>
          <w:spacing w:val="0"/>
          <w:w w:val="100"/>
          <w:kern w:val="0"/>
          <w:sz w:val="24"/>
          <w:szCs w:val="24"/>
          <w:highlight w:val="none"/>
          <w:lang w:val="en-US" w:eastAsia="zh-CN" w:bidi="ar-SA"/>
        </w:rPr>
      </w:pPr>
      <w:r>
        <w:rPr>
          <w:rStyle w:val="59"/>
          <w:rFonts w:hint="eastAsia" w:ascii="宋体" w:hAnsi="宋体" w:eastAsia="宋体" w:cs="宋体"/>
          <w:b w:val="0"/>
          <w:i w:val="0"/>
          <w:color w:val="auto"/>
          <w:spacing w:val="0"/>
          <w:w w:val="100"/>
          <w:kern w:val="0"/>
          <w:sz w:val="24"/>
          <w:szCs w:val="24"/>
          <w:highlight w:val="none"/>
          <w:lang w:val="en-US" w:eastAsia="zh-CN" w:bidi="ar-SA"/>
        </w:rPr>
        <w:t>⑥</w:t>
      </w:r>
      <w:r>
        <w:rPr>
          <w:rStyle w:val="59"/>
          <w:rFonts w:hint="eastAsia" w:ascii="宋体" w:hAnsi="宋体" w:eastAsia="宋体" w:cs="宋体"/>
          <w:b w:val="0"/>
          <w:i w:val="0"/>
          <w:color w:val="auto"/>
          <w:spacing w:val="0"/>
          <w:w w:val="100"/>
          <w:kern w:val="2"/>
          <w:sz w:val="24"/>
          <w:szCs w:val="24"/>
          <w:highlight w:val="none"/>
          <w:lang w:val="en-US" w:eastAsia="zh-CN" w:bidi="ar-SA"/>
        </w:rPr>
        <w:t>法律、行政法规规定的其他条件;</w:t>
      </w:r>
    </w:p>
    <w:p w14:paraId="17B754EF">
      <w:pPr>
        <w:pStyle w:val="63"/>
        <w:pageBreakBefore w:val="0"/>
        <w:widowControl/>
        <w:kinsoku/>
        <w:wordWrap/>
        <w:overflowPunct/>
        <w:topLinePunct w:val="0"/>
        <w:bidi w:val="0"/>
        <w:snapToGrid/>
        <w:spacing w:before="0" w:beforeAutospacing="0" w:after="0" w:afterAutospacing="0" w:line="240" w:lineRule="auto"/>
        <w:jc w:val="left"/>
        <w:rPr>
          <w:rStyle w:val="59"/>
          <w:rFonts w:hint="eastAsia" w:ascii="宋体" w:hAnsi="宋体" w:eastAsia="宋体" w:cs="宋体"/>
          <w:b/>
          <w:bCs/>
          <w:i w:val="0"/>
          <w:color w:val="auto"/>
          <w:spacing w:val="0"/>
          <w:w w:val="100"/>
          <w:kern w:val="0"/>
          <w:sz w:val="24"/>
          <w:szCs w:val="24"/>
          <w:highlight w:val="none"/>
          <w:lang w:val="en-US" w:eastAsia="zh-CN" w:bidi="ar-SA"/>
        </w:rPr>
      </w:pPr>
      <w:r>
        <w:rPr>
          <w:rStyle w:val="59"/>
          <w:rFonts w:hint="eastAsia" w:ascii="宋体" w:hAnsi="宋体" w:eastAsia="宋体" w:cs="宋体"/>
          <w:b/>
          <w:bCs/>
          <w:i w:val="0"/>
          <w:color w:val="auto"/>
          <w:spacing w:val="0"/>
          <w:w w:val="100"/>
          <w:kern w:val="0"/>
          <w:sz w:val="24"/>
          <w:szCs w:val="24"/>
          <w:highlight w:val="none"/>
          <w:lang w:val="en-US" w:eastAsia="zh-CN" w:bidi="ar-SA"/>
        </w:rPr>
        <w:t>须提供以下资料：</w:t>
      </w:r>
    </w:p>
    <w:p w14:paraId="1DD47AD5">
      <w:pPr>
        <w:pStyle w:val="64"/>
        <w:pageBreakBefore w:val="0"/>
        <w:widowControl/>
        <w:kinsoku/>
        <w:wordWrap/>
        <w:overflowPunct/>
        <w:topLinePunct w:val="0"/>
        <w:bidi w:val="0"/>
        <w:snapToGrid/>
        <w:spacing w:before="0" w:beforeAutospacing="0" w:after="0" w:afterAutospacing="0" w:line="440" w:lineRule="exact"/>
        <w:jc w:val="both"/>
        <w:rPr>
          <w:rStyle w:val="59"/>
          <w:rFonts w:hint="eastAsia" w:ascii="宋体" w:hAnsi="宋体" w:eastAsia="宋体" w:cs="宋体"/>
          <w:b/>
          <w:bCs/>
          <w:i w:val="0"/>
          <w:color w:val="auto"/>
          <w:spacing w:val="0"/>
          <w:w w:val="100"/>
          <w:kern w:val="2"/>
          <w:sz w:val="24"/>
          <w:szCs w:val="24"/>
          <w:highlight w:val="none"/>
          <w:lang w:val="en-US" w:eastAsia="zh-CN" w:bidi="ar-SA"/>
        </w:rPr>
      </w:pPr>
      <w:r>
        <w:rPr>
          <w:rStyle w:val="59"/>
          <w:rFonts w:hint="eastAsia" w:ascii="宋体" w:hAnsi="宋体" w:eastAsia="宋体" w:cs="宋体"/>
          <w:b/>
          <w:bCs/>
          <w:i w:val="0"/>
          <w:color w:val="auto"/>
          <w:spacing w:val="0"/>
          <w:w w:val="100"/>
          <w:kern w:val="2"/>
          <w:sz w:val="24"/>
          <w:szCs w:val="24"/>
          <w:highlight w:val="none"/>
          <w:lang w:val="en-US" w:eastAsia="zh-CN" w:bidi="ar-SA"/>
        </w:rPr>
        <w:t>1.1、具有独立承担民事责任的能力；须提供相关证明材料，其中：</w:t>
      </w:r>
    </w:p>
    <w:p w14:paraId="3C8839A2">
      <w:pPr>
        <w:pStyle w:val="65"/>
        <w:pageBreakBefore w:val="0"/>
        <w:widowControl/>
        <w:kinsoku/>
        <w:wordWrap/>
        <w:overflowPunct/>
        <w:topLinePunct w:val="0"/>
        <w:bidi w:val="0"/>
        <w:snapToGrid w:val="0"/>
        <w:spacing w:before="0" w:beforeAutospacing="0" w:after="0" w:afterAutospacing="0" w:line="440" w:lineRule="exact"/>
        <w:jc w:val="left"/>
        <w:rPr>
          <w:rStyle w:val="59"/>
          <w:rFonts w:hint="eastAsia" w:ascii="宋体" w:hAnsi="宋体" w:eastAsia="宋体" w:cs="宋体"/>
          <w:b w:val="0"/>
          <w:i w:val="0"/>
          <w:color w:val="auto"/>
          <w:spacing w:val="0"/>
          <w:w w:val="100"/>
          <w:kern w:val="2"/>
          <w:sz w:val="24"/>
          <w:szCs w:val="24"/>
          <w:highlight w:val="none"/>
          <w:lang w:val="en-US" w:eastAsia="zh-CN" w:bidi="ar-SA"/>
        </w:rPr>
      </w:pPr>
      <w:r>
        <w:rPr>
          <w:rStyle w:val="59"/>
          <w:rFonts w:hint="eastAsia" w:ascii="宋体" w:hAnsi="宋体" w:eastAsia="宋体" w:cs="宋体"/>
          <w:b/>
          <w:bCs/>
          <w:i w:val="0"/>
          <w:color w:val="auto"/>
          <w:spacing w:val="0"/>
          <w:w w:val="100"/>
          <w:kern w:val="2"/>
          <w:sz w:val="24"/>
          <w:szCs w:val="24"/>
          <w:highlight w:val="none"/>
          <w:lang w:val="en-US" w:eastAsia="zh-CN" w:bidi="ar-SA"/>
        </w:rPr>
        <w:t>供应商是企业（包括合伙企业）的，</w:t>
      </w:r>
      <w:r>
        <w:rPr>
          <w:rStyle w:val="59"/>
          <w:rFonts w:hint="eastAsia" w:ascii="宋体" w:hAnsi="宋体" w:eastAsia="宋体" w:cs="宋体"/>
          <w:b w:val="0"/>
          <w:i w:val="0"/>
          <w:color w:val="auto"/>
          <w:spacing w:val="0"/>
          <w:w w:val="100"/>
          <w:kern w:val="2"/>
          <w:sz w:val="24"/>
          <w:szCs w:val="24"/>
          <w:highlight w:val="none"/>
          <w:lang w:val="en-US" w:eastAsia="zh-CN" w:bidi="ar-SA"/>
        </w:rPr>
        <w:t>须提供其有效“营业执照”的复印件（如 “三证合一”须提供统一社会信用代码的营业执照；如未“三证合一”则须提供供应商的营业执照、税务登记证书及组织机构代码证）；</w:t>
      </w:r>
    </w:p>
    <w:p w14:paraId="0C0B99A3">
      <w:pPr>
        <w:pStyle w:val="65"/>
        <w:pageBreakBefore w:val="0"/>
        <w:widowControl/>
        <w:kinsoku/>
        <w:wordWrap/>
        <w:overflowPunct/>
        <w:topLinePunct w:val="0"/>
        <w:bidi w:val="0"/>
        <w:snapToGrid w:val="0"/>
        <w:spacing w:before="0" w:beforeAutospacing="0" w:after="0" w:afterAutospacing="0" w:line="440" w:lineRule="exact"/>
        <w:jc w:val="left"/>
        <w:rPr>
          <w:rStyle w:val="59"/>
          <w:rFonts w:hint="eastAsia" w:ascii="宋体" w:hAnsi="宋体" w:eastAsia="宋体" w:cs="宋体"/>
          <w:b w:val="0"/>
          <w:i w:val="0"/>
          <w:color w:val="auto"/>
          <w:spacing w:val="0"/>
          <w:w w:val="100"/>
          <w:kern w:val="2"/>
          <w:sz w:val="24"/>
          <w:szCs w:val="24"/>
          <w:highlight w:val="none"/>
          <w:lang w:val="en-US" w:eastAsia="zh-CN" w:bidi="ar-SA"/>
        </w:rPr>
      </w:pPr>
      <w:r>
        <w:rPr>
          <w:rStyle w:val="59"/>
          <w:rFonts w:hint="eastAsia" w:ascii="宋体" w:hAnsi="宋体" w:eastAsia="宋体" w:cs="宋体"/>
          <w:b/>
          <w:bCs/>
          <w:i w:val="0"/>
          <w:color w:val="auto"/>
          <w:spacing w:val="0"/>
          <w:w w:val="100"/>
          <w:kern w:val="2"/>
          <w:sz w:val="24"/>
          <w:szCs w:val="24"/>
          <w:highlight w:val="none"/>
          <w:lang w:val="en-US" w:eastAsia="zh-CN" w:bidi="ar-SA"/>
        </w:rPr>
        <w:t>供应商是事业单位的</w:t>
      </w:r>
      <w:r>
        <w:rPr>
          <w:rStyle w:val="59"/>
          <w:rFonts w:hint="eastAsia" w:ascii="宋体" w:hAnsi="宋体" w:eastAsia="宋体" w:cs="宋体"/>
          <w:b w:val="0"/>
          <w:i w:val="0"/>
          <w:color w:val="auto"/>
          <w:spacing w:val="0"/>
          <w:w w:val="100"/>
          <w:kern w:val="2"/>
          <w:sz w:val="24"/>
          <w:szCs w:val="24"/>
          <w:highlight w:val="none"/>
          <w:lang w:val="en-US" w:eastAsia="zh-CN" w:bidi="ar-SA"/>
        </w:rPr>
        <w:t>，须提供其有效的“事业单位法人证书”复印件；</w:t>
      </w:r>
    </w:p>
    <w:p w14:paraId="744788F5">
      <w:pPr>
        <w:pStyle w:val="65"/>
        <w:pageBreakBefore w:val="0"/>
        <w:widowControl/>
        <w:kinsoku/>
        <w:wordWrap/>
        <w:overflowPunct/>
        <w:topLinePunct w:val="0"/>
        <w:bidi w:val="0"/>
        <w:snapToGrid w:val="0"/>
        <w:spacing w:before="0" w:beforeAutospacing="0" w:after="0" w:afterAutospacing="0" w:line="440" w:lineRule="exact"/>
        <w:jc w:val="left"/>
        <w:rPr>
          <w:rStyle w:val="59"/>
          <w:rFonts w:hint="eastAsia" w:ascii="宋体" w:hAnsi="宋体" w:eastAsia="宋体" w:cs="宋体"/>
          <w:b w:val="0"/>
          <w:i w:val="0"/>
          <w:color w:val="auto"/>
          <w:spacing w:val="0"/>
          <w:w w:val="100"/>
          <w:kern w:val="2"/>
          <w:sz w:val="24"/>
          <w:szCs w:val="24"/>
          <w:highlight w:val="none"/>
          <w:lang w:val="en-US" w:eastAsia="zh-CN" w:bidi="ar-SA"/>
        </w:rPr>
      </w:pPr>
      <w:r>
        <w:rPr>
          <w:rStyle w:val="59"/>
          <w:rFonts w:hint="eastAsia" w:ascii="宋体" w:hAnsi="宋体" w:eastAsia="宋体" w:cs="宋体"/>
          <w:b/>
          <w:bCs/>
          <w:i w:val="0"/>
          <w:color w:val="auto"/>
          <w:spacing w:val="0"/>
          <w:w w:val="100"/>
          <w:kern w:val="2"/>
          <w:sz w:val="24"/>
          <w:szCs w:val="24"/>
          <w:highlight w:val="none"/>
          <w:lang w:val="en-US" w:eastAsia="zh-CN" w:bidi="ar-SA"/>
        </w:rPr>
        <w:t>供应商是非企业专业服务机构的，</w:t>
      </w:r>
      <w:r>
        <w:rPr>
          <w:rStyle w:val="59"/>
          <w:rFonts w:hint="eastAsia" w:ascii="宋体" w:hAnsi="宋体" w:eastAsia="宋体" w:cs="宋体"/>
          <w:b w:val="0"/>
          <w:i w:val="0"/>
          <w:color w:val="auto"/>
          <w:spacing w:val="0"/>
          <w:w w:val="100"/>
          <w:kern w:val="2"/>
          <w:sz w:val="24"/>
          <w:szCs w:val="24"/>
          <w:highlight w:val="none"/>
          <w:lang w:val="en-US" w:eastAsia="zh-CN" w:bidi="ar-SA"/>
        </w:rPr>
        <w:t>须提供其有效的执业许可证复印件；</w:t>
      </w:r>
    </w:p>
    <w:p w14:paraId="67C11D57">
      <w:pPr>
        <w:pStyle w:val="65"/>
        <w:pageBreakBefore w:val="0"/>
        <w:widowControl/>
        <w:kinsoku/>
        <w:wordWrap/>
        <w:overflowPunct/>
        <w:topLinePunct w:val="0"/>
        <w:bidi w:val="0"/>
        <w:snapToGrid w:val="0"/>
        <w:spacing w:before="0" w:beforeAutospacing="0" w:after="0" w:afterAutospacing="0" w:line="440" w:lineRule="exact"/>
        <w:jc w:val="left"/>
        <w:rPr>
          <w:rStyle w:val="59"/>
          <w:rFonts w:hint="eastAsia" w:ascii="宋体" w:hAnsi="宋体" w:eastAsia="宋体" w:cs="宋体"/>
          <w:b w:val="0"/>
          <w:i w:val="0"/>
          <w:color w:val="auto"/>
          <w:spacing w:val="0"/>
          <w:w w:val="100"/>
          <w:kern w:val="2"/>
          <w:sz w:val="24"/>
          <w:szCs w:val="24"/>
          <w:highlight w:val="none"/>
          <w:lang w:val="en-US" w:eastAsia="zh-CN" w:bidi="ar-SA"/>
        </w:rPr>
      </w:pPr>
      <w:r>
        <w:rPr>
          <w:rStyle w:val="59"/>
          <w:rFonts w:hint="eastAsia" w:ascii="宋体" w:hAnsi="宋体" w:eastAsia="宋体" w:cs="宋体"/>
          <w:b/>
          <w:bCs/>
          <w:i w:val="0"/>
          <w:color w:val="auto"/>
          <w:spacing w:val="0"/>
          <w:w w:val="100"/>
          <w:kern w:val="2"/>
          <w:sz w:val="24"/>
          <w:szCs w:val="24"/>
          <w:highlight w:val="none"/>
          <w:lang w:val="en-US" w:eastAsia="zh-CN" w:bidi="ar-SA"/>
        </w:rPr>
        <w:t>供应商是个体工商户的，</w:t>
      </w:r>
      <w:r>
        <w:rPr>
          <w:rStyle w:val="59"/>
          <w:rFonts w:hint="eastAsia" w:ascii="宋体" w:hAnsi="宋体" w:eastAsia="宋体" w:cs="宋体"/>
          <w:b w:val="0"/>
          <w:i w:val="0"/>
          <w:color w:val="auto"/>
          <w:spacing w:val="0"/>
          <w:w w:val="100"/>
          <w:kern w:val="2"/>
          <w:sz w:val="24"/>
          <w:szCs w:val="24"/>
          <w:highlight w:val="none"/>
          <w:lang w:val="en-US" w:eastAsia="zh-CN" w:bidi="ar-SA"/>
        </w:rPr>
        <w:t>须提供其有效的“个体工商户营业执照” 复印件；</w:t>
      </w:r>
    </w:p>
    <w:p w14:paraId="5E7FBC03">
      <w:pPr>
        <w:pStyle w:val="65"/>
        <w:pageBreakBefore w:val="0"/>
        <w:widowControl/>
        <w:kinsoku/>
        <w:wordWrap/>
        <w:overflowPunct/>
        <w:topLinePunct w:val="0"/>
        <w:bidi w:val="0"/>
        <w:snapToGrid w:val="0"/>
        <w:spacing w:before="0" w:beforeAutospacing="0" w:after="0" w:afterAutospacing="0" w:line="440" w:lineRule="exact"/>
        <w:jc w:val="left"/>
        <w:rPr>
          <w:rStyle w:val="59"/>
          <w:rFonts w:hint="eastAsia" w:ascii="宋体" w:hAnsi="宋体" w:eastAsia="宋体" w:cs="宋体"/>
          <w:b w:val="0"/>
          <w:i w:val="0"/>
          <w:color w:val="auto"/>
          <w:spacing w:val="0"/>
          <w:w w:val="100"/>
          <w:kern w:val="2"/>
          <w:sz w:val="24"/>
          <w:szCs w:val="24"/>
          <w:highlight w:val="none"/>
          <w:lang w:val="en-US" w:eastAsia="zh-CN" w:bidi="ar-SA"/>
        </w:rPr>
      </w:pPr>
      <w:r>
        <w:rPr>
          <w:rStyle w:val="59"/>
          <w:rFonts w:hint="eastAsia" w:ascii="宋体" w:hAnsi="宋体" w:eastAsia="宋体" w:cs="宋体"/>
          <w:b w:val="0"/>
          <w:i w:val="0"/>
          <w:color w:val="auto"/>
          <w:spacing w:val="0"/>
          <w:w w:val="100"/>
          <w:kern w:val="2"/>
          <w:sz w:val="24"/>
          <w:szCs w:val="24"/>
          <w:highlight w:val="none"/>
          <w:lang w:val="en-US" w:eastAsia="zh-CN" w:bidi="ar-SA"/>
        </w:rPr>
        <w:t>以上复印件须加盖供应商公章。</w:t>
      </w:r>
    </w:p>
    <w:p w14:paraId="16A7FB14">
      <w:pPr>
        <w:pStyle w:val="65"/>
        <w:pageBreakBefore w:val="0"/>
        <w:widowControl/>
        <w:kinsoku/>
        <w:wordWrap/>
        <w:overflowPunct/>
        <w:topLinePunct w:val="0"/>
        <w:bidi w:val="0"/>
        <w:snapToGrid w:val="0"/>
        <w:spacing w:before="0" w:beforeAutospacing="0" w:after="0" w:afterAutospacing="0" w:line="440" w:lineRule="exact"/>
        <w:jc w:val="left"/>
        <w:rPr>
          <w:rStyle w:val="59"/>
          <w:rFonts w:hint="eastAsia" w:ascii="宋体" w:hAnsi="宋体" w:eastAsia="宋体" w:cs="宋体"/>
          <w:b w:val="0"/>
          <w:i w:val="0"/>
          <w:color w:val="auto"/>
          <w:spacing w:val="0"/>
          <w:w w:val="100"/>
          <w:kern w:val="2"/>
          <w:sz w:val="24"/>
          <w:szCs w:val="24"/>
          <w:highlight w:val="none"/>
          <w:lang w:val="en-US" w:eastAsia="zh-CN" w:bidi="ar-SA"/>
        </w:rPr>
      </w:pPr>
      <w:r>
        <w:rPr>
          <w:rStyle w:val="59"/>
          <w:rFonts w:hint="eastAsia" w:ascii="宋体" w:hAnsi="宋体" w:eastAsia="宋体" w:cs="宋体"/>
          <w:b/>
          <w:bCs/>
          <w:i w:val="0"/>
          <w:color w:val="auto"/>
          <w:spacing w:val="0"/>
          <w:w w:val="100"/>
          <w:kern w:val="2"/>
          <w:sz w:val="24"/>
          <w:szCs w:val="24"/>
          <w:highlight w:val="none"/>
          <w:lang w:val="en-US" w:eastAsia="zh-CN" w:bidi="ar-SA"/>
        </w:rPr>
        <w:t>供应商是自然人的，</w:t>
      </w:r>
      <w:r>
        <w:rPr>
          <w:rStyle w:val="59"/>
          <w:rFonts w:hint="eastAsia" w:ascii="宋体" w:hAnsi="宋体" w:eastAsia="宋体" w:cs="宋体"/>
          <w:b w:val="0"/>
          <w:i w:val="0"/>
          <w:color w:val="auto"/>
          <w:spacing w:val="0"/>
          <w:w w:val="100"/>
          <w:kern w:val="2"/>
          <w:sz w:val="24"/>
          <w:szCs w:val="24"/>
          <w:highlight w:val="none"/>
          <w:lang w:val="en-US" w:eastAsia="zh-CN" w:bidi="ar-SA"/>
        </w:rPr>
        <w:t>应提供其有效的自然人身份证明；</w:t>
      </w:r>
    </w:p>
    <w:p w14:paraId="152A40CE">
      <w:pPr>
        <w:pStyle w:val="64"/>
        <w:pageBreakBefore w:val="0"/>
        <w:widowControl/>
        <w:kinsoku/>
        <w:wordWrap/>
        <w:overflowPunct/>
        <w:topLinePunct w:val="0"/>
        <w:bidi w:val="0"/>
        <w:snapToGrid/>
        <w:spacing w:before="0" w:beforeAutospacing="0" w:after="0" w:afterAutospacing="0" w:line="440" w:lineRule="exact"/>
        <w:jc w:val="both"/>
        <w:rPr>
          <w:rStyle w:val="59"/>
          <w:rFonts w:hint="eastAsia" w:ascii="宋体" w:hAnsi="宋体" w:eastAsia="宋体" w:cs="宋体"/>
          <w:b/>
          <w:bCs/>
          <w:i w:val="0"/>
          <w:color w:val="auto"/>
          <w:spacing w:val="0"/>
          <w:w w:val="100"/>
          <w:kern w:val="2"/>
          <w:sz w:val="24"/>
          <w:szCs w:val="24"/>
          <w:highlight w:val="none"/>
          <w:lang w:val="en-US" w:eastAsia="zh-CN" w:bidi="ar-SA"/>
        </w:rPr>
      </w:pPr>
    </w:p>
    <w:p w14:paraId="03F69199">
      <w:pPr>
        <w:pStyle w:val="64"/>
        <w:pageBreakBefore w:val="0"/>
        <w:widowControl/>
        <w:kinsoku/>
        <w:wordWrap/>
        <w:overflowPunct/>
        <w:topLinePunct w:val="0"/>
        <w:bidi w:val="0"/>
        <w:snapToGrid/>
        <w:spacing w:before="0" w:beforeAutospacing="0" w:after="0" w:afterAutospacing="0" w:line="440" w:lineRule="exact"/>
        <w:jc w:val="both"/>
        <w:rPr>
          <w:rStyle w:val="59"/>
          <w:rFonts w:hint="eastAsia" w:ascii="宋体" w:hAnsi="宋体" w:eastAsia="宋体" w:cs="宋体"/>
          <w:b/>
          <w:bCs/>
          <w:i w:val="0"/>
          <w:color w:val="auto"/>
          <w:spacing w:val="0"/>
          <w:w w:val="100"/>
          <w:kern w:val="2"/>
          <w:sz w:val="24"/>
          <w:szCs w:val="24"/>
          <w:highlight w:val="none"/>
          <w:lang w:val="en-US" w:eastAsia="zh-CN" w:bidi="ar-SA"/>
        </w:rPr>
      </w:pPr>
      <w:r>
        <w:rPr>
          <w:rStyle w:val="59"/>
          <w:rFonts w:hint="eastAsia" w:ascii="宋体" w:hAnsi="宋体" w:eastAsia="宋体" w:cs="宋体"/>
          <w:b/>
          <w:bCs/>
          <w:i w:val="0"/>
          <w:color w:val="auto"/>
          <w:spacing w:val="0"/>
          <w:w w:val="100"/>
          <w:kern w:val="2"/>
          <w:sz w:val="24"/>
          <w:szCs w:val="24"/>
          <w:highlight w:val="none"/>
          <w:lang w:val="en-US" w:eastAsia="zh-CN" w:bidi="ar-SA"/>
        </w:rPr>
        <w:t>1.2、具有良好的商业信誉和健全的财务会计制度；须提供相关证明材料，其中：</w:t>
      </w:r>
    </w:p>
    <w:p w14:paraId="65203347">
      <w:pPr>
        <w:pStyle w:val="64"/>
        <w:pageBreakBefore w:val="0"/>
        <w:widowControl/>
        <w:kinsoku/>
        <w:wordWrap/>
        <w:overflowPunct/>
        <w:topLinePunct w:val="0"/>
        <w:bidi w:val="0"/>
        <w:snapToGrid/>
        <w:spacing w:before="0" w:beforeAutospacing="0" w:after="0" w:afterAutospacing="0" w:line="440" w:lineRule="exact"/>
        <w:jc w:val="both"/>
        <w:rPr>
          <w:rStyle w:val="59"/>
          <w:rFonts w:hint="eastAsia" w:ascii="宋体" w:hAnsi="宋体" w:eastAsia="宋体" w:cs="宋体"/>
          <w:b w:val="0"/>
          <w:i w:val="0"/>
          <w:color w:val="auto"/>
          <w:spacing w:val="0"/>
          <w:w w:val="100"/>
          <w:kern w:val="2"/>
          <w:sz w:val="24"/>
          <w:szCs w:val="24"/>
          <w:highlight w:val="none"/>
          <w:lang w:val="en-US" w:eastAsia="zh-CN" w:bidi="ar-SA"/>
        </w:rPr>
      </w:pPr>
      <w:r>
        <w:rPr>
          <w:rStyle w:val="59"/>
          <w:rFonts w:hint="eastAsia" w:ascii="宋体" w:hAnsi="宋体" w:eastAsia="宋体" w:cs="宋体"/>
          <w:b/>
          <w:bCs/>
          <w:i w:val="0"/>
          <w:color w:val="auto"/>
          <w:spacing w:val="0"/>
          <w:w w:val="100"/>
          <w:kern w:val="2"/>
          <w:sz w:val="24"/>
          <w:szCs w:val="24"/>
          <w:highlight w:val="none"/>
          <w:lang w:val="en-US" w:eastAsia="zh-CN" w:bidi="ar-SA"/>
        </w:rPr>
        <w:t>供应商是法人的，</w:t>
      </w:r>
      <w:r>
        <w:rPr>
          <w:rStyle w:val="59"/>
          <w:rFonts w:hint="eastAsia" w:ascii="宋体" w:hAnsi="宋体" w:eastAsia="宋体" w:cs="宋体"/>
          <w:b w:val="0"/>
          <w:bCs/>
          <w:i w:val="0"/>
          <w:color w:val="auto"/>
          <w:spacing w:val="0"/>
          <w:w w:val="100"/>
          <w:sz w:val="24"/>
          <w:szCs w:val="24"/>
          <w:highlight w:val="none"/>
          <w:lang w:bidi="ar-SA"/>
        </w:rPr>
        <w:t>须提供近两年度（任意一年）经审计的财务审计报告复印件（报告中须包括资产负债表、利润表、现金流量表等）或银行在开标日期前三个月内开具的资信证明</w:t>
      </w:r>
    </w:p>
    <w:p w14:paraId="57F033B5">
      <w:pPr>
        <w:pStyle w:val="65"/>
        <w:pageBreakBefore w:val="0"/>
        <w:widowControl/>
        <w:kinsoku/>
        <w:wordWrap/>
        <w:overflowPunct/>
        <w:topLinePunct w:val="0"/>
        <w:bidi w:val="0"/>
        <w:snapToGrid w:val="0"/>
        <w:spacing w:before="0" w:beforeAutospacing="0" w:after="0" w:afterAutospacing="0" w:line="240" w:lineRule="auto"/>
        <w:jc w:val="left"/>
        <w:rPr>
          <w:rStyle w:val="59"/>
          <w:rFonts w:hint="eastAsia" w:ascii="宋体" w:hAnsi="宋体" w:eastAsia="宋体" w:cs="宋体"/>
          <w:b w:val="0"/>
          <w:i w:val="0"/>
          <w:color w:val="auto"/>
          <w:spacing w:val="0"/>
          <w:w w:val="100"/>
          <w:kern w:val="2"/>
          <w:sz w:val="24"/>
          <w:szCs w:val="24"/>
          <w:highlight w:val="none"/>
          <w:lang w:val="en-US" w:eastAsia="zh-CN" w:bidi="ar-SA"/>
        </w:rPr>
      </w:pPr>
      <w:r>
        <w:rPr>
          <w:rStyle w:val="59"/>
          <w:rFonts w:hint="eastAsia" w:ascii="宋体" w:hAnsi="宋体" w:eastAsia="宋体" w:cs="宋体"/>
          <w:b w:val="0"/>
          <w:i w:val="0"/>
          <w:color w:val="auto"/>
          <w:spacing w:val="0"/>
          <w:w w:val="100"/>
          <w:kern w:val="2"/>
          <w:sz w:val="24"/>
          <w:szCs w:val="24"/>
          <w:highlight w:val="none"/>
          <w:lang w:val="en-US" w:eastAsia="zh-CN" w:bidi="ar-SA"/>
        </w:rPr>
        <w:t xml:space="preserve"> </w:t>
      </w:r>
    </w:p>
    <w:p w14:paraId="6BD5A67C">
      <w:pPr>
        <w:pStyle w:val="65"/>
        <w:pageBreakBefore w:val="0"/>
        <w:widowControl/>
        <w:kinsoku/>
        <w:wordWrap/>
        <w:overflowPunct/>
        <w:topLinePunct w:val="0"/>
        <w:bidi w:val="0"/>
        <w:snapToGrid w:val="0"/>
        <w:spacing w:before="0" w:beforeAutospacing="0" w:after="0" w:afterAutospacing="0" w:line="240" w:lineRule="auto"/>
        <w:jc w:val="left"/>
        <w:rPr>
          <w:rStyle w:val="59"/>
          <w:rFonts w:hint="eastAsia" w:ascii="宋体" w:hAnsi="宋体" w:eastAsia="宋体" w:cs="宋体"/>
          <w:b w:val="0"/>
          <w:i w:val="0"/>
          <w:color w:val="auto"/>
          <w:spacing w:val="0"/>
          <w:w w:val="100"/>
          <w:kern w:val="2"/>
          <w:sz w:val="24"/>
          <w:szCs w:val="24"/>
          <w:highlight w:val="none"/>
          <w:lang w:val="en-US" w:eastAsia="zh-CN" w:bidi="ar-SA"/>
        </w:rPr>
      </w:pPr>
      <w:r>
        <w:rPr>
          <w:rStyle w:val="59"/>
          <w:rFonts w:hint="eastAsia" w:ascii="宋体" w:hAnsi="宋体" w:eastAsia="宋体" w:cs="宋体"/>
          <w:b/>
          <w:bCs/>
          <w:i w:val="0"/>
          <w:color w:val="auto"/>
          <w:spacing w:val="0"/>
          <w:w w:val="100"/>
          <w:kern w:val="2"/>
          <w:sz w:val="24"/>
          <w:szCs w:val="24"/>
          <w:highlight w:val="none"/>
          <w:lang w:val="en-US" w:eastAsia="zh-CN" w:bidi="ar-SA"/>
        </w:rPr>
        <w:t>1.3、具有履行合同所必需的设备和专业技术能力；须附相关证明材料或书面声明</w:t>
      </w:r>
    </w:p>
    <w:p w14:paraId="6C9E39D5">
      <w:pPr>
        <w:pStyle w:val="63"/>
        <w:pageBreakBefore w:val="0"/>
        <w:widowControl/>
        <w:kinsoku/>
        <w:wordWrap/>
        <w:overflowPunct/>
        <w:topLinePunct w:val="0"/>
        <w:bidi w:val="0"/>
        <w:snapToGrid/>
        <w:spacing w:before="0" w:beforeAutospacing="0" w:after="0" w:afterAutospacing="0" w:line="240" w:lineRule="auto"/>
        <w:jc w:val="left"/>
        <w:rPr>
          <w:rStyle w:val="59"/>
          <w:rFonts w:hint="eastAsia" w:ascii="宋体" w:hAnsi="宋体" w:eastAsia="宋体" w:cs="宋体"/>
          <w:b w:val="0"/>
          <w:bCs w:val="0"/>
          <w:i w:val="0"/>
          <w:color w:val="auto"/>
          <w:spacing w:val="0"/>
          <w:w w:val="100"/>
          <w:kern w:val="0"/>
          <w:sz w:val="24"/>
          <w:szCs w:val="24"/>
          <w:highlight w:val="none"/>
          <w:lang w:val="en-US" w:eastAsia="zh-CN" w:bidi="ar-SA"/>
        </w:rPr>
      </w:pPr>
      <w:r>
        <w:rPr>
          <w:rStyle w:val="59"/>
          <w:rFonts w:hint="eastAsia" w:ascii="宋体" w:hAnsi="宋体" w:eastAsia="宋体" w:cs="宋体"/>
          <w:b w:val="0"/>
          <w:bCs w:val="0"/>
          <w:i w:val="0"/>
          <w:color w:val="auto"/>
          <w:spacing w:val="0"/>
          <w:w w:val="100"/>
          <w:kern w:val="0"/>
          <w:sz w:val="24"/>
          <w:szCs w:val="24"/>
          <w:highlight w:val="none"/>
          <w:lang w:val="en-US" w:eastAsia="zh-CN" w:bidi="ar-SA"/>
        </w:rPr>
        <w:t xml:space="preserve"> </w:t>
      </w:r>
    </w:p>
    <w:p w14:paraId="23D67FFB">
      <w:pPr>
        <w:pStyle w:val="63"/>
        <w:pageBreakBefore w:val="0"/>
        <w:widowControl/>
        <w:kinsoku/>
        <w:wordWrap/>
        <w:overflowPunct/>
        <w:topLinePunct w:val="0"/>
        <w:bidi w:val="0"/>
        <w:snapToGrid/>
        <w:spacing w:before="0" w:beforeAutospacing="0" w:after="0" w:afterAutospacing="0" w:line="240" w:lineRule="auto"/>
        <w:jc w:val="left"/>
        <w:rPr>
          <w:rStyle w:val="59"/>
          <w:rFonts w:hint="eastAsia" w:ascii="宋体" w:hAnsi="宋体" w:eastAsia="宋体" w:cs="宋体"/>
          <w:b w:val="0"/>
          <w:bCs w:val="0"/>
          <w:i w:val="0"/>
          <w:color w:val="auto"/>
          <w:spacing w:val="0"/>
          <w:w w:val="100"/>
          <w:kern w:val="0"/>
          <w:sz w:val="24"/>
          <w:szCs w:val="24"/>
          <w:highlight w:val="none"/>
          <w:lang w:val="en-US" w:eastAsia="zh-CN" w:bidi="ar-SA"/>
        </w:rPr>
      </w:pPr>
      <w:r>
        <w:rPr>
          <w:rStyle w:val="59"/>
          <w:rFonts w:hint="eastAsia" w:ascii="宋体" w:hAnsi="宋体" w:eastAsia="宋体" w:cs="宋体"/>
          <w:b w:val="0"/>
          <w:bCs w:val="0"/>
          <w:i w:val="0"/>
          <w:color w:val="auto"/>
          <w:spacing w:val="0"/>
          <w:w w:val="100"/>
          <w:kern w:val="0"/>
          <w:sz w:val="24"/>
          <w:szCs w:val="24"/>
          <w:highlight w:val="none"/>
          <w:lang w:val="en-US" w:eastAsia="zh-CN" w:bidi="ar-SA"/>
        </w:rPr>
        <w:t>书面声明格式：</w:t>
      </w:r>
    </w:p>
    <w:p w14:paraId="118CFC89">
      <w:pPr>
        <w:pStyle w:val="66"/>
        <w:pageBreakBefore w:val="0"/>
        <w:kinsoku/>
        <w:wordWrap/>
        <w:overflowPunct/>
        <w:topLinePunct w:val="0"/>
        <w:bidi w:val="0"/>
        <w:snapToGrid/>
        <w:spacing w:before="0" w:beforeAutospacing="0" w:after="0" w:afterAutospacing="0" w:line="240" w:lineRule="auto"/>
        <w:jc w:val="both"/>
        <w:rPr>
          <w:rStyle w:val="59"/>
          <w:rFonts w:hint="eastAsia" w:ascii="宋体" w:hAnsi="宋体" w:eastAsia="宋体" w:cs="宋体"/>
          <w:b w:val="0"/>
          <w:i w:val="0"/>
          <w:color w:val="auto"/>
          <w:spacing w:val="0"/>
          <w:w w:val="100"/>
          <w:kern w:val="2"/>
          <w:sz w:val="21"/>
          <w:szCs w:val="22"/>
          <w:highlight w:val="none"/>
          <w:lang w:val="en-US" w:eastAsia="zh-CN" w:bidi="ar-SA"/>
        </w:rPr>
      </w:pPr>
      <w:r>
        <w:rPr>
          <w:rStyle w:val="59"/>
          <w:rFonts w:hint="eastAsia" w:ascii="宋体" w:hAnsi="宋体" w:eastAsia="宋体" w:cs="宋体"/>
          <w:b w:val="0"/>
          <w:i w:val="0"/>
          <w:color w:val="auto"/>
          <w:spacing w:val="0"/>
          <w:w w:val="100"/>
          <w:kern w:val="2"/>
          <w:sz w:val="21"/>
          <w:szCs w:val="22"/>
          <w:highlight w:val="none"/>
          <w:lang w:val="en-US" w:eastAsia="zh-CN" w:bidi="ar-SA"/>
        </w:rPr>
        <w:t xml:space="preserve"> </w:t>
      </w:r>
    </w:p>
    <w:p w14:paraId="645B38E1">
      <w:pPr>
        <w:pStyle w:val="63"/>
        <w:pageBreakBefore w:val="0"/>
        <w:widowControl/>
        <w:kinsoku/>
        <w:wordWrap/>
        <w:overflowPunct/>
        <w:topLinePunct w:val="0"/>
        <w:bidi w:val="0"/>
        <w:snapToGrid/>
        <w:spacing w:before="0" w:beforeAutospacing="0" w:after="0" w:afterAutospacing="0" w:line="240" w:lineRule="auto"/>
        <w:jc w:val="left"/>
        <w:rPr>
          <w:rStyle w:val="59"/>
          <w:rFonts w:hint="eastAsia" w:ascii="宋体" w:hAnsi="宋体" w:eastAsia="宋体" w:cs="宋体"/>
          <w:b w:val="0"/>
          <w:bCs w:val="0"/>
          <w:i w:val="0"/>
          <w:color w:val="auto"/>
          <w:spacing w:val="0"/>
          <w:w w:val="100"/>
          <w:kern w:val="0"/>
          <w:sz w:val="24"/>
          <w:szCs w:val="24"/>
          <w:highlight w:val="none"/>
          <w:lang w:val="en-US" w:eastAsia="zh-CN" w:bidi="ar-SA"/>
        </w:rPr>
      </w:pPr>
      <w:r>
        <w:rPr>
          <w:rStyle w:val="59"/>
          <w:rFonts w:hint="eastAsia" w:ascii="宋体" w:hAnsi="宋体" w:eastAsia="宋体" w:cs="宋体"/>
          <w:b w:val="0"/>
          <w:bCs w:val="0"/>
          <w:i w:val="0"/>
          <w:color w:val="auto"/>
          <w:spacing w:val="0"/>
          <w:w w:val="100"/>
          <w:kern w:val="0"/>
          <w:sz w:val="24"/>
          <w:szCs w:val="24"/>
          <w:highlight w:val="none"/>
          <w:lang w:val="en-US" w:eastAsia="zh-CN" w:bidi="ar-SA"/>
        </w:rPr>
        <w:t>本供应商郑重声明：</w:t>
      </w:r>
    </w:p>
    <w:p w14:paraId="4B5F22C0">
      <w:pPr>
        <w:pStyle w:val="63"/>
        <w:pageBreakBefore w:val="0"/>
        <w:widowControl/>
        <w:kinsoku/>
        <w:wordWrap/>
        <w:overflowPunct/>
        <w:topLinePunct w:val="0"/>
        <w:bidi w:val="0"/>
        <w:snapToGrid/>
        <w:spacing w:before="0" w:beforeAutospacing="0" w:after="0" w:afterAutospacing="0" w:line="240" w:lineRule="auto"/>
        <w:ind w:firstLine="480" w:firstLineChars="200"/>
        <w:jc w:val="left"/>
        <w:rPr>
          <w:rStyle w:val="59"/>
          <w:rFonts w:hint="eastAsia" w:ascii="宋体" w:hAnsi="宋体" w:eastAsia="宋体" w:cs="宋体"/>
          <w:b w:val="0"/>
          <w:bCs w:val="0"/>
          <w:i w:val="0"/>
          <w:color w:val="auto"/>
          <w:spacing w:val="0"/>
          <w:w w:val="100"/>
          <w:kern w:val="0"/>
          <w:sz w:val="24"/>
          <w:szCs w:val="24"/>
          <w:highlight w:val="none"/>
          <w:lang w:val="en-US" w:eastAsia="zh-CN" w:bidi="ar-SA"/>
        </w:rPr>
      </w:pPr>
      <w:r>
        <w:rPr>
          <w:rStyle w:val="59"/>
          <w:rFonts w:hint="eastAsia" w:ascii="宋体" w:hAnsi="宋体" w:eastAsia="宋体" w:cs="宋体"/>
          <w:b w:val="0"/>
          <w:bCs w:val="0"/>
          <w:i w:val="0"/>
          <w:color w:val="auto"/>
          <w:spacing w:val="0"/>
          <w:w w:val="100"/>
          <w:kern w:val="0"/>
          <w:sz w:val="24"/>
          <w:szCs w:val="24"/>
          <w:highlight w:val="none"/>
          <w:lang w:val="en-US" w:eastAsia="zh-CN" w:bidi="ar-SA"/>
        </w:rPr>
        <w:t>本公司（或单位）具备本项目履行合同所必需的设备和专业技术能力，特此声明。</w:t>
      </w:r>
    </w:p>
    <w:p w14:paraId="5776003C">
      <w:pPr>
        <w:pStyle w:val="64"/>
        <w:pageBreakBefore w:val="0"/>
        <w:widowControl/>
        <w:kinsoku/>
        <w:wordWrap/>
        <w:overflowPunct/>
        <w:topLinePunct w:val="0"/>
        <w:bidi w:val="0"/>
        <w:snapToGrid w:val="0"/>
        <w:spacing w:before="0" w:beforeAutospacing="0" w:after="0" w:afterAutospacing="0" w:line="440" w:lineRule="exact"/>
        <w:jc w:val="both"/>
        <w:rPr>
          <w:rStyle w:val="59"/>
          <w:rFonts w:hint="eastAsia" w:ascii="宋体" w:hAnsi="宋体" w:eastAsia="宋体" w:cs="宋体"/>
          <w:b w:val="0"/>
          <w:i w:val="0"/>
          <w:color w:val="auto"/>
          <w:spacing w:val="0"/>
          <w:w w:val="100"/>
          <w:kern w:val="2"/>
          <w:sz w:val="24"/>
          <w:szCs w:val="24"/>
          <w:highlight w:val="none"/>
          <w:u w:val="single" w:color="000000"/>
          <w:lang w:val="en-US" w:eastAsia="zh-CN" w:bidi="ar-SA"/>
        </w:rPr>
      </w:pPr>
      <w:r>
        <w:rPr>
          <w:rStyle w:val="59"/>
          <w:rFonts w:hint="eastAsia" w:ascii="宋体" w:hAnsi="宋体" w:eastAsia="宋体" w:cs="宋体"/>
          <w:b w:val="0"/>
          <w:i w:val="0"/>
          <w:color w:val="auto"/>
          <w:spacing w:val="0"/>
          <w:w w:val="100"/>
          <w:kern w:val="2"/>
          <w:sz w:val="24"/>
          <w:szCs w:val="24"/>
          <w:highlight w:val="none"/>
          <w:lang w:val="en-US" w:eastAsia="zh-CN" w:bidi="ar-SA"/>
        </w:rPr>
        <w:t>供应商法定代表人（或法定代表人授权代表）签字或盖章：</w:t>
      </w:r>
    </w:p>
    <w:p w14:paraId="5684A8B3">
      <w:pPr>
        <w:pStyle w:val="64"/>
        <w:pageBreakBefore w:val="0"/>
        <w:widowControl/>
        <w:kinsoku/>
        <w:wordWrap/>
        <w:overflowPunct/>
        <w:topLinePunct w:val="0"/>
        <w:bidi w:val="0"/>
        <w:snapToGrid w:val="0"/>
        <w:spacing w:before="0" w:beforeAutospacing="0" w:after="0" w:afterAutospacing="0" w:line="440" w:lineRule="exact"/>
        <w:jc w:val="both"/>
        <w:rPr>
          <w:rStyle w:val="59"/>
          <w:rFonts w:hint="eastAsia" w:ascii="宋体" w:hAnsi="宋体" w:eastAsia="宋体" w:cs="宋体"/>
          <w:b w:val="0"/>
          <w:i w:val="0"/>
          <w:color w:val="auto"/>
          <w:spacing w:val="0"/>
          <w:w w:val="100"/>
          <w:kern w:val="2"/>
          <w:sz w:val="24"/>
          <w:szCs w:val="24"/>
          <w:highlight w:val="none"/>
          <w:u w:val="single" w:color="000000"/>
          <w:lang w:val="en-US" w:eastAsia="zh-CN" w:bidi="ar-SA"/>
        </w:rPr>
      </w:pPr>
      <w:r>
        <w:rPr>
          <w:rStyle w:val="59"/>
          <w:rFonts w:hint="eastAsia" w:ascii="宋体" w:hAnsi="宋体" w:eastAsia="宋体" w:cs="宋体"/>
          <w:b w:val="0"/>
          <w:i w:val="0"/>
          <w:color w:val="auto"/>
          <w:spacing w:val="0"/>
          <w:w w:val="100"/>
          <w:kern w:val="2"/>
          <w:sz w:val="24"/>
          <w:szCs w:val="24"/>
          <w:highlight w:val="none"/>
          <w:lang w:val="en-US" w:eastAsia="zh-CN" w:bidi="ar-SA"/>
        </w:rPr>
        <w:t>供应商名称（加盖公章）：</w:t>
      </w:r>
    </w:p>
    <w:p w14:paraId="3B456012">
      <w:pPr>
        <w:pStyle w:val="65"/>
        <w:pageBreakBefore w:val="0"/>
        <w:widowControl/>
        <w:kinsoku/>
        <w:wordWrap/>
        <w:overflowPunct/>
        <w:topLinePunct w:val="0"/>
        <w:bidi w:val="0"/>
        <w:snapToGrid w:val="0"/>
        <w:spacing w:before="0" w:beforeAutospacing="0" w:after="0" w:afterAutospacing="0" w:line="440" w:lineRule="exact"/>
        <w:jc w:val="both"/>
        <w:rPr>
          <w:rStyle w:val="59"/>
          <w:rFonts w:hint="eastAsia" w:ascii="宋体" w:hAnsi="宋体" w:eastAsia="宋体" w:cs="宋体"/>
          <w:b w:val="0"/>
          <w:bCs w:val="0"/>
          <w:i w:val="0"/>
          <w:color w:val="auto"/>
          <w:spacing w:val="0"/>
          <w:w w:val="100"/>
          <w:kern w:val="0"/>
          <w:sz w:val="24"/>
          <w:szCs w:val="24"/>
          <w:highlight w:val="none"/>
          <w:lang w:val="en-US" w:eastAsia="zh-CN" w:bidi="ar-SA"/>
        </w:rPr>
      </w:pPr>
      <w:r>
        <w:rPr>
          <w:rStyle w:val="59"/>
          <w:rFonts w:hint="eastAsia" w:ascii="宋体" w:hAnsi="宋体" w:eastAsia="宋体" w:cs="宋体"/>
          <w:b w:val="0"/>
          <w:i w:val="0"/>
          <w:color w:val="auto"/>
          <w:spacing w:val="0"/>
          <w:w w:val="100"/>
          <w:kern w:val="2"/>
          <w:sz w:val="24"/>
          <w:szCs w:val="24"/>
          <w:highlight w:val="none"/>
          <w:lang w:val="en-US" w:eastAsia="zh-CN" w:bidi="ar-SA"/>
        </w:rPr>
        <w:t>日期：   年   月   日</w:t>
      </w:r>
    </w:p>
    <w:p w14:paraId="6FDE2F41">
      <w:pPr>
        <w:pStyle w:val="65"/>
        <w:pageBreakBefore w:val="0"/>
        <w:widowControl/>
        <w:kinsoku/>
        <w:wordWrap/>
        <w:overflowPunct/>
        <w:topLinePunct w:val="0"/>
        <w:bidi w:val="0"/>
        <w:snapToGrid w:val="0"/>
        <w:spacing w:before="0" w:beforeAutospacing="0" w:after="0" w:afterAutospacing="0" w:line="440" w:lineRule="exact"/>
        <w:jc w:val="left"/>
        <w:rPr>
          <w:rStyle w:val="59"/>
          <w:rFonts w:hint="eastAsia" w:ascii="宋体" w:hAnsi="宋体" w:eastAsia="宋体" w:cs="宋体"/>
          <w:b/>
          <w:bCs/>
          <w:i w:val="0"/>
          <w:color w:val="auto"/>
          <w:spacing w:val="0"/>
          <w:w w:val="100"/>
          <w:kern w:val="2"/>
          <w:sz w:val="24"/>
          <w:szCs w:val="24"/>
          <w:highlight w:val="none"/>
          <w:lang w:val="en-US" w:eastAsia="zh-CN" w:bidi="ar-SA"/>
        </w:rPr>
      </w:pPr>
    </w:p>
    <w:p w14:paraId="30D43414">
      <w:pPr>
        <w:pStyle w:val="65"/>
        <w:pageBreakBefore w:val="0"/>
        <w:widowControl/>
        <w:kinsoku/>
        <w:wordWrap/>
        <w:overflowPunct/>
        <w:topLinePunct w:val="0"/>
        <w:bidi w:val="0"/>
        <w:snapToGrid w:val="0"/>
        <w:spacing w:before="0" w:beforeAutospacing="0" w:after="0" w:afterAutospacing="0" w:line="440" w:lineRule="exact"/>
        <w:jc w:val="left"/>
        <w:rPr>
          <w:rStyle w:val="59"/>
          <w:rFonts w:hint="eastAsia" w:ascii="宋体" w:hAnsi="宋体" w:eastAsia="宋体" w:cs="宋体"/>
          <w:b w:val="0"/>
          <w:bCs w:val="0"/>
          <w:i w:val="0"/>
          <w:color w:val="auto"/>
          <w:spacing w:val="0"/>
          <w:w w:val="100"/>
          <w:kern w:val="0"/>
          <w:sz w:val="24"/>
          <w:szCs w:val="24"/>
          <w:highlight w:val="none"/>
          <w:lang w:val="en-US" w:eastAsia="zh-CN" w:bidi="ar-SA"/>
        </w:rPr>
      </w:pPr>
      <w:r>
        <w:rPr>
          <w:rStyle w:val="59"/>
          <w:rFonts w:hint="eastAsia" w:ascii="宋体" w:hAnsi="宋体" w:eastAsia="宋体" w:cs="宋体"/>
          <w:b/>
          <w:bCs/>
          <w:i w:val="0"/>
          <w:color w:val="auto"/>
          <w:spacing w:val="0"/>
          <w:w w:val="100"/>
          <w:kern w:val="2"/>
          <w:sz w:val="24"/>
          <w:szCs w:val="24"/>
          <w:highlight w:val="none"/>
          <w:lang w:val="en-US" w:eastAsia="zh-CN" w:bidi="ar-SA"/>
        </w:rPr>
        <w:t>1.4、有依法缴纳税收和社会保障资金的良好记录；</w:t>
      </w:r>
      <w:r>
        <w:rPr>
          <w:rStyle w:val="59"/>
          <w:rFonts w:hint="eastAsia" w:ascii="宋体" w:hAnsi="宋体" w:eastAsia="宋体" w:cs="宋体"/>
          <w:b w:val="0"/>
          <w:bCs/>
          <w:i w:val="0"/>
          <w:color w:val="auto"/>
          <w:spacing w:val="0"/>
          <w:w w:val="100"/>
          <w:sz w:val="24"/>
          <w:szCs w:val="24"/>
          <w:highlight w:val="none"/>
          <w:lang w:val="en-US" w:eastAsia="zh-CN" w:bidi="ar-SA"/>
        </w:rPr>
        <w:t>须提供依法缴纳税收和社会保障资金的证明材料，须提供开标前六个月内任意一个月的依法缴税凭据和缴纳社会保险的凭据复印件</w:t>
      </w:r>
      <w:r>
        <w:rPr>
          <w:rStyle w:val="59"/>
          <w:rFonts w:hint="eastAsia" w:ascii="宋体" w:hAnsi="宋体" w:eastAsia="宋体" w:cs="宋体"/>
          <w:b w:val="0"/>
          <w:bCs/>
          <w:i w:val="0"/>
          <w:color w:val="auto"/>
          <w:spacing w:val="0"/>
          <w:w w:val="100"/>
          <w:sz w:val="24"/>
          <w:szCs w:val="24"/>
          <w:highlight w:val="none"/>
          <w:lang w:bidi="ar-SA"/>
        </w:rPr>
        <w:t>（依法免税的应提供相应文件说明）</w:t>
      </w:r>
      <w:r>
        <w:rPr>
          <w:rStyle w:val="59"/>
          <w:rFonts w:hint="eastAsia" w:ascii="宋体" w:hAnsi="宋体" w:eastAsia="宋体" w:cs="宋体"/>
          <w:b w:val="0"/>
          <w:i w:val="0"/>
          <w:color w:val="auto"/>
          <w:spacing w:val="0"/>
          <w:w w:val="100"/>
          <w:kern w:val="2"/>
          <w:sz w:val="24"/>
          <w:szCs w:val="24"/>
          <w:highlight w:val="none"/>
          <w:lang w:val="en-US" w:eastAsia="zh-CN" w:bidi="ar-SA"/>
        </w:rPr>
        <w:t>；</w:t>
      </w:r>
    </w:p>
    <w:p w14:paraId="7274ADA0">
      <w:pPr>
        <w:pStyle w:val="63"/>
        <w:pageBreakBefore w:val="0"/>
        <w:widowControl/>
        <w:kinsoku/>
        <w:wordWrap/>
        <w:overflowPunct/>
        <w:topLinePunct w:val="0"/>
        <w:bidi w:val="0"/>
        <w:snapToGrid/>
        <w:spacing w:before="0" w:beforeAutospacing="0" w:after="0" w:afterAutospacing="0" w:line="240" w:lineRule="auto"/>
        <w:jc w:val="left"/>
        <w:rPr>
          <w:rStyle w:val="59"/>
          <w:rFonts w:hint="eastAsia" w:ascii="宋体" w:hAnsi="宋体" w:eastAsia="宋体" w:cs="宋体"/>
          <w:b w:val="0"/>
          <w:bCs w:val="0"/>
          <w:i w:val="0"/>
          <w:color w:val="auto"/>
          <w:spacing w:val="0"/>
          <w:w w:val="100"/>
          <w:kern w:val="0"/>
          <w:sz w:val="24"/>
          <w:szCs w:val="24"/>
          <w:highlight w:val="none"/>
          <w:lang w:val="en-US" w:eastAsia="zh-CN" w:bidi="ar-SA"/>
        </w:rPr>
      </w:pPr>
      <w:r>
        <w:rPr>
          <w:rStyle w:val="59"/>
          <w:rFonts w:hint="eastAsia" w:ascii="宋体" w:hAnsi="宋体" w:eastAsia="宋体" w:cs="宋体"/>
          <w:b w:val="0"/>
          <w:bCs w:val="0"/>
          <w:i w:val="0"/>
          <w:color w:val="auto"/>
          <w:spacing w:val="0"/>
          <w:w w:val="100"/>
          <w:kern w:val="0"/>
          <w:sz w:val="24"/>
          <w:szCs w:val="24"/>
          <w:highlight w:val="none"/>
          <w:lang w:val="en-US" w:eastAsia="zh-CN" w:bidi="ar-SA"/>
        </w:rPr>
        <w:t xml:space="preserve"> </w:t>
      </w:r>
    </w:p>
    <w:p w14:paraId="6B4CF68B">
      <w:pPr>
        <w:pStyle w:val="63"/>
        <w:pageBreakBefore w:val="0"/>
        <w:widowControl/>
        <w:kinsoku/>
        <w:wordWrap/>
        <w:overflowPunct/>
        <w:topLinePunct w:val="0"/>
        <w:bidi w:val="0"/>
        <w:snapToGrid/>
        <w:spacing w:before="0" w:beforeAutospacing="0" w:after="0" w:afterAutospacing="0" w:line="240" w:lineRule="auto"/>
        <w:jc w:val="left"/>
        <w:rPr>
          <w:rStyle w:val="59"/>
          <w:rFonts w:hint="eastAsia" w:ascii="宋体" w:hAnsi="宋体" w:eastAsia="宋体" w:cs="宋体"/>
          <w:b/>
          <w:bCs/>
          <w:i w:val="0"/>
          <w:color w:val="auto"/>
          <w:spacing w:val="0"/>
          <w:w w:val="100"/>
          <w:kern w:val="0"/>
          <w:sz w:val="24"/>
          <w:szCs w:val="24"/>
          <w:highlight w:val="none"/>
          <w:lang w:val="en-US" w:eastAsia="zh-CN" w:bidi="ar-SA"/>
        </w:rPr>
      </w:pPr>
      <w:r>
        <w:rPr>
          <w:rStyle w:val="59"/>
          <w:rFonts w:hint="eastAsia" w:ascii="宋体" w:hAnsi="宋体" w:eastAsia="宋体" w:cs="宋体"/>
          <w:b/>
          <w:bCs/>
          <w:i w:val="0"/>
          <w:color w:val="auto"/>
          <w:spacing w:val="0"/>
          <w:w w:val="100"/>
          <w:kern w:val="2"/>
          <w:sz w:val="24"/>
          <w:szCs w:val="24"/>
          <w:highlight w:val="none"/>
          <w:lang w:val="en-US" w:eastAsia="zh-CN" w:bidi="ar-SA"/>
        </w:rPr>
        <w:t>1.</w:t>
      </w:r>
      <w:r>
        <w:rPr>
          <w:rStyle w:val="59"/>
          <w:rFonts w:hint="eastAsia" w:ascii="宋体" w:hAnsi="宋体" w:eastAsia="宋体" w:cs="宋体"/>
          <w:b/>
          <w:bCs/>
          <w:i w:val="0"/>
          <w:color w:val="auto"/>
          <w:spacing w:val="0"/>
          <w:w w:val="100"/>
          <w:kern w:val="0"/>
          <w:sz w:val="24"/>
          <w:szCs w:val="24"/>
          <w:highlight w:val="none"/>
          <w:lang w:val="en-US" w:eastAsia="zh-CN" w:bidi="ar-SA"/>
        </w:rPr>
        <w:t>5、参加政府采购活动前三年内，在经营活动中没有重大违法记录；须提供书面声明</w:t>
      </w:r>
    </w:p>
    <w:p w14:paraId="58A34152">
      <w:pPr>
        <w:pStyle w:val="63"/>
        <w:pageBreakBefore w:val="0"/>
        <w:widowControl/>
        <w:kinsoku/>
        <w:wordWrap/>
        <w:overflowPunct/>
        <w:topLinePunct w:val="0"/>
        <w:bidi w:val="0"/>
        <w:snapToGrid/>
        <w:spacing w:before="0" w:beforeAutospacing="0" w:after="0" w:afterAutospacing="0" w:line="240" w:lineRule="auto"/>
        <w:jc w:val="left"/>
        <w:rPr>
          <w:rStyle w:val="59"/>
          <w:rFonts w:hint="eastAsia" w:ascii="宋体" w:hAnsi="宋体" w:eastAsia="宋体" w:cs="宋体"/>
          <w:b/>
          <w:bCs/>
          <w:i w:val="0"/>
          <w:color w:val="auto"/>
          <w:spacing w:val="0"/>
          <w:w w:val="100"/>
          <w:kern w:val="0"/>
          <w:sz w:val="24"/>
          <w:szCs w:val="24"/>
          <w:highlight w:val="none"/>
          <w:lang w:val="en-US" w:eastAsia="zh-CN" w:bidi="ar-SA"/>
        </w:rPr>
      </w:pPr>
      <w:r>
        <w:rPr>
          <w:rStyle w:val="59"/>
          <w:rFonts w:hint="eastAsia" w:ascii="宋体" w:hAnsi="宋体" w:eastAsia="宋体" w:cs="宋体"/>
          <w:b/>
          <w:bCs/>
          <w:i w:val="0"/>
          <w:color w:val="auto"/>
          <w:spacing w:val="0"/>
          <w:w w:val="100"/>
          <w:kern w:val="0"/>
          <w:sz w:val="24"/>
          <w:szCs w:val="24"/>
          <w:highlight w:val="none"/>
          <w:lang w:val="en-US" w:eastAsia="zh-CN" w:bidi="ar-SA"/>
        </w:rPr>
        <w:t xml:space="preserve"> </w:t>
      </w:r>
    </w:p>
    <w:p w14:paraId="6B3348D3">
      <w:pPr>
        <w:pStyle w:val="64"/>
        <w:pageBreakBefore w:val="0"/>
        <w:widowControl/>
        <w:kinsoku/>
        <w:wordWrap/>
        <w:overflowPunct/>
        <w:topLinePunct w:val="0"/>
        <w:bidi w:val="0"/>
        <w:snapToGrid/>
        <w:spacing w:before="0" w:beforeAutospacing="0" w:after="0" w:afterAutospacing="0" w:line="360" w:lineRule="auto"/>
        <w:jc w:val="both"/>
        <w:rPr>
          <w:rStyle w:val="59"/>
          <w:rFonts w:hint="eastAsia" w:ascii="宋体" w:hAnsi="宋体" w:eastAsia="宋体" w:cs="宋体"/>
          <w:b w:val="0"/>
          <w:i w:val="0"/>
          <w:color w:val="auto"/>
          <w:spacing w:val="0"/>
          <w:w w:val="100"/>
          <w:kern w:val="0"/>
          <w:sz w:val="24"/>
          <w:szCs w:val="24"/>
          <w:highlight w:val="none"/>
          <w:lang w:val="en-US" w:eastAsia="zh-CN" w:bidi="ar-SA"/>
        </w:rPr>
      </w:pPr>
      <w:r>
        <w:rPr>
          <w:rStyle w:val="59"/>
          <w:rFonts w:hint="eastAsia" w:ascii="宋体" w:hAnsi="宋体" w:eastAsia="宋体" w:cs="宋体"/>
          <w:b w:val="0"/>
          <w:i w:val="0"/>
          <w:color w:val="auto"/>
          <w:spacing w:val="0"/>
          <w:w w:val="100"/>
          <w:kern w:val="0"/>
          <w:sz w:val="24"/>
          <w:szCs w:val="24"/>
          <w:highlight w:val="none"/>
          <w:lang w:val="en-US" w:eastAsia="zh-CN" w:bidi="ar-SA"/>
        </w:rPr>
        <w:t xml:space="preserve">我单位郑重声明： </w:t>
      </w:r>
    </w:p>
    <w:p w14:paraId="4963DC63">
      <w:pPr>
        <w:pStyle w:val="64"/>
        <w:pageBreakBefore w:val="0"/>
        <w:widowControl/>
        <w:kinsoku/>
        <w:wordWrap/>
        <w:overflowPunct/>
        <w:topLinePunct w:val="0"/>
        <w:bidi w:val="0"/>
        <w:snapToGrid/>
        <w:spacing w:before="0" w:beforeAutospacing="0" w:after="0" w:afterAutospacing="0" w:line="360" w:lineRule="auto"/>
        <w:ind w:firstLine="480" w:firstLineChars="200"/>
        <w:jc w:val="both"/>
        <w:rPr>
          <w:rStyle w:val="59"/>
          <w:rFonts w:hint="eastAsia" w:ascii="宋体" w:hAnsi="宋体" w:eastAsia="宋体" w:cs="宋体"/>
          <w:b w:val="0"/>
          <w:i w:val="0"/>
          <w:color w:val="auto"/>
          <w:spacing w:val="0"/>
          <w:w w:val="100"/>
          <w:kern w:val="0"/>
          <w:sz w:val="24"/>
          <w:szCs w:val="24"/>
          <w:highlight w:val="none"/>
          <w:lang w:val="en-US" w:eastAsia="zh-CN" w:bidi="ar-SA"/>
        </w:rPr>
      </w:pPr>
      <w:r>
        <w:rPr>
          <w:rStyle w:val="59"/>
          <w:rFonts w:hint="eastAsia" w:ascii="宋体" w:hAnsi="宋体" w:eastAsia="宋体" w:cs="宋体"/>
          <w:b w:val="0"/>
          <w:i w:val="0"/>
          <w:color w:val="auto"/>
          <w:spacing w:val="0"/>
          <w:w w:val="100"/>
          <w:ker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35443029">
      <w:pPr>
        <w:pStyle w:val="64"/>
        <w:pageBreakBefore w:val="0"/>
        <w:widowControl/>
        <w:kinsoku/>
        <w:wordWrap/>
        <w:overflowPunct/>
        <w:topLinePunct w:val="0"/>
        <w:bidi w:val="0"/>
        <w:snapToGrid/>
        <w:spacing w:before="0" w:beforeAutospacing="0" w:after="0" w:afterAutospacing="0" w:line="360" w:lineRule="auto"/>
        <w:ind w:firstLine="480" w:firstLineChars="200"/>
        <w:jc w:val="both"/>
        <w:rPr>
          <w:rStyle w:val="59"/>
          <w:rFonts w:hint="eastAsia" w:ascii="宋体" w:hAnsi="宋体" w:eastAsia="宋体" w:cs="宋体"/>
          <w:b w:val="0"/>
          <w:i w:val="0"/>
          <w:color w:val="auto"/>
          <w:spacing w:val="0"/>
          <w:w w:val="100"/>
          <w:kern w:val="2"/>
          <w:sz w:val="24"/>
          <w:szCs w:val="24"/>
          <w:highlight w:val="none"/>
          <w:lang w:val="en-US" w:eastAsia="zh-CN" w:bidi="ar-SA"/>
        </w:rPr>
      </w:pPr>
      <w:r>
        <w:rPr>
          <w:rStyle w:val="59"/>
          <w:rFonts w:hint="eastAsia" w:ascii="宋体" w:hAnsi="宋体" w:eastAsia="宋体" w:cs="宋体"/>
          <w:b w:val="0"/>
          <w:i w:val="0"/>
          <w:color w:val="auto"/>
          <w:spacing w:val="0"/>
          <w:w w:val="100"/>
          <w:kern w:val="0"/>
          <w:sz w:val="24"/>
          <w:szCs w:val="24"/>
          <w:highlight w:val="none"/>
          <w:lang w:val="en-US" w:eastAsia="zh-CN" w:bidi="ar-SA"/>
        </w:rPr>
        <w:t xml:space="preserve">如我公司声明与实际不符，我公司将承担因此引起的一切后果。 </w:t>
      </w:r>
    </w:p>
    <w:p w14:paraId="2D8E9B4D">
      <w:pPr>
        <w:pStyle w:val="64"/>
        <w:pageBreakBefore w:val="0"/>
        <w:widowControl/>
        <w:kinsoku/>
        <w:wordWrap/>
        <w:overflowPunct/>
        <w:topLinePunct w:val="0"/>
        <w:bidi w:val="0"/>
        <w:snapToGrid w:val="0"/>
        <w:spacing w:before="0" w:beforeAutospacing="0" w:after="0" w:afterAutospacing="0" w:line="440" w:lineRule="exact"/>
        <w:jc w:val="both"/>
        <w:rPr>
          <w:rStyle w:val="59"/>
          <w:rFonts w:hint="eastAsia" w:ascii="宋体" w:hAnsi="宋体" w:eastAsia="宋体" w:cs="宋体"/>
          <w:b w:val="0"/>
          <w:i w:val="0"/>
          <w:color w:val="auto"/>
          <w:spacing w:val="0"/>
          <w:w w:val="100"/>
          <w:kern w:val="2"/>
          <w:sz w:val="24"/>
          <w:szCs w:val="24"/>
          <w:highlight w:val="none"/>
          <w:u w:val="single" w:color="000000"/>
          <w:lang w:val="en-US" w:eastAsia="zh-CN" w:bidi="ar-SA"/>
        </w:rPr>
      </w:pPr>
      <w:r>
        <w:rPr>
          <w:rStyle w:val="59"/>
          <w:rFonts w:hint="eastAsia" w:ascii="宋体" w:hAnsi="宋体" w:eastAsia="宋体" w:cs="宋体"/>
          <w:b w:val="0"/>
          <w:i w:val="0"/>
          <w:color w:val="auto"/>
          <w:spacing w:val="0"/>
          <w:w w:val="100"/>
          <w:kern w:val="2"/>
          <w:sz w:val="24"/>
          <w:szCs w:val="24"/>
          <w:highlight w:val="none"/>
          <w:lang w:val="en-US" w:eastAsia="zh-CN" w:bidi="ar-SA"/>
        </w:rPr>
        <w:t>供应商法定代表人（或法定代表人授权代表）签字或盖章：</w:t>
      </w:r>
    </w:p>
    <w:p w14:paraId="20ACAE75">
      <w:pPr>
        <w:pStyle w:val="64"/>
        <w:pageBreakBefore w:val="0"/>
        <w:widowControl/>
        <w:kinsoku/>
        <w:wordWrap/>
        <w:overflowPunct/>
        <w:topLinePunct w:val="0"/>
        <w:bidi w:val="0"/>
        <w:snapToGrid w:val="0"/>
        <w:spacing w:before="0" w:beforeAutospacing="0" w:after="0" w:afterAutospacing="0" w:line="440" w:lineRule="exact"/>
        <w:jc w:val="both"/>
        <w:rPr>
          <w:rStyle w:val="59"/>
          <w:rFonts w:hint="eastAsia" w:ascii="宋体" w:hAnsi="宋体" w:eastAsia="宋体" w:cs="宋体"/>
          <w:b w:val="0"/>
          <w:i w:val="0"/>
          <w:color w:val="auto"/>
          <w:spacing w:val="0"/>
          <w:w w:val="100"/>
          <w:kern w:val="2"/>
          <w:sz w:val="24"/>
          <w:szCs w:val="24"/>
          <w:highlight w:val="none"/>
          <w:u w:val="single" w:color="000000"/>
          <w:lang w:val="en-US" w:eastAsia="zh-CN" w:bidi="ar-SA"/>
        </w:rPr>
      </w:pPr>
      <w:r>
        <w:rPr>
          <w:rStyle w:val="59"/>
          <w:rFonts w:hint="eastAsia" w:ascii="宋体" w:hAnsi="宋体" w:eastAsia="宋体" w:cs="宋体"/>
          <w:b w:val="0"/>
          <w:i w:val="0"/>
          <w:color w:val="auto"/>
          <w:spacing w:val="0"/>
          <w:w w:val="100"/>
          <w:kern w:val="2"/>
          <w:sz w:val="24"/>
          <w:szCs w:val="24"/>
          <w:highlight w:val="none"/>
          <w:lang w:val="en-US" w:eastAsia="zh-CN" w:bidi="ar-SA"/>
        </w:rPr>
        <w:t>供应商名称（加盖公章）：</w:t>
      </w:r>
    </w:p>
    <w:p w14:paraId="47C7C0CB">
      <w:pPr>
        <w:pStyle w:val="65"/>
        <w:pageBreakBefore w:val="0"/>
        <w:widowControl/>
        <w:kinsoku/>
        <w:wordWrap/>
        <w:overflowPunct/>
        <w:topLinePunct w:val="0"/>
        <w:bidi w:val="0"/>
        <w:snapToGrid w:val="0"/>
        <w:spacing w:before="0" w:beforeAutospacing="0" w:after="0" w:afterAutospacing="0" w:line="440" w:lineRule="exact"/>
        <w:jc w:val="both"/>
        <w:rPr>
          <w:rStyle w:val="59"/>
          <w:rFonts w:hint="eastAsia" w:ascii="宋体" w:hAnsi="宋体" w:eastAsia="宋体" w:cs="宋体"/>
          <w:b w:val="0"/>
          <w:i w:val="0"/>
          <w:color w:val="auto"/>
          <w:spacing w:val="0"/>
          <w:w w:val="100"/>
          <w:kern w:val="0"/>
          <w:sz w:val="24"/>
          <w:szCs w:val="24"/>
          <w:highlight w:val="none"/>
          <w:lang w:val="en-US" w:eastAsia="zh-CN" w:bidi="ar-SA"/>
        </w:rPr>
      </w:pPr>
      <w:r>
        <w:rPr>
          <w:rStyle w:val="59"/>
          <w:rFonts w:hint="eastAsia" w:ascii="宋体" w:hAnsi="宋体" w:eastAsia="宋体" w:cs="宋体"/>
          <w:b w:val="0"/>
          <w:i w:val="0"/>
          <w:color w:val="auto"/>
          <w:spacing w:val="0"/>
          <w:w w:val="100"/>
          <w:kern w:val="0"/>
          <w:sz w:val="24"/>
          <w:szCs w:val="24"/>
          <w:highlight w:val="none"/>
          <w:lang w:val="en-US" w:eastAsia="zh-CN" w:bidi="ar-SA"/>
        </w:rPr>
        <w:t>日期：   年   月   日</w:t>
      </w:r>
    </w:p>
    <w:p w14:paraId="6A6F3772">
      <w:pPr>
        <w:pStyle w:val="67"/>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jc w:val="both"/>
        <w:rPr>
          <w:rStyle w:val="59"/>
          <w:rFonts w:hint="eastAsia" w:ascii="宋体" w:hAnsi="宋体" w:eastAsia="宋体" w:cs="宋体"/>
          <w:b/>
          <w:bCs/>
          <w:i w:val="0"/>
          <w:color w:val="auto"/>
          <w:spacing w:val="0"/>
          <w:w w:val="100"/>
          <w:kern w:val="0"/>
          <w:sz w:val="24"/>
          <w:szCs w:val="24"/>
          <w:highlight w:val="none"/>
          <w:lang w:val="en-US" w:eastAsia="zh-CN" w:bidi="ar-SA"/>
        </w:rPr>
      </w:pPr>
    </w:p>
    <w:p w14:paraId="66646991">
      <w:pPr>
        <w:pStyle w:val="61"/>
        <w:pageBreakBefore w:val="0"/>
        <w:kinsoku/>
        <w:wordWrap/>
        <w:overflowPunct/>
        <w:topLinePunct w:val="0"/>
        <w:bidi w:val="0"/>
        <w:snapToGrid/>
        <w:spacing w:before="0" w:beforeAutospacing="0" w:after="0" w:afterAutospacing="0" w:line="360" w:lineRule="auto"/>
        <w:jc w:val="both"/>
        <w:rPr>
          <w:rStyle w:val="59"/>
          <w:rFonts w:hint="eastAsia" w:ascii="宋体" w:hAnsi="宋体" w:eastAsia="宋体" w:cs="宋体"/>
          <w:b/>
          <w:bCs/>
          <w:i w:val="0"/>
          <w:color w:val="auto"/>
          <w:spacing w:val="0"/>
          <w:w w:val="100"/>
          <w:kern w:val="0"/>
          <w:sz w:val="24"/>
          <w:szCs w:val="24"/>
          <w:highlight w:val="none"/>
          <w:lang w:val="en-US" w:eastAsia="zh-CN" w:bidi="ar-SA"/>
        </w:rPr>
      </w:pPr>
      <w:r>
        <w:rPr>
          <w:rStyle w:val="59"/>
          <w:rFonts w:hint="eastAsia" w:ascii="宋体" w:hAnsi="宋体" w:eastAsia="宋体" w:cs="宋体"/>
          <w:b/>
          <w:bCs/>
          <w:i w:val="0"/>
          <w:color w:val="auto"/>
          <w:spacing w:val="0"/>
          <w:w w:val="100"/>
          <w:kern w:val="0"/>
          <w:sz w:val="24"/>
          <w:szCs w:val="24"/>
          <w:highlight w:val="none"/>
          <w:lang w:val="en-US" w:eastAsia="zh-CN" w:bidi="ar-SA"/>
        </w:rPr>
        <w:t>1.6、法律、行政法规规定的其他条件</w:t>
      </w:r>
      <w:r>
        <w:rPr>
          <w:rStyle w:val="59"/>
          <w:rFonts w:hint="eastAsia" w:ascii="宋体" w:hAnsi="宋体" w:cs="宋体"/>
          <w:b/>
          <w:bCs/>
          <w:i w:val="0"/>
          <w:color w:val="auto"/>
          <w:spacing w:val="0"/>
          <w:w w:val="100"/>
          <w:kern w:val="0"/>
          <w:sz w:val="24"/>
          <w:szCs w:val="24"/>
          <w:highlight w:val="none"/>
          <w:lang w:val="en-US" w:eastAsia="zh-CN" w:bidi="ar-SA"/>
        </w:rPr>
        <w:t>；</w:t>
      </w:r>
    </w:p>
    <w:p w14:paraId="446A0996">
      <w:pPr>
        <w:pStyle w:val="23"/>
        <w:spacing w:before="0" w:beforeAutospacing="0" w:after="0" w:afterAutospacing="0" w:line="460" w:lineRule="exact"/>
        <w:ind w:firstLine="720" w:firstLineChars="300"/>
        <w:rPr>
          <w:rFonts w:hint="eastAsia" w:ascii="宋体" w:hAnsi="宋体" w:eastAsia="宋体" w:cs="宋体"/>
          <w:bCs/>
          <w:kern w:val="2"/>
          <w:sz w:val="24"/>
          <w:szCs w:val="22"/>
          <w:lang w:val="en-US" w:eastAsia="zh-CN" w:bidi="ar-SA"/>
        </w:rPr>
      </w:pPr>
      <w:r>
        <w:rPr>
          <w:rFonts w:hint="eastAsia" w:cs="宋体"/>
          <w:bCs/>
          <w:kern w:val="2"/>
          <w:sz w:val="24"/>
          <w:szCs w:val="22"/>
          <w:lang w:val="en-US" w:eastAsia="zh-CN" w:bidi="ar-SA"/>
        </w:rPr>
        <w:t>凡拟参加本次招标项目的供应商，供应商未被列入“信用中国”网站（www.creditchina.gov.cn）和“中国政府采购网”（www.ccgp.gov.cn）渠道信用记录失信被执行人、重大税收违法失信主体名单以及政府采购严重违法失信行为记录名单（查询日期自采购公告发布之日后，提供网页复印件加盖公章）；</w:t>
      </w:r>
    </w:p>
    <w:p w14:paraId="17312F22">
      <w:pPr>
        <w:pStyle w:val="23"/>
        <w:spacing w:before="0" w:beforeAutospacing="0" w:after="0" w:afterAutospacing="0" w:line="460" w:lineRule="exact"/>
        <w:ind w:firstLine="720" w:firstLineChars="300"/>
        <w:rPr>
          <w:rFonts w:hint="eastAsia" w:ascii="宋体" w:hAnsi="宋体" w:eastAsia="宋体" w:cs="宋体"/>
          <w:bCs/>
          <w:kern w:val="2"/>
          <w:sz w:val="24"/>
          <w:szCs w:val="22"/>
          <w:lang w:val="en-US" w:eastAsia="zh-CN" w:bidi="ar-SA"/>
        </w:rPr>
      </w:pPr>
    </w:p>
    <w:p w14:paraId="178AAC94">
      <w:pPr>
        <w:pStyle w:val="23"/>
        <w:spacing w:before="0" w:beforeAutospacing="0" w:after="0" w:afterAutospacing="0" w:line="460" w:lineRule="exact"/>
        <w:ind w:firstLine="720" w:firstLineChars="300"/>
        <w:rPr>
          <w:rFonts w:hint="eastAsia" w:ascii="宋体" w:hAnsi="宋体" w:eastAsia="宋体" w:cs="宋体"/>
          <w:bCs/>
          <w:kern w:val="2"/>
          <w:sz w:val="24"/>
          <w:szCs w:val="22"/>
          <w:lang w:val="en-US" w:eastAsia="zh-CN" w:bidi="ar-SA"/>
        </w:rPr>
      </w:pPr>
    </w:p>
    <w:p w14:paraId="2CE1FFA5">
      <w:pPr>
        <w:pStyle w:val="23"/>
        <w:spacing w:before="0" w:beforeAutospacing="0" w:after="0" w:afterAutospacing="0" w:line="460" w:lineRule="exact"/>
        <w:ind w:firstLine="720" w:firstLineChars="300"/>
        <w:rPr>
          <w:rFonts w:hint="eastAsia" w:ascii="宋体" w:hAnsi="宋体" w:eastAsia="宋体" w:cs="宋体"/>
          <w:bCs/>
          <w:kern w:val="2"/>
          <w:sz w:val="24"/>
          <w:szCs w:val="22"/>
          <w:lang w:val="en-US" w:eastAsia="zh-CN" w:bidi="ar-SA"/>
        </w:rPr>
      </w:pPr>
      <w:r>
        <w:rPr>
          <w:rFonts w:hint="eastAsia" w:ascii="宋体" w:hAnsi="宋体" w:eastAsia="宋体" w:cs="宋体"/>
          <w:bCs/>
          <w:kern w:val="2"/>
          <w:sz w:val="24"/>
          <w:szCs w:val="22"/>
          <w:lang w:val="en-US" w:eastAsia="zh-CN" w:bidi="ar-SA"/>
        </w:rPr>
        <w:t>注：上述供应商须提供的资格证明文件均应为有效文件并加盖本单位公章且给定内容及格式的，不得更改格式及内容，否则视为不响应。上述文件为供应商必须达到的资格要求，如有任意一条未明确响应将按无效投标处理。</w:t>
      </w:r>
    </w:p>
    <w:p w14:paraId="102ED784">
      <w:pPr>
        <w:pStyle w:val="23"/>
        <w:spacing w:before="0" w:beforeAutospacing="0" w:after="0" w:afterAutospacing="0" w:line="460" w:lineRule="exact"/>
        <w:ind w:firstLine="720" w:firstLineChars="300"/>
        <w:rPr>
          <w:rFonts w:hint="eastAsia" w:asciiTheme="majorEastAsia" w:hAnsiTheme="majorEastAsia" w:eastAsiaTheme="majorEastAsia" w:cstheme="majorEastAsia"/>
          <w:b/>
          <w:color w:val="auto"/>
          <w:sz w:val="32"/>
          <w:highlight w:val="none"/>
          <w:lang w:eastAsia="zh-CN"/>
        </w:rPr>
      </w:pPr>
      <w:r>
        <w:rPr>
          <w:rFonts w:hint="eastAsia" w:ascii="宋体" w:hAnsi="宋体" w:eastAsia="宋体" w:cs="宋体"/>
          <w:bCs/>
          <w:kern w:val="2"/>
          <w:sz w:val="24"/>
          <w:szCs w:val="22"/>
          <w:lang w:val="en-US" w:eastAsia="zh-CN" w:bidi="ar-SA"/>
        </w:rPr>
        <w:br w:type="page"/>
      </w:r>
    </w:p>
    <w:p w14:paraId="174814B9">
      <w:pPr>
        <w:keepNext w:val="0"/>
        <w:keepLines w:val="0"/>
        <w:widowControl/>
        <w:numPr>
          <w:ilvl w:val="0"/>
          <w:numId w:val="0"/>
        </w:numPr>
        <w:suppressLineNumbers w:val="0"/>
        <w:jc w:val="center"/>
        <w:outlineLvl w:val="2"/>
        <w:rPr>
          <w:rFonts w:hint="eastAsia" w:asciiTheme="majorEastAsia" w:hAnsiTheme="majorEastAsia" w:eastAsiaTheme="majorEastAsia" w:cstheme="majorEastAsia"/>
          <w:sz w:val="35"/>
          <w:szCs w:val="35"/>
        </w:rPr>
      </w:pPr>
      <w:bookmarkStart w:id="197" w:name="_Toc19841"/>
      <w:r>
        <w:rPr>
          <w:rFonts w:hint="eastAsia" w:asciiTheme="majorEastAsia" w:hAnsiTheme="majorEastAsia" w:eastAsiaTheme="majorEastAsia" w:cstheme="majorEastAsia"/>
          <w:b/>
          <w:color w:val="auto"/>
          <w:kern w:val="0"/>
          <w:sz w:val="28"/>
          <w:szCs w:val="24"/>
          <w:highlight w:val="none"/>
          <w:lang w:val="en-US" w:eastAsia="zh-CN" w:bidi="ar-SA"/>
        </w:rPr>
        <w:t>2、中小企业声明函（货物）</w:t>
      </w:r>
      <w:bookmarkEnd w:id="197"/>
    </w:p>
    <w:p w14:paraId="7C1D7950">
      <w:pPr>
        <w:keepNext w:val="0"/>
        <w:keepLines w:val="0"/>
        <w:pageBreakBefore w:val="0"/>
        <w:widowControl w:val="0"/>
        <w:tabs>
          <w:tab w:val="left" w:pos="193"/>
        </w:tabs>
        <w:kinsoku/>
        <w:wordWrap w:val="0"/>
        <w:overflowPunct/>
        <w:topLinePunct/>
        <w:autoSpaceDE/>
        <w:autoSpaceDN/>
        <w:bidi w:val="0"/>
        <w:adjustRightInd/>
        <w:snapToGrid/>
        <w:spacing w:before="101" w:line="305" w:lineRule="auto"/>
        <w:ind w:left="34" w:right="232" w:firstLine="641"/>
        <w:textAlignment w:val="auto"/>
        <w:rPr>
          <w:rFonts w:hint="eastAsia" w:asciiTheme="majorEastAsia" w:hAnsiTheme="majorEastAsia" w:eastAsiaTheme="majorEastAsia" w:cstheme="majorEastAsia"/>
          <w:spacing w:val="8"/>
          <w:sz w:val="28"/>
          <w:szCs w:val="28"/>
        </w:rPr>
      </w:pPr>
    </w:p>
    <w:p w14:paraId="0A11E4C1">
      <w:pPr>
        <w:keepNext w:val="0"/>
        <w:keepLines w:val="0"/>
        <w:pageBreakBefore w:val="0"/>
        <w:widowControl w:val="0"/>
        <w:tabs>
          <w:tab w:val="left" w:pos="193"/>
        </w:tabs>
        <w:kinsoku/>
        <w:wordWrap w:val="0"/>
        <w:overflowPunct/>
        <w:topLinePunct/>
        <w:autoSpaceDE/>
        <w:autoSpaceDN/>
        <w:bidi w:val="0"/>
        <w:adjustRightInd/>
        <w:snapToGrid/>
        <w:spacing w:before="101" w:line="305" w:lineRule="auto"/>
        <w:ind w:left="34" w:right="232" w:firstLine="641"/>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本公司(联合体)郑重声明</w:t>
      </w:r>
      <w:r>
        <w:rPr>
          <w:rFonts w:hint="eastAsia" w:asciiTheme="majorEastAsia" w:hAnsiTheme="majorEastAsia" w:eastAsiaTheme="majorEastAsia" w:cstheme="majorEastAsia"/>
          <w:spacing w:val="8"/>
          <w:sz w:val="24"/>
          <w:szCs w:val="24"/>
          <w:lang w:eastAsia="zh-CN"/>
        </w:rPr>
        <w:t>，</w:t>
      </w:r>
      <w:r>
        <w:rPr>
          <w:rFonts w:hint="eastAsia" w:asciiTheme="majorEastAsia" w:hAnsiTheme="majorEastAsia" w:eastAsiaTheme="majorEastAsia" w:cstheme="majorEastAsia"/>
          <w:spacing w:val="8"/>
          <w:sz w:val="24"/>
          <w:szCs w:val="24"/>
        </w:rPr>
        <w:t>根据《政府采购促进中</w:t>
      </w:r>
      <w:r>
        <w:rPr>
          <w:rFonts w:hint="eastAsia" w:asciiTheme="majorEastAsia" w:hAnsiTheme="majorEastAsia" w:eastAsiaTheme="majorEastAsia" w:cstheme="majorEastAsia"/>
          <w:spacing w:val="5"/>
          <w:sz w:val="24"/>
          <w:szCs w:val="24"/>
        </w:rPr>
        <w:t>小</w:t>
      </w:r>
      <w:r>
        <w:rPr>
          <w:rFonts w:hint="eastAsia" w:asciiTheme="majorEastAsia" w:hAnsiTheme="majorEastAsia" w:eastAsiaTheme="majorEastAsia" w:cstheme="majorEastAsia"/>
          <w:spacing w:val="-22"/>
          <w:sz w:val="24"/>
          <w:szCs w:val="24"/>
        </w:rPr>
        <w:t>企</w:t>
      </w:r>
      <w:r>
        <w:rPr>
          <w:rFonts w:hint="eastAsia" w:asciiTheme="majorEastAsia" w:hAnsiTheme="majorEastAsia" w:eastAsiaTheme="majorEastAsia" w:cstheme="majorEastAsia"/>
          <w:spacing w:val="-12"/>
          <w:sz w:val="24"/>
          <w:szCs w:val="24"/>
        </w:rPr>
        <w:t>业</w:t>
      </w:r>
      <w:r>
        <w:rPr>
          <w:rFonts w:hint="eastAsia" w:asciiTheme="majorEastAsia" w:hAnsiTheme="majorEastAsia" w:eastAsiaTheme="majorEastAsia" w:cstheme="majorEastAsia"/>
          <w:spacing w:val="-11"/>
          <w:sz w:val="24"/>
          <w:szCs w:val="24"/>
        </w:rPr>
        <w:t>发展管理办法》(财库﹝2020﹞46号)的规定，本公司</w:t>
      </w:r>
      <w:r>
        <w:rPr>
          <w:rFonts w:hint="eastAsia" w:asciiTheme="majorEastAsia" w:hAnsiTheme="majorEastAsia" w:eastAsiaTheme="majorEastAsia" w:cstheme="majorEastAsia"/>
          <w:spacing w:val="-10"/>
          <w:sz w:val="24"/>
          <w:szCs w:val="24"/>
        </w:rPr>
        <w:t>(联合体</w:t>
      </w:r>
      <w:r>
        <w:rPr>
          <w:rFonts w:hint="eastAsia" w:asciiTheme="majorEastAsia" w:hAnsiTheme="majorEastAsia" w:eastAsiaTheme="majorEastAsia" w:cstheme="majorEastAsia"/>
          <w:spacing w:val="-7"/>
          <w:sz w:val="24"/>
          <w:szCs w:val="24"/>
        </w:rPr>
        <w:t>)</w:t>
      </w:r>
      <w:r>
        <w:rPr>
          <w:rFonts w:hint="eastAsia" w:asciiTheme="majorEastAsia" w:hAnsiTheme="majorEastAsia" w:eastAsiaTheme="majorEastAsia" w:cstheme="majorEastAsia"/>
          <w:spacing w:val="-5"/>
          <w:sz w:val="24"/>
          <w:szCs w:val="24"/>
        </w:rPr>
        <w:t>参加</w:t>
      </w:r>
      <w:r>
        <w:rPr>
          <w:rFonts w:hint="eastAsia" w:asciiTheme="majorEastAsia" w:hAnsiTheme="majorEastAsia" w:eastAsiaTheme="majorEastAsia" w:cstheme="majorEastAsia"/>
          <w:spacing w:val="-5"/>
          <w:sz w:val="24"/>
          <w:szCs w:val="24"/>
          <w:u w:val="single" w:color="auto"/>
        </w:rPr>
        <w:t xml:space="preserve"> </w:t>
      </w:r>
      <w:r>
        <w:rPr>
          <w:rFonts w:hint="eastAsia" w:asciiTheme="majorEastAsia" w:hAnsiTheme="majorEastAsia" w:eastAsiaTheme="majorEastAsia" w:cstheme="majorEastAsia"/>
          <w:spacing w:val="-11"/>
          <w:sz w:val="24"/>
          <w:szCs w:val="24"/>
          <w:u w:val="single"/>
        </w:rPr>
        <w:t xml:space="preserve">(单位名称) </w:t>
      </w:r>
      <w:r>
        <w:rPr>
          <w:rFonts w:hint="eastAsia" w:asciiTheme="majorEastAsia" w:hAnsiTheme="majorEastAsia" w:eastAsiaTheme="majorEastAsia" w:cstheme="majorEastAsia"/>
          <w:spacing w:val="-5"/>
          <w:sz w:val="24"/>
          <w:szCs w:val="24"/>
        </w:rPr>
        <w:t>的</w:t>
      </w:r>
      <w:r>
        <w:rPr>
          <w:rFonts w:hint="eastAsia" w:asciiTheme="majorEastAsia" w:hAnsiTheme="majorEastAsia" w:eastAsiaTheme="majorEastAsia" w:cstheme="majorEastAsia"/>
          <w:spacing w:val="-5"/>
          <w:sz w:val="24"/>
          <w:szCs w:val="24"/>
          <w:u w:val="single" w:color="auto"/>
        </w:rPr>
        <w:t xml:space="preserve"> </w:t>
      </w:r>
      <w:r>
        <w:rPr>
          <w:rFonts w:hint="eastAsia" w:asciiTheme="majorEastAsia" w:hAnsiTheme="majorEastAsia" w:eastAsiaTheme="majorEastAsia" w:cstheme="majorEastAsia"/>
          <w:spacing w:val="-11"/>
          <w:sz w:val="24"/>
          <w:szCs w:val="24"/>
          <w:u w:val="single" w:color="auto"/>
        </w:rPr>
        <w:t>(</w:t>
      </w:r>
      <w:r>
        <w:rPr>
          <w:rFonts w:hint="eastAsia" w:asciiTheme="majorEastAsia" w:hAnsiTheme="majorEastAsia" w:eastAsiaTheme="majorEastAsia" w:cstheme="majorEastAsia"/>
          <w:spacing w:val="-5"/>
          <w:sz w:val="24"/>
          <w:szCs w:val="24"/>
          <w:u w:val="single" w:color="auto"/>
        </w:rPr>
        <w:t xml:space="preserve">项目名称) </w:t>
      </w:r>
      <w:r>
        <w:rPr>
          <w:rFonts w:hint="eastAsia" w:asciiTheme="majorEastAsia" w:hAnsiTheme="majorEastAsia" w:eastAsiaTheme="majorEastAsia" w:cstheme="majorEastAsia"/>
          <w:spacing w:val="-5"/>
          <w:sz w:val="24"/>
          <w:szCs w:val="24"/>
        </w:rPr>
        <w:t>采购活动，提</w:t>
      </w:r>
      <w:r>
        <w:rPr>
          <w:rFonts w:hint="eastAsia" w:asciiTheme="majorEastAsia" w:hAnsiTheme="majorEastAsia" w:eastAsiaTheme="majorEastAsia" w:cstheme="majorEastAsia"/>
          <w:spacing w:val="27"/>
          <w:sz w:val="24"/>
          <w:szCs w:val="24"/>
        </w:rPr>
        <w:t>供</w:t>
      </w:r>
      <w:r>
        <w:rPr>
          <w:rFonts w:hint="eastAsia" w:asciiTheme="majorEastAsia" w:hAnsiTheme="majorEastAsia" w:eastAsiaTheme="majorEastAsia" w:cstheme="majorEastAsia"/>
          <w:spacing w:val="21"/>
          <w:sz w:val="24"/>
          <w:szCs w:val="24"/>
        </w:rPr>
        <w:t>的货物全部由符合政策要求的中小企业制造。相关企业</w:t>
      </w:r>
      <w:r>
        <w:rPr>
          <w:rFonts w:hint="eastAsia" w:asciiTheme="majorEastAsia" w:hAnsiTheme="majorEastAsia" w:eastAsiaTheme="majorEastAsia" w:cstheme="majorEastAsia"/>
          <w:spacing w:val="8"/>
          <w:sz w:val="24"/>
          <w:szCs w:val="24"/>
        </w:rPr>
        <w:t>(含联合体中的中小企业、签订分包意向协议的中小企业</w:t>
      </w:r>
      <w:r>
        <w:rPr>
          <w:rFonts w:hint="eastAsia" w:asciiTheme="majorEastAsia" w:hAnsiTheme="majorEastAsia" w:eastAsiaTheme="majorEastAsia" w:cstheme="majorEastAsia"/>
          <w:spacing w:val="7"/>
          <w:sz w:val="24"/>
          <w:szCs w:val="24"/>
        </w:rPr>
        <w:t>)</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6"/>
          <w:sz w:val="24"/>
          <w:szCs w:val="24"/>
        </w:rPr>
        <w:t>的具体情况如下</w:t>
      </w:r>
      <w:r>
        <w:rPr>
          <w:rFonts w:hint="eastAsia" w:asciiTheme="majorEastAsia" w:hAnsiTheme="majorEastAsia" w:eastAsiaTheme="majorEastAsia" w:cstheme="majorEastAsia"/>
          <w:spacing w:val="4"/>
          <w:sz w:val="24"/>
          <w:szCs w:val="24"/>
        </w:rPr>
        <w:t>：</w:t>
      </w:r>
    </w:p>
    <w:p w14:paraId="1BBBE582">
      <w:pPr>
        <w:keepNext w:val="0"/>
        <w:keepLines w:val="0"/>
        <w:pageBreakBefore w:val="0"/>
        <w:widowControl w:val="0"/>
        <w:kinsoku w:val="0"/>
        <w:wordWrap w:val="0"/>
        <w:overflowPunct w:val="0"/>
        <w:topLinePunct/>
        <w:autoSpaceDE w:val="0"/>
        <w:autoSpaceDN w:val="0"/>
        <w:bidi w:val="0"/>
        <w:adjustRightInd/>
        <w:snapToGrid/>
        <w:spacing w:before="1" w:line="360" w:lineRule="auto"/>
        <w:ind w:firstLine="484"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w:t>
      </w:r>
      <w:r>
        <w:rPr>
          <w:rFonts w:hint="eastAsia" w:asciiTheme="majorEastAsia" w:hAnsiTheme="majorEastAsia" w:eastAsiaTheme="majorEastAsia" w:cstheme="majorEastAsia"/>
          <w:spacing w:val="-11"/>
          <w:sz w:val="24"/>
          <w:szCs w:val="24"/>
          <w:u w:val="single" w:color="auto"/>
        </w:rPr>
        <w:t xml:space="preserve"> (标的名称) </w:t>
      </w:r>
      <w:r>
        <w:rPr>
          <w:rFonts w:hint="eastAsia" w:asciiTheme="majorEastAsia" w:hAnsiTheme="majorEastAsia" w:eastAsiaTheme="majorEastAsia" w:cstheme="majorEastAsia"/>
          <w:spacing w:val="1"/>
          <w:sz w:val="24"/>
          <w:szCs w:val="24"/>
        </w:rPr>
        <w:t>，属于</w:t>
      </w:r>
      <w:r>
        <w:rPr>
          <w:rFonts w:hint="eastAsia" w:asciiTheme="majorEastAsia" w:hAnsiTheme="majorEastAsia" w:eastAsiaTheme="majorEastAsia" w:cstheme="majorEastAsia"/>
          <w:spacing w:val="1"/>
          <w:sz w:val="24"/>
          <w:szCs w:val="24"/>
          <w:u w:val="single" w:color="auto"/>
        </w:rPr>
        <w:t xml:space="preserve"> </w:t>
      </w:r>
      <w:r>
        <w:rPr>
          <w:rFonts w:hint="eastAsia" w:asciiTheme="majorEastAsia" w:hAnsiTheme="majorEastAsia" w:eastAsiaTheme="majorEastAsia" w:cstheme="majorEastAsia"/>
          <w:spacing w:val="-11"/>
          <w:sz w:val="24"/>
          <w:szCs w:val="24"/>
          <w:u w:val="single" w:color="auto"/>
        </w:rPr>
        <w:t>(采购文件中明确的所属行业)行业</w:t>
      </w:r>
      <w:r>
        <w:rPr>
          <w:rFonts w:hint="eastAsia" w:asciiTheme="majorEastAsia" w:hAnsiTheme="majorEastAsia" w:eastAsiaTheme="majorEastAsia" w:cstheme="majorEastAsia"/>
          <w:spacing w:val="8"/>
          <w:sz w:val="24"/>
          <w:szCs w:val="24"/>
        </w:rPr>
        <w:t>；制造商为</w:t>
      </w:r>
      <w:r>
        <w:rPr>
          <w:rFonts w:hint="eastAsia" w:asciiTheme="majorEastAsia" w:hAnsiTheme="majorEastAsia" w:eastAsiaTheme="majorEastAsia" w:cstheme="majorEastAsia"/>
          <w:spacing w:val="-11"/>
          <w:sz w:val="24"/>
          <w:szCs w:val="24"/>
          <w:u w:val="single" w:color="auto"/>
        </w:rPr>
        <w:t xml:space="preserve"> (企业名称)</w:t>
      </w:r>
      <w:r>
        <w:rPr>
          <w:rFonts w:hint="eastAsia" w:asciiTheme="majorEastAsia" w:hAnsiTheme="majorEastAsia" w:eastAsiaTheme="majorEastAsia" w:cstheme="majorEastAsia"/>
          <w:spacing w:val="8"/>
          <w:sz w:val="24"/>
          <w:szCs w:val="24"/>
        </w:rPr>
        <w:t>，从业人员</w:t>
      </w:r>
      <w:r>
        <w:rPr>
          <w:rFonts w:hint="eastAsia" w:asciiTheme="majorEastAsia" w:hAnsiTheme="majorEastAsia" w:eastAsiaTheme="majorEastAsia" w:cstheme="majorEastAsia"/>
          <w:spacing w:val="8"/>
          <w:sz w:val="24"/>
          <w:szCs w:val="24"/>
          <w:u w:val="single" w:color="auto"/>
        </w:rPr>
        <w:t xml:space="preserve">      </w:t>
      </w:r>
      <w:r>
        <w:rPr>
          <w:rFonts w:hint="eastAsia" w:asciiTheme="majorEastAsia" w:hAnsiTheme="majorEastAsia" w:eastAsiaTheme="majorEastAsia" w:cstheme="majorEastAsia"/>
          <w:spacing w:val="8"/>
          <w:sz w:val="24"/>
          <w:szCs w:val="24"/>
        </w:rPr>
        <w:t>人，营业收</w:t>
      </w:r>
      <w:r>
        <w:rPr>
          <w:rFonts w:hint="eastAsia" w:asciiTheme="majorEastAsia" w:hAnsiTheme="majorEastAsia" w:eastAsiaTheme="majorEastAsia" w:cstheme="majorEastAsia"/>
          <w:spacing w:val="1"/>
          <w:sz w:val="24"/>
          <w:szCs w:val="24"/>
        </w:rPr>
        <w:t>入为</w:t>
      </w:r>
      <w:r>
        <w:rPr>
          <w:rFonts w:hint="eastAsia" w:asciiTheme="majorEastAsia" w:hAnsiTheme="majorEastAsia" w:eastAsiaTheme="majorEastAsia" w:cstheme="majorEastAsia"/>
          <w:spacing w:val="1"/>
          <w:sz w:val="24"/>
          <w:szCs w:val="24"/>
          <w:u w:val="single" w:color="auto"/>
        </w:rPr>
        <w:t xml:space="preserve">    </w:t>
      </w:r>
      <w:r>
        <w:rPr>
          <w:rFonts w:hint="eastAsia" w:asciiTheme="majorEastAsia" w:hAnsiTheme="majorEastAsia" w:eastAsiaTheme="majorEastAsia" w:cstheme="majorEastAsia"/>
          <w:spacing w:val="1"/>
          <w:sz w:val="24"/>
          <w:szCs w:val="24"/>
        </w:rPr>
        <w:t>万元，资产总</w:t>
      </w:r>
      <w:r>
        <w:rPr>
          <w:rFonts w:hint="eastAsia" w:asciiTheme="majorEastAsia" w:hAnsiTheme="majorEastAsia" w:eastAsiaTheme="majorEastAsia" w:cstheme="majorEastAsia"/>
          <w:sz w:val="24"/>
          <w:szCs w:val="24"/>
        </w:rPr>
        <w:t>额为</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z w:val="24"/>
          <w:szCs w:val="24"/>
        </w:rPr>
        <w:t>万元，属于</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11"/>
          <w:sz w:val="24"/>
          <w:szCs w:val="24"/>
          <w:u w:val="single" w:color="auto"/>
        </w:rPr>
        <w:t>(中型企业、小型企业、微型企业)</w:t>
      </w:r>
      <w:r>
        <w:rPr>
          <w:rFonts w:hint="eastAsia" w:asciiTheme="majorEastAsia" w:hAnsiTheme="majorEastAsia" w:eastAsiaTheme="majorEastAsia" w:cstheme="majorEastAsia"/>
          <w:spacing w:val="-3"/>
          <w:sz w:val="24"/>
          <w:szCs w:val="24"/>
        </w:rPr>
        <w:t>；</w:t>
      </w:r>
    </w:p>
    <w:p w14:paraId="16F68B59">
      <w:pPr>
        <w:spacing w:before="130" w:line="291" w:lineRule="auto"/>
        <w:ind w:left="19" w:firstLine="6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w:t>
      </w:r>
      <w:r>
        <w:rPr>
          <w:rFonts w:hint="eastAsia" w:asciiTheme="majorEastAsia" w:hAnsiTheme="majorEastAsia" w:eastAsiaTheme="majorEastAsia" w:cstheme="majorEastAsia"/>
          <w:spacing w:val="2"/>
          <w:sz w:val="24"/>
          <w:szCs w:val="24"/>
          <w:u w:val="single" w:color="auto"/>
        </w:rPr>
        <w:t xml:space="preserve"> </w:t>
      </w:r>
      <w:r>
        <w:rPr>
          <w:rFonts w:hint="eastAsia" w:asciiTheme="majorEastAsia" w:hAnsiTheme="majorEastAsia" w:eastAsiaTheme="majorEastAsia" w:cstheme="majorEastAsia"/>
          <w:spacing w:val="-11"/>
          <w:sz w:val="24"/>
          <w:szCs w:val="24"/>
          <w:u w:val="single" w:color="auto"/>
        </w:rPr>
        <w:t>(标的名称)</w:t>
      </w:r>
      <w:r>
        <w:rPr>
          <w:rFonts w:hint="eastAsia" w:asciiTheme="majorEastAsia" w:hAnsiTheme="majorEastAsia" w:eastAsiaTheme="majorEastAsia" w:cstheme="majorEastAsia"/>
          <w:spacing w:val="2"/>
          <w:sz w:val="24"/>
          <w:szCs w:val="24"/>
          <w:u w:val="single" w:color="auto"/>
        </w:rPr>
        <w:t xml:space="preserve"> </w:t>
      </w:r>
      <w:r>
        <w:rPr>
          <w:rFonts w:hint="eastAsia" w:asciiTheme="majorEastAsia" w:hAnsiTheme="majorEastAsia" w:eastAsiaTheme="majorEastAsia" w:cstheme="majorEastAsia"/>
          <w:spacing w:val="2"/>
          <w:sz w:val="24"/>
          <w:szCs w:val="24"/>
        </w:rPr>
        <w:t>，属于</w:t>
      </w:r>
      <w:r>
        <w:rPr>
          <w:rFonts w:hint="eastAsia" w:asciiTheme="majorEastAsia" w:hAnsiTheme="majorEastAsia" w:eastAsiaTheme="majorEastAsia" w:cstheme="majorEastAsia"/>
          <w:spacing w:val="2"/>
          <w:sz w:val="24"/>
          <w:szCs w:val="24"/>
          <w:u w:val="single" w:color="auto"/>
        </w:rPr>
        <w:t xml:space="preserve"> </w:t>
      </w:r>
      <w:r>
        <w:rPr>
          <w:rFonts w:hint="eastAsia" w:asciiTheme="majorEastAsia" w:hAnsiTheme="majorEastAsia" w:eastAsiaTheme="majorEastAsia" w:cstheme="majorEastAsia"/>
          <w:spacing w:val="-11"/>
          <w:sz w:val="24"/>
          <w:szCs w:val="24"/>
          <w:u w:val="single" w:color="auto"/>
        </w:rPr>
        <w:t>(采购文件中明确的所属行业)</w:t>
      </w:r>
      <w:r>
        <w:rPr>
          <w:rFonts w:hint="eastAsia" w:asciiTheme="majorEastAsia" w:hAnsiTheme="majorEastAsia" w:eastAsiaTheme="majorEastAsia" w:cstheme="majorEastAsia"/>
          <w:i/>
          <w:iCs/>
          <w:spacing w:val="16"/>
          <w:sz w:val="24"/>
          <w:szCs w:val="24"/>
          <w:u w:val="single" w:color="auto"/>
        </w:rPr>
        <w:t>行</w:t>
      </w:r>
      <w:r>
        <w:rPr>
          <w:rFonts w:hint="eastAsia" w:asciiTheme="majorEastAsia" w:hAnsiTheme="majorEastAsia" w:eastAsiaTheme="majorEastAsia" w:cstheme="majorEastAsia"/>
          <w:i/>
          <w:iCs/>
          <w:spacing w:val="11"/>
          <w:sz w:val="24"/>
          <w:szCs w:val="24"/>
          <w:u w:val="single" w:color="auto"/>
        </w:rPr>
        <w:t>业</w:t>
      </w:r>
      <w:r>
        <w:rPr>
          <w:rFonts w:hint="eastAsia" w:asciiTheme="majorEastAsia" w:hAnsiTheme="majorEastAsia" w:eastAsiaTheme="majorEastAsia" w:cstheme="majorEastAsia"/>
          <w:spacing w:val="8"/>
          <w:sz w:val="24"/>
          <w:szCs w:val="24"/>
        </w:rPr>
        <w:t>；制造商为</w:t>
      </w:r>
      <w:r>
        <w:rPr>
          <w:rFonts w:hint="eastAsia" w:asciiTheme="majorEastAsia" w:hAnsiTheme="majorEastAsia" w:eastAsiaTheme="majorEastAsia" w:cstheme="majorEastAsia"/>
          <w:spacing w:val="8"/>
          <w:sz w:val="24"/>
          <w:szCs w:val="24"/>
          <w:u w:val="single" w:color="auto"/>
        </w:rPr>
        <w:t xml:space="preserve"> </w:t>
      </w:r>
      <w:r>
        <w:rPr>
          <w:rFonts w:hint="eastAsia" w:asciiTheme="majorEastAsia" w:hAnsiTheme="majorEastAsia" w:eastAsiaTheme="majorEastAsia" w:cstheme="majorEastAsia"/>
          <w:spacing w:val="-11"/>
          <w:sz w:val="24"/>
          <w:szCs w:val="24"/>
          <w:u w:val="single" w:color="auto"/>
        </w:rPr>
        <w:t>(企业名称)</w:t>
      </w:r>
      <w:r>
        <w:rPr>
          <w:rFonts w:hint="eastAsia" w:asciiTheme="majorEastAsia" w:hAnsiTheme="majorEastAsia" w:eastAsiaTheme="majorEastAsia" w:cstheme="majorEastAsia"/>
          <w:spacing w:val="8"/>
          <w:sz w:val="24"/>
          <w:szCs w:val="24"/>
        </w:rPr>
        <w:t>，从业人员</w:t>
      </w:r>
      <w:r>
        <w:rPr>
          <w:rFonts w:hint="eastAsia" w:asciiTheme="majorEastAsia" w:hAnsiTheme="majorEastAsia" w:eastAsiaTheme="majorEastAsia" w:cstheme="majorEastAsia"/>
          <w:spacing w:val="8"/>
          <w:sz w:val="24"/>
          <w:szCs w:val="24"/>
          <w:u w:val="single" w:color="auto"/>
        </w:rPr>
        <w:t xml:space="preserve">    </w:t>
      </w:r>
      <w:r>
        <w:rPr>
          <w:rFonts w:hint="eastAsia" w:asciiTheme="majorEastAsia" w:hAnsiTheme="majorEastAsia" w:eastAsiaTheme="majorEastAsia" w:cstheme="majorEastAsia"/>
          <w:spacing w:val="8"/>
          <w:sz w:val="24"/>
          <w:szCs w:val="24"/>
        </w:rPr>
        <w:t>人，营业收入</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0"/>
          <w:sz w:val="24"/>
          <w:szCs w:val="24"/>
        </w:rPr>
        <w:t>为</w:t>
      </w:r>
      <w:r>
        <w:rPr>
          <w:rFonts w:hint="eastAsia" w:asciiTheme="majorEastAsia" w:hAnsiTheme="majorEastAsia" w:eastAsiaTheme="majorEastAsia" w:cstheme="majorEastAsia"/>
          <w:spacing w:val="10"/>
          <w:sz w:val="24"/>
          <w:szCs w:val="24"/>
          <w:u w:val="single" w:color="auto"/>
        </w:rPr>
        <w:t xml:space="preserve"> </w:t>
      </w:r>
      <w:r>
        <w:rPr>
          <w:rFonts w:hint="eastAsia" w:asciiTheme="majorEastAsia" w:hAnsiTheme="majorEastAsia" w:eastAsiaTheme="majorEastAsia" w:cstheme="majorEastAsia"/>
          <w:spacing w:val="8"/>
          <w:sz w:val="24"/>
          <w:szCs w:val="24"/>
          <w:u w:val="single" w:color="auto"/>
        </w:rPr>
        <w:t xml:space="preserve"> </w:t>
      </w:r>
      <w:r>
        <w:rPr>
          <w:rFonts w:hint="eastAsia" w:asciiTheme="majorEastAsia" w:hAnsiTheme="majorEastAsia" w:eastAsiaTheme="majorEastAsia" w:cstheme="majorEastAsia"/>
          <w:spacing w:val="5"/>
          <w:sz w:val="24"/>
          <w:szCs w:val="24"/>
          <w:u w:val="single" w:color="auto"/>
        </w:rPr>
        <w:t xml:space="preserve">  </w:t>
      </w:r>
      <w:r>
        <w:rPr>
          <w:rFonts w:hint="eastAsia" w:asciiTheme="majorEastAsia" w:hAnsiTheme="majorEastAsia" w:eastAsiaTheme="majorEastAsia" w:cstheme="majorEastAsia"/>
          <w:spacing w:val="5"/>
          <w:sz w:val="24"/>
          <w:szCs w:val="24"/>
        </w:rPr>
        <w:t>万元，资产总额为</w:t>
      </w:r>
      <w:r>
        <w:rPr>
          <w:rFonts w:hint="eastAsia" w:asciiTheme="majorEastAsia" w:hAnsiTheme="majorEastAsia" w:eastAsiaTheme="majorEastAsia" w:cstheme="majorEastAsia"/>
          <w:spacing w:val="5"/>
          <w:sz w:val="24"/>
          <w:szCs w:val="24"/>
          <w:u w:val="single" w:color="auto"/>
        </w:rPr>
        <w:t xml:space="preserve">    </w:t>
      </w:r>
      <w:r>
        <w:rPr>
          <w:rFonts w:hint="eastAsia" w:asciiTheme="majorEastAsia" w:hAnsiTheme="majorEastAsia" w:eastAsiaTheme="majorEastAsia" w:cstheme="majorEastAsia"/>
          <w:spacing w:val="5"/>
          <w:sz w:val="24"/>
          <w:szCs w:val="24"/>
        </w:rPr>
        <w:t>万元，属于</w:t>
      </w:r>
      <w:r>
        <w:rPr>
          <w:rFonts w:hint="eastAsia" w:asciiTheme="majorEastAsia" w:hAnsiTheme="majorEastAsia" w:eastAsiaTheme="majorEastAsia" w:cstheme="majorEastAsia"/>
          <w:spacing w:val="5"/>
          <w:sz w:val="24"/>
          <w:szCs w:val="24"/>
          <w:u w:val="single" w:color="auto"/>
        </w:rPr>
        <w:t xml:space="preserve"> </w:t>
      </w:r>
      <w:r>
        <w:rPr>
          <w:rFonts w:hint="eastAsia" w:asciiTheme="majorEastAsia" w:hAnsiTheme="majorEastAsia" w:eastAsiaTheme="majorEastAsia" w:cstheme="majorEastAsia"/>
          <w:spacing w:val="-11"/>
          <w:sz w:val="24"/>
          <w:szCs w:val="24"/>
          <w:u w:val="single" w:color="auto"/>
        </w:rPr>
        <w:t>(中型企业、小型 企业、微型企业)</w:t>
      </w:r>
      <w:r>
        <w:rPr>
          <w:rFonts w:hint="eastAsia" w:asciiTheme="majorEastAsia" w:hAnsiTheme="majorEastAsia" w:eastAsiaTheme="majorEastAsia" w:cstheme="majorEastAsia"/>
          <w:spacing w:val="-1"/>
          <w:sz w:val="24"/>
          <w:szCs w:val="24"/>
        </w:rPr>
        <w:t>；</w:t>
      </w:r>
    </w:p>
    <w:p w14:paraId="384697B1">
      <w:pPr>
        <w:spacing w:line="504" w:lineRule="exact"/>
        <w:ind w:left="68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position w:val="4"/>
          <w:sz w:val="24"/>
          <w:szCs w:val="24"/>
        </w:rPr>
        <w:t>…</w:t>
      </w:r>
      <w:r>
        <w:rPr>
          <w:rFonts w:hint="eastAsia" w:asciiTheme="majorEastAsia" w:hAnsiTheme="majorEastAsia" w:eastAsiaTheme="majorEastAsia" w:cstheme="majorEastAsia"/>
          <w:spacing w:val="4"/>
          <w:position w:val="4"/>
          <w:sz w:val="24"/>
          <w:szCs w:val="24"/>
        </w:rPr>
        <w:t>…</w:t>
      </w:r>
    </w:p>
    <w:p w14:paraId="5A3B9B6E">
      <w:pPr>
        <w:spacing w:before="15" w:line="310" w:lineRule="auto"/>
        <w:ind w:left="35" w:right="233" w:firstLine="67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以上企业，不属于大企业的分支机构，不存在控股股</w:t>
      </w:r>
      <w:r>
        <w:rPr>
          <w:rFonts w:hint="eastAsia" w:asciiTheme="majorEastAsia" w:hAnsiTheme="majorEastAsia" w:eastAsiaTheme="majorEastAsia" w:cstheme="majorEastAsia"/>
          <w:spacing w:val="3"/>
          <w:sz w:val="24"/>
          <w:szCs w:val="24"/>
        </w:rPr>
        <w:t>东</w:t>
      </w:r>
      <w:r>
        <w:rPr>
          <w:rFonts w:hint="eastAsia" w:asciiTheme="majorEastAsia" w:hAnsiTheme="majorEastAsia" w:eastAsiaTheme="majorEastAsia" w:cstheme="majorEastAsia"/>
          <w:spacing w:val="16"/>
          <w:sz w:val="24"/>
          <w:szCs w:val="24"/>
        </w:rPr>
        <w:t>为大</w:t>
      </w:r>
      <w:r>
        <w:rPr>
          <w:rFonts w:hint="eastAsia" w:asciiTheme="majorEastAsia" w:hAnsiTheme="majorEastAsia" w:eastAsiaTheme="majorEastAsia" w:cstheme="majorEastAsia"/>
          <w:spacing w:val="8"/>
          <w:sz w:val="24"/>
          <w:szCs w:val="24"/>
        </w:rPr>
        <w:t>企业的情形，也不存在与大企业的负责人为同一人的情</w:t>
      </w:r>
      <w:r>
        <w:rPr>
          <w:rFonts w:hint="eastAsia" w:asciiTheme="majorEastAsia" w:hAnsiTheme="majorEastAsia" w:eastAsiaTheme="majorEastAsia" w:cstheme="majorEastAsia"/>
          <w:spacing w:val="-7"/>
          <w:sz w:val="24"/>
          <w:szCs w:val="24"/>
        </w:rPr>
        <w:t>形</w:t>
      </w:r>
      <w:r>
        <w:rPr>
          <w:rFonts w:hint="eastAsia" w:asciiTheme="majorEastAsia" w:hAnsiTheme="majorEastAsia" w:eastAsiaTheme="majorEastAsia" w:cstheme="majorEastAsia"/>
          <w:spacing w:val="-6"/>
          <w:sz w:val="24"/>
          <w:szCs w:val="24"/>
        </w:rPr>
        <w:t>。</w:t>
      </w:r>
    </w:p>
    <w:p w14:paraId="0A61D91C">
      <w:pPr>
        <w:spacing w:before="3" w:line="318" w:lineRule="auto"/>
        <w:ind w:left="45" w:right="235" w:firstLine="63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1"/>
          <w:sz w:val="24"/>
          <w:szCs w:val="24"/>
        </w:rPr>
        <w:t>本</w:t>
      </w:r>
      <w:r>
        <w:rPr>
          <w:rFonts w:hint="eastAsia" w:asciiTheme="majorEastAsia" w:hAnsiTheme="majorEastAsia" w:eastAsiaTheme="majorEastAsia" w:cstheme="majorEastAsia"/>
          <w:spacing w:val="8"/>
          <w:sz w:val="24"/>
          <w:szCs w:val="24"/>
        </w:rPr>
        <w:t>企业对上述声明内容的真实性负责。如有虚假，将依法</w:t>
      </w:r>
      <w:r>
        <w:rPr>
          <w:rFonts w:hint="eastAsia" w:asciiTheme="majorEastAsia" w:hAnsiTheme="majorEastAsia" w:eastAsiaTheme="majorEastAsia" w:cstheme="majorEastAsia"/>
          <w:spacing w:val="5"/>
          <w:sz w:val="24"/>
          <w:szCs w:val="24"/>
        </w:rPr>
        <w:t>承</w:t>
      </w:r>
      <w:r>
        <w:rPr>
          <w:rFonts w:hint="eastAsia" w:asciiTheme="majorEastAsia" w:hAnsiTheme="majorEastAsia" w:eastAsiaTheme="majorEastAsia" w:cstheme="majorEastAsia"/>
          <w:spacing w:val="4"/>
          <w:sz w:val="24"/>
          <w:szCs w:val="24"/>
        </w:rPr>
        <w:t>担相应责任。</w:t>
      </w:r>
    </w:p>
    <w:p w14:paraId="33BA09C8">
      <w:pPr>
        <w:spacing w:before="1" w:line="226" w:lineRule="auto"/>
        <w:ind w:left="3876" w:firstLine="1430" w:firstLineChars="500"/>
        <w:rPr>
          <w:rFonts w:hint="eastAsia" w:asciiTheme="majorEastAsia" w:hAnsiTheme="majorEastAsia" w:eastAsiaTheme="majorEastAsia" w:cstheme="majorEastAsia"/>
          <w:spacing w:val="3"/>
          <w:sz w:val="28"/>
          <w:szCs w:val="28"/>
        </w:rPr>
      </w:pPr>
    </w:p>
    <w:p w14:paraId="3EB757C2">
      <w:pPr>
        <w:spacing w:before="1" w:line="226" w:lineRule="auto"/>
        <w:ind w:left="3876" w:firstLine="1430" w:firstLineChars="500"/>
        <w:rPr>
          <w:rFonts w:hint="eastAsia" w:asciiTheme="majorEastAsia" w:hAnsiTheme="majorEastAsia" w:eastAsiaTheme="majorEastAsia" w:cstheme="majorEastAsia"/>
          <w:spacing w:val="3"/>
          <w:sz w:val="28"/>
          <w:szCs w:val="28"/>
        </w:rPr>
      </w:pPr>
    </w:p>
    <w:p w14:paraId="5EF67102">
      <w:pPr>
        <w:spacing w:before="1" w:line="226" w:lineRule="auto"/>
        <w:ind w:left="3876" w:firstLine="1430" w:firstLineChars="500"/>
        <w:rPr>
          <w:rFonts w:hint="eastAsia" w:asciiTheme="majorEastAsia" w:hAnsiTheme="majorEastAsia" w:eastAsiaTheme="majorEastAsia" w:cstheme="majorEastAsia"/>
          <w:spacing w:val="3"/>
          <w:sz w:val="28"/>
          <w:szCs w:val="28"/>
        </w:rPr>
      </w:pPr>
    </w:p>
    <w:p w14:paraId="5921D9DC">
      <w:pPr>
        <w:pStyle w:val="70"/>
        <w:pageBreakBefore w:val="0"/>
        <w:kinsoku/>
        <w:overflowPunct/>
        <w:topLinePunct w:val="0"/>
        <w:bidi w:val="0"/>
        <w:spacing w:line="440" w:lineRule="exact"/>
        <w:ind w:firstLine="3840" w:firstLineChars="1600"/>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企业</w:t>
      </w:r>
      <w:r>
        <w:rPr>
          <w:rFonts w:hint="eastAsia" w:ascii="宋体" w:hAnsi="宋体" w:eastAsia="宋体" w:cs="宋体"/>
          <w:color w:val="auto"/>
          <w:spacing w:val="0"/>
          <w:sz w:val="24"/>
          <w:szCs w:val="24"/>
          <w:highlight w:val="none"/>
        </w:rPr>
        <w:t>名称：</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none"/>
        </w:rPr>
        <w:t xml:space="preserve">（盖章） </w:t>
      </w:r>
    </w:p>
    <w:p w14:paraId="45A814A0">
      <w:pPr>
        <w:pageBreakBefore w:val="0"/>
        <w:widowControl/>
        <w:kinsoku/>
        <w:overflowPunct/>
        <w:topLinePunct w:val="0"/>
        <w:bidi w:val="0"/>
        <w:spacing w:line="440" w:lineRule="exact"/>
        <w:jc w:val="center"/>
        <w:rPr>
          <w:rFonts w:hint="eastAsia" w:ascii="宋体" w:hAnsi="宋体" w:eastAsia="宋体" w:cs="宋体"/>
          <w:color w:val="auto"/>
          <w:spacing w:val="0"/>
          <w:sz w:val="24"/>
          <w:szCs w:val="24"/>
          <w:highlight w:val="none"/>
        </w:rPr>
      </w:pPr>
    </w:p>
    <w:p w14:paraId="77A584C4">
      <w:pPr>
        <w:pageBreakBefore w:val="0"/>
        <w:widowControl/>
        <w:kinsoku/>
        <w:overflowPunct/>
        <w:topLinePunct w:val="0"/>
        <w:bidi w:val="0"/>
        <w:spacing w:line="440" w:lineRule="exact"/>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 xml:space="preserve">   日   期：  年   月   日</w:t>
      </w:r>
    </w:p>
    <w:p w14:paraId="21A32577">
      <w:pPr>
        <w:pStyle w:val="46"/>
        <w:pageBreakBefore w:val="0"/>
        <w:kinsoku/>
        <w:overflowPunct/>
        <w:topLinePunct w:val="0"/>
        <w:bidi w:val="0"/>
        <w:spacing w:line="440" w:lineRule="exact"/>
        <w:ind w:left="0" w:leftChars="0" w:firstLine="0" w:firstLineChars="0"/>
        <w:rPr>
          <w:rFonts w:hint="eastAsia" w:ascii="宋体" w:hAnsi="宋体" w:eastAsia="宋体" w:cs="宋体"/>
          <w:b w:val="0"/>
          <w:bCs/>
          <w:color w:val="auto"/>
          <w:spacing w:val="0"/>
          <w:kern w:val="0"/>
          <w:sz w:val="22"/>
          <w:szCs w:val="22"/>
          <w:highlight w:val="none"/>
        </w:rPr>
      </w:pPr>
    </w:p>
    <w:p w14:paraId="34EFD8E5">
      <w:pPr>
        <w:pStyle w:val="46"/>
        <w:pageBreakBefore w:val="0"/>
        <w:kinsoku/>
        <w:overflowPunct/>
        <w:topLinePunct w:val="0"/>
        <w:bidi w:val="0"/>
        <w:spacing w:line="440" w:lineRule="exact"/>
        <w:ind w:left="0" w:leftChars="0" w:firstLine="0" w:firstLineChars="0"/>
        <w:rPr>
          <w:rFonts w:hint="eastAsia" w:ascii="宋体" w:hAnsi="宋体" w:eastAsia="宋体" w:cs="宋体"/>
          <w:b w:val="0"/>
          <w:bCs/>
          <w:color w:val="auto"/>
          <w:spacing w:val="0"/>
          <w:kern w:val="0"/>
          <w:sz w:val="22"/>
          <w:szCs w:val="22"/>
          <w:highlight w:val="none"/>
        </w:rPr>
      </w:pPr>
      <w:r>
        <w:rPr>
          <w:rFonts w:hint="eastAsia" w:ascii="宋体" w:hAnsi="宋体" w:eastAsia="宋体" w:cs="宋体"/>
          <w:b w:val="0"/>
          <w:bCs/>
          <w:color w:val="auto"/>
          <w:spacing w:val="0"/>
          <w:kern w:val="0"/>
          <w:sz w:val="22"/>
          <w:szCs w:val="22"/>
          <w:highlight w:val="none"/>
        </w:rPr>
        <w:t>说明：</w:t>
      </w:r>
    </w:p>
    <w:p w14:paraId="209530C1">
      <w:pPr>
        <w:pStyle w:val="46"/>
        <w:pageBreakBefore w:val="0"/>
        <w:kinsoku/>
        <w:overflowPunct/>
        <w:topLinePunct w:val="0"/>
        <w:bidi w:val="0"/>
        <w:spacing w:line="440" w:lineRule="exact"/>
        <w:ind w:left="0" w:leftChars="0" w:firstLine="0" w:firstLineChars="0"/>
        <w:rPr>
          <w:rFonts w:hint="eastAsia" w:ascii="宋体" w:hAnsi="宋体" w:eastAsia="宋体" w:cs="宋体"/>
          <w:b w:val="0"/>
          <w:bCs/>
          <w:color w:val="auto"/>
          <w:spacing w:val="0"/>
          <w:kern w:val="0"/>
          <w:sz w:val="22"/>
          <w:szCs w:val="22"/>
          <w:highlight w:val="none"/>
        </w:rPr>
      </w:pPr>
      <w:r>
        <w:rPr>
          <w:rFonts w:hint="eastAsia" w:ascii="宋体" w:hAnsi="宋体" w:eastAsia="宋体" w:cs="宋体"/>
          <w:b w:val="0"/>
          <w:bCs/>
          <w:color w:val="auto"/>
          <w:spacing w:val="0"/>
          <w:kern w:val="0"/>
          <w:sz w:val="22"/>
          <w:szCs w:val="22"/>
          <w:highlight w:val="none"/>
        </w:rPr>
        <w:t>1、从业人员、营业收入、资产总额填报上一年度数据，无上一年度数据的新成立企业可不填报。</w:t>
      </w:r>
    </w:p>
    <w:p w14:paraId="4C89FE50">
      <w:pPr>
        <w:pStyle w:val="46"/>
        <w:pageBreakBefore w:val="0"/>
        <w:kinsoku/>
        <w:overflowPunct/>
        <w:topLinePunct w:val="0"/>
        <w:bidi w:val="0"/>
        <w:spacing w:line="440" w:lineRule="exact"/>
        <w:ind w:left="0" w:leftChars="0" w:firstLine="0" w:firstLineChars="0"/>
        <w:rPr>
          <w:rFonts w:hint="eastAsia" w:ascii="宋体" w:hAnsi="宋体" w:eastAsia="宋体" w:cs="宋体"/>
          <w:b w:val="0"/>
          <w:bCs/>
          <w:color w:val="auto"/>
          <w:spacing w:val="0"/>
          <w:kern w:val="0"/>
          <w:sz w:val="22"/>
          <w:szCs w:val="22"/>
          <w:highlight w:val="none"/>
        </w:rPr>
      </w:pPr>
      <w:r>
        <w:rPr>
          <w:rFonts w:hint="eastAsia" w:ascii="宋体" w:hAnsi="宋体" w:eastAsia="宋体" w:cs="宋体"/>
          <w:b w:val="0"/>
          <w:bCs/>
          <w:color w:val="auto"/>
          <w:spacing w:val="0"/>
          <w:kern w:val="0"/>
          <w:sz w:val="22"/>
          <w:szCs w:val="22"/>
          <w:highlight w:val="none"/>
        </w:rPr>
        <w:t>2、若为监狱企业或残疾人企业，须提供监狱企业或残疾人企业声明函（格式自拟）</w:t>
      </w:r>
    </w:p>
    <w:p w14:paraId="6481D387">
      <w:pPr>
        <w:pStyle w:val="46"/>
        <w:pageBreakBefore w:val="0"/>
        <w:kinsoku/>
        <w:overflowPunct/>
        <w:topLinePunct w:val="0"/>
        <w:bidi w:val="0"/>
        <w:spacing w:line="440" w:lineRule="exact"/>
        <w:ind w:left="0" w:leftChars="0" w:firstLine="0" w:firstLineChars="0"/>
        <w:rPr>
          <w:rFonts w:hint="eastAsia" w:ascii="宋体" w:hAnsi="宋体" w:eastAsia="宋体" w:cs="宋体"/>
          <w:b w:val="0"/>
          <w:bCs/>
          <w:color w:val="auto"/>
          <w:spacing w:val="0"/>
          <w:sz w:val="22"/>
          <w:szCs w:val="22"/>
          <w:highlight w:val="none"/>
        </w:rPr>
      </w:pPr>
      <w:r>
        <w:rPr>
          <w:rFonts w:hint="eastAsia" w:ascii="宋体" w:hAnsi="宋体" w:eastAsia="宋体" w:cs="宋体"/>
          <w:b w:val="0"/>
          <w:bCs/>
          <w:color w:val="auto"/>
          <w:spacing w:val="0"/>
          <w:kern w:val="0"/>
          <w:sz w:val="22"/>
          <w:szCs w:val="22"/>
          <w:highlight w:val="none"/>
        </w:rPr>
        <w:t>3、中标的供应商的《中小企业声明函》将作为中标结果公告一并公示。</w:t>
      </w:r>
    </w:p>
    <w:p w14:paraId="77968137">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br w:type="page"/>
      </w:r>
    </w:p>
    <w:p w14:paraId="59CA831C">
      <w:pPr>
        <w:spacing w:line="560" w:lineRule="exac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附表：大中小微型企业划分标准（此表无需出现在投标文件中）</w:t>
      </w:r>
    </w:p>
    <w:tbl>
      <w:tblPr>
        <w:tblStyle w:val="27"/>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369"/>
        <w:gridCol w:w="709"/>
        <w:gridCol w:w="1125"/>
        <w:gridCol w:w="1828"/>
        <w:gridCol w:w="1588"/>
        <w:gridCol w:w="1122"/>
      </w:tblGrid>
      <w:tr w14:paraId="45DE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023" w:type="dxa"/>
            <w:noWrap/>
            <w:vAlign w:val="center"/>
          </w:tcPr>
          <w:p w14:paraId="1CE8B586">
            <w:pPr>
              <w:widowControl/>
              <w:spacing w:line="240" w:lineRule="exact"/>
              <w:jc w:val="center"/>
              <w:rPr>
                <w:rFonts w:hint="eastAsia" w:asciiTheme="majorEastAsia" w:hAnsiTheme="majorEastAsia" w:eastAsiaTheme="majorEastAsia" w:cstheme="majorEastAsia"/>
                <w:b/>
                <w:bCs/>
                <w:kern w:val="0"/>
                <w:sz w:val="20"/>
              </w:rPr>
            </w:pPr>
            <w:r>
              <w:rPr>
                <w:rFonts w:hint="eastAsia" w:asciiTheme="majorEastAsia" w:hAnsiTheme="majorEastAsia" w:eastAsiaTheme="majorEastAsia" w:cstheme="majorEastAsia"/>
                <w:b/>
                <w:bCs/>
                <w:kern w:val="0"/>
                <w:sz w:val="20"/>
              </w:rPr>
              <w:t>行业名称</w:t>
            </w:r>
          </w:p>
        </w:tc>
        <w:tc>
          <w:tcPr>
            <w:tcW w:w="1369" w:type="dxa"/>
            <w:noWrap/>
            <w:vAlign w:val="center"/>
          </w:tcPr>
          <w:p w14:paraId="49E04931">
            <w:pPr>
              <w:widowControl/>
              <w:jc w:val="center"/>
              <w:rPr>
                <w:rFonts w:hint="eastAsia" w:asciiTheme="majorEastAsia" w:hAnsiTheme="majorEastAsia" w:eastAsiaTheme="majorEastAsia" w:cstheme="majorEastAsia"/>
                <w:b/>
                <w:bCs/>
                <w:kern w:val="0"/>
                <w:sz w:val="20"/>
                <w:szCs w:val="20"/>
              </w:rPr>
            </w:pPr>
            <w:r>
              <w:rPr>
                <w:rFonts w:hint="eastAsia" w:asciiTheme="majorEastAsia" w:hAnsiTheme="majorEastAsia" w:eastAsiaTheme="majorEastAsia" w:cstheme="majorEastAsia"/>
                <w:b/>
                <w:bCs/>
                <w:kern w:val="0"/>
                <w:sz w:val="20"/>
                <w:szCs w:val="20"/>
              </w:rPr>
              <w:t>指标名称</w:t>
            </w:r>
          </w:p>
        </w:tc>
        <w:tc>
          <w:tcPr>
            <w:tcW w:w="709" w:type="dxa"/>
            <w:noWrap/>
            <w:vAlign w:val="center"/>
          </w:tcPr>
          <w:p w14:paraId="70A6A975">
            <w:pPr>
              <w:widowControl/>
              <w:jc w:val="center"/>
              <w:rPr>
                <w:rFonts w:hint="eastAsia" w:asciiTheme="majorEastAsia" w:hAnsiTheme="majorEastAsia" w:eastAsiaTheme="majorEastAsia" w:cstheme="majorEastAsia"/>
                <w:b/>
                <w:bCs/>
                <w:kern w:val="0"/>
                <w:sz w:val="20"/>
                <w:szCs w:val="20"/>
              </w:rPr>
            </w:pPr>
            <w:r>
              <w:rPr>
                <w:rFonts w:hint="eastAsia" w:asciiTheme="majorEastAsia" w:hAnsiTheme="majorEastAsia" w:eastAsiaTheme="majorEastAsia" w:cstheme="majorEastAsia"/>
                <w:b/>
                <w:bCs/>
                <w:kern w:val="0"/>
                <w:sz w:val="20"/>
                <w:szCs w:val="20"/>
              </w:rPr>
              <w:t>计量</w:t>
            </w:r>
          </w:p>
          <w:p w14:paraId="2EDA7991">
            <w:pPr>
              <w:widowControl/>
              <w:jc w:val="center"/>
              <w:rPr>
                <w:rFonts w:hint="eastAsia" w:asciiTheme="majorEastAsia" w:hAnsiTheme="majorEastAsia" w:eastAsiaTheme="majorEastAsia" w:cstheme="majorEastAsia"/>
                <w:b/>
                <w:bCs/>
                <w:kern w:val="0"/>
                <w:sz w:val="20"/>
                <w:szCs w:val="20"/>
              </w:rPr>
            </w:pPr>
            <w:r>
              <w:rPr>
                <w:rFonts w:hint="eastAsia" w:asciiTheme="majorEastAsia" w:hAnsiTheme="majorEastAsia" w:eastAsiaTheme="majorEastAsia" w:cstheme="majorEastAsia"/>
                <w:b/>
                <w:bCs/>
                <w:kern w:val="0"/>
                <w:sz w:val="20"/>
                <w:szCs w:val="20"/>
              </w:rPr>
              <w:t>单位</w:t>
            </w:r>
          </w:p>
        </w:tc>
        <w:tc>
          <w:tcPr>
            <w:tcW w:w="1125" w:type="dxa"/>
            <w:noWrap/>
            <w:vAlign w:val="center"/>
          </w:tcPr>
          <w:p w14:paraId="171EAE37">
            <w:pPr>
              <w:widowControl/>
              <w:jc w:val="center"/>
              <w:rPr>
                <w:rFonts w:hint="eastAsia" w:asciiTheme="majorEastAsia" w:hAnsiTheme="majorEastAsia" w:eastAsiaTheme="majorEastAsia" w:cstheme="majorEastAsia"/>
                <w:b/>
                <w:bCs/>
                <w:kern w:val="0"/>
                <w:sz w:val="20"/>
                <w:szCs w:val="20"/>
              </w:rPr>
            </w:pPr>
            <w:r>
              <w:rPr>
                <w:rFonts w:hint="eastAsia" w:asciiTheme="majorEastAsia" w:hAnsiTheme="majorEastAsia" w:eastAsiaTheme="majorEastAsia" w:cstheme="majorEastAsia"/>
                <w:b/>
                <w:bCs/>
                <w:kern w:val="0"/>
                <w:sz w:val="20"/>
                <w:szCs w:val="20"/>
              </w:rPr>
              <w:t>大型</w:t>
            </w:r>
          </w:p>
        </w:tc>
        <w:tc>
          <w:tcPr>
            <w:tcW w:w="1828" w:type="dxa"/>
            <w:noWrap/>
            <w:vAlign w:val="center"/>
          </w:tcPr>
          <w:p w14:paraId="1A8C554C">
            <w:pPr>
              <w:widowControl/>
              <w:jc w:val="center"/>
              <w:rPr>
                <w:rFonts w:hint="eastAsia" w:asciiTheme="majorEastAsia" w:hAnsiTheme="majorEastAsia" w:eastAsiaTheme="majorEastAsia" w:cstheme="majorEastAsia"/>
                <w:b/>
                <w:bCs/>
                <w:kern w:val="0"/>
                <w:sz w:val="20"/>
                <w:szCs w:val="20"/>
              </w:rPr>
            </w:pPr>
            <w:r>
              <w:rPr>
                <w:rFonts w:hint="eastAsia" w:asciiTheme="majorEastAsia" w:hAnsiTheme="majorEastAsia" w:eastAsiaTheme="majorEastAsia" w:cstheme="majorEastAsia"/>
                <w:b/>
                <w:bCs/>
                <w:kern w:val="0"/>
                <w:sz w:val="20"/>
                <w:szCs w:val="20"/>
              </w:rPr>
              <w:t>中型</w:t>
            </w:r>
          </w:p>
        </w:tc>
        <w:tc>
          <w:tcPr>
            <w:tcW w:w="1588" w:type="dxa"/>
            <w:noWrap/>
            <w:vAlign w:val="center"/>
          </w:tcPr>
          <w:p w14:paraId="034586BE">
            <w:pPr>
              <w:widowControl/>
              <w:jc w:val="center"/>
              <w:rPr>
                <w:rFonts w:hint="eastAsia" w:asciiTheme="majorEastAsia" w:hAnsiTheme="majorEastAsia" w:eastAsiaTheme="majorEastAsia" w:cstheme="majorEastAsia"/>
                <w:b/>
                <w:bCs/>
                <w:kern w:val="0"/>
                <w:sz w:val="20"/>
                <w:szCs w:val="20"/>
              </w:rPr>
            </w:pPr>
            <w:r>
              <w:rPr>
                <w:rFonts w:hint="eastAsia" w:asciiTheme="majorEastAsia" w:hAnsiTheme="majorEastAsia" w:eastAsiaTheme="majorEastAsia" w:cstheme="majorEastAsia"/>
                <w:b/>
                <w:bCs/>
                <w:kern w:val="0"/>
                <w:sz w:val="20"/>
                <w:szCs w:val="20"/>
              </w:rPr>
              <w:t>小型</w:t>
            </w:r>
          </w:p>
        </w:tc>
        <w:tc>
          <w:tcPr>
            <w:tcW w:w="1122" w:type="dxa"/>
            <w:noWrap/>
            <w:vAlign w:val="center"/>
          </w:tcPr>
          <w:p w14:paraId="21E791A0">
            <w:pPr>
              <w:widowControl/>
              <w:jc w:val="center"/>
              <w:rPr>
                <w:rFonts w:hint="eastAsia" w:asciiTheme="majorEastAsia" w:hAnsiTheme="majorEastAsia" w:eastAsiaTheme="majorEastAsia" w:cstheme="majorEastAsia"/>
                <w:b/>
                <w:bCs/>
                <w:kern w:val="0"/>
                <w:sz w:val="20"/>
                <w:szCs w:val="20"/>
              </w:rPr>
            </w:pPr>
            <w:r>
              <w:rPr>
                <w:rFonts w:hint="eastAsia" w:asciiTheme="majorEastAsia" w:hAnsiTheme="majorEastAsia" w:eastAsiaTheme="majorEastAsia" w:cstheme="majorEastAsia"/>
                <w:b/>
                <w:bCs/>
                <w:kern w:val="0"/>
                <w:sz w:val="20"/>
                <w:szCs w:val="20"/>
              </w:rPr>
              <w:t>微型</w:t>
            </w:r>
          </w:p>
        </w:tc>
      </w:tr>
      <w:tr w14:paraId="72B1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noWrap/>
            <w:vAlign w:val="center"/>
          </w:tcPr>
          <w:p w14:paraId="7FD73C55">
            <w:pPr>
              <w:widowControl/>
              <w:spacing w:line="240" w:lineRule="exact"/>
              <w:jc w:val="left"/>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农、林、牧、渔业</w:t>
            </w:r>
          </w:p>
        </w:tc>
        <w:tc>
          <w:tcPr>
            <w:tcW w:w="1369" w:type="dxa"/>
            <w:noWrap/>
            <w:vAlign w:val="center"/>
          </w:tcPr>
          <w:p w14:paraId="28E6AB3A">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营业收入(Y)</w:t>
            </w:r>
          </w:p>
        </w:tc>
        <w:tc>
          <w:tcPr>
            <w:tcW w:w="709" w:type="dxa"/>
            <w:noWrap/>
            <w:vAlign w:val="center"/>
          </w:tcPr>
          <w:p w14:paraId="7F3DCADA">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4BDA32B1">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Y≥20000</w:t>
            </w:r>
          </w:p>
        </w:tc>
        <w:tc>
          <w:tcPr>
            <w:tcW w:w="1828" w:type="dxa"/>
            <w:noWrap/>
            <w:vAlign w:val="center"/>
          </w:tcPr>
          <w:p w14:paraId="301B2C7B">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500≤Y＜20000</w:t>
            </w:r>
          </w:p>
        </w:tc>
        <w:tc>
          <w:tcPr>
            <w:tcW w:w="1588" w:type="dxa"/>
            <w:noWrap/>
            <w:vAlign w:val="center"/>
          </w:tcPr>
          <w:p w14:paraId="046A15E1">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50≤Y＜500</w:t>
            </w:r>
          </w:p>
        </w:tc>
        <w:tc>
          <w:tcPr>
            <w:tcW w:w="1122" w:type="dxa"/>
            <w:noWrap/>
            <w:vAlign w:val="center"/>
          </w:tcPr>
          <w:p w14:paraId="5E9B7038">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Y＜50</w:t>
            </w:r>
          </w:p>
        </w:tc>
      </w:tr>
      <w:tr w14:paraId="7BD3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65F1481A">
            <w:pPr>
              <w:widowControl/>
              <w:spacing w:line="240" w:lineRule="exact"/>
              <w:jc w:val="left"/>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工业 *</w:t>
            </w:r>
          </w:p>
        </w:tc>
        <w:tc>
          <w:tcPr>
            <w:tcW w:w="1369" w:type="dxa"/>
            <w:noWrap/>
            <w:vAlign w:val="center"/>
          </w:tcPr>
          <w:p w14:paraId="17FA173A">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从业人员(X)</w:t>
            </w:r>
          </w:p>
        </w:tc>
        <w:tc>
          <w:tcPr>
            <w:tcW w:w="709" w:type="dxa"/>
            <w:noWrap/>
            <w:vAlign w:val="center"/>
          </w:tcPr>
          <w:p w14:paraId="200E7B0C">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人</w:t>
            </w:r>
          </w:p>
        </w:tc>
        <w:tc>
          <w:tcPr>
            <w:tcW w:w="1125" w:type="dxa"/>
            <w:noWrap/>
            <w:vAlign w:val="center"/>
          </w:tcPr>
          <w:p w14:paraId="53278E1D">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X≥1000</w:t>
            </w:r>
          </w:p>
        </w:tc>
        <w:tc>
          <w:tcPr>
            <w:tcW w:w="1828" w:type="dxa"/>
            <w:noWrap/>
            <w:vAlign w:val="center"/>
          </w:tcPr>
          <w:p w14:paraId="5A243F8A">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300≤X＜1000</w:t>
            </w:r>
          </w:p>
        </w:tc>
        <w:tc>
          <w:tcPr>
            <w:tcW w:w="1588" w:type="dxa"/>
            <w:noWrap/>
            <w:vAlign w:val="center"/>
          </w:tcPr>
          <w:p w14:paraId="6E8B18C8">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20≤X＜300</w:t>
            </w:r>
          </w:p>
        </w:tc>
        <w:tc>
          <w:tcPr>
            <w:tcW w:w="1122" w:type="dxa"/>
            <w:noWrap/>
            <w:vAlign w:val="center"/>
          </w:tcPr>
          <w:p w14:paraId="4F420423">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X＜20</w:t>
            </w:r>
          </w:p>
        </w:tc>
      </w:tr>
      <w:tr w14:paraId="7397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39D7F58D">
            <w:pPr>
              <w:widowControl/>
              <w:jc w:val="left"/>
              <w:rPr>
                <w:rFonts w:hint="eastAsia" w:asciiTheme="majorEastAsia" w:hAnsiTheme="majorEastAsia" w:eastAsiaTheme="majorEastAsia" w:cstheme="majorEastAsia"/>
                <w:kern w:val="0"/>
                <w:sz w:val="20"/>
                <w:szCs w:val="20"/>
              </w:rPr>
            </w:pPr>
          </w:p>
        </w:tc>
        <w:tc>
          <w:tcPr>
            <w:tcW w:w="1369" w:type="dxa"/>
            <w:noWrap/>
            <w:vAlign w:val="center"/>
          </w:tcPr>
          <w:p w14:paraId="5517B331">
            <w:pPr>
              <w:widowControl/>
              <w:spacing w:line="240" w:lineRule="exact"/>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营业收入(Y)</w:t>
            </w:r>
          </w:p>
        </w:tc>
        <w:tc>
          <w:tcPr>
            <w:tcW w:w="709" w:type="dxa"/>
            <w:noWrap/>
            <w:vAlign w:val="center"/>
          </w:tcPr>
          <w:p w14:paraId="65131D61">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6D267786">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Y≥40000</w:t>
            </w:r>
          </w:p>
        </w:tc>
        <w:tc>
          <w:tcPr>
            <w:tcW w:w="1828" w:type="dxa"/>
            <w:noWrap/>
            <w:vAlign w:val="center"/>
          </w:tcPr>
          <w:p w14:paraId="405C0499">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2000≤Y＜40000</w:t>
            </w:r>
          </w:p>
        </w:tc>
        <w:tc>
          <w:tcPr>
            <w:tcW w:w="1588" w:type="dxa"/>
            <w:noWrap/>
            <w:vAlign w:val="center"/>
          </w:tcPr>
          <w:p w14:paraId="3CE970F4">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300≤Y＜2000</w:t>
            </w:r>
          </w:p>
        </w:tc>
        <w:tc>
          <w:tcPr>
            <w:tcW w:w="1122" w:type="dxa"/>
            <w:noWrap/>
            <w:vAlign w:val="center"/>
          </w:tcPr>
          <w:p w14:paraId="5CFF56DB">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Y＜300</w:t>
            </w:r>
          </w:p>
        </w:tc>
      </w:tr>
      <w:tr w14:paraId="6BB4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62A71D73">
            <w:pPr>
              <w:widowControl/>
              <w:spacing w:line="240" w:lineRule="exact"/>
              <w:jc w:val="left"/>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建筑业</w:t>
            </w:r>
          </w:p>
        </w:tc>
        <w:tc>
          <w:tcPr>
            <w:tcW w:w="1369" w:type="dxa"/>
            <w:noWrap/>
            <w:vAlign w:val="center"/>
          </w:tcPr>
          <w:p w14:paraId="33847C3B">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营业收入(Y)</w:t>
            </w:r>
          </w:p>
        </w:tc>
        <w:tc>
          <w:tcPr>
            <w:tcW w:w="709" w:type="dxa"/>
            <w:noWrap/>
            <w:vAlign w:val="center"/>
          </w:tcPr>
          <w:p w14:paraId="69D36DC9">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32641168">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Y≥80000</w:t>
            </w:r>
          </w:p>
        </w:tc>
        <w:tc>
          <w:tcPr>
            <w:tcW w:w="1828" w:type="dxa"/>
            <w:noWrap/>
            <w:vAlign w:val="center"/>
          </w:tcPr>
          <w:p w14:paraId="5C11E2FD">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6000≤Y＜80000</w:t>
            </w:r>
          </w:p>
        </w:tc>
        <w:tc>
          <w:tcPr>
            <w:tcW w:w="1588" w:type="dxa"/>
            <w:noWrap/>
            <w:vAlign w:val="center"/>
          </w:tcPr>
          <w:p w14:paraId="6E634F5E">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300≤Y＜6000</w:t>
            </w:r>
          </w:p>
        </w:tc>
        <w:tc>
          <w:tcPr>
            <w:tcW w:w="1122" w:type="dxa"/>
            <w:noWrap/>
            <w:vAlign w:val="center"/>
          </w:tcPr>
          <w:p w14:paraId="54FB2DCE">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Y＜300</w:t>
            </w:r>
          </w:p>
        </w:tc>
      </w:tr>
      <w:tr w14:paraId="5B1B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111D4775">
            <w:pPr>
              <w:widowControl/>
              <w:jc w:val="left"/>
              <w:rPr>
                <w:rFonts w:hint="eastAsia" w:asciiTheme="majorEastAsia" w:hAnsiTheme="majorEastAsia" w:eastAsiaTheme="majorEastAsia" w:cstheme="majorEastAsia"/>
                <w:kern w:val="0"/>
                <w:sz w:val="20"/>
                <w:szCs w:val="20"/>
              </w:rPr>
            </w:pPr>
          </w:p>
        </w:tc>
        <w:tc>
          <w:tcPr>
            <w:tcW w:w="1369" w:type="dxa"/>
            <w:noWrap/>
            <w:vAlign w:val="center"/>
          </w:tcPr>
          <w:p w14:paraId="36CA4EFD">
            <w:pPr>
              <w:widowControl/>
              <w:spacing w:line="240" w:lineRule="exact"/>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资产总额(Z)</w:t>
            </w:r>
          </w:p>
        </w:tc>
        <w:tc>
          <w:tcPr>
            <w:tcW w:w="709" w:type="dxa"/>
            <w:noWrap/>
            <w:vAlign w:val="center"/>
          </w:tcPr>
          <w:p w14:paraId="4C2050DA">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187A9EC3">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Z≥80000</w:t>
            </w:r>
          </w:p>
        </w:tc>
        <w:tc>
          <w:tcPr>
            <w:tcW w:w="1828" w:type="dxa"/>
            <w:noWrap/>
            <w:vAlign w:val="center"/>
          </w:tcPr>
          <w:p w14:paraId="625D2D1E">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5000≤Z＜80000</w:t>
            </w:r>
          </w:p>
        </w:tc>
        <w:tc>
          <w:tcPr>
            <w:tcW w:w="1588" w:type="dxa"/>
            <w:noWrap/>
            <w:vAlign w:val="center"/>
          </w:tcPr>
          <w:p w14:paraId="0485D021">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300≤Z＜5000</w:t>
            </w:r>
          </w:p>
        </w:tc>
        <w:tc>
          <w:tcPr>
            <w:tcW w:w="1122" w:type="dxa"/>
            <w:noWrap/>
            <w:vAlign w:val="center"/>
          </w:tcPr>
          <w:p w14:paraId="593F73A2">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Z＜300</w:t>
            </w:r>
          </w:p>
        </w:tc>
      </w:tr>
      <w:tr w14:paraId="2389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40B273DE">
            <w:pPr>
              <w:widowControl/>
              <w:spacing w:line="240" w:lineRule="exact"/>
              <w:jc w:val="left"/>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批发业</w:t>
            </w:r>
          </w:p>
        </w:tc>
        <w:tc>
          <w:tcPr>
            <w:tcW w:w="1369" w:type="dxa"/>
            <w:noWrap/>
            <w:vAlign w:val="center"/>
          </w:tcPr>
          <w:p w14:paraId="27EDDB54">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从业人员(X)</w:t>
            </w:r>
          </w:p>
        </w:tc>
        <w:tc>
          <w:tcPr>
            <w:tcW w:w="709" w:type="dxa"/>
            <w:noWrap/>
            <w:vAlign w:val="center"/>
          </w:tcPr>
          <w:p w14:paraId="382F2809">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人</w:t>
            </w:r>
          </w:p>
        </w:tc>
        <w:tc>
          <w:tcPr>
            <w:tcW w:w="1125" w:type="dxa"/>
            <w:noWrap/>
            <w:vAlign w:val="center"/>
          </w:tcPr>
          <w:p w14:paraId="082B2F2C">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X≥200</w:t>
            </w:r>
          </w:p>
        </w:tc>
        <w:tc>
          <w:tcPr>
            <w:tcW w:w="1828" w:type="dxa"/>
            <w:noWrap/>
            <w:vAlign w:val="center"/>
          </w:tcPr>
          <w:p w14:paraId="42721366">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20≤X＜200</w:t>
            </w:r>
          </w:p>
        </w:tc>
        <w:tc>
          <w:tcPr>
            <w:tcW w:w="1588" w:type="dxa"/>
            <w:noWrap/>
            <w:vAlign w:val="center"/>
          </w:tcPr>
          <w:p w14:paraId="6FB18E6A">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5≤X＜20</w:t>
            </w:r>
          </w:p>
        </w:tc>
        <w:tc>
          <w:tcPr>
            <w:tcW w:w="1122" w:type="dxa"/>
            <w:noWrap/>
            <w:vAlign w:val="center"/>
          </w:tcPr>
          <w:p w14:paraId="301173FF">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X＜5</w:t>
            </w:r>
          </w:p>
        </w:tc>
      </w:tr>
      <w:tr w14:paraId="4BA6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59476F3E">
            <w:pPr>
              <w:widowControl/>
              <w:jc w:val="left"/>
              <w:rPr>
                <w:rFonts w:hint="eastAsia" w:asciiTheme="majorEastAsia" w:hAnsiTheme="majorEastAsia" w:eastAsiaTheme="majorEastAsia" w:cstheme="majorEastAsia"/>
                <w:kern w:val="0"/>
                <w:sz w:val="20"/>
                <w:szCs w:val="20"/>
              </w:rPr>
            </w:pPr>
          </w:p>
        </w:tc>
        <w:tc>
          <w:tcPr>
            <w:tcW w:w="1369" w:type="dxa"/>
            <w:noWrap/>
            <w:vAlign w:val="center"/>
          </w:tcPr>
          <w:p w14:paraId="1E33262E">
            <w:pPr>
              <w:widowControl/>
              <w:spacing w:line="240" w:lineRule="exact"/>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营业收入(Y)</w:t>
            </w:r>
          </w:p>
        </w:tc>
        <w:tc>
          <w:tcPr>
            <w:tcW w:w="709" w:type="dxa"/>
            <w:noWrap/>
            <w:vAlign w:val="center"/>
          </w:tcPr>
          <w:p w14:paraId="599B2118">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04CC1015">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Y≥40000</w:t>
            </w:r>
          </w:p>
        </w:tc>
        <w:tc>
          <w:tcPr>
            <w:tcW w:w="1828" w:type="dxa"/>
            <w:noWrap/>
            <w:vAlign w:val="center"/>
          </w:tcPr>
          <w:p w14:paraId="79B30ECD">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5000≤Y＜40000</w:t>
            </w:r>
          </w:p>
        </w:tc>
        <w:tc>
          <w:tcPr>
            <w:tcW w:w="1588" w:type="dxa"/>
            <w:noWrap/>
            <w:vAlign w:val="center"/>
          </w:tcPr>
          <w:p w14:paraId="7F707E2F">
            <w:pPr>
              <w:widowControl/>
              <w:ind w:left="-1" w:leftChars="-1" w:hanging="1"/>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1000≤Y＜5000</w:t>
            </w:r>
          </w:p>
        </w:tc>
        <w:tc>
          <w:tcPr>
            <w:tcW w:w="1122" w:type="dxa"/>
            <w:noWrap/>
            <w:vAlign w:val="center"/>
          </w:tcPr>
          <w:p w14:paraId="77326F95">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Y＜1000</w:t>
            </w:r>
          </w:p>
        </w:tc>
      </w:tr>
      <w:tr w14:paraId="1227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709C3152">
            <w:pPr>
              <w:widowControl/>
              <w:spacing w:line="240" w:lineRule="exact"/>
              <w:jc w:val="left"/>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零售业</w:t>
            </w:r>
          </w:p>
        </w:tc>
        <w:tc>
          <w:tcPr>
            <w:tcW w:w="1369" w:type="dxa"/>
            <w:noWrap/>
            <w:vAlign w:val="center"/>
          </w:tcPr>
          <w:p w14:paraId="64D2D533">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从业人员(X)</w:t>
            </w:r>
          </w:p>
        </w:tc>
        <w:tc>
          <w:tcPr>
            <w:tcW w:w="709" w:type="dxa"/>
            <w:noWrap/>
            <w:vAlign w:val="center"/>
          </w:tcPr>
          <w:p w14:paraId="6ED6E41D">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人</w:t>
            </w:r>
          </w:p>
        </w:tc>
        <w:tc>
          <w:tcPr>
            <w:tcW w:w="1125" w:type="dxa"/>
            <w:noWrap/>
            <w:vAlign w:val="center"/>
          </w:tcPr>
          <w:p w14:paraId="200C534D">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X≥300</w:t>
            </w:r>
          </w:p>
        </w:tc>
        <w:tc>
          <w:tcPr>
            <w:tcW w:w="1828" w:type="dxa"/>
            <w:noWrap/>
            <w:vAlign w:val="center"/>
          </w:tcPr>
          <w:p w14:paraId="7652710A">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50≤X＜300</w:t>
            </w:r>
          </w:p>
        </w:tc>
        <w:tc>
          <w:tcPr>
            <w:tcW w:w="1588" w:type="dxa"/>
            <w:noWrap/>
            <w:vAlign w:val="center"/>
          </w:tcPr>
          <w:p w14:paraId="60AB8DDB">
            <w:pPr>
              <w:widowControl/>
              <w:ind w:left="-1" w:leftChars="-1" w:hanging="1"/>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10≤X＜50 </w:t>
            </w:r>
          </w:p>
        </w:tc>
        <w:tc>
          <w:tcPr>
            <w:tcW w:w="1122" w:type="dxa"/>
            <w:noWrap/>
            <w:vAlign w:val="center"/>
          </w:tcPr>
          <w:p w14:paraId="3355FAFE">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X＜10</w:t>
            </w:r>
          </w:p>
        </w:tc>
      </w:tr>
      <w:tr w14:paraId="0789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32C54E62">
            <w:pPr>
              <w:widowControl/>
              <w:jc w:val="left"/>
              <w:rPr>
                <w:rFonts w:hint="eastAsia" w:asciiTheme="majorEastAsia" w:hAnsiTheme="majorEastAsia" w:eastAsiaTheme="majorEastAsia" w:cstheme="majorEastAsia"/>
                <w:kern w:val="0"/>
                <w:sz w:val="20"/>
                <w:szCs w:val="20"/>
              </w:rPr>
            </w:pPr>
          </w:p>
        </w:tc>
        <w:tc>
          <w:tcPr>
            <w:tcW w:w="1369" w:type="dxa"/>
            <w:noWrap/>
            <w:vAlign w:val="center"/>
          </w:tcPr>
          <w:p w14:paraId="628B2983">
            <w:pPr>
              <w:widowControl/>
              <w:spacing w:line="240" w:lineRule="exact"/>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营业收入(Y)</w:t>
            </w:r>
          </w:p>
        </w:tc>
        <w:tc>
          <w:tcPr>
            <w:tcW w:w="709" w:type="dxa"/>
            <w:noWrap/>
            <w:vAlign w:val="center"/>
          </w:tcPr>
          <w:p w14:paraId="49D7C65F">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13117B37">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Y≥20000</w:t>
            </w:r>
          </w:p>
        </w:tc>
        <w:tc>
          <w:tcPr>
            <w:tcW w:w="1828" w:type="dxa"/>
            <w:noWrap/>
            <w:vAlign w:val="center"/>
          </w:tcPr>
          <w:p w14:paraId="48DF85F5">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500≤Y＜20000</w:t>
            </w:r>
          </w:p>
        </w:tc>
        <w:tc>
          <w:tcPr>
            <w:tcW w:w="1588" w:type="dxa"/>
            <w:noWrap/>
            <w:vAlign w:val="center"/>
          </w:tcPr>
          <w:p w14:paraId="5FA671C5">
            <w:pPr>
              <w:widowControl/>
              <w:ind w:left="-1" w:leftChars="-1" w:hanging="1"/>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100≤Y＜500 </w:t>
            </w:r>
          </w:p>
        </w:tc>
        <w:tc>
          <w:tcPr>
            <w:tcW w:w="1122" w:type="dxa"/>
            <w:noWrap/>
            <w:vAlign w:val="center"/>
          </w:tcPr>
          <w:p w14:paraId="14C3C11F">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Y＜100</w:t>
            </w:r>
          </w:p>
        </w:tc>
      </w:tr>
      <w:tr w14:paraId="7518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06DE1240">
            <w:pPr>
              <w:widowControl/>
              <w:spacing w:line="240" w:lineRule="exact"/>
              <w:jc w:val="left"/>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交通运输业 *</w:t>
            </w:r>
          </w:p>
        </w:tc>
        <w:tc>
          <w:tcPr>
            <w:tcW w:w="1369" w:type="dxa"/>
            <w:noWrap/>
            <w:vAlign w:val="center"/>
          </w:tcPr>
          <w:p w14:paraId="13001BF1">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从业人员(X)</w:t>
            </w:r>
          </w:p>
        </w:tc>
        <w:tc>
          <w:tcPr>
            <w:tcW w:w="709" w:type="dxa"/>
            <w:noWrap/>
            <w:vAlign w:val="center"/>
          </w:tcPr>
          <w:p w14:paraId="1CAC9B96">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人</w:t>
            </w:r>
          </w:p>
        </w:tc>
        <w:tc>
          <w:tcPr>
            <w:tcW w:w="1125" w:type="dxa"/>
            <w:noWrap/>
            <w:vAlign w:val="center"/>
          </w:tcPr>
          <w:p w14:paraId="30A80A8D">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X≥1000</w:t>
            </w:r>
          </w:p>
        </w:tc>
        <w:tc>
          <w:tcPr>
            <w:tcW w:w="1828" w:type="dxa"/>
            <w:noWrap/>
            <w:vAlign w:val="center"/>
          </w:tcPr>
          <w:p w14:paraId="47C657FF">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300≤X＜1000</w:t>
            </w:r>
          </w:p>
        </w:tc>
        <w:tc>
          <w:tcPr>
            <w:tcW w:w="1588" w:type="dxa"/>
            <w:noWrap/>
            <w:vAlign w:val="center"/>
          </w:tcPr>
          <w:p w14:paraId="5C39654A">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20≤X＜300</w:t>
            </w:r>
          </w:p>
        </w:tc>
        <w:tc>
          <w:tcPr>
            <w:tcW w:w="1122" w:type="dxa"/>
            <w:noWrap/>
            <w:vAlign w:val="center"/>
          </w:tcPr>
          <w:p w14:paraId="2E163888">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X＜20</w:t>
            </w:r>
          </w:p>
        </w:tc>
      </w:tr>
      <w:tr w14:paraId="71A9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48B0D951">
            <w:pPr>
              <w:widowControl/>
              <w:jc w:val="left"/>
              <w:rPr>
                <w:rFonts w:hint="eastAsia" w:asciiTheme="majorEastAsia" w:hAnsiTheme="majorEastAsia" w:eastAsiaTheme="majorEastAsia" w:cstheme="majorEastAsia"/>
                <w:kern w:val="0"/>
                <w:sz w:val="20"/>
                <w:szCs w:val="20"/>
              </w:rPr>
            </w:pPr>
          </w:p>
        </w:tc>
        <w:tc>
          <w:tcPr>
            <w:tcW w:w="1369" w:type="dxa"/>
            <w:noWrap/>
            <w:vAlign w:val="center"/>
          </w:tcPr>
          <w:p w14:paraId="7572A09E">
            <w:pPr>
              <w:widowControl/>
              <w:spacing w:line="240" w:lineRule="exact"/>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营业收入(Y)</w:t>
            </w:r>
          </w:p>
        </w:tc>
        <w:tc>
          <w:tcPr>
            <w:tcW w:w="709" w:type="dxa"/>
            <w:noWrap/>
            <w:vAlign w:val="center"/>
          </w:tcPr>
          <w:p w14:paraId="5FB887F3">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7EA64E92">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Y≥30000</w:t>
            </w:r>
          </w:p>
        </w:tc>
        <w:tc>
          <w:tcPr>
            <w:tcW w:w="1828" w:type="dxa"/>
            <w:noWrap/>
            <w:vAlign w:val="center"/>
          </w:tcPr>
          <w:p w14:paraId="20F8B23E">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3000≤Y＜30000</w:t>
            </w:r>
          </w:p>
        </w:tc>
        <w:tc>
          <w:tcPr>
            <w:tcW w:w="1588" w:type="dxa"/>
            <w:noWrap/>
            <w:vAlign w:val="center"/>
          </w:tcPr>
          <w:p w14:paraId="19ED7874">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200≤Y＜3000</w:t>
            </w:r>
          </w:p>
        </w:tc>
        <w:tc>
          <w:tcPr>
            <w:tcW w:w="1122" w:type="dxa"/>
            <w:noWrap/>
            <w:vAlign w:val="center"/>
          </w:tcPr>
          <w:p w14:paraId="7C01652D">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Y＜200</w:t>
            </w:r>
          </w:p>
        </w:tc>
      </w:tr>
      <w:tr w14:paraId="1CC6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36BCF24C">
            <w:pPr>
              <w:widowControl/>
              <w:spacing w:line="240" w:lineRule="exact"/>
              <w:jc w:val="left"/>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仓储业*</w:t>
            </w:r>
          </w:p>
        </w:tc>
        <w:tc>
          <w:tcPr>
            <w:tcW w:w="1369" w:type="dxa"/>
            <w:noWrap/>
            <w:vAlign w:val="center"/>
          </w:tcPr>
          <w:p w14:paraId="145B0E0D">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从业人员(X)</w:t>
            </w:r>
          </w:p>
        </w:tc>
        <w:tc>
          <w:tcPr>
            <w:tcW w:w="709" w:type="dxa"/>
            <w:noWrap/>
            <w:vAlign w:val="center"/>
          </w:tcPr>
          <w:p w14:paraId="7D2B1DAB">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人</w:t>
            </w:r>
          </w:p>
        </w:tc>
        <w:tc>
          <w:tcPr>
            <w:tcW w:w="1125" w:type="dxa"/>
            <w:noWrap/>
            <w:vAlign w:val="center"/>
          </w:tcPr>
          <w:p w14:paraId="6C4A5928">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X≥200</w:t>
            </w:r>
          </w:p>
        </w:tc>
        <w:tc>
          <w:tcPr>
            <w:tcW w:w="1828" w:type="dxa"/>
            <w:noWrap/>
            <w:vAlign w:val="center"/>
          </w:tcPr>
          <w:p w14:paraId="43C18500">
            <w:pPr>
              <w:widowControl/>
              <w:ind w:left="13" w:leftChars="-51" w:hanging="120" w:hangingChars="60"/>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100≤X＜200</w:t>
            </w:r>
          </w:p>
        </w:tc>
        <w:tc>
          <w:tcPr>
            <w:tcW w:w="1588" w:type="dxa"/>
            <w:noWrap/>
            <w:vAlign w:val="center"/>
          </w:tcPr>
          <w:p w14:paraId="7E2C9489">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20≤X＜100</w:t>
            </w:r>
          </w:p>
        </w:tc>
        <w:tc>
          <w:tcPr>
            <w:tcW w:w="1122" w:type="dxa"/>
            <w:noWrap/>
            <w:vAlign w:val="center"/>
          </w:tcPr>
          <w:p w14:paraId="3D0681ED">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X＜20</w:t>
            </w:r>
          </w:p>
        </w:tc>
      </w:tr>
      <w:tr w14:paraId="21B2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2F5BBE63">
            <w:pPr>
              <w:widowControl/>
              <w:jc w:val="left"/>
              <w:rPr>
                <w:rFonts w:hint="eastAsia" w:asciiTheme="majorEastAsia" w:hAnsiTheme="majorEastAsia" w:eastAsiaTheme="majorEastAsia" w:cstheme="majorEastAsia"/>
                <w:kern w:val="0"/>
                <w:sz w:val="20"/>
                <w:szCs w:val="20"/>
              </w:rPr>
            </w:pPr>
          </w:p>
        </w:tc>
        <w:tc>
          <w:tcPr>
            <w:tcW w:w="1369" w:type="dxa"/>
            <w:noWrap/>
            <w:vAlign w:val="center"/>
          </w:tcPr>
          <w:p w14:paraId="0D3828E1">
            <w:pPr>
              <w:widowControl/>
              <w:spacing w:line="240" w:lineRule="exact"/>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营业收入(Y)</w:t>
            </w:r>
          </w:p>
        </w:tc>
        <w:tc>
          <w:tcPr>
            <w:tcW w:w="709" w:type="dxa"/>
            <w:noWrap/>
            <w:vAlign w:val="center"/>
          </w:tcPr>
          <w:p w14:paraId="2124303D">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15E5A956">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Y≥30000</w:t>
            </w:r>
          </w:p>
        </w:tc>
        <w:tc>
          <w:tcPr>
            <w:tcW w:w="1828" w:type="dxa"/>
            <w:noWrap/>
            <w:vAlign w:val="center"/>
          </w:tcPr>
          <w:p w14:paraId="6A459893">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1000≤Y＜30000</w:t>
            </w:r>
          </w:p>
        </w:tc>
        <w:tc>
          <w:tcPr>
            <w:tcW w:w="1588" w:type="dxa"/>
            <w:noWrap/>
            <w:vAlign w:val="center"/>
          </w:tcPr>
          <w:p w14:paraId="278000C5">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100≤Y＜1000</w:t>
            </w:r>
          </w:p>
        </w:tc>
        <w:tc>
          <w:tcPr>
            <w:tcW w:w="1122" w:type="dxa"/>
            <w:noWrap/>
            <w:vAlign w:val="center"/>
          </w:tcPr>
          <w:p w14:paraId="44EE038C">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Y＜100</w:t>
            </w:r>
          </w:p>
        </w:tc>
      </w:tr>
      <w:tr w14:paraId="623C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2820D23C">
            <w:pPr>
              <w:widowControl/>
              <w:spacing w:line="240" w:lineRule="exact"/>
              <w:jc w:val="left"/>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邮政业</w:t>
            </w:r>
          </w:p>
        </w:tc>
        <w:tc>
          <w:tcPr>
            <w:tcW w:w="1369" w:type="dxa"/>
            <w:noWrap/>
            <w:vAlign w:val="center"/>
          </w:tcPr>
          <w:p w14:paraId="5D13AD45">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从业人员(X)</w:t>
            </w:r>
          </w:p>
        </w:tc>
        <w:tc>
          <w:tcPr>
            <w:tcW w:w="709" w:type="dxa"/>
            <w:noWrap/>
            <w:vAlign w:val="center"/>
          </w:tcPr>
          <w:p w14:paraId="71CF9251">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人</w:t>
            </w:r>
          </w:p>
        </w:tc>
        <w:tc>
          <w:tcPr>
            <w:tcW w:w="1125" w:type="dxa"/>
            <w:noWrap/>
            <w:vAlign w:val="center"/>
          </w:tcPr>
          <w:p w14:paraId="4E6A09AA">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X≥1000</w:t>
            </w:r>
          </w:p>
        </w:tc>
        <w:tc>
          <w:tcPr>
            <w:tcW w:w="1828" w:type="dxa"/>
            <w:noWrap/>
            <w:vAlign w:val="center"/>
          </w:tcPr>
          <w:p w14:paraId="0AAA729F">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300≤X＜1000</w:t>
            </w:r>
          </w:p>
        </w:tc>
        <w:tc>
          <w:tcPr>
            <w:tcW w:w="1588" w:type="dxa"/>
            <w:noWrap/>
            <w:vAlign w:val="center"/>
          </w:tcPr>
          <w:p w14:paraId="29D67ADF">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20≤X＜300</w:t>
            </w:r>
          </w:p>
        </w:tc>
        <w:tc>
          <w:tcPr>
            <w:tcW w:w="1122" w:type="dxa"/>
            <w:noWrap/>
            <w:vAlign w:val="center"/>
          </w:tcPr>
          <w:p w14:paraId="34AC4030">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X＜20</w:t>
            </w:r>
          </w:p>
        </w:tc>
      </w:tr>
      <w:tr w14:paraId="29CF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26D2D8A4">
            <w:pPr>
              <w:widowControl/>
              <w:jc w:val="left"/>
              <w:rPr>
                <w:rFonts w:hint="eastAsia" w:asciiTheme="majorEastAsia" w:hAnsiTheme="majorEastAsia" w:eastAsiaTheme="majorEastAsia" w:cstheme="majorEastAsia"/>
                <w:kern w:val="0"/>
                <w:sz w:val="20"/>
                <w:szCs w:val="20"/>
              </w:rPr>
            </w:pPr>
          </w:p>
        </w:tc>
        <w:tc>
          <w:tcPr>
            <w:tcW w:w="1369" w:type="dxa"/>
            <w:noWrap/>
            <w:vAlign w:val="center"/>
          </w:tcPr>
          <w:p w14:paraId="0AA52F4C">
            <w:pPr>
              <w:widowControl/>
              <w:spacing w:line="240" w:lineRule="exact"/>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营业收入(Y)</w:t>
            </w:r>
          </w:p>
        </w:tc>
        <w:tc>
          <w:tcPr>
            <w:tcW w:w="709" w:type="dxa"/>
            <w:noWrap/>
            <w:vAlign w:val="center"/>
          </w:tcPr>
          <w:p w14:paraId="2DA9DC39">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1C89D50A">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Y≥30000</w:t>
            </w:r>
          </w:p>
        </w:tc>
        <w:tc>
          <w:tcPr>
            <w:tcW w:w="1828" w:type="dxa"/>
            <w:noWrap/>
            <w:vAlign w:val="center"/>
          </w:tcPr>
          <w:p w14:paraId="67E97928">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2000≤Y＜30000</w:t>
            </w:r>
          </w:p>
        </w:tc>
        <w:tc>
          <w:tcPr>
            <w:tcW w:w="1588" w:type="dxa"/>
            <w:noWrap/>
            <w:vAlign w:val="center"/>
          </w:tcPr>
          <w:p w14:paraId="03ADE575">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100≤Y＜2000</w:t>
            </w:r>
          </w:p>
        </w:tc>
        <w:tc>
          <w:tcPr>
            <w:tcW w:w="1122" w:type="dxa"/>
            <w:noWrap/>
            <w:vAlign w:val="center"/>
          </w:tcPr>
          <w:p w14:paraId="1A0CE83E">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Y＜100</w:t>
            </w:r>
          </w:p>
        </w:tc>
      </w:tr>
      <w:tr w14:paraId="53F1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6A879608">
            <w:pPr>
              <w:widowControl/>
              <w:spacing w:line="240" w:lineRule="exact"/>
              <w:jc w:val="left"/>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住宿业</w:t>
            </w:r>
          </w:p>
        </w:tc>
        <w:tc>
          <w:tcPr>
            <w:tcW w:w="1369" w:type="dxa"/>
            <w:noWrap/>
            <w:vAlign w:val="center"/>
          </w:tcPr>
          <w:p w14:paraId="619CF1F3">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从业人员(X)</w:t>
            </w:r>
          </w:p>
        </w:tc>
        <w:tc>
          <w:tcPr>
            <w:tcW w:w="709" w:type="dxa"/>
            <w:noWrap/>
            <w:vAlign w:val="center"/>
          </w:tcPr>
          <w:p w14:paraId="24884AC7">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人</w:t>
            </w:r>
          </w:p>
        </w:tc>
        <w:tc>
          <w:tcPr>
            <w:tcW w:w="1125" w:type="dxa"/>
            <w:noWrap/>
            <w:vAlign w:val="center"/>
          </w:tcPr>
          <w:p w14:paraId="12D987D1">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X≥300</w:t>
            </w:r>
          </w:p>
        </w:tc>
        <w:tc>
          <w:tcPr>
            <w:tcW w:w="1828" w:type="dxa"/>
            <w:noWrap/>
            <w:vAlign w:val="center"/>
          </w:tcPr>
          <w:p w14:paraId="4D273F02">
            <w:pPr>
              <w:widowControl/>
              <w:ind w:left="13" w:leftChars="-51" w:hanging="120" w:hangingChars="60"/>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100≤X＜300 </w:t>
            </w:r>
          </w:p>
        </w:tc>
        <w:tc>
          <w:tcPr>
            <w:tcW w:w="1588" w:type="dxa"/>
            <w:noWrap/>
            <w:vAlign w:val="center"/>
          </w:tcPr>
          <w:p w14:paraId="0BE1B634">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10≤X＜100</w:t>
            </w:r>
          </w:p>
        </w:tc>
        <w:tc>
          <w:tcPr>
            <w:tcW w:w="1122" w:type="dxa"/>
            <w:noWrap/>
            <w:vAlign w:val="center"/>
          </w:tcPr>
          <w:p w14:paraId="4672D6E7">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X＜10</w:t>
            </w:r>
          </w:p>
        </w:tc>
      </w:tr>
      <w:tr w14:paraId="0DB4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15CF3A33">
            <w:pPr>
              <w:widowControl/>
              <w:jc w:val="left"/>
              <w:rPr>
                <w:rFonts w:hint="eastAsia" w:asciiTheme="majorEastAsia" w:hAnsiTheme="majorEastAsia" w:eastAsiaTheme="majorEastAsia" w:cstheme="majorEastAsia"/>
                <w:kern w:val="0"/>
                <w:sz w:val="20"/>
                <w:szCs w:val="20"/>
              </w:rPr>
            </w:pPr>
          </w:p>
        </w:tc>
        <w:tc>
          <w:tcPr>
            <w:tcW w:w="1369" w:type="dxa"/>
            <w:noWrap/>
            <w:vAlign w:val="center"/>
          </w:tcPr>
          <w:p w14:paraId="5DBE817F">
            <w:pPr>
              <w:widowControl/>
              <w:spacing w:line="240" w:lineRule="exact"/>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营业收入(Y)</w:t>
            </w:r>
          </w:p>
        </w:tc>
        <w:tc>
          <w:tcPr>
            <w:tcW w:w="709" w:type="dxa"/>
            <w:noWrap/>
            <w:vAlign w:val="center"/>
          </w:tcPr>
          <w:p w14:paraId="4889D833">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4632C40B">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Y≥10000</w:t>
            </w:r>
          </w:p>
        </w:tc>
        <w:tc>
          <w:tcPr>
            <w:tcW w:w="1828" w:type="dxa"/>
            <w:noWrap/>
            <w:vAlign w:val="center"/>
          </w:tcPr>
          <w:p w14:paraId="1197AA1F">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2000≤Y＜10000</w:t>
            </w:r>
          </w:p>
        </w:tc>
        <w:tc>
          <w:tcPr>
            <w:tcW w:w="1588" w:type="dxa"/>
            <w:noWrap/>
            <w:vAlign w:val="center"/>
          </w:tcPr>
          <w:p w14:paraId="4AC5CF65">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100≤Y＜2000</w:t>
            </w:r>
          </w:p>
        </w:tc>
        <w:tc>
          <w:tcPr>
            <w:tcW w:w="1122" w:type="dxa"/>
            <w:noWrap/>
            <w:vAlign w:val="center"/>
          </w:tcPr>
          <w:p w14:paraId="79CFC1F2">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Y＜100</w:t>
            </w:r>
          </w:p>
        </w:tc>
      </w:tr>
      <w:tr w14:paraId="334F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502365EC">
            <w:pPr>
              <w:widowControl/>
              <w:spacing w:line="240" w:lineRule="exact"/>
              <w:jc w:val="left"/>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餐饮业</w:t>
            </w:r>
          </w:p>
        </w:tc>
        <w:tc>
          <w:tcPr>
            <w:tcW w:w="1369" w:type="dxa"/>
            <w:noWrap/>
            <w:vAlign w:val="center"/>
          </w:tcPr>
          <w:p w14:paraId="56CFE48E">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从业人员(X)</w:t>
            </w:r>
          </w:p>
        </w:tc>
        <w:tc>
          <w:tcPr>
            <w:tcW w:w="709" w:type="dxa"/>
            <w:noWrap/>
            <w:vAlign w:val="center"/>
          </w:tcPr>
          <w:p w14:paraId="057729EF">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人</w:t>
            </w:r>
          </w:p>
        </w:tc>
        <w:tc>
          <w:tcPr>
            <w:tcW w:w="1125" w:type="dxa"/>
            <w:noWrap/>
            <w:vAlign w:val="center"/>
          </w:tcPr>
          <w:p w14:paraId="10339B51">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X≥300</w:t>
            </w:r>
          </w:p>
        </w:tc>
        <w:tc>
          <w:tcPr>
            <w:tcW w:w="1828" w:type="dxa"/>
            <w:noWrap/>
            <w:vAlign w:val="center"/>
          </w:tcPr>
          <w:p w14:paraId="1340B76B">
            <w:pPr>
              <w:widowControl/>
              <w:ind w:left="13" w:leftChars="-51" w:hanging="120" w:hangingChars="60"/>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100≤X＜300 </w:t>
            </w:r>
          </w:p>
        </w:tc>
        <w:tc>
          <w:tcPr>
            <w:tcW w:w="1588" w:type="dxa"/>
            <w:noWrap/>
            <w:vAlign w:val="center"/>
          </w:tcPr>
          <w:p w14:paraId="3F0F9DA8">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10≤X＜100</w:t>
            </w:r>
          </w:p>
        </w:tc>
        <w:tc>
          <w:tcPr>
            <w:tcW w:w="1122" w:type="dxa"/>
            <w:noWrap/>
            <w:vAlign w:val="center"/>
          </w:tcPr>
          <w:p w14:paraId="469BA601">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X＜10</w:t>
            </w:r>
          </w:p>
        </w:tc>
      </w:tr>
      <w:tr w14:paraId="266F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7958BA44">
            <w:pPr>
              <w:widowControl/>
              <w:jc w:val="left"/>
              <w:rPr>
                <w:rFonts w:hint="eastAsia" w:asciiTheme="majorEastAsia" w:hAnsiTheme="majorEastAsia" w:eastAsiaTheme="majorEastAsia" w:cstheme="majorEastAsia"/>
                <w:kern w:val="0"/>
                <w:sz w:val="20"/>
                <w:szCs w:val="20"/>
              </w:rPr>
            </w:pPr>
          </w:p>
        </w:tc>
        <w:tc>
          <w:tcPr>
            <w:tcW w:w="1369" w:type="dxa"/>
            <w:noWrap/>
            <w:vAlign w:val="center"/>
          </w:tcPr>
          <w:p w14:paraId="698CAED3">
            <w:pPr>
              <w:widowControl/>
              <w:spacing w:line="240" w:lineRule="exact"/>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营业收入(Y)</w:t>
            </w:r>
          </w:p>
        </w:tc>
        <w:tc>
          <w:tcPr>
            <w:tcW w:w="709" w:type="dxa"/>
            <w:noWrap/>
            <w:vAlign w:val="center"/>
          </w:tcPr>
          <w:p w14:paraId="1DAFED0A">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33ABADB4">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Y≥10000</w:t>
            </w:r>
          </w:p>
        </w:tc>
        <w:tc>
          <w:tcPr>
            <w:tcW w:w="1828" w:type="dxa"/>
            <w:noWrap/>
            <w:vAlign w:val="center"/>
          </w:tcPr>
          <w:p w14:paraId="73D72ABD">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2000≤Y＜10000</w:t>
            </w:r>
          </w:p>
        </w:tc>
        <w:tc>
          <w:tcPr>
            <w:tcW w:w="1588" w:type="dxa"/>
            <w:noWrap/>
            <w:vAlign w:val="center"/>
          </w:tcPr>
          <w:p w14:paraId="1991CAFA">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100≤Y＜2000</w:t>
            </w:r>
          </w:p>
        </w:tc>
        <w:tc>
          <w:tcPr>
            <w:tcW w:w="1122" w:type="dxa"/>
            <w:noWrap/>
            <w:vAlign w:val="center"/>
          </w:tcPr>
          <w:p w14:paraId="50DD248E">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Y＜100</w:t>
            </w:r>
          </w:p>
        </w:tc>
      </w:tr>
      <w:tr w14:paraId="6201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79186A55">
            <w:pPr>
              <w:widowControl/>
              <w:spacing w:line="240" w:lineRule="exact"/>
              <w:jc w:val="left"/>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信息传输业 *</w:t>
            </w:r>
          </w:p>
        </w:tc>
        <w:tc>
          <w:tcPr>
            <w:tcW w:w="1369" w:type="dxa"/>
            <w:noWrap/>
            <w:vAlign w:val="center"/>
          </w:tcPr>
          <w:p w14:paraId="47EB1C44">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从业人员(X)</w:t>
            </w:r>
          </w:p>
        </w:tc>
        <w:tc>
          <w:tcPr>
            <w:tcW w:w="709" w:type="dxa"/>
            <w:noWrap/>
            <w:vAlign w:val="center"/>
          </w:tcPr>
          <w:p w14:paraId="7435A334">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人</w:t>
            </w:r>
          </w:p>
        </w:tc>
        <w:tc>
          <w:tcPr>
            <w:tcW w:w="1125" w:type="dxa"/>
            <w:noWrap/>
            <w:vAlign w:val="center"/>
          </w:tcPr>
          <w:p w14:paraId="62E93786">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X≥2000</w:t>
            </w:r>
          </w:p>
        </w:tc>
        <w:tc>
          <w:tcPr>
            <w:tcW w:w="1828" w:type="dxa"/>
            <w:noWrap/>
            <w:vAlign w:val="center"/>
          </w:tcPr>
          <w:p w14:paraId="2061788F">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100≤X＜2000</w:t>
            </w:r>
          </w:p>
        </w:tc>
        <w:tc>
          <w:tcPr>
            <w:tcW w:w="1588" w:type="dxa"/>
            <w:noWrap/>
            <w:vAlign w:val="center"/>
          </w:tcPr>
          <w:p w14:paraId="54CFDDD4">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10≤X＜100</w:t>
            </w:r>
          </w:p>
        </w:tc>
        <w:tc>
          <w:tcPr>
            <w:tcW w:w="1122" w:type="dxa"/>
            <w:noWrap/>
            <w:vAlign w:val="center"/>
          </w:tcPr>
          <w:p w14:paraId="7F70F107">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X＜10</w:t>
            </w:r>
          </w:p>
        </w:tc>
      </w:tr>
      <w:tr w14:paraId="3F3D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1D77C351">
            <w:pPr>
              <w:widowControl/>
              <w:jc w:val="left"/>
              <w:rPr>
                <w:rFonts w:hint="eastAsia" w:asciiTheme="majorEastAsia" w:hAnsiTheme="majorEastAsia" w:eastAsiaTheme="majorEastAsia" w:cstheme="majorEastAsia"/>
                <w:kern w:val="0"/>
                <w:sz w:val="20"/>
                <w:szCs w:val="20"/>
              </w:rPr>
            </w:pPr>
          </w:p>
        </w:tc>
        <w:tc>
          <w:tcPr>
            <w:tcW w:w="1369" w:type="dxa"/>
            <w:noWrap/>
            <w:vAlign w:val="center"/>
          </w:tcPr>
          <w:p w14:paraId="4FC861EF">
            <w:pPr>
              <w:widowControl/>
              <w:spacing w:line="240" w:lineRule="exact"/>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营业收入(Y)</w:t>
            </w:r>
          </w:p>
        </w:tc>
        <w:tc>
          <w:tcPr>
            <w:tcW w:w="709" w:type="dxa"/>
            <w:noWrap/>
            <w:vAlign w:val="center"/>
          </w:tcPr>
          <w:p w14:paraId="0BCF46EA">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0D6D854C">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Y≥100000</w:t>
            </w:r>
          </w:p>
        </w:tc>
        <w:tc>
          <w:tcPr>
            <w:tcW w:w="1828" w:type="dxa"/>
            <w:noWrap/>
            <w:vAlign w:val="center"/>
          </w:tcPr>
          <w:p w14:paraId="02179565">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1000≤Y＜100000</w:t>
            </w:r>
          </w:p>
        </w:tc>
        <w:tc>
          <w:tcPr>
            <w:tcW w:w="1588" w:type="dxa"/>
            <w:noWrap/>
            <w:vAlign w:val="center"/>
          </w:tcPr>
          <w:p w14:paraId="006776FB">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100≤Y＜1000</w:t>
            </w:r>
          </w:p>
        </w:tc>
        <w:tc>
          <w:tcPr>
            <w:tcW w:w="1122" w:type="dxa"/>
            <w:noWrap/>
            <w:vAlign w:val="center"/>
          </w:tcPr>
          <w:p w14:paraId="56891FA1">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Y＜100</w:t>
            </w:r>
          </w:p>
        </w:tc>
      </w:tr>
      <w:tr w14:paraId="489D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3" w:type="dxa"/>
            <w:vMerge w:val="restart"/>
            <w:noWrap/>
            <w:vAlign w:val="center"/>
          </w:tcPr>
          <w:p w14:paraId="77DF0C3A">
            <w:pPr>
              <w:widowControl/>
              <w:spacing w:line="240" w:lineRule="exact"/>
              <w:jc w:val="left"/>
              <w:rPr>
                <w:rFonts w:hint="eastAsia" w:asciiTheme="majorEastAsia" w:hAnsiTheme="majorEastAsia" w:eastAsiaTheme="majorEastAsia" w:cstheme="majorEastAsia"/>
                <w:spacing w:val="-12"/>
                <w:kern w:val="0"/>
                <w:sz w:val="20"/>
                <w:szCs w:val="20"/>
              </w:rPr>
            </w:pPr>
            <w:r>
              <w:rPr>
                <w:rFonts w:hint="eastAsia" w:asciiTheme="majorEastAsia" w:hAnsiTheme="majorEastAsia" w:eastAsiaTheme="majorEastAsia" w:cstheme="majorEastAsia"/>
                <w:spacing w:val="-12"/>
                <w:kern w:val="0"/>
                <w:sz w:val="20"/>
                <w:szCs w:val="20"/>
              </w:rPr>
              <w:t>软件和信息技术服</w:t>
            </w:r>
            <w:r>
              <w:rPr>
                <w:rFonts w:hint="eastAsia" w:asciiTheme="majorEastAsia" w:hAnsiTheme="majorEastAsia" w:eastAsiaTheme="majorEastAsia" w:cstheme="majorEastAsia"/>
                <w:kern w:val="0"/>
                <w:sz w:val="20"/>
                <w:szCs w:val="20"/>
              </w:rPr>
              <w:t>务业</w:t>
            </w:r>
          </w:p>
        </w:tc>
        <w:tc>
          <w:tcPr>
            <w:tcW w:w="1369" w:type="dxa"/>
            <w:noWrap/>
            <w:vAlign w:val="center"/>
          </w:tcPr>
          <w:p w14:paraId="30C96A10">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从业人员(X)</w:t>
            </w:r>
          </w:p>
        </w:tc>
        <w:tc>
          <w:tcPr>
            <w:tcW w:w="709" w:type="dxa"/>
            <w:noWrap/>
            <w:vAlign w:val="center"/>
          </w:tcPr>
          <w:p w14:paraId="62FDD37B">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人</w:t>
            </w:r>
          </w:p>
        </w:tc>
        <w:tc>
          <w:tcPr>
            <w:tcW w:w="1125" w:type="dxa"/>
            <w:noWrap/>
            <w:vAlign w:val="center"/>
          </w:tcPr>
          <w:p w14:paraId="2850CAC3">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X≥300</w:t>
            </w:r>
          </w:p>
        </w:tc>
        <w:tc>
          <w:tcPr>
            <w:tcW w:w="1828" w:type="dxa"/>
            <w:noWrap/>
            <w:vAlign w:val="center"/>
          </w:tcPr>
          <w:p w14:paraId="60F810BB">
            <w:pPr>
              <w:widowControl/>
              <w:ind w:left="13" w:leftChars="-51" w:hanging="120" w:hangingChars="60"/>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100≤X＜300 </w:t>
            </w:r>
          </w:p>
        </w:tc>
        <w:tc>
          <w:tcPr>
            <w:tcW w:w="1588" w:type="dxa"/>
            <w:noWrap/>
            <w:vAlign w:val="center"/>
          </w:tcPr>
          <w:p w14:paraId="205D81E9">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10≤X＜100</w:t>
            </w:r>
          </w:p>
        </w:tc>
        <w:tc>
          <w:tcPr>
            <w:tcW w:w="1122" w:type="dxa"/>
            <w:noWrap/>
            <w:vAlign w:val="center"/>
          </w:tcPr>
          <w:p w14:paraId="338D6C19">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X＜10</w:t>
            </w:r>
          </w:p>
        </w:tc>
      </w:tr>
      <w:tr w14:paraId="54D0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3" w:type="dxa"/>
            <w:vMerge w:val="continue"/>
            <w:noWrap/>
            <w:vAlign w:val="center"/>
          </w:tcPr>
          <w:p w14:paraId="4C148EA2">
            <w:pPr>
              <w:widowControl/>
              <w:jc w:val="left"/>
              <w:rPr>
                <w:rFonts w:hint="eastAsia" w:asciiTheme="majorEastAsia" w:hAnsiTheme="majorEastAsia" w:eastAsiaTheme="majorEastAsia" w:cstheme="majorEastAsia"/>
                <w:spacing w:val="-12"/>
                <w:kern w:val="0"/>
                <w:sz w:val="20"/>
                <w:szCs w:val="20"/>
              </w:rPr>
            </w:pPr>
          </w:p>
        </w:tc>
        <w:tc>
          <w:tcPr>
            <w:tcW w:w="1369" w:type="dxa"/>
            <w:noWrap/>
            <w:vAlign w:val="center"/>
          </w:tcPr>
          <w:p w14:paraId="3E47C6AF">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营业收入(Y)</w:t>
            </w:r>
          </w:p>
        </w:tc>
        <w:tc>
          <w:tcPr>
            <w:tcW w:w="709" w:type="dxa"/>
            <w:noWrap/>
            <w:vAlign w:val="center"/>
          </w:tcPr>
          <w:p w14:paraId="5A5108FF">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1C936C36">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Y≥10000</w:t>
            </w:r>
          </w:p>
        </w:tc>
        <w:tc>
          <w:tcPr>
            <w:tcW w:w="1828" w:type="dxa"/>
            <w:noWrap/>
            <w:vAlign w:val="center"/>
          </w:tcPr>
          <w:p w14:paraId="0CDA696E">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1000≤Y＜10000</w:t>
            </w:r>
          </w:p>
        </w:tc>
        <w:tc>
          <w:tcPr>
            <w:tcW w:w="1588" w:type="dxa"/>
            <w:noWrap/>
            <w:vAlign w:val="center"/>
          </w:tcPr>
          <w:p w14:paraId="01DEE563">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50≤Y＜1000</w:t>
            </w:r>
          </w:p>
        </w:tc>
        <w:tc>
          <w:tcPr>
            <w:tcW w:w="1122" w:type="dxa"/>
            <w:noWrap/>
            <w:vAlign w:val="center"/>
          </w:tcPr>
          <w:p w14:paraId="3338D701">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Y＜50</w:t>
            </w:r>
          </w:p>
        </w:tc>
      </w:tr>
      <w:tr w14:paraId="48DF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3" w:type="dxa"/>
            <w:vMerge w:val="restart"/>
            <w:noWrap/>
            <w:vAlign w:val="center"/>
          </w:tcPr>
          <w:p w14:paraId="77C808DD">
            <w:pPr>
              <w:widowControl/>
              <w:spacing w:line="240" w:lineRule="exact"/>
              <w:jc w:val="left"/>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房地产开发经营</w:t>
            </w:r>
          </w:p>
        </w:tc>
        <w:tc>
          <w:tcPr>
            <w:tcW w:w="1369" w:type="dxa"/>
            <w:noWrap/>
            <w:vAlign w:val="center"/>
          </w:tcPr>
          <w:p w14:paraId="1E95E0EF">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营业收入(Y)</w:t>
            </w:r>
          </w:p>
        </w:tc>
        <w:tc>
          <w:tcPr>
            <w:tcW w:w="709" w:type="dxa"/>
            <w:noWrap/>
            <w:vAlign w:val="center"/>
          </w:tcPr>
          <w:p w14:paraId="298049D4">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47824819">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Y≥200000</w:t>
            </w:r>
          </w:p>
        </w:tc>
        <w:tc>
          <w:tcPr>
            <w:tcW w:w="1828" w:type="dxa"/>
            <w:noWrap/>
            <w:vAlign w:val="center"/>
          </w:tcPr>
          <w:p w14:paraId="631C0B7B">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1000≤Y＜200000</w:t>
            </w:r>
          </w:p>
        </w:tc>
        <w:tc>
          <w:tcPr>
            <w:tcW w:w="1588" w:type="dxa"/>
            <w:noWrap/>
            <w:vAlign w:val="center"/>
          </w:tcPr>
          <w:p w14:paraId="746E592D">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100≤Y＜1000</w:t>
            </w:r>
          </w:p>
        </w:tc>
        <w:tc>
          <w:tcPr>
            <w:tcW w:w="1122" w:type="dxa"/>
            <w:noWrap/>
            <w:vAlign w:val="center"/>
          </w:tcPr>
          <w:p w14:paraId="290A23B4">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Y＜100</w:t>
            </w:r>
          </w:p>
        </w:tc>
      </w:tr>
      <w:tr w14:paraId="230A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3" w:type="dxa"/>
            <w:vMerge w:val="continue"/>
            <w:noWrap/>
            <w:vAlign w:val="center"/>
          </w:tcPr>
          <w:p w14:paraId="4EDDFAB7">
            <w:pPr>
              <w:widowControl/>
              <w:jc w:val="left"/>
              <w:rPr>
                <w:rFonts w:hint="eastAsia" w:asciiTheme="majorEastAsia" w:hAnsiTheme="majorEastAsia" w:eastAsiaTheme="majorEastAsia" w:cstheme="majorEastAsia"/>
                <w:kern w:val="0"/>
                <w:sz w:val="20"/>
                <w:szCs w:val="20"/>
              </w:rPr>
            </w:pPr>
          </w:p>
        </w:tc>
        <w:tc>
          <w:tcPr>
            <w:tcW w:w="1369" w:type="dxa"/>
            <w:noWrap/>
            <w:vAlign w:val="center"/>
          </w:tcPr>
          <w:p w14:paraId="424A3C08">
            <w:pPr>
              <w:widowControl/>
              <w:spacing w:line="240" w:lineRule="exact"/>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资产总额(Z)</w:t>
            </w:r>
          </w:p>
        </w:tc>
        <w:tc>
          <w:tcPr>
            <w:tcW w:w="709" w:type="dxa"/>
            <w:noWrap/>
            <w:vAlign w:val="center"/>
          </w:tcPr>
          <w:p w14:paraId="2E0F70FC">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7B208BAA">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Z≥10000</w:t>
            </w:r>
          </w:p>
        </w:tc>
        <w:tc>
          <w:tcPr>
            <w:tcW w:w="1828" w:type="dxa"/>
            <w:noWrap/>
            <w:vAlign w:val="center"/>
          </w:tcPr>
          <w:p w14:paraId="073DAC78">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5000≤Z＜10000</w:t>
            </w:r>
          </w:p>
        </w:tc>
        <w:tc>
          <w:tcPr>
            <w:tcW w:w="1588" w:type="dxa"/>
            <w:noWrap/>
            <w:vAlign w:val="center"/>
          </w:tcPr>
          <w:p w14:paraId="3B3D5AD6">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2000≤Z＜5000   </w:t>
            </w:r>
          </w:p>
        </w:tc>
        <w:tc>
          <w:tcPr>
            <w:tcW w:w="1122" w:type="dxa"/>
            <w:noWrap/>
            <w:vAlign w:val="center"/>
          </w:tcPr>
          <w:p w14:paraId="3244AA73">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Z＜2000</w:t>
            </w:r>
          </w:p>
        </w:tc>
      </w:tr>
      <w:tr w14:paraId="0CAB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3" w:type="dxa"/>
            <w:vMerge w:val="restart"/>
            <w:noWrap/>
            <w:vAlign w:val="center"/>
          </w:tcPr>
          <w:p w14:paraId="5A94E5EF">
            <w:pPr>
              <w:widowControl/>
              <w:spacing w:line="240" w:lineRule="exact"/>
              <w:jc w:val="left"/>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物业管理</w:t>
            </w:r>
          </w:p>
        </w:tc>
        <w:tc>
          <w:tcPr>
            <w:tcW w:w="1369" w:type="dxa"/>
            <w:noWrap/>
            <w:vAlign w:val="center"/>
          </w:tcPr>
          <w:p w14:paraId="63996295">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从业人员(X)</w:t>
            </w:r>
          </w:p>
        </w:tc>
        <w:tc>
          <w:tcPr>
            <w:tcW w:w="709" w:type="dxa"/>
            <w:noWrap/>
            <w:vAlign w:val="center"/>
          </w:tcPr>
          <w:p w14:paraId="43A480A8">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人</w:t>
            </w:r>
          </w:p>
        </w:tc>
        <w:tc>
          <w:tcPr>
            <w:tcW w:w="1125" w:type="dxa"/>
            <w:noWrap/>
            <w:vAlign w:val="center"/>
          </w:tcPr>
          <w:p w14:paraId="2E0C4235">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X≥1000</w:t>
            </w:r>
          </w:p>
        </w:tc>
        <w:tc>
          <w:tcPr>
            <w:tcW w:w="1828" w:type="dxa"/>
            <w:noWrap/>
            <w:vAlign w:val="center"/>
          </w:tcPr>
          <w:p w14:paraId="0D9B977D">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300≤X＜1000</w:t>
            </w:r>
          </w:p>
        </w:tc>
        <w:tc>
          <w:tcPr>
            <w:tcW w:w="1588" w:type="dxa"/>
            <w:noWrap/>
            <w:vAlign w:val="center"/>
          </w:tcPr>
          <w:p w14:paraId="18C89F09">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100≤X＜300 </w:t>
            </w:r>
          </w:p>
        </w:tc>
        <w:tc>
          <w:tcPr>
            <w:tcW w:w="1122" w:type="dxa"/>
            <w:noWrap/>
            <w:vAlign w:val="center"/>
          </w:tcPr>
          <w:p w14:paraId="762DF085">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X＜100</w:t>
            </w:r>
          </w:p>
        </w:tc>
      </w:tr>
      <w:tr w14:paraId="5553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3" w:type="dxa"/>
            <w:vMerge w:val="continue"/>
            <w:noWrap/>
            <w:vAlign w:val="center"/>
          </w:tcPr>
          <w:p w14:paraId="5C0B1342">
            <w:pPr>
              <w:widowControl/>
              <w:jc w:val="left"/>
              <w:rPr>
                <w:rFonts w:hint="eastAsia" w:asciiTheme="majorEastAsia" w:hAnsiTheme="majorEastAsia" w:eastAsiaTheme="majorEastAsia" w:cstheme="majorEastAsia"/>
                <w:kern w:val="0"/>
                <w:sz w:val="20"/>
                <w:szCs w:val="20"/>
              </w:rPr>
            </w:pPr>
          </w:p>
        </w:tc>
        <w:tc>
          <w:tcPr>
            <w:tcW w:w="1369" w:type="dxa"/>
            <w:noWrap/>
            <w:vAlign w:val="center"/>
          </w:tcPr>
          <w:p w14:paraId="7BA83017">
            <w:pPr>
              <w:widowControl/>
              <w:spacing w:line="240" w:lineRule="exact"/>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营业收入(Y)</w:t>
            </w:r>
          </w:p>
        </w:tc>
        <w:tc>
          <w:tcPr>
            <w:tcW w:w="709" w:type="dxa"/>
            <w:noWrap/>
            <w:vAlign w:val="center"/>
          </w:tcPr>
          <w:p w14:paraId="3234E851">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4A601628">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Y≥5000</w:t>
            </w:r>
          </w:p>
        </w:tc>
        <w:tc>
          <w:tcPr>
            <w:tcW w:w="1828" w:type="dxa"/>
            <w:noWrap/>
            <w:vAlign w:val="center"/>
          </w:tcPr>
          <w:p w14:paraId="6D04689C">
            <w:pPr>
              <w:widowControl/>
              <w:ind w:left="13" w:leftChars="-51" w:hanging="120" w:hangingChars="60"/>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1000≤Y＜5000 </w:t>
            </w:r>
          </w:p>
        </w:tc>
        <w:tc>
          <w:tcPr>
            <w:tcW w:w="1588" w:type="dxa"/>
            <w:noWrap/>
            <w:vAlign w:val="center"/>
          </w:tcPr>
          <w:p w14:paraId="4DFE382E">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500≤Y＜1000</w:t>
            </w:r>
          </w:p>
        </w:tc>
        <w:tc>
          <w:tcPr>
            <w:tcW w:w="1122" w:type="dxa"/>
            <w:noWrap/>
            <w:vAlign w:val="center"/>
          </w:tcPr>
          <w:p w14:paraId="35A5FEC5">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Y＜500</w:t>
            </w:r>
          </w:p>
        </w:tc>
      </w:tr>
      <w:tr w14:paraId="7641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3" w:type="dxa"/>
            <w:vMerge w:val="restart"/>
            <w:noWrap/>
            <w:vAlign w:val="center"/>
          </w:tcPr>
          <w:p w14:paraId="32A25BE5">
            <w:pPr>
              <w:widowControl/>
              <w:spacing w:line="240" w:lineRule="exact"/>
              <w:jc w:val="left"/>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租赁和商务服务业</w:t>
            </w:r>
          </w:p>
        </w:tc>
        <w:tc>
          <w:tcPr>
            <w:tcW w:w="1369" w:type="dxa"/>
            <w:noWrap/>
            <w:vAlign w:val="center"/>
          </w:tcPr>
          <w:p w14:paraId="7C1A8100">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从业人员(X)</w:t>
            </w:r>
          </w:p>
        </w:tc>
        <w:tc>
          <w:tcPr>
            <w:tcW w:w="709" w:type="dxa"/>
            <w:noWrap/>
            <w:vAlign w:val="center"/>
          </w:tcPr>
          <w:p w14:paraId="1420DDCD">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人</w:t>
            </w:r>
          </w:p>
        </w:tc>
        <w:tc>
          <w:tcPr>
            <w:tcW w:w="1125" w:type="dxa"/>
            <w:noWrap/>
            <w:vAlign w:val="center"/>
          </w:tcPr>
          <w:p w14:paraId="70806984">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X≥300</w:t>
            </w:r>
          </w:p>
        </w:tc>
        <w:tc>
          <w:tcPr>
            <w:tcW w:w="1828" w:type="dxa"/>
            <w:noWrap/>
            <w:vAlign w:val="center"/>
          </w:tcPr>
          <w:p w14:paraId="74ED71B3">
            <w:pPr>
              <w:widowControl/>
              <w:ind w:left="13" w:leftChars="-51" w:hanging="120" w:hangingChars="60"/>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100≤X＜300 </w:t>
            </w:r>
          </w:p>
        </w:tc>
        <w:tc>
          <w:tcPr>
            <w:tcW w:w="1588" w:type="dxa"/>
            <w:noWrap/>
            <w:vAlign w:val="center"/>
          </w:tcPr>
          <w:p w14:paraId="7F9CAA7F">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10≤X＜100</w:t>
            </w:r>
          </w:p>
        </w:tc>
        <w:tc>
          <w:tcPr>
            <w:tcW w:w="1122" w:type="dxa"/>
            <w:noWrap/>
            <w:vAlign w:val="center"/>
          </w:tcPr>
          <w:p w14:paraId="4FF979E9">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X＜10</w:t>
            </w:r>
          </w:p>
        </w:tc>
      </w:tr>
      <w:tr w14:paraId="57FC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3" w:type="dxa"/>
            <w:vMerge w:val="continue"/>
            <w:noWrap/>
            <w:vAlign w:val="center"/>
          </w:tcPr>
          <w:p w14:paraId="7B964C17">
            <w:pPr>
              <w:widowControl/>
              <w:jc w:val="left"/>
              <w:rPr>
                <w:rFonts w:hint="eastAsia" w:asciiTheme="majorEastAsia" w:hAnsiTheme="majorEastAsia" w:eastAsiaTheme="majorEastAsia" w:cstheme="majorEastAsia"/>
                <w:kern w:val="0"/>
                <w:sz w:val="20"/>
                <w:szCs w:val="20"/>
              </w:rPr>
            </w:pPr>
          </w:p>
        </w:tc>
        <w:tc>
          <w:tcPr>
            <w:tcW w:w="1369" w:type="dxa"/>
            <w:noWrap/>
            <w:vAlign w:val="center"/>
          </w:tcPr>
          <w:p w14:paraId="108C616A">
            <w:pPr>
              <w:widowControl/>
              <w:spacing w:line="240" w:lineRule="exact"/>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资产总额(Z)</w:t>
            </w:r>
          </w:p>
        </w:tc>
        <w:tc>
          <w:tcPr>
            <w:tcW w:w="709" w:type="dxa"/>
            <w:noWrap/>
            <w:vAlign w:val="center"/>
          </w:tcPr>
          <w:p w14:paraId="6C4C0901">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万元</w:t>
            </w:r>
          </w:p>
        </w:tc>
        <w:tc>
          <w:tcPr>
            <w:tcW w:w="1125" w:type="dxa"/>
            <w:noWrap/>
            <w:vAlign w:val="center"/>
          </w:tcPr>
          <w:p w14:paraId="295F213F">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Z≥120000</w:t>
            </w:r>
          </w:p>
        </w:tc>
        <w:tc>
          <w:tcPr>
            <w:tcW w:w="1828" w:type="dxa"/>
            <w:noWrap/>
            <w:vAlign w:val="center"/>
          </w:tcPr>
          <w:p w14:paraId="49120A57">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8000≤Z＜120000</w:t>
            </w:r>
          </w:p>
        </w:tc>
        <w:tc>
          <w:tcPr>
            <w:tcW w:w="1588" w:type="dxa"/>
            <w:noWrap/>
            <w:vAlign w:val="center"/>
          </w:tcPr>
          <w:p w14:paraId="0E424A11">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100≤Z＜8000</w:t>
            </w:r>
          </w:p>
        </w:tc>
        <w:tc>
          <w:tcPr>
            <w:tcW w:w="1122" w:type="dxa"/>
            <w:noWrap/>
            <w:vAlign w:val="center"/>
          </w:tcPr>
          <w:p w14:paraId="22448A8F">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Z＜100</w:t>
            </w:r>
          </w:p>
        </w:tc>
      </w:tr>
      <w:tr w14:paraId="711C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noWrap/>
            <w:vAlign w:val="center"/>
          </w:tcPr>
          <w:p w14:paraId="24EEFC30">
            <w:pPr>
              <w:widowControl/>
              <w:spacing w:line="240" w:lineRule="exact"/>
              <w:jc w:val="left"/>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其他未列明行业 *</w:t>
            </w:r>
          </w:p>
        </w:tc>
        <w:tc>
          <w:tcPr>
            <w:tcW w:w="1369" w:type="dxa"/>
            <w:noWrap/>
            <w:vAlign w:val="center"/>
          </w:tcPr>
          <w:p w14:paraId="58D66D01">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从业人员(X)</w:t>
            </w:r>
          </w:p>
        </w:tc>
        <w:tc>
          <w:tcPr>
            <w:tcW w:w="709" w:type="dxa"/>
            <w:noWrap/>
            <w:vAlign w:val="center"/>
          </w:tcPr>
          <w:p w14:paraId="24534903">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人</w:t>
            </w:r>
          </w:p>
        </w:tc>
        <w:tc>
          <w:tcPr>
            <w:tcW w:w="1125" w:type="dxa"/>
            <w:noWrap/>
            <w:vAlign w:val="center"/>
          </w:tcPr>
          <w:p w14:paraId="5DE42E62">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X≥300</w:t>
            </w:r>
          </w:p>
        </w:tc>
        <w:tc>
          <w:tcPr>
            <w:tcW w:w="1828" w:type="dxa"/>
            <w:noWrap/>
            <w:vAlign w:val="center"/>
          </w:tcPr>
          <w:p w14:paraId="2EEBAA12">
            <w:pPr>
              <w:widowControl/>
              <w:ind w:left="13" w:leftChars="-51" w:hanging="120" w:hangingChars="60"/>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100≤X＜300 </w:t>
            </w:r>
          </w:p>
        </w:tc>
        <w:tc>
          <w:tcPr>
            <w:tcW w:w="1588" w:type="dxa"/>
            <w:noWrap/>
            <w:vAlign w:val="center"/>
          </w:tcPr>
          <w:p w14:paraId="044FBB39">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xml:space="preserve"> 10≤X＜100</w:t>
            </w:r>
          </w:p>
        </w:tc>
        <w:tc>
          <w:tcPr>
            <w:tcW w:w="1122" w:type="dxa"/>
            <w:noWrap/>
            <w:vAlign w:val="center"/>
          </w:tcPr>
          <w:p w14:paraId="26A951D4">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X＜10</w:t>
            </w:r>
          </w:p>
        </w:tc>
      </w:tr>
    </w:tbl>
    <w:p w14:paraId="51CD52D3">
      <w:pPr>
        <w:rPr>
          <w:rFonts w:hint="eastAsia" w:ascii="宋体" w:hAnsi="宋体" w:eastAsia="宋体" w:cs="宋体"/>
          <w:color w:val="auto"/>
          <w:highlight w:val="none"/>
        </w:rPr>
      </w:pPr>
    </w:p>
    <w:p w14:paraId="379BB13E">
      <w:pPr>
        <w:rPr>
          <w:rFonts w:hint="eastAsia" w:asciiTheme="majorEastAsia" w:hAnsiTheme="majorEastAsia" w:eastAsiaTheme="majorEastAsia" w:cstheme="majorEastAsia"/>
          <w:b/>
          <w:color w:val="auto"/>
          <w:sz w:val="32"/>
          <w:highlight w:val="none"/>
          <w:lang w:eastAsia="zh-CN"/>
        </w:rPr>
      </w:pPr>
    </w:p>
    <w:bookmarkEnd w:id="193"/>
    <w:bookmarkEnd w:id="194"/>
    <w:bookmarkEnd w:id="195"/>
    <w:bookmarkEnd w:id="196"/>
    <w:p w14:paraId="1F379961">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14:paraId="3EC744D3">
      <w:pPr>
        <w:pStyle w:val="3"/>
        <w:numPr>
          <w:ilvl w:val="0"/>
          <w:numId w:val="3"/>
        </w:numPr>
        <w:bidi w:val="0"/>
        <w:jc w:val="center"/>
        <w:rPr>
          <w:rFonts w:hint="eastAsia" w:asciiTheme="majorEastAsia" w:hAnsiTheme="majorEastAsia" w:eastAsiaTheme="majorEastAsia" w:cstheme="majorEastAsia"/>
          <w:b/>
          <w:bCs w:val="0"/>
          <w:color w:val="auto"/>
          <w:kern w:val="2"/>
          <w:sz w:val="32"/>
          <w:szCs w:val="24"/>
          <w:highlight w:val="none"/>
          <w:lang w:val="en-US" w:eastAsia="zh-CN" w:bidi="ar-SA"/>
        </w:rPr>
      </w:pPr>
      <w:bookmarkStart w:id="198" w:name="_Toc1333"/>
      <w:bookmarkStart w:id="199" w:name="_Toc15569"/>
      <w:r>
        <w:rPr>
          <w:rFonts w:hint="eastAsia" w:asciiTheme="majorEastAsia" w:hAnsiTheme="majorEastAsia" w:eastAsiaTheme="majorEastAsia" w:cstheme="majorEastAsia"/>
          <w:b/>
          <w:bCs w:val="0"/>
          <w:color w:val="auto"/>
          <w:kern w:val="2"/>
          <w:sz w:val="32"/>
          <w:szCs w:val="24"/>
          <w:highlight w:val="none"/>
          <w:lang w:val="en-US" w:eastAsia="zh-CN" w:bidi="ar-SA"/>
        </w:rPr>
        <w:t>商务文件组成</w:t>
      </w:r>
      <w:bookmarkEnd w:id="198"/>
      <w:bookmarkEnd w:id="199"/>
    </w:p>
    <w:p w14:paraId="7D6C3D4E">
      <w:pPr>
        <w:pStyle w:val="4"/>
        <w:numPr>
          <w:ilvl w:val="0"/>
          <w:numId w:val="0"/>
        </w:numPr>
        <w:bidi w:val="0"/>
        <w:spacing w:line="240" w:lineRule="auto"/>
        <w:jc w:val="center"/>
        <w:outlineLvl w:val="2"/>
        <w:rPr>
          <w:rFonts w:hint="eastAsia" w:ascii="宋体" w:hAnsi="宋体" w:eastAsia="宋体" w:cs="宋体"/>
          <w:color w:val="auto"/>
          <w:sz w:val="30"/>
          <w:szCs w:val="30"/>
          <w:highlight w:val="none"/>
        </w:rPr>
      </w:pPr>
      <w:bookmarkStart w:id="200" w:name="_Toc16501"/>
      <w:r>
        <w:rPr>
          <w:rFonts w:hint="eastAsia" w:ascii="宋体" w:hAnsi="宋体" w:cs="宋体"/>
          <w:color w:val="auto"/>
          <w:sz w:val="30"/>
          <w:szCs w:val="30"/>
          <w:highlight w:val="none"/>
          <w:lang w:val="en-US" w:eastAsia="zh-CN"/>
        </w:rPr>
        <w:t>1</w:t>
      </w:r>
      <w:r>
        <w:rPr>
          <w:rFonts w:hint="eastAsia" w:ascii="宋体" w:hAnsi="宋体" w:eastAsia="宋体" w:cs="宋体"/>
          <w:color w:val="auto"/>
          <w:sz w:val="30"/>
          <w:szCs w:val="30"/>
          <w:highlight w:val="none"/>
        </w:rPr>
        <w:t>、投 标 函</w:t>
      </w:r>
      <w:bookmarkEnd w:id="191"/>
      <w:bookmarkEnd w:id="200"/>
    </w:p>
    <w:p w14:paraId="7FBB624A">
      <w:pPr>
        <w:pStyle w:val="1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__________________（采购</w:t>
      </w:r>
      <w:r>
        <w:rPr>
          <w:rFonts w:hint="eastAsia" w:ascii="宋体" w:hAnsi="宋体" w:cs="宋体"/>
          <w:bCs/>
          <w:color w:val="auto"/>
          <w:sz w:val="24"/>
          <w:highlight w:val="none"/>
          <w:lang w:val="en-US" w:eastAsia="zh-CN"/>
        </w:rPr>
        <w:t>单位</w:t>
      </w:r>
      <w:r>
        <w:rPr>
          <w:rFonts w:hint="eastAsia" w:ascii="宋体" w:hAnsi="宋体" w:eastAsia="宋体" w:cs="宋体"/>
          <w:bCs/>
          <w:color w:val="auto"/>
          <w:sz w:val="24"/>
          <w:highlight w:val="none"/>
        </w:rPr>
        <w:t>名称）：</w:t>
      </w:r>
    </w:p>
    <w:p w14:paraId="220D5583">
      <w:pPr>
        <w:pStyle w:val="14"/>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我方全面研究了 “</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（项目名称、采购编号）”项目采购文件，决定参加贵单位组织的本项目投标。我方授权</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（姓名、职务）代表我方</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（投标单位的名称）全权处理本项目投标的有关事宜。</w:t>
      </w:r>
    </w:p>
    <w:p w14:paraId="7B150AB9">
      <w:pPr>
        <w:pStyle w:val="14"/>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1、我方自愿按照采购文件规定的各项要求向采购人提供所需</w:t>
      </w:r>
      <w:r>
        <w:rPr>
          <w:rFonts w:hint="eastAsia" w:ascii="宋体" w:hAnsi="宋体" w:eastAsia="宋体" w:cs="宋体"/>
          <w:bCs/>
          <w:color w:val="auto"/>
          <w:sz w:val="24"/>
          <w:highlight w:val="none"/>
          <w:lang w:val="en-US" w:eastAsia="zh-CN"/>
        </w:rPr>
        <w:t>货物</w:t>
      </w:r>
      <w:r>
        <w:rPr>
          <w:rFonts w:hint="eastAsia" w:ascii="宋体" w:hAnsi="宋体" w:eastAsia="宋体" w:cs="宋体"/>
          <w:bCs/>
          <w:color w:val="auto"/>
          <w:sz w:val="24"/>
          <w:highlight w:val="none"/>
        </w:rPr>
        <w:t>服务，投标有效期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日历天。</w:t>
      </w:r>
    </w:p>
    <w:p w14:paraId="1116F997">
      <w:pPr>
        <w:pStyle w:val="14"/>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2、一旦我方</w:t>
      </w:r>
      <w:r>
        <w:rPr>
          <w:rFonts w:hint="eastAsia" w:ascii="宋体" w:hAnsi="宋体" w:eastAsia="宋体" w:cs="宋体"/>
          <w:bCs/>
          <w:color w:val="auto"/>
          <w:sz w:val="24"/>
          <w:highlight w:val="none"/>
          <w:lang w:eastAsia="zh-CN"/>
        </w:rPr>
        <w:t>中标</w:t>
      </w:r>
      <w:r>
        <w:rPr>
          <w:rFonts w:hint="eastAsia" w:ascii="宋体" w:hAnsi="宋体" w:eastAsia="宋体" w:cs="宋体"/>
          <w:bCs/>
          <w:color w:val="auto"/>
          <w:sz w:val="24"/>
          <w:highlight w:val="none"/>
        </w:rPr>
        <w:t>，我方将严格履行合同规定的责任和义务，</w:t>
      </w:r>
      <w:r>
        <w:rPr>
          <w:rFonts w:hint="eastAsia" w:ascii="宋体" w:hAnsi="宋体" w:eastAsia="宋体" w:cs="宋体"/>
          <w:bCs/>
          <w:color w:val="auto"/>
          <w:sz w:val="24"/>
          <w:highlight w:val="none"/>
          <w:lang w:val="en-US" w:eastAsia="zh-CN"/>
        </w:rPr>
        <w:t>供货期</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，并交付采购人验收、使用。</w:t>
      </w:r>
    </w:p>
    <w:p w14:paraId="3A090755">
      <w:pPr>
        <w:pStyle w:val="14"/>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3、我方同意按照采购文件的要求，向贵单位交纳人民币</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元（大写：</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）的投标保证金。并承诺：下列任何情况发生时，我方将不要求退还投标保证金：</w:t>
      </w:r>
    </w:p>
    <w:p w14:paraId="3C217563">
      <w:pPr>
        <w:pStyle w:val="14"/>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（1）如果我方在投标有效期内撤回投标；</w:t>
      </w:r>
    </w:p>
    <w:p w14:paraId="10DF2B69">
      <w:pPr>
        <w:pStyle w:val="14"/>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（2）我方提供了虚假响应采购文件的响应文件；</w:t>
      </w:r>
    </w:p>
    <w:p w14:paraId="14DE5E52">
      <w:pPr>
        <w:pStyle w:val="14"/>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（3）在投标过程中有违规违纪行为；</w:t>
      </w:r>
    </w:p>
    <w:p w14:paraId="3F851219">
      <w:pPr>
        <w:pStyle w:val="14"/>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（4）我方在投标有效期内收到</w:t>
      </w:r>
      <w:r>
        <w:rPr>
          <w:rFonts w:hint="eastAsia" w:ascii="宋体" w:hAnsi="宋体" w:eastAsia="宋体" w:cs="宋体"/>
          <w:bCs/>
          <w:color w:val="auto"/>
          <w:sz w:val="24"/>
          <w:highlight w:val="none"/>
          <w:lang w:eastAsia="zh-CN"/>
        </w:rPr>
        <w:t>中标</w:t>
      </w:r>
      <w:r>
        <w:rPr>
          <w:rFonts w:hint="eastAsia" w:ascii="宋体" w:hAnsi="宋体" w:eastAsia="宋体" w:cs="宋体"/>
          <w:bCs/>
          <w:color w:val="auto"/>
          <w:sz w:val="24"/>
          <w:highlight w:val="none"/>
        </w:rPr>
        <w:t>通知书后，由于我方原因未能按照采购文件要求提交履约保证金或与采购人签订并履行合同。</w:t>
      </w:r>
    </w:p>
    <w:p w14:paraId="66A7408A">
      <w:pPr>
        <w:pStyle w:val="14"/>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4、我方为本项目提交的响应文件满足采购文件供应商须知前附表要求。</w:t>
      </w:r>
    </w:p>
    <w:p w14:paraId="19F0C624">
      <w:pPr>
        <w:pStyle w:val="14"/>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5、我方愿意提供采购人可能另外要求的，与投标有关的文件资料，并保证我方已提供和将要提供的文件资料是真实、准确的。</w:t>
      </w:r>
    </w:p>
    <w:p w14:paraId="1C2173EE">
      <w:pPr>
        <w:pStyle w:val="14"/>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我方承诺：采购人在使用我方提供的服务时，不存在任何已知的不合法的情形，也不存在任何已知的与第三方专利权、著作权、商标权或工业设计权相关的任何争议。如果有任何因采购人使用我方提供的服务而提起的侵权指控，我公司将依法承担全部责任。</w:t>
      </w:r>
    </w:p>
    <w:p w14:paraId="28D92D48">
      <w:pPr>
        <w:pStyle w:val="14"/>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7、我方承诺：我方提供的响应文件中资料文件及相关陈述全部是真实、准确的，若有违背，我方将承担由此造成的一切后果（承担采购人及采购代理机构的经济损失并同意保证金被扣除）；</w:t>
      </w:r>
    </w:p>
    <w:p w14:paraId="1D5D7D57">
      <w:pPr>
        <w:pStyle w:val="14"/>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8、我方承诺：本次采购项目我方与采购人、采购代理机构以及其他供应商之间不存在任何关联关系；</w:t>
      </w:r>
    </w:p>
    <w:p w14:paraId="30A73906">
      <w:pPr>
        <w:pStyle w:val="14"/>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9、我方完全理解采购人不一定将合同授予最低报价的供应商的行为。</w:t>
      </w:r>
    </w:p>
    <w:p w14:paraId="122EC834">
      <w:pPr>
        <w:pStyle w:val="14"/>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10、若我方获得</w:t>
      </w:r>
      <w:r>
        <w:rPr>
          <w:rFonts w:hint="eastAsia" w:ascii="宋体" w:hAnsi="宋体" w:eastAsia="宋体" w:cs="宋体"/>
          <w:bCs/>
          <w:color w:val="auto"/>
          <w:sz w:val="24"/>
          <w:highlight w:val="none"/>
          <w:lang w:eastAsia="zh-CN"/>
        </w:rPr>
        <w:t>中标</w:t>
      </w:r>
      <w:r>
        <w:rPr>
          <w:rFonts w:hint="eastAsia" w:ascii="宋体" w:hAnsi="宋体" w:eastAsia="宋体" w:cs="宋体"/>
          <w:bCs/>
          <w:color w:val="auto"/>
          <w:sz w:val="24"/>
          <w:highlight w:val="none"/>
        </w:rPr>
        <w:t>供应商，我方保证按前附表规定向采购代理机构支付代理服务费。</w:t>
      </w:r>
    </w:p>
    <w:p w14:paraId="18347F74">
      <w:pPr>
        <w:pStyle w:val="14"/>
        <w:spacing w:line="280" w:lineRule="exact"/>
        <w:ind w:firstLine="480" w:firstLineChars="200"/>
        <w:rPr>
          <w:rFonts w:hint="eastAsia" w:ascii="宋体" w:hAnsi="宋体" w:eastAsia="宋体" w:cs="宋体"/>
          <w:bCs/>
          <w:color w:val="auto"/>
          <w:sz w:val="24"/>
          <w:highlight w:val="none"/>
        </w:rPr>
      </w:pPr>
    </w:p>
    <w:p w14:paraId="67EA7C33">
      <w:pPr>
        <w:pStyle w:val="14"/>
        <w:spacing w:line="600" w:lineRule="auto"/>
        <w:ind w:firstLine="480" w:firstLineChars="200"/>
        <w:rPr>
          <w:rFonts w:hint="eastAsia" w:ascii="宋体" w:hAnsi="宋体" w:eastAsia="宋体" w:cs="宋体"/>
          <w:bCs/>
          <w:color w:val="auto"/>
          <w:sz w:val="24"/>
          <w:highlight w:val="none"/>
        </w:rPr>
      </w:pPr>
    </w:p>
    <w:p w14:paraId="016C658F">
      <w:pPr>
        <w:pStyle w:val="14"/>
        <w:spacing w:line="6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供应商名称：        （盖章）</w:t>
      </w:r>
    </w:p>
    <w:p w14:paraId="3F19E963">
      <w:pPr>
        <w:pStyle w:val="14"/>
        <w:spacing w:line="6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法定代表人或授权代表（签字或盖章）：</w:t>
      </w:r>
    </w:p>
    <w:p w14:paraId="1FA405BF">
      <w:pPr>
        <w:pStyle w:val="14"/>
        <w:spacing w:line="6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联系电话：</w:t>
      </w:r>
    </w:p>
    <w:p w14:paraId="3A8FEE5F">
      <w:pPr>
        <w:pStyle w:val="14"/>
        <w:spacing w:line="6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p>
    <w:p w14:paraId="7D6EDCA0">
      <w:pPr>
        <w:spacing w:line="520" w:lineRule="exact"/>
        <w:jc w:val="center"/>
        <w:outlineLvl w:val="2"/>
        <w:rPr>
          <w:rFonts w:hint="eastAsia" w:asciiTheme="majorEastAsia" w:hAnsiTheme="majorEastAsia" w:eastAsiaTheme="majorEastAsia" w:cstheme="majorEastAsia"/>
          <w:bCs/>
          <w:color w:val="auto"/>
          <w:sz w:val="44"/>
          <w:szCs w:val="44"/>
          <w:highlight w:val="none"/>
        </w:rPr>
      </w:pPr>
      <w:bookmarkStart w:id="201" w:name="_Toc217446083"/>
      <w:r>
        <w:rPr>
          <w:rFonts w:hint="eastAsia" w:ascii="宋体" w:hAnsi="宋体" w:eastAsia="宋体" w:cs="宋体"/>
          <w:color w:val="auto"/>
          <w:szCs w:val="28"/>
          <w:highlight w:val="none"/>
        </w:rPr>
        <w:br w:type="page"/>
      </w:r>
      <w:bookmarkEnd w:id="201"/>
      <w:bookmarkStart w:id="202" w:name="_Toc2944"/>
      <w:bookmarkStart w:id="203" w:name="_Toc297204985"/>
      <w:bookmarkStart w:id="204" w:name="_Toc263753600"/>
      <w:bookmarkStart w:id="205" w:name="_Toc256175382"/>
      <w:bookmarkStart w:id="206" w:name="_Toc263768864"/>
      <w:bookmarkStart w:id="207" w:name="_Toc217446085"/>
      <w:bookmarkStart w:id="208" w:name="_Toc250041691"/>
      <w:bookmarkStart w:id="209" w:name="_Toc237145385"/>
      <w:r>
        <w:rPr>
          <w:rFonts w:hint="eastAsia" w:asciiTheme="majorEastAsia" w:hAnsiTheme="majorEastAsia" w:eastAsiaTheme="majorEastAsia" w:cstheme="majorEastAsia"/>
          <w:b/>
          <w:color w:val="auto"/>
          <w:sz w:val="30"/>
          <w:szCs w:val="30"/>
          <w:highlight w:val="none"/>
          <w:lang w:val="en-US" w:eastAsia="zh-CN"/>
        </w:rPr>
        <w:t>2</w:t>
      </w:r>
      <w:r>
        <w:rPr>
          <w:rFonts w:hint="eastAsia" w:asciiTheme="majorEastAsia" w:hAnsiTheme="majorEastAsia" w:eastAsiaTheme="majorEastAsia" w:cstheme="majorEastAsia"/>
          <w:b/>
          <w:color w:val="auto"/>
          <w:sz w:val="30"/>
          <w:szCs w:val="30"/>
          <w:highlight w:val="none"/>
        </w:rPr>
        <w:t>、法定代表人身份证明</w:t>
      </w:r>
      <w:bookmarkEnd w:id="202"/>
    </w:p>
    <w:p w14:paraId="75C9A182">
      <w:pPr>
        <w:spacing w:line="520" w:lineRule="exact"/>
        <w:jc w:val="center"/>
        <w:rPr>
          <w:rFonts w:hint="eastAsia" w:asciiTheme="majorEastAsia" w:hAnsiTheme="majorEastAsia" w:eastAsiaTheme="majorEastAsia" w:cstheme="majorEastAsia"/>
          <w:bCs/>
          <w:color w:val="auto"/>
          <w:sz w:val="32"/>
          <w:szCs w:val="32"/>
          <w:highlight w:val="none"/>
        </w:rPr>
      </w:pPr>
    </w:p>
    <w:p w14:paraId="1EBB66FB">
      <w:pPr>
        <w:spacing w:line="520" w:lineRule="exact"/>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Cs/>
          <w:color w:val="auto"/>
          <w:sz w:val="28"/>
          <w:szCs w:val="28"/>
          <w:highlight w:val="none"/>
        </w:rPr>
        <w:t>法定代表人证明书</w:t>
      </w:r>
    </w:p>
    <w:p w14:paraId="016BEBD0">
      <w:pPr>
        <w:pStyle w:val="71"/>
        <w:adjustRightInd w:val="0"/>
        <w:snapToGrid w:val="0"/>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szCs w:val="24"/>
          <w:highlight w:val="none"/>
          <w:u w:val="single"/>
          <w:lang w:val="en-US" w:eastAsia="zh-CN"/>
        </w:rPr>
        <w:t>采购单位</w:t>
      </w:r>
      <w:r>
        <w:rPr>
          <w:rFonts w:hint="eastAsia" w:asciiTheme="majorEastAsia" w:hAnsiTheme="majorEastAsia" w:eastAsiaTheme="majorEastAsia" w:cstheme="majorEastAsia"/>
          <w:color w:val="auto"/>
          <w:sz w:val="24"/>
          <w:szCs w:val="24"/>
          <w:highlight w:val="none"/>
          <w:u w:val="single"/>
        </w:rPr>
        <w:t>名称）</w:t>
      </w:r>
      <w:r>
        <w:rPr>
          <w:rFonts w:hint="eastAsia" w:asciiTheme="majorEastAsia" w:hAnsiTheme="majorEastAsia" w:eastAsiaTheme="majorEastAsia" w:cstheme="majorEastAsia"/>
          <w:color w:val="auto"/>
          <w:sz w:val="24"/>
          <w:szCs w:val="24"/>
          <w:highlight w:val="none"/>
        </w:rPr>
        <w:t>：</w:t>
      </w:r>
    </w:p>
    <w:p w14:paraId="5806E2F1">
      <w:pPr>
        <w:pStyle w:val="71"/>
        <w:adjustRightInd w:val="0"/>
        <w:snapToGrid w:val="0"/>
        <w:spacing w:line="44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兹有</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同志为</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公司法定代表人，代表我公司办理一切社会公务事宜，具有法律效力。 </w:t>
      </w:r>
    </w:p>
    <w:p w14:paraId="076E7A93">
      <w:pPr>
        <w:pStyle w:val="71"/>
        <w:adjustRightInd w:val="0"/>
        <w:snapToGrid w:val="0"/>
        <w:spacing w:line="44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附法定代表人基本情况： </w:t>
      </w:r>
    </w:p>
    <w:p w14:paraId="3882C25E">
      <w:pPr>
        <w:pStyle w:val="71"/>
        <w:adjustRightInd w:val="0"/>
        <w:snapToGrid w:val="0"/>
        <w:spacing w:line="440" w:lineRule="exact"/>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姓名：</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性别：</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年龄：</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职务：</w:t>
      </w:r>
      <w:r>
        <w:rPr>
          <w:rFonts w:hint="eastAsia" w:asciiTheme="majorEastAsia" w:hAnsiTheme="majorEastAsia" w:eastAsiaTheme="majorEastAsia" w:cstheme="majorEastAsia"/>
          <w:color w:val="auto"/>
          <w:sz w:val="24"/>
          <w:szCs w:val="24"/>
          <w:highlight w:val="none"/>
          <w:u w:val="single"/>
        </w:rPr>
        <w:t xml:space="preserve">         </w:t>
      </w:r>
    </w:p>
    <w:p w14:paraId="6247402A">
      <w:pPr>
        <w:pStyle w:val="71"/>
        <w:adjustRightInd w:val="0"/>
        <w:snapToGrid w:val="0"/>
        <w:spacing w:line="44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身份证号码：</w:t>
      </w:r>
      <w:r>
        <w:rPr>
          <w:rFonts w:hint="eastAsia" w:asciiTheme="majorEastAsia" w:hAnsiTheme="majorEastAsia" w:eastAsiaTheme="majorEastAsia" w:cstheme="majorEastAsia"/>
          <w:color w:val="auto"/>
          <w:sz w:val="24"/>
          <w:szCs w:val="24"/>
          <w:highlight w:val="none"/>
          <w:u w:val="single"/>
        </w:rPr>
        <w:t xml:space="preserve">                     </w:t>
      </w:r>
    </w:p>
    <w:p w14:paraId="02783599">
      <w:pPr>
        <w:pStyle w:val="71"/>
        <w:adjustRightInd w:val="0"/>
        <w:snapToGrid w:val="0"/>
        <w:spacing w:line="44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通讯地址：</w:t>
      </w:r>
      <w:r>
        <w:rPr>
          <w:rFonts w:hint="eastAsia" w:asciiTheme="majorEastAsia" w:hAnsiTheme="majorEastAsia" w:eastAsiaTheme="majorEastAsia" w:cstheme="majorEastAsia"/>
          <w:color w:val="auto"/>
          <w:sz w:val="24"/>
          <w:szCs w:val="24"/>
          <w:highlight w:val="none"/>
          <w:u w:val="single"/>
        </w:rPr>
        <w:t xml:space="preserve">                       </w:t>
      </w:r>
    </w:p>
    <w:p w14:paraId="2CBE9960">
      <w:pPr>
        <w:pStyle w:val="71"/>
        <w:adjustRightInd w:val="0"/>
        <w:snapToGrid w:val="0"/>
        <w:spacing w:line="44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电话号码：</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邮政编码：</w:t>
      </w:r>
      <w:r>
        <w:rPr>
          <w:rFonts w:hint="eastAsia" w:asciiTheme="majorEastAsia" w:hAnsiTheme="majorEastAsia" w:eastAsiaTheme="majorEastAsia" w:cstheme="majorEastAsia"/>
          <w:color w:val="auto"/>
          <w:sz w:val="24"/>
          <w:szCs w:val="24"/>
          <w:highlight w:val="none"/>
          <w:u w:val="single"/>
        </w:rPr>
        <w:t xml:space="preserve">               </w:t>
      </w:r>
    </w:p>
    <w:p w14:paraId="07C727A4">
      <w:pPr>
        <w:pStyle w:val="71"/>
        <w:adjustRightInd w:val="0"/>
        <w:snapToGrid w:val="0"/>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p>
    <w:p w14:paraId="5B0FE273">
      <w:pPr>
        <w:spacing w:line="300" w:lineRule="auto"/>
        <w:ind w:firstLine="960" w:firstLineChars="400"/>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679450</wp:posOffset>
                </wp:positionH>
                <wp:positionV relativeFrom="paragraph">
                  <wp:posOffset>97790</wp:posOffset>
                </wp:positionV>
                <wp:extent cx="4694555" cy="2221230"/>
                <wp:effectExtent l="4445" t="5080" r="6350" b="21590"/>
                <wp:wrapNone/>
                <wp:docPr id="2" name="文本框 2"/>
                <wp:cNvGraphicFramePr/>
                <a:graphic xmlns:a="http://schemas.openxmlformats.org/drawingml/2006/main">
                  <a:graphicData uri="http://schemas.microsoft.com/office/word/2010/wordprocessingShape">
                    <wps:wsp>
                      <wps:cNvSpPr txBox="1"/>
                      <wps:spPr>
                        <a:xfrm>
                          <a:off x="0" y="0"/>
                          <a:ext cx="4694555" cy="222123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14:paraId="12F116BB">
                            <w:pPr>
                              <w:jc w:val="center"/>
                            </w:pPr>
                          </w:p>
                          <w:p w14:paraId="5A462800">
                            <w:pPr>
                              <w:keepNext w:val="0"/>
                              <w:keepLines w:val="0"/>
                              <w:pageBreakBefore w:val="0"/>
                              <w:widowControl w:val="0"/>
                              <w:kinsoku/>
                              <w:wordWrap/>
                              <w:overflowPunct/>
                              <w:topLinePunct w:val="0"/>
                              <w:autoSpaceDE/>
                              <w:autoSpaceDN/>
                              <w:bidi w:val="0"/>
                              <w:adjustRightInd/>
                              <w:snapToGrid/>
                              <w:jc w:val="center"/>
                              <w:textAlignment w:val="auto"/>
                              <w:rPr>
                                <w:b/>
                              </w:rPr>
                            </w:pPr>
                          </w:p>
                          <w:p w14:paraId="543A470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24"/>
                              </w:rPr>
                            </w:pPr>
                          </w:p>
                          <w:p w14:paraId="23F9C7F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24"/>
                              </w:rPr>
                            </w:pPr>
                          </w:p>
                          <w:p w14:paraId="6508E81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24"/>
                              </w:rPr>
                            </w:pPr>
                          </w:p>
                          <w:p w14:paraId="3F56C97A">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sz w:val="24"/>
                              </w:rPr>
                            </w:pPr>
                            <w:r>
                              <w:rPr>
                                <w:rFonts w:hint="eastAsia" w:ascii="宋体" w:hAnsi="宋体"/>
                                <w:b/>
                                <w:sz w:val="24"/>
                              </w:rPr>
                              <w:t>此处附法人身份证</w:t>
                            </w:r>
                            <w:r>
                              <w:rPr>
                                <w:rFonts w:hint="eastAsia" w:ascii="宋体" w:hAnsi="宋体"/>
                                <w:b/>
                                <w:sz w:val="24"/>
                                <w:lang w:val="en-US" w:eastAsia="zh-CN"/>
                              </w:rPr>
                              <w:t>双</w:t>
                            </w:r>
                            <w:r>
                              <w:rPr>
                                <w:rFonts w:hint="eastAsia" w:ascii="宋体" w:hAnsi="宋体"/>
                                <w:b/>
                                <w:sz w:val="24"/>
                                <w:lang w:eastAsia="zh-CN"/>
                              </w:rPr>
                              <w:t>面</w:t>
                            </w:r>
                            <w:r>
                              <w:rPr>
                                <w:rFonts w:hint="eastAsia" w:ascii="宋体" w:hAnsi="宋体"/>
                                <w:b/>
                                <w:sz w:val="24"/>
                              </w:rPr>
                              <w:t>复印件</w:t>
                            </w:r>
                          </w:p>
                        </w:txbxContent>
                      </wps:txbx>
                      <wps:bodyPr upright="1"/>
                    </wps:wsp>
                  </a:graphicData>
                </a:graphic>
              </wp:anchor>
            </w:drawing>
          </mc:Choice>
          <mc:Fallback>
            <w:pict>
              <v:shape id="_x0000_s1026" o:spid="_x0000_s1026" o:spt="202" type="#_x0000_t202" style="position:absolute;left:0pt;margin-left:53.5pt;margin-top:7.7pt;height:174.9pt;width:369.65pt;z-index:251660288;mso-width-relative:page;mso-height-relative:page;" fillcolor="#FFFFFF" filled="t" stroked="t" coordsize="21600,21600" o:gfxdata="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0L52AAAAAoBAAAPAAAA&#10;AAAAAAEAIAAAACIAAABkcnMvZG93bnJldi54bWxQSwECFAAUAAAACACHTuJA4PddkBUCAABGBAAA&#10;DgAAAAAAAAABACAAAAAnAQAAZHJzL2Uyb0RvYy54bWxQSwUGAAAAAAYABgBZAQAArgUAAAAA&#10;">
                <v:fill on="t" focussize="0,0"/>
                <v:stroke color="#000000" joinstyle="miter" dashstyle="1 1"/>
                <v:imagedata o:title=""/>
                <o:lock v:ext="edit" aspectratio="f"/>
                <v:textbox>
                  <w:txbxContent>
                    <w:p w14:paraId="12F116BB">
                      <w:pPr>
                        <w:jc w:val="center"/>
                      </w:pPr>
                    </w:p>
                    <w:p w14:paraId="5A462800">
                      <w:pPr>
                        <w:keepNext w:val="0"/>
                        <w:keepLines w:val="0"/>
                        <w:pageBreakBefore w:val="0"/>
                        <w:widowControl w:val="0"/>
                        <w:kinsoku/>
                        <w:wordWrap/>
                        <w:overflowPunct/>
                        <w:topLinePunct w:val="0"/>
                        <w:autoSpaceDE/>
                        <w:autoSpaceDN/>
                        <w:bidi w:val="0"/>
                        <w:adjustRightInd/>
                        <w:snapToGrid/>
                        <w:jc w:val="center"/>
                        <w:textAlignment w:val="auto"/>
                        <w:rPr>
                          <w:b/>
                        </w:rPr>
                      </w:pPr>
                    </w:p>
                    <w:p w14:paraId="543A470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24"/>
                        </w:rPr>
                      </w:pPr>
                    </w:p>
                    <w:p w14:paraId="23F9C7F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24"/>
                        </w:rPr>
                      </w:pPr>
                    </w:p>
                    <w:p w14:paraId="6508E81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24"/>
                        </w:rPr>
                      </w:pPr>
                    </w:p>
                    <w:p w14:paraId="3F56C97A">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sz w:val="24"/>
                        </w:rPr>
                      </w:pPr>
                      <w:r>
                        <w:rPr>
                          <w:rFonts w:hint="eastAsia" w:ascii="宋体" w:hAnsi="宋体"/>
                          <w:b/>
                          <w:sz w:val="24"/>
                        </w:rPr>
                        <w:t>此处附法人身份证</w:t>
                      </w:r>
                      <w:r>
                        <w:rPr>
                          <w:rFonts w:hint="eastAsia" w:ascii="宋体" w:hAnsi="宋体"/>
                          <w:b/>
                          <w:sz w:val="24"/>
                          <w:lang w:val="en-US" w:eastAsia="zh-CN"/>
                        </w:rPr>
                        <w:t>双</w:t>
                      </w:r>
                      <w:r>
                        <w:rPr>
                          <w:rFonts w:hint="eastAsia" w:ascii="宋体" w:hAnsi="宋体"/>
                          <w:b/>
                          <w:sz w:val="24"/>
                          <w:lang w:eastAsia="zh-CN"/>
                        </w:rPr>
                        <w:t>面</w:t>
                      </w:r>
                      <w:r>
                        <w:rPr>
                          <w:rFonts w:hint="eastAsia" w:ascii="宋体" w:hAnsi="宋体"/>
                          <w:b/>
                          <w:sz w:val="24"/>
                        </w:rPr>
                        <w:t>复印件</w:t>
                      </w:r>
                    </w:p>
                  </w:txbxContent>
                </v:textbox>
              </v:shape>
            </w:pict>
          </mc:Fallback>
        </mc:AlternateContent>
      </w:r>
    </w:p>
    <w:p w14:paraId="1189613C">
      <w:pPr>
        <w:spacing w:line="300" w:lineRule="auto"/>
        <w:ind w:firstLine="960" w:firstLineChars="400"/>
        <w:rPr>
          <w:rFonts w:hint="eastAsia" w:asciiTheme="majorEastAsia" w:hAnsiTheme="majorEastAsia" w:eastAsiaTheme="majorEastAsia" w:cstheme="majorEastAsia"/>
          <w:color w:val="auto"/>
          <w:kern w:val="0"/>
          <w:sz w:val="24"/>
          <w:szCs w:val="24"/>
          <w:highlight w:val="none"/>
        </w:rPr>
      </w:pPr>
    </w:p>
    <w:p w14:paraId="2C61DD6E">
      <w:pPr>
        <w:pStyle w:val="10"/>
        <w:kinsoku w:val="0"/>
        <w:overflowPunct w:val="0"/>
        <w:spacing w:line="300" w:lineRule="auto"/>
        <w:rPr>
          <w:rFonts w:hint="eastAsia" w:asciiTheme="majorEastAsia" w:hAnsiTheme="majorEastAsia" w:eastAsiaTheme="majorEastAsia" w:cstheme="majorEastAsia"/>
          <w:color w:val="auto"/>
          <w:sz w:val="24"/>
          <w:szCs w:val="24"/>
          <w:highlight w:val="none"/>
        </w:rPr>
      </w:pPr>
    </w:p>
    <w:p w14:paraId="6EFFCCBD">
      <w:pPr>
        <w:pStyle w:val="10"/>
        <w:kinsoku w:val="0"/>
        <w:overflowPunct w:val="0"/>
        <w:spacing w:line="300" w:lineRule="auto"/>
        <w:rPr>
          <w:rFonts w:hint="eastAsia" w:asciiTheme="majorEastAsia" w:hAnsiTheme="majorEastAsia" w:eastAsiaTheme="majorEastAsia" w:cstheme="majorEastAsia"/>
          <w:color w:val="auto"/>
          <w:sz w:val="24"/>
          <w:szCs w:val="24"/>
          <w:highlight w:val="none"/>
        </w:rPr>
      </w:pPr>
    </w:p>
    <w:p w14:paraId="6EB615B7">
      <w:pPr>
        <w:wordWrap w:val="0"/>
        <w:spacing w:line="300" w:lineRule="auto"/>
        <w:ind w:firstLine="480" w:firstLineChars="200"/>
        <w:jc w:val="right"/>
        <w:rPr>
          <w:rFonts w:hint="eastAsia" w:asciiTheme="majorEastAsia" w:hAnsiTheme="majorEastAsia" w:eastAsiaTheme="majorEastAsia" w:cstheme="majorEastAsia"/>
          <w:color w:val="auto"/>
          <w:kern w:val="0"/>
          <w:sz w:val="24"/>
          <w:szCs w:val="24"/>
          <w:highlight w:val="none"/>
        </w:rPr>
      </w:pPr>
    </w:p>
    <w:p w14:paraId="5D785B5F">
      <w:pPr>
        <w:spacing w:line="300" w:lineRule="auto"/>
        <w:ind w:firstLine="480" w:firstLineChars="200"/>
        <w:jc w:val="right"/>
        <w:rPr>
          <w:rFonts w:hint="eastAsia" w:asciiTheme="majorEastAsia" w:hAnsiTheme="majorEastAsia" w:eastAsiaTheme="majorEastAsia" w:cstheme="majorEastAsia"/>
          <w:color w:val="auto"/>
          <w:kern w:val="0"/>
          <w:sz w:val="24"/>
          <w:szCs w:val="24"/>
          <w:highlight w:val="none"/>
        </w:rPr>
      </w:pPr>
    </w:p>
    <w:p w14:paraId="3DD2F1A6">
      <w:pPr>
        <w:spacing w:line="300" w:lineRule="auto"/>
        <w:ind w:firstLine="480" w:firstLineChars="200"/>
        <w:jc w:val="right"/>
        <w:rPr>
          <w:rFonts w:hint="eastAsia" w:asciiTheme="majorEastAsia" w:hAnsiTheme="majorEastAsia" w:eastAsiaTheme="majorEastAsia" w:cstheme="majorEastAsia"/>
          <w:color w:val="auto"/>
          <w:kern w:val="0"/>
          <w:sz w:val="24"/>
          <w:szCs w:val="24"/>
          <w:highlight w:val="none"/>
        </w:rPr>
      </w:pPr>
    </w:p>
    <w:p w14:paraId="0481A42A">
      <w:pPr>
        <w:pStyle w:val="71"/>
        <w:adjustRightInd w:val="0"/>
        <w:snapToGrid w:val="0"/>
        <w:spacing w:line="440" w:lineRule="exact"/>
        <w:rPr>
          <w:rFonts w:hint="eastAsia" w:asciiTheme="majorEastAsia" w:hAnsiTheme="majorEastAsia" w:eastAsiaTheme="majorEastAsia" w:cstheme="majorEastAsia"/>
          <w:color w:val="auto"/>
          <w:sz w:val="24"/>
          <w:szCs w:val="24"/>
          <w:highlight w:val="none"/>
        </w:rPr>
      </w:pPr>
    </w:p>
    <w:p w14:paraId="3AB63018">
      <w:pPr>
        <w:pStyle w:val="71"/>
        <w:tabs>
          <w:tab w:val="left" w:pos="750"/>
        </w:tabs>
        <w:adjustRightInd w:val="0"/>
        <w:snapToGrid w:val="0"/>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rPr>
        <w:tab/>
      </w:r>
    </w:p>
    <w:p w14:paraId="7786297B">
      <w:pPr>
        <w:pStyle w:val="71"/>
        <w:tabs>
          <w:tab w:val="left" w:pos="750"/>
        </w:tabs>
        <w:adjustRightInd w:val="0"/>
        <w:snapToGrid w:val="0"/>
        <w:spacing w:line="440" w:lineRule="exact"/>
        <w:ind w:firstLine="720" w:firstLineChars="300"/>
        <w:rPr>
          <w:rFonts w:hint="eastAsia" w:asciiTheme="majorEastAsia" w:hAnsiTheme="majorEastAsia" w:eastAsiaTheme="majorEastAsia" w:cstheme="majorEastAsia"/>
          <w:color w:val="auto"/>
          <w:sz w:val="24"/>
          <w:szCs w:val="24"/>
          <w:highlight w:val="none"/>
        </w:rPr>
      </w:pPr>
    </w:p>
    <w:p w14:paraId="6B5BE9B8">
      <w:pPr>
        <w:pStyle w:val="71"/>
        <w:tabs>
          <w:tab w:val="left" w:pos="750"/>
        </w:tabs>
        <w:adjustRightInd w:val="0"/>
        <w:snapToGrid w:val="0"/>
        <w:spacing w:line="440" w:lineRule="exact"/>
        <w:ind w:firstLine="720" w:firstLineChars="3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供应商名称（</w:t>
      </w:r>
      <w:r>
        <w:rPr>
          <w:rFonts w:hint="eastAsia" w:asciiTheme="majorEastAsia" w:hAnsiTheme="majorEastAsia" w:eastAsiaTheme="majorEastAsia" w:cstheme="majorEastAsia"/>
          <w:color w:val="auto"/>
          <w:sz w:val="24"/>
          <w:szCs w:val="24"/>
          <w:highlight w:val="none"/>
          <w:lang w:eastAsia="zh-CN"/>
        </w:rPr>
        <w:t>电子公章</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u w:val="single"/>
        </w:rPr>
        <w:t xml:space="preserve">           </w:t>
      </w:r>
    </w:p>
    <w:p w14:paraId="4E7D2595">
      <w:pPr>
        <w:pStyle w:val="71"/>
        <w:tabs>
          <w:tab w:val="left" w:pos="750"/>
        </w:tabs>
        <w:adjustRightInd w:val="0"/>
        <w:snapToGrid w:val="0"/>
        <w:spacing w:line="440" w:lineRule="exact"/>
        <w:rPr>
          <w:rFonts w:hint="eastAsia" w:asciiTheme="majorEastAsia" w:hAnsiTheme="majorEastAsia" w:eastAsiaTheme="majorEastAsia" w:cstheme="majorEastAsia"/>
          <w:color w:val="auto"/>
          <w:sz w:val="24"/>
          <w:szCs w:val="24"/>
          <w:highlight w:val="none"/>
        </w:rPr>
      </w:pPr>
    </w:p>
    <w:p w14:paraId="4ACFD0D5">
      <w:pPr>
        <w:pStyle w:val="71"/>
        <w:tabs>
          <w:tab w:val="left" w:pos="750"/>
        </w:tabs>
        <w:adjustRightInd w:val="0"/>
        <w:snapToGrid w:val="0"/>
        <w:spacing w:line="440" w:lineRule="exact"/>
        <w:ind w:firstLine="720" w:firstLineChars="3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w:t>
      </w:r>
      <w:r>
        <w:rPr>
          <w:rFonts w:hint="eastAsia" w:asciiTheme="majorEastAsia" w:hAnsiTheme="majorEastAsia" w:eastAsiaTheme="majorEastAsia" w:cstheme="majorEastAsia"/>
          <w:color w:val="auto"/>
          <w:sz w:val="24"/>
          <w:szCs w:val="24"/>
          <w:highlight w:val="none"/>
          <w:lang w:eastAsia="zh-CN"/>
        </w:rPr>
        <w:t>电子签字或盖章</w:t>
      </w:r>
      <w:r>
        <w:rPr>
          <w:rFonts w:hint="eastAsia" w:asciiTheme="majorEastAsia" w:hAnsiTheme="majorEastAsia" w:eastAsiaTheme="majorEastAsia" w:cstheme="majorEastAsia"/>
          <w:color w:val="auto"/>
          <w:sz w:val="24"/>
          <w:szCs w:val="24"/>
          <w:highlight w:val="none"/>
        </w:rPr>
        <w:t>） ：</w:t>
      </w:r>
      <w:r>
        <w:rPr>
          <w:rFonts w:hint="eastAsia" w:asciiTheme="majorEastAsia" w:hAnsiTheme="majorEastAsia" w:eastAsiaTheme="majorEastAsia" w:cstheme="majorEastAsia"/>
          <w:color w:val="auto"/>
          <w:sz w:val="24"/>
          <w:szCs w:val="24"/>
          <w:highlight w:val="none"/>
          <w:u w:val="single"/>
        </w:rPr>
        <w:t xml:space="preserve">           </w:t>
      </w:r>
    </w:p>
    <w:p w14:paraId="2FF21004">
      <w:pPr>
        <w:pStyle w:val="71"/>
        <w:tabs>
          <w:tab w:val="left" w:pos="750"/>
        </w:tabs>
        <w:adjustRightInd w:val="0"/>
        <w:snapToGrid w:val="0"/>
        <w:spacing w:line="440" w:lineRule="exact"/>
        <w:rPr>
          <w:rFonts w:hint="eastAsia" w:asciiTheme="majorEastAsia" w:hAnsiTheme="majorEastAsia" w:eastAsiaTheme="majorEastAsia" w:cstheme="majorEastAsia"/>
          <w:color w:val="auto"/>
          <w:sz w:val="24"/>
          <w:szCs w:val="24"/>
          <w:highlight w:val="none"/>
        </w:rPr>
      </w:pPr>
    </w:p>
    <w:p w14:paraId="376EA090">
      <w:pPr>
        <w:pStyle w:val="71"/>
        <w:tabs>
          <w:tab w:val="left" w:pos="750"/>
        </w:tabs>
        <w:adjustRightInd w:val="0"/>
        <w:snapToGrid w:val="0"/>
        <w:spacing w:line="440" w:lineRule="exact"/>
        <w:ind w:firstLine="720" w:firstLineChars="3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日期：</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日</w:t>
      </w:r>
    </w:p>
    <w:p w14:paraId="26AADECF">
      <w:pPr>
        <w:spacing w:line="360" w:lineRule="auto"/>
        <w:ind w:left="540"/>
        <w:contextualSpacing/>
        <w:rPr>
          <w:rFonts w:hint="eastAsia" w:asciiTheme="majorEastAsia" w:hAnsiTheme="majorEastAsia" w:eastAsiaTheme="majorEastAsia" w:cstheme="majorEastAsia"/>
          <w:color w:val="auto"/>
          <w:sz w:val="24"/>
          <w:szCs w:val="24"/>
          <w:highlight w:val="none"/>
        </w:rPr>
      </w:pPr>
    </w:p>
    <w:p w14:paraId="1C483BD9">
      <w:pPr>
        <w:adjustRightInd w:val="0"/>
        <w:snapToGrid w:val="0"/>
        <w:spacing w:line="300" w:lineRule="auto"/>
        <w:jc w:val="left"/>
        <w:rPr>
          <w:rFonts w:hint="eastAsia" w:asciiTheme="majorEastAsia" w:hAnsiTheme="majorEastAsia" w:eastAsiaTheme="majorEastAsia" w:cstheme="majorEastAsia"/>
          <w:b/>
          <w:color w:val="auto"/>
          <w:szCs w:val="21"/>
          <w:highlight w:val="none"/>
        </w:rPr>
      </w:pPr>
    </w:p>
    <w:p w14:paraId="436ECC72">
      <w:pPr>
        <w:widowControl/>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br w:type="page"/>
      </w:r>
    </w:p>
    <w:p w14:paraId="7CA98AAE">
      <w:pPr>
        <w:spacing w:line="520" w:lineRule="exact"/>
        <w:ind w:firstLine="880"/>
        <w:jc w:val="center"/>
        <w:rPr>
          <w:rFonts w:hint="eastAsia" w:asciiTheme="majorEastAsia" w:hAnsiTheme="majorEastAsia" w:eastAsiaTheme="majorEastAsia" w:cstheme="majorEastAsia"/>
          <w:bCs/>
          <w:color w:val="auto"/>
          <w:sz w:val="44"/>
          <w:szCs w:val="44"/>
          <w:highlight w:val="none"/>
        </w:rPr>
      </w:pPr>
      <w:r>
        <w:rPr>
          <w:rFonts w:hint="eastAsia" w:asciiTheme="majorEastAsia" w:hAnsiTheme="majorEastAsia" w:eastAsiaTheme="majorEastAsia" w:cstheme="majorEastAsia"/>
          <w:b/>
          <w:color w:val="auto"/>
          <w:sz w:val="30"/>
          <w:szCs w:val="30"/>
          <w:highlight w:val="none"/>
        </w:rPr>
        <w:t>法定代表人授权委托书</w:t>
      </w:r>
      <w:r>
        <w:rPr>
          <w:rFonts w:hint="eastAsia" w:asciiTheme="majorEastAsia" w:hAnsiTheme="majorEastAsia" w:eastAsiaTheme="majorEastAsia" w:cstheme="majorEastAsia"/>
          <w:color w:val="auto"/>
          <w:sz w:val="30"/>
          <w:szCs w:val="30"/>
          <w:highlight w:val="none"/>
        </w:rPr>
        <w:t>（如有委托时）</w:t>
      </w:r>
    </w:p>
    <w:p w14:paraId="170FD750">
      <w:pPr>
        <w:spacing w:line="500" w:lineRule="exact"/>
        <w:jc w:val="center"/>
        <w:rPr>
          <w:rFonts w:hint="eastAsia" w:asciiTheme="majorEastAsia" w:hAnsiTheme="majorEastAsia" w:eastAsiaTheme="majorEastAsia" w:cstheme="majorEastAsia"/>
          <w:color w:val="auto"/>
          <w:sz w:val="44"/>
          <w:szCs w:val="44"/>
          <w:highlight w:val="none"/>
        </w:rPr>
      </w:pPr>
    </w:p>
    <w:p w14:paraId="7BC5E4C1">
      <w:pPr>
        <w:spacing w:line="360" w:lineRule="auto"/>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24"/>
          <w:highlight w:val="none"/>
        </w:rPr>
        <w:t>致：</w:t>
      </w:r>
      <w:r>
        <w:rPr>
          <w:rFonts w:hint="eastAsia" w:asciiTheme="majorEastAsia" w:hAnsiTheme="majorEastAsia" w:eastAsiaTheme="majorEastAsia" w:cstheme="majorEastAsia"/>
          <w:color w:val="auto"/>
          <w:sz w:val="24"/>
          <w:highlight w:val="none"/>
          <w:u w:val="single"/>
          <w:lang w:eastAsia="zh-CN"/>
        </w:rPr>
        <w:t>（</w:t>
      </w:r>
      <w:r>
        <w:rPr>
          <w:rFonts w:hint="eastAsia" w:asciiTheme="majorEastAsia" w:hAnsiTheme="majorEastAsia" w:eastAsiaTheme="majorEastAsia" w:cstheme="majorEastAsia"/>
          <w:color w:val="auto"/>
          <w:sz w:val="24"/>
          <w:szCs w:val="28"/>
          <w:highlight w:val="none"/>
          <w:u w:val="single"/>
          <w:lang w:val="en-US" w:eastAsia="zh-CN"/>
        </w:rPr>
        <w:t>采购单位</w:t>
      </w:r>
      <w:r>
        <w:rPr>
          <w:rFonts w:hint="eastAsia" w:asciiTheme="majorEastAsia" w:hAnsiTheme="majorEastAsia" w:eastAsiaTheme="majorEastAsia" w:cstheme="majorEastAsia"/>
          <w:color w:val="auto"/>
          <w:sz w:val="24"/>
          <w:szCs w:val="28"/>
          <w:highlight w:val="none"/>
          <w:u w:val="single"/>
        </w:rPr>
        <w:t>名称</w:t>
      </w:r>
      <w:r>
        <w:rPr>
          <w:rFonts w:hint="eastAsia" w:asciiTheme="majorEastAsia" w:hAnsiTheme="majorEastAsia" w:eastAsiaTheme="majorEastAsia" w:cstheme="majorEastAsia"/>
          <w:color w:val="auto"/>
          <w:sz w:val="28"/>
          <w:szCs w:val="28"/>
          <w:highlight w:val="none"/>
          <w:u w:val="single"/>
          <w:lang w:eastAsia="zh-CN"/>
        </w:rPr>
        <w:t>）</w:t>
      </w:r>
      <w:r>
        <w:rPr>
          <w:rFonts w:hint="eastAsia" w:asciiTheme="majorEastAsia" w:hAnsiTheme="majorEastAsia" w:eastAsiaTheme="majorEastAsia" w:cstheme="majorEastAsia"/>
          <w:color w:val="auto"/>
          <w:sz w:val="24"/>
          <w:highlight w:val="none"/>
        </w:rPr>
        <w:t>：</w:t>
      </w:r>
    </w:p>
    <w:p w14:paraId="4C6D1A8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w:t>
      </w:r>
      <w:r>
        <w:rPr>
          <w:rFonts w:hint="eastAsia" w:asciiTheme="majorEastAsia" w:hAnsiTheme="majorEastAsia" w:eastAsiaTheme="majorEastAsia" w:cstheme="majorEastAsia"/>
          <w:color w:val="auto"/>
          <w:sz w:val="24"/>
          <w:highlight w:val="none"/>
          <w:u w:val="single"/>
        </w:rPr>
        <w:t xml:space="preserve">  （姓名）  </w:t>
      </w:r>
      <w:r>
        <w:rPr>
          <w:rFonts w:hint="eastAsia" w:asciiTheme="majorEastAsia" w:hAnsiTheme="majorEastAsia" w:eastAsiaTheme="majorEastAsia" w:cstheme="majorEastAsia"/>
          <w:color w:val="auto"/>
          <w:sz w:val="24"/>
          <w:highlight w:val="none"/>
        </w:rPr>
        <w:t>系</w:t>
      </w:r>
      <w:r>
        <w:rPr>
          <w:rFonts w:hint="eastAsia" w:asciiTheme="majorEastAsia" w:hAnsiTheme="majorEastAsia" w:eastAsiaTheme="majorEastAsia" w:cstheme="majorEastAsia"/>
          <w:color w:val="auto"/>
          <w:sz w:val="24"/>
          <w:highlight w:val="none"/>
          <w:u w:val="single"/>
        </w:rPr>
        <w:t xml:space="preserve">  （供应商名称）  </w:t>
      </w:r>
      <w:r>
        <w:rPr>
          <w:rFonts w:hint="eastAsia" w:asciiTheme="majorEastAsia" w:hAnsiTheme="majorEastAsia" w:eastAsiaTheme="majorEastAsia" w:cstheme="majorEastAsia"/>
          <w:color w:val="auto"/>
          <w:sz w:val="24"/>
          <w:highlight w:val="none"/>
        </w:rPr>
        <w:t>的（</w:t>
      </w:r>
      <w:r>
        <w:rPr>
          <w:rFonts w:hint="eastAsia" w:asciiTheme="majorEastAsia" w:hAnsiTheme="majorEastAsia" w:eastAsiaTheme="majorEastAsia" w:cstheme="majorEastAsia"/>
          <w:color w:val="auto"/>
          <w:sz w:val="24"/>
          <w:highlight w:val="none"/>
          <w:u w:val="single"/>
        </w:rPr>
        <w:t>□法定代表人/□负责人/□自然人本人</w:t>
      </w:r>
      <w:r>
        <w:rPr>
          <w:rFonts w:hint="eastAsia" w:asciiTheme="majorEastAsia" w:hAnsiTheme="majorEastAsia" w:eastAsiaTheme="majorEastAsia" w:cstheme="majorEastAsia"/>
          <w:color w:val="auto"/>
          <w:sz w:val="24"/>
          <w:highlight w:val="none"/>
        </w:rPr>
        <w:t>），现授权</w:t>
      </w:r>
      <w:r>
        <w:rPr>
          <w:rFonts w:hint="eastAsia" w:asciiTheme="majorEastAsia" w:hAnsiTheme="majorEastAsia" w:eastAsiaTheme="majorEastAsia" w:cstheme="majorEastAsia"/>
          <w:color w:val="auto"/>
          <w:sz w:val="24"/>
          <w:highlight w:val="none"/>
          <w:u w:val="single"/>
        </w:rPr>
        <w:t xml:space="preserve"> （姓名） </w:t>
      </w:r>
      <w:r>
        <w:rPr>
          <w:rFonts w:hint="eastAsia" w:asciiTheme="majorEastAsia" w:hAnsiTheme="majorEastAsia" w:eastAsiaTheme="majorEastAsia" w:cstheme="majorEastAsia"/>
          <w:color w:val="auto"/>
          <w:sz w:val="24"/>
          <w:highlight w:val="none"/>
        </w:rPr>
        <w:t>以我方的名义参加</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u w:val="single"/>
          <w:lang w:eastAsia="zh-CN"/>
        </w:rPr>
        <w:t xml:space="preserve">  </w:t>
      </w:r>
      <w:r>
        <w:rPr>
          <w:rFonts w:hint="eastAsia" w:asciiTheme="majorEastAsia" w:hAnsiTheme="majorEastAsia" w:eastAsiaTheme="majorEastAsia" w:cstheme="majorEastAsia"/>
          <w:color w:val="auto"/>
          <w:sz w:val="24"/>
          <w:highlight w:val="none"/>
        </w:rPr>
        <w:t>项目的</w:t>
      </w:r>
      <w:r>
        <w:rPr>
          <w:rFonts w:hint="eastAsia" w:asciiTheme="majorEastAsia" w:hAnsiTheme="majorEastAsia" w:eastAsiaTheme="majorEastAsia" w:cstheme="majorEastAsia"/>
          <w:color w:val="auto"/>
          <w:sz w:val="24"/>
          <w:highlight w:val="none"/>
          <w:lang w:val="en-US" w:eastAsia="zh-CN"/>
        </w:rPr>
        <w:t>采购</w:t>
      </w:r>
      <w:r>
        <w:rPr>
          <w:rFonts w:hint="eastAsia" w:asciiTheme="majorEastAsia" w:hAnsiTheme="majorEastAsia" w:eastAsiaTheme="majorEastAsia" w:cstheme="majorEastAsia"/>
          <w:color w:val="auto"/>
          <w:sz w:val="24"/>
          <w:highlight w:val="none"/>
        </w:rPr>
        <w:t>活动，并代表我方全权办理针对上述项目的所有采购程序和环节的具体事务和签署相关文件。</w:t>
      </w:r>
    </w:p>
    <w:p w14:paraId="0963846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我方对委托代理人的签字事项负全部责任。</w:t>
      </w:r>
    </w:p>
    <w:p w14:paraId="2B2C72F6">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本授权书自签署之日起生效，在撤销授权的书面通知以前，本授权书一直有效。委托代理人在授权书有效期内签署的所有文件不因授权的撤销而失效。</w:t>
      </w:r>
    </w:p>
    <w:p w14:paraId="04FF8F3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委托代理人无转委托权，特此委托。</w:t>
      </w:r>
    </w:p>
    <w:p w14:paraId="7FB63174">
      <w:pPr>
        <w:wordWrap w:val="0"/>
        <w:spacing w:line="300" w:lineRule="auto"/>
        <w:ind w:firstLine="420" w:firstLineChars="200"/>
        <w:jc w:val="righ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670560</wp:posOffset>
                </wp:positionH>
                <wp:positionV relativeFrom="paragraph">
                  <wp:posOffset>90170</wp:posOffset>
                </wp:positionV>
                <wp:extent cx="4671695" cy="1670685"/>
                <wp:effectExtent l="5080" t="5080" r="9525" b="19685"/>
                <wp:wrapNone/>
                <wp:docPr id="4" name="文本框 4"/>
                <wp:cNvGraphicFramePr/>
                <a:graphic xmlns:a="http://schemas.openxmlformats.org/drawingml/2006/main">
                  <a:graphicData uri="http://schemas.microsoft.com/office/word/2010/wordprocessingShape">
                    <wps:wsp>
                      <wps:cNvSpPr txBox="1"/>
                      <wps:spPr>
                        <a:xfrm>
                          <a:off x="0" y="0"/>
                          <a:ext cx="4671695" cy="1670685"/>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14:paraId="01430E2D">
                            <w:pPr>
                              <w:jc w:val="center"/>
                            </w:pPr>
                          </w:p>
                          <w:p w14:paraId="414C8BDC">
                            <w:pPr>
                              <w:jc w:val="center"/>
                              <w:rPr>
                                <w:b/>
                              </w:rPr>
                            </w:pPr>
                          </w:p>
                          <w:p w14:paraId="1F0E1272">
                            <w:pPr>
                              <w:jc w:val="center"/>
                              <w:rPr>
                                <w:rFonts w:hint="eastAsia" w:ascii="宋体" w:hAnsi="宋体"/>
                                <w:b/>
                                <w:sz w:val="24"/>
                              </w:rPr>
                            </w:pPr>
                          </w:p>
                          <w:p w14:paraId="2ADD7BA5">
                            <w:pPr>
                              <w:jc w:val="center"/>
                              <w:rPr>
                                <w:rFonts w:ascii="宋体" w:hAnsi="宋体"/>
                                <w:b/>
                                <w:sz w:val="24"/>
                              </w:rPr>
                            </w:pPr>
                            <w:r>
                              <w:rPr>
                                <w:rFonts w:hint="eastAsia" w:ascii="宋体" w:hAnsi="宋体"/>
                                <w:b/>
                                <w:sz w:val="24"/>
                              </w:rPr>
                              <w:t>此处附法人身份证</w:t>
                            </w:r>
                            <w:r>
                              <w:rPr>
                                <w:rFonts w:hint="eastAsia" w:ascii="宋体" w:hAnsi="宋体"/>
                                <w:b/>
                                <w:sz w:val="24"/>
                                <w:lang w:val="en-US" w:eastAsia="zh-CN"/>
                              </w:rPr>
                              <w:t>双</w:t>
                            </w:r>
                            <w:r>
                              <w:rPr>
                                <w:rFonts w:hint="eastAsia" w:ascii="宋体" w:hAnsi="宋体"/>
                                <w:b/>
                                <w:sz w:val="24"/>
                                <w:lang w:eastAsia="zh-CN"/>
                              </w:rPr>
                              <w:t>面</w:t>
                            </w:r>
                            <w:r>
                              <w:rPr>
                                <w:rFonts w:hint="eastAsia" w:ascii="宋体" w:hAnsi="宋体"/>
                                <w:b/>
                                <w:sz w:val="24"/>
                              </w:rPr>
                              <w:t>复印件</w:t>
                            </w:r>
                          </w:p>
                          <w:p w14:paraId="2163DB46">
                            <w:pPr>
                              <w:jc w:val="center"/>
                              <w:rPr>
                                <w:rFonts w:ascii="宋体" w:hAnsi="宋体"/>
                                <w:b/>
                                <w:sz w:val="24"/>
                              </w:rPr>
                            </w:pPr>
                          </w:p>
                        </w:txbxContent>
                      </wps:txbx>
                      <wps:bodyPr upright="1"/>
                    </wps:wsp>
                  </a:graphicData>
                </a:graphic>
              </wp:anchor>
            </w:drawing>
          </mc:Choice>
          <mc:Fallback>
            <w:pict>
              <v:shape id="_x0000_s1026" o:spid="_x0000_s1026" o:spt="202" type="#_x0000_t202" style="position:absolute;left:0pt;margin-left:52.8pt;margin-top:7.1pt;height:131.55pt;width:367.85pt;z-index:251662336;mso-width-relative:page;mso-height-relative:page;" fillcolor="#FFFFFF" filled="t" stroked="t" coordsize="21600,21600" o:gfxdata="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WutSfYAAAACgEAAA8AAAAA&#10;AAAAAQAgAAAAIgAAAGRycy9kb3ducmV2LnhtbFBLAQIUABQAAAAIAIdO4kAYuP5+FAIAAEYEAAAO&#10;AAAAAAAAAAEAIAAAACcBAABkcnMvZTJvRG9jLnhtbFBLBQYAAAAABgAGAFkBAACtBQAAAAA=&#10;">
                <v:fill on="t" focussize="0,0"/>
                <v:stroke color="#000000" joinstyle="miter" dashstyle="1 1"/>
                <v:imagedata o:title=""/>
                <o:lock v:ext="edit" aspectratio="f"/>
                <v:textbox>
                  <w:txbxContent>
                    <w:p w14:paraId="01430E2D">
                      <w:pPr>
                        <w:jc w:val="center"/>
                      </w:pPr>
                    </w:p>
                    <w:p w14:paraId="414C8BDC">
                      <w:pPr>
                        <w:jc w:val="center"/>
                        <w:rPr>
                          <w:b/>
                        </w:rPr>
                      </w:pPr>
                    </w:p>
                    <w:p w14:paraId="1F0E1272">
                      <w:pPr>
                        <w:jc w:val="center"/>
                        <w:rPr>
                          <w:rFonts w:hint="eastAsia" w:ascii="宋体" w:hAnsi="宋体"/>
                          <w:b/>
                          <w:sz w:val="24"/>
                        </w:rPr>
                      </w:pPr>
                    </w:p>
                    <w:p w14:paraId="2ADD7BA5">
                      <w:pPr>
                        <w:jc w:val="center"/>
                        <w:rPr>
                          <w:rFonts w:ascii="宋体" w:hAnsi="宋体"/>
                          <w:b/>
                          <w:sz w:val="24"/>
                        </w:rPr>
                      </w:pPr>
                      <w:r>
                        <w:rPr>
                          <w:rFonts w:hint="eastAsia" w:ascii="宋体" w:hAnsi="宋体"/>
                          <w:b/>
                          <w:sz w:val="24"/>
                        </w:rPr>
                        <w:t>此处附法人身份证</w:t>
                      </w:r>
                      <w:r>
                        <w:rPr>
                          <w:rFonts w:hint="eastAsia" w:ascii="宋体" w:hAnsi="宋体"/>
                          <w:b/>
                          <w:sz w:val="24"/>
                          <w:lang w:val="en-US" w:eastAsia="zh-CN"/>
                        </w:rPr>
                        <w:t>双</w:t>
                      </w:r>
                      <w:r>
                        <w:rPr>
                          <w:rFonts w:hint="eastAsia" w:ascii="宋体" w:hAnsi="宋体"/>
                          <w:b/>
                          <w:sz w:val="24"/>
                          <w:lang w:eastAsia="zh-CN"/>
                        </w:rPr>
                        <w:t>面</w:t>
                      </w:r>
                      <w:r>
                        <w:rPr>
                          <w:rFonts w:hint="eastAsia" w:ascii="宋体" w:hAnsi="宋体"/>
                          <w:b/>
                          <w:sz w:val="24"/>
                        </w:rPr>
                        <w:t>复印件</w:t>
                      </w:r>
                    </w:p>
                    <w:p w14:paraId="2163DB46">
                      <w:pPr>
                        <w:jc w:val="center"/>
                        <w:rPr>
                          <w:rFonts w:ascii="宋体" w:hAnsi="宋体"/>
                          <w:b/>
                          <w:sz w:val="24"/>
                        </w:rPr>
                      </w:pPr>
                    </w:p>
                  </w:txbxContent>
                </v:textbox>
              </v:shape>
            </w:pict>
          </mc:Fallback>
        </mc:AlternateContent>
      </w:r>
    </w:p>
    <w:p w14:paraId="3A90D840">
      <w:pPr>
        <w:wordWrap w:val="0"/>
        <w:spacing w:line="300" w:lineRule="auto"/>
        <w:ind w:firstLine="480" w:firstLineChars="200"/>
        <w:jc w:val="right"/>
        <w:rPr>
          <w:rFonts w:hint="eastAsia" w:asciiTheme="majorEastAsia" w:hAnsiTheme="majorEastAsia" w:eastAsiaTheme="majorEastAsia" w:cstheme="majorEastAsia"/>
          <w:color w:val="auto"/>
          <w:kern w:val="0"/>
          <w:sz w:val="24"/>
          <w:highlight w:val="none"/>
        </w:rPr>
      </w:pPr>
    </w:p>
    <w:p w14:paraId="616A0CDF">
      <w:pPr>
        <w:spacing w:line="300" w:lineRule="auto"/>
        <w:ind w:firstLine="480" w:firstLineChars="200"/>
        <w:jc w:val="right"/>
        <w:rPr>
          <w:rFonts w:hint="eastAsia" w:asciiTheme="majorEastAsia" w:hAnsiTheme="majorEastAsia" w:eastAsiaTheme="majorEastAsia" w:cstheme="majorEastAsia"/>
          <w:color w:val="auto"/>
          <w:kern w:val="0"/>
          <w:sz w:val="24"/>
          <w:highlight w:val="none"/>
        </w:rPr>
      </w:pPr>
    </w:p>
    <w:p w14:paraId="13F3399B">
      <w:pPr>
        <w:spacing w:line="300" w:lineRule="auto"/>
        <w:ind w:firstLine="480" w:firstLineChars="200"/>
        <w:jc w:val="right"/>
        <w:rPr>
          <w:rFonts w:hint="eastAsia" w:asciiTheme="majorEastAsia" w:hAnsiTheme="majorEastAsia" w:eastAsiaTheme="majorEastAsia" w:cstheme="majorEastAsia"/>
          <w:color w:val="auto"/>
          <w:kern w:val="0"/>
          <w:sz w:val="24"/>
          <w:highlight w:val="none"/>
        </w:rPr>
      </w:pPr>
    </w:p>
    <w:p w14:paraId="54C3F0FB">
      <w:pPr>
        <w:spacing w:line="300" w:lineRule="auto"/>
        <w:ind w:firstLine="480" w:firstLineChars="200"/>
        <w:jc w:val="right"/>
        <w:rPr>
          <w:rFonts w:hint="eastAsia" w:asciiTheme="majorEastAsia" w:hAnsiTheme="majorEastAsia" w:eastAsiaTheme="majorEastAsia" w:cstheme="majorEastAsia"/>
          <w:color w:val="auto"/>
          <w:kern w:val="0"/>
          <w:sz w:val="24"/>
          <w:highlight w:val="none"/>
        </w:rPr>
      </w:pPr>
    </w:p>
    <w:p w14:paraId="1D95F279">
      <w:pPr>
        <w:spacing w:line="300" w:lineRule="auto"/>
        <w:ind w:firstLine="960" w:firstLineChars="400"/>
        <w:rPr>
          <w:rFonts w:hint="eastAsia" w:asciiTheme="majorEastAsia" w:hAnsiTheme="majorEastAsia" w:eastAsiaTheme="majorEastAsia" w:cstheme="majorEastAsia"/>
          <w:color w:val="auto"/>
          <w:kern w:val="0"/>
          <w:sz w:val="24"/>
          <w:highlight w:val="none"/>
        </w:rPr>
      </w:pPr>
    </w:p>
    <w:p w14:paraId="51295024">
      <w:pPr>
        <w:spacing w:line="300" w:lineRule="auto"/>
        <w:ind w:firstLine="960" w:firstLineChars="400"/>
        <w:rPr>
          <w:rFonts w:hint="eastAsia" w:asciiTheme="majorEastAsia" w:hAnsiTheme="majorEastAsia" w:eastAsiaTheme="majorEastAsia" w:cstheme="majorEastAsia"/>
          <w:color w:val="auto"/>
          <w:kern w:val="0"/>
          <w:sz w:val="24"/>
          <w:highlight w:val="none"/>
        </w:rPr>
      </w:pPr>
    </w:p>
    <w:p w14:paraId="73372FD4">
      <w:pPr>
        <w:pStyle w:val="10"/>
        <w:kinsoku w:val="0"/>
        <w:overflowPunct w:val="0"/>
        <w:spacing w:line="300" w:lineRule="auto"/>
        <w:rPr>
          <w:rFonts w:hint="eastAsia" w:asciiTheme="majorEastAsia" w:hAnsiTheme="majorEastAsia" w:eastAsiaTheme="majorEastAsia" w:cstheme="majorEastAsia"/>
          <w:color w:val="auto"/>
          <w:sz w:val="25"/>
          <w:szCs w:val="25"/>
          <w:highlight w:val="none"/>
        </w:rPr>
      </w:pPr>
      <w:r>
        <w:rPr>
          <w:rFonts w:hint="eastAsia" w:asciiTheme="majorEastAsia" w:hAnsiTheme="majorEastAsia" w:eastAsiaTheme="majorEastAsia" w:cstheme="major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692785</wp:posOffset>
                </wp:positionH>
                <wp:positionV relativeFrom="paragraph">
                  <wp:posOffset>41910</wp:posOffset>
                </wp:positionV>
                <wp:extent cx="4640580" cy="1851660"/>
                <wp:effectExtent l="5080" t="4445" r="21590" b="10795"/>
                <wp:wrapNone/>
                <wp:docPr id="8" name="文本框 8"/>
                <wp:cNvGraphicFramePr/>
                <a:graphic xmlns:a="http://schemas.openxmlformats.org/drawingml/2006/main">
                  <a:graphicData uri="http://schemas.microsoft.com/office/word/2010/wordprocessingShape">
                    <wps:wsp>
                      <wps:cNvSpPr txBox="1"/>
                      <wps:spPr>
                        <a:xfrm>
                          <a:off x="0" y="0"/>
                          <a:ext cx="4640580" cy="185166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14:paraId="347912D3">
                            <w:pPr>
                              <w:jc w:val="center"/>
                            </w:pPr>
                          </w:p>
                          <w:p w14:paraId="5050E4DA">
                            <w:pPr>
                              <w:jc w:val="center"/>
                              <w:rPr>
                                <w:b/>
                              </w:rPr>
                            </w:pPr>
                          </w:p>
                          <w:p w14:paraId="1F031ADF">
                            <w:pPr>
                              <w:jc w:val="center"/>
                              <w:rPr>
                                <w:rFonts w:hint="eastAsia" w:ascii="宋体" w:hAnsi="宋体"/>
                                <w:b/>
                                <w:sz w:val="24"/>
                              </w:rPr>
                            </w:pPr>
                          </w:p>
                          <w:p w14:paraId="6378CD36">
                            <w:pPr>
                              <w:jc w:val="center"/>
                              <w:rPr>
                                <w:rFonts w:ascii="宋体" w:hAnsi="宋体"/>
                                <w:b/>
                                <w:sz w:val="24"/>
                              </w:rPr>
                            </w:pPr>
                            <w:r>
                              <w:rPr>
                                <w:rFonts w:hint="eastAsia" w:ascii="宋体" w:hAnsi="宋体"/>
                                <w:b/>
                                <w:sz w:val="24"/>
                              </w:rPr>
                              <w:t>此处被授权人附身份证</w:t>
                            </w:r>
                            <w:r>
                              <w:rPr>
                                <w:rFonts w:hint="eastAsia" w:ascii="宋体" w:hAnsi="宋体"/>
                                <w:b/>
                                <w:sz w:val="24"/>
                                <w:lang w:val="en-US" w:eastAsia="zh-CN"/>
                              </w:rPr>
                              <w:t>双</w:t>
                            </w:r>
                            <w:r>
                              <w:rPr>
                                <w:rFonts w:hint="eastAsia" w:ascii="宋体" w:hAnsi="宋体"/>
                                <w:b/>
                                <w:sz w:val="24"/>
                                <w:lang w:eastAsia="zh-CN"/>
                              </w:rPr>
                              <w:t>面</w:t>
                            </w:r>
                            <w:r>
                              <w:rPr>
                                <w:rFonts w:hint="eastAsia" w:ascii="宋体" w:hAnsi="宋体"/>
                                <w:b/>
                                <w:sz w:val="24"/>
                              </w:rPr>
                              <w:t>复印件</w:t>
                            </w:r>
                          </w:p>
                        </w:txbxContent>
                      </wps:txbx>
                      <wps:bodyPr upright="1"/>
                    </wps:wsp>
                  </a:graphicData>
                </a:graphic>
              </wp:anchor>
            </w:drawing>
          </mc:Choice>
          <mc:Fallback>
            <w:pict>
              <v:shape id="_x0000_s1026" o:spid="_x0000_s1026" o:spt="202" type="#_x0000_t202" style="position:absolute;left:0pt;margin-left:54.55pt;margin-top:3.3pt;height:145.8pt;width:365.4pt;z-index:251661312;mso-width-relative:page;mso-height-relative:page;" fillcolor="#FFFFFF" filled="t" stroked="t" coordsize="21600,21600" o:gfxdata="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KDMbdgAAAAJAQAADwAA&#10;AAAAAAABACAAAAAiAAAAZHJzL2Rvd25yZXYueG1sUEsBAhQAFAAAAAgAh07iQBulwo0WAgAARgQA&#10;AA4AAAAAAAAAAQAgAAAAJwEAAGRycy9lMm9Eb2MueG1sUEsFBgAAAAAGAAYAWQEAAK8FAAAAAA==&#10;">
                <v:fill on="t" focussize="0,0"/>
                <v:stroke color="#000000" joinstyle="miter" dashstyle="1 1"/>
                <v:imagedata o:title=""/>
                <o:lock v:ext="edit" aspectratio="f"/>
                <v:textbox>
                  <w:txbxContent>
                    <w:p w14:paraId="347912D3">
                      <w:pPr>
                        <w:jc w:val="center"/>
                      </w:pPr>
                    </w:p>
                    <w:p w14:paraId="5050E4DA">
                      <w:pPr>
                        <w:jc w:val="center"/>
                        <w:rPr>
                          <w:b/>
                        </w:rPr>
                      </w:pPr>
                    </w:p>
                    <w:p w14:paraId="1F031ADF">
                      <w:pPr>
                        <w:jc w:val="center"/>
                        <w:rPr>
                          <w:rFonts w:hint="eastAsia" w:ascii="宋体" w:hAnsi="宋体"/>
                          <w:b/>
                          <w:sz w:val="24"/>
                        </w:rPr>
                      </w:pPr>
                    </w:p>
                    <w:p w14:paraId="6378CD36">
                      <w:pPr>
                        <w:jc w:val="center"/>
                        <w:rPr>
                          <w:rFonts w:ascii="宋体" w:hAnsi="宋体"/>
                          <w:b/>
                          <w:sz w:val="24"/>
                        </w:rPr>
                      </w:pPr>
                      <w:r>
                        <w:rPr>
                          <w:rFonts w:hint="eastAsia" w:ascii="宋体" w:hAnsi="宋体"/>
                          <w:b/>
                          <w:sz w:val="24"/>
                        </w:rPr>
                        <w:t>此处被授权人附身份证</w:t>
                      </w:r>
                      <w:r>
                        <w:rPr>
                          <w:rFonts w:hint="eastAsia" w:ascii="宋体" w:hAnsi="宋体"/>
                          <w:b/>
                          <w:sz w:val="24"/>
                          <w:lang w:val="en-US" w:eastAsia="zh-CN"/>
                        </w:rPr>
                        <w:t>双</w:t>
                      </w:r>
                      <w:r>
                        <w:rPr>
                          <w:rFonts w:hint="eastAsia" w:ascii="宋体" w:hAnsi="宋体"/>
                          <w:b/>
                          <w:sz w:val="24"/>
                          <w:lang w:eastAsia="zh-CN"/>
                        </w:rPr>
                        <w:t>面</w:t>
                      </w:r>
                      <w:r>
                        <w:rPr>
                          <w:rFonts w:hint="eastAsia" w:ascii="宋体" w:hAnsi="宋体"/>
                          <w:b/>
                          <w:sz w:val="24"/>
                        </w:rPr>
                        <w:t>复印件</w:t>
                      </w:r>
                    </w:p>
                  </w:txbxContent>
                </v:textbox>
              </v:shape>
            </w:pict>
          </mc:Fallback>
        </mc:AlternateContent>
      </w:r>
    </w:p>
    <w:p w14:paraId="0DFCBD76">
      <w:pPr>
        <w:spacing w:line="300" w:lineRule="auto"/>
        <w:ind w:firstLine="960" w:firstLineChars="400"/>
        <w:rPr>
          <w:rFonts w:hint="eastAsia" w:asciiTheme="majorEastAsia" w:hAnsiTheme="majorEastAsia" w:eastAsiaTheme="majorEastAsia" w:cstheme="majorEastAsia"/>
          <w:color w:val="auto"/>
          <w:kern w:val="0"/>
          <w:sz w:val="24"/>
          <w:highlight w:val="none"/>
        </w:rPr>
      </w:pPr>
    </w:p>
    <w:p w14:paraId="52C517F5">
      <w:pPr>
        <w:pStyle w:val="10"/>
        <w:kinsoku w:val="0"/>
        <w:overflowPunct w:val="0"/>
        <w:spacing w:line="300" w:lineRule="auto"/>
        <w:rPr>
          <w:rFonts w:hint="eastAsia" w:asciiTheme="majorEastAsia" w:hAnsiTheme="majorEastAsia" w:eastAsiaTheme="majorEastAsia" w:cstheme="majorEastAsia"/>
          <w:color w:val="auto"/>
          <w:sz w:val="25"/>
          <w:szCs w:val="25"/>
          <w:highlight w:val="none"/>
        </w:rPr>
      </w:pPr>
    </w:p>
    <w:p w14:paraId="703CB47F">
      <w:pPr>
        <w:pStyle w:val="71"/>
        <w:adjustRightInd w:val="0"/>
        <w:snapToGrid w:val="0"/>
        <w:spacing w:line="440" w:lineRule="exact"/>
        <w:ind w:left="-88" w:leftChars="-42" w:firstLine="550" w:firstLineChars="250"/>
        <w:rPr>
          <w:rFonts w:hint="eastAsia" w:asciiTheme="majorEastAsia" w:hAnsiTheme="majorEastAsia" w:eastAsiaTheme="majorEastAsia" w:cstheme="majorEastAsia"/>
          <w:color w:val="auto"/>
          <w:sz w:val="22"/>
          <w:szCs w:val="24"/>
          <w:highlight w:val="none"/>
          <w:u w:val="single"/>
        </w:rPr>
      </w:pPr>
    </w:p>
    <w:p w14:paraId="3246AB09">
      <w:pPr>
        <w:jc w:val="center"/>
        <w:rPr>
          <w:rFonts w:hint="eastAsia" w:asciiTheme="majorEastAsia" w:hAnsiTheme="majorEastAsia" w:eastAsiaTheme="majorEastAsia" w:cstheme="majorEastAsia"/>
          <w:color w:val="auto"/>
          <w:highlight w:val="none"/>
        </w:rPr>
      </w:pPr>
    </w:p>
    <w:p w14:paraId="77D402C2">
      <w:pPr>
        <w:spacing w:line="360" w:lineRule="auto"/>
        <w:rPr>
          <w:rFonts w:hint="eastAsia" w:asciiTheme="majorEastAsia" w:hAnsiTheme="majorEastAsia" w:eastAsiaTheme="majorEastAsia" w:cstheme="majorEastAsia"/>
          <w:color w:val="auto"/>
          <w:kern w:val="0"/>
          <w:sz w:val="24"/>
          <w:highlight w:val="none"/>
        </w:rPr>
      </w:pPr>
    </w:p>
    <w:p w14:paraId="79CB65FF">
      <w:pPr>
        <w:spacing w:line="360" w:lineRule="auto"/>
        <w:rPr>
          <w:rFonts w:hint="eastAsia" w:asciiTheme="majorEastAsia" w:hAnsiTheme="majorEastAsia" w:eastAsiaTheme="majorEastAsia" w:cstheme="majorEastAsia"/>
          <w:color w:val="auto"/>
          <w:kern w:val="0"/>
          <w:sz w:val="24"/>
          <w:highlight w:val="none"/>
        </w:rPr>
      </w:pPr>
    </w:p>
    <w:p w14:paraId="294FD172">
      <w:pPr>
        <w:spacing w:line="360" w:lineRule="auto"/>
        <w:ind w:firstLine="3120" w:firstLineChars="13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法定代表人（</w:t>
      </w:r>
      <w:r>
        <w:rPr>
          <w:rFonts w:hint="eastAsia" w:asciiTheme="majorEastAsia" w:hAnsiTheme="majorEastAsia" w:eastAsiaTheme="majorEastAsia" w:cstheme="majorEastAsia"/>
          <w:color w:val="auto"/>
          <w:kern w:val="0"/>
          <w:sz w:val="24"/>
          <w:highlight w:val="none"/>
          <w:lang w:eastAsia="zh-CN"/>
        </w:rPr>
        <w:t>电子</w:t>
      </w:r>
      <w:r>
        <w:rPr>
          <w:rFonts w:hint="eastAsia" w:asciiTheme="majorEastAsia" w:hAnsiTheme="majorEastAsia" w:eastAsiaTheme="majorEastAsia" w:cstheme="majorEastAsia"/>
          <w:color w:val="auto"/>
          <w:kern w:val="0"/>
          <w:sz w:val="24"/>
          <w:highlight w:val="none"/>
        </w:rPr>
        <w:t xml:space="preserve">签字或盖章）： </w:t>
      </w:r>
      <w:r>
        <w:rPr>
          <w:rFonts w:hint="eastAsia" w:asciiTheme="majorEastAsia" w:hAnsiTheme="majorEastAsia" w:eastAsiaTheme="majorEastAsia" w:cstheme="majorEastAsia"/>
          <w:color w:val="auto"/>
          <w:sz w:val="24"/>
          <w:highlight w:val="none"/>
        </w:rPr>
        <w:t xml:space="preserve"> </w:t>
      </w:r>
    </w:p>
    <w:p w14:paraId="08FCF35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kern w:val="0"/>
          <w:sz w:val="24"/>
          <w:highlight w:val="none"/>
        </w:rPr>
        <w:t>供应商名称（电子</w:t>
      </w:r>
      <w:r>
        <w:rPr>
          <w:rFonts w:hint="eastAsia" w:asciiTheme="majorEastAsia" w:hAnsiTheme="majorEastAsia" w:eastAsiaTheme="majorEastAsia" w:cstheme="majorEastAsia"/>
          <w:color w:val="auto"/>
          <w:kern w:val="0"/>
          <w:sz w:val="24"/>
          <w:highlight w:val="none"/>
          <w:lang w:eastAsia="zh-CN"/>
        </w:rPr>
        <w:t>公</w:t>
      </w:r>
      <w:r>
        <w:rPr>
          <w:rFonts w:hint="eastAsia" w:asciiTheme="majorEastAsia" w:hAnsiTheme="majorEastAsia" w:eastAsiaTheme="majorEastAsia" w:cstheme="majorEastAsia"/>
          <w:color w:val="auto"/>
          <w:kern w:val="0"/>
          <w:sz w:val="24"/>
          <w:highlight w:val="none"/>
        </w:rPr>
        <w:t>章）：</w:t>
      </w:r>
    </w:p>
    <w:p w14:paraId="154B9401">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kern w:val="0"/>
          <w:sz w:val="24"/>
          <w:highlight w:val="none"/>
          <w:lang w:val="zh-CN"/>
        </w:rPr>
        <w:t xml:space="preserve">                                               日期：  年  月   日</w:t>
      </w:r>
    </w:p>
    <w:p w14:paraId="19F393BA">
      <w:pPr>
        <w:pageBreakBefore w:val="0"/>
        <w:kinsoku/>
        <w:overflowPunct/>
        <w:topLinePunct w:val="0"/>
        <w:bidi w:val="0"/>
        <w:spacing w:line="360" w:lineRule="auto"/>
        <w:rPr>
          <w:rFonts w:hint="eastAsia" w:ascii="宋体" w:hAnsi="宋体" w:eastAsia="宋体" w:cs="宋体"/>
          <w:color w:val="auto"/>
          <w:spacing w:val="0"/>
          <w:sz w:val="28"/>
          <w:szCs w:val="28"/>
          <w:highlight w:val="none"/>
          <w:lang w:val="en-US" w:eastAsia="zh-CN"/>
        </w:rPr>
        <w:sectPr>
          <w:headerReference r:id="rId6" w:type="default"/>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linePitch="312" w:charSpace="0"/>
        </w:sectPr>
      </w:pPr>
    </w:p>
    <w:bookmarkEnd w:id="203"/>
    <w:bookmarkEnd w:id="204"/>
    <w:bookmarkEnd w:id="205"/>
    <w:bookmarkEnd w:id="206"/>
    <w:bookmarkEnd w:id="207"/>
    <w:bookmarkEnd w:id="208"/>
    <w:bookmarkEnd w:id="209"/>
    <w:p w14:paraId="64743860">
      <w:pPr>
        <w:spacing w:line="520" w:lineRule="exact"/>
        <w:jc w:val="center"/>
        <w:outlineLvl w:val="2"/>
        <w:rPr>
          <w:rFonts w:hint="eastAsia" w:asciiTheme="majorEastAsia" w:hAnsiTheme="majorEastAsia" w:eastAsiaTheme="majorEastAsia" w:cstheme="majorEastAsia"/>
          <w:b/>
          <w:color w:val="auto"/>
          <w:sz w:val="30"/>
          <w:szCs w:val="30"/>
          <w:highlight w:val="none"/>
          <w:lang w:val="en-US" w:eastAsia="zh-CN"/>
        </w:rPr>
      </w:pPr>
      <w:bookmarkStart w:id="210" w:name="_Toc2154"/>
      <w:bookmarkStart w:id="211" w:name="_Toc217446088"/>
      <w:r>
        <w:rPr>
          <w:rFonts w:hint="eastAsia" w:asciiTheme="majorEastAsia" w:hAnsiTheme="majorEastAsia" w:eastAsiaTheme="majorEastAsia" w:cstheme="majorEastAsia"/>
          <w:b/>
          <w:color w:val="auto"/>
          <w:sz w:val="30"/>
          <w:szCs w:val="30"/>
          <w:highlight w:val="none"/>
          <w:lang w:val="en-US" w:eastAsia="zh-CN"/>
        </w:rPr>
        <w:t>3、投标人基本情况表</w:t>
      </w:r>
      <w:bookmarkEnd w:id="210"/>
    </w:p>
    <w:p w14:paraId="4CF64BDC">
      <w:pPr>
        <w:pStyle w:val="75"/>
        <w:spacing w:line="360" w:lineRule="auto"/>
        <w:jc w:val="center"/>
        <w:rPr>
          <w:rStyle w:val="76"/>
          <w:rFonts w:hint="eastAsia" w:asciiTheme="majorEastAsia" w:hAnsiTheme="majorEastAsia" w:eastAsiaTheme="majorEastAsia" w:cstheme="majorEastAsia"/>
          <w:b/>
          <w:bCs/>
          <w:color w:val="auto"/>
          <w:sz w:val="24"/>
          <w:szCs w:val="24"/>
          <w:highlight w:val="none"/>
        </w:rPr>
      </w:pPr>
    </w:p>
    <w:tbl>
      <w:tblPr>
        <w:tblStyle w:val="2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36"/>
        <w:gridCol w:w="1214"/>
        <w:gridCol w:w="1007"/>
        <w:gridCol w:w="1100"/>
        <w:gridCol w:w="1318"/>
        <w:gridCol w:w="43"/>
        <w:gridCol w:w="779"/>
        <w:gridCol w:w="1303"/>
      </w:tblGrid>
      <w:tr w14:paraId="4EF0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noWrap w:val="0"/>
            <w:vAlign w:val="center"/>
          </w:tcPr>
          <w:p w14:paraId="490EEC5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投标人名称</w:t>
            </w:r>
          </w:p>
        </w:tc>
        <w:tc>
          <w:tcPr>
            <w:tcW w:w="6764" w:type="dxa"/>
            <w:gridSpan w:val="7"/>
            <w:noWrap w:val="0"/>
            <w:vAlign w:val="center"/>
          </w:tcPr>
          <w:p w14:paraId="7B986354">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r>
      <w:tr w14:paraId="27E1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noWrap w:val="0"/>
            <w:vAlign w:val="center"/>
          </w:tcPr>
          <w:p w14:paraId="21EDE31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注册地址</w:t>
            </w:r>
          </w:p>
        </w:tc>
        <w:tc>
          <w:tcPr>
            <w:tcW w:w="3321" w:type="dxa"/>
            <w:gridSpan w:val="3"/>
            <w:noWrap w:val="0"/>
            <w:vAlign w:val="center"/>
          </w:tcPr>
          <w:p w14:paraId="7E8FAC90">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c>
          <w:tcPr>
            <w:tcW w:w="1318" w:type="dxa"/>
            <w:noWrap w:val="0"/>
            <w:vAlign w:val="center"/>
          </w:tcPr>
          <w:p w14:paraId="1E305D7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邮政编码</w:t>
            </w:r>
          </w:p>
        </w:tc>
        <w:tc>
          <w:tcPr>
            <w:tcW w:w="2125" w:type="dxa"/>
            <w:gridSpan w:val="3"/>
            <w:noWrap w:val="0"/>
            <w:vAlign w:val="center"/>
          </w:tcPr>
          <w:p w14:paraId="20C7C586">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r>
      <w:tr w14:paraId="6F24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Merge w:val="restart"/>
            <w:noWrap w:val="0"/>
            <w:vAlign w:val="center"/>
          </w:tcPr>
          <w:p w14:paraId="7BD500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联系方式</w:t>
            </w:r>
          </w:p>
        </w:tc>
        <w:tc>
          <w:tcPr>
            <w:tcW w:w="1214" w:type="dxa"/>
            <w:noWrap w:val="0"/>
            <w:vAlign w:val="center"/>
          </w:tcPr>
          <w:p w14:paraId="6DA8D2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联系人</w:t>
            </w:r>
          </w:p>
        </w:tc>
        <w:tc>
          <w:tcPr>
            <w:tcW w:w="2107" w:type="dxa"/>
            <w:gridSpan w:val="2"/>
            <w:noWrap w:val="0"/>
            <w:vAlign w:val="center"/>
          </w:tcPr>
          <w:p w14:paraId="036A4547">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c>
          <w:tcPr>
            <w:tcW w:w="1318" w:type="dxa"/>
            <w:noWrap w:val="0"/>
            <w:vAlign w:val="center"/>
          </w:tcPr>
          <w:p w14:paraId="70DECC2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电话</w:t>
            </w:r>
          </w:p>
        </w:tc>
        <w:tc>
          <w:tcPr>
            <w:tcW w:w="2125" w:type="dxa"/>
            <w:gridSpan w:val="3"/>
            <w:noWrap w:val="0"/>
            <w:vAlign w:val="center"/>
          </w:tcPr>
          <w:p w14:paraId="23A18300">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r>
      <w:tr w14:paraId="1DB7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Merge w:val="continue"/>
            <w:noWrap w:val="0"/>
            <w:vAlign w:val="center"/>
          </w:tcPr>
          <w:p w14:paraId="63B0ACB3">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c>
          <w:tcPr>
            <w:tcW w:w="1214" w:type="dxa"/>
            <w:noWrap w:val="0"/>
            <w:vAlign w:val="center"/>
          </w:tcPr>
          <w:p w14:paraId="230B53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传真</w:t>
            </w:r>
          </w:p>
        </w:tc>
        <w:tc>
          <w:tcPr>
            <w:tcW w:w="2107" w:type="dxa"/>
            <w:gridSpan w:val="2"/>
            <w:noWrap w:val="0"/>
            <w:vAlign w:val="center"/>
          </w:tcPr>
          <w:p w14:paraId="35226F79">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c>
          <w:tcPr>
            <w:tcW w:w="1318" w:type="dxa"/>
            <w:noWrap w:val="0"/>
            <w:vAlign w:val="center"/>
          </w:tcPr>
          <w:p w14:paraId="5DAEBB3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网址</w:t>
            </w:r>
          </w:p>
        </w:tc>
        <w:tc>
          <w:tcPr>
            <w:tcW w:w="2125" w:type="dxa"/>
            <w:gridSpan w:val="3"/>
            <w:noWrap w:val="0"/>
            <w:vAlign w:val="center"/>
          </w:tcPr>
          <w:p w14:paraId="39F42E5F">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r>
      <w:tr w14:paraId="7EBB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7" w:hRule="atLeast"/>
          <w:jc w:val="center"/>
        </w:trPr>
        <w:tc>
          <w:tcPr>
            <w:tcW w:w="1936" w:type="dxa"/>
            <w:noWrap w:val="0"/>
            <w:vAlign w:val="center"/>
          </w:tcPr>
          <w:p w14:paraId="061BB08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营业执照注册号</w:t>
            </w:r>
          </w:p>
        </w:tc>
        <w:tc>
          <w:tcPr>
            <w:tcW w:w="6764" w:type="dxa"/>
            <w:gridSpan w:val="7"/>
            <w:noWrap w:val="0"/>
            <w:vAlign w:val="center"/>
          </w:tcPr>
          <w:p w14:paraId="23E904DC">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r>
      <w:tr w14:paraId="1FC1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noWrap w:val="0"/>
            <w:vAlign w:val="center"/>
          </w:tcPr>
          <w:p w14:paraId="731F49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w:t>
            </w:r>
          </w:p>
        </w:tc>
        <w:tc>
          <w:tcPr>
            <w:tcW w:w="1214" w:type="dxa"/>
            <w:noWrap w:val="0"/>
            <w:vAlign w:val="center"/>
          </w:tcPr>
          <w:p w14:paraId="009B2E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姓名</w:t>
            </w:r>
          </w:p>
        </w:tc>
        <w:tc>
          <w:tcPr>
            <w:tcW w:w="1007" w:type="dxa"/>
            <w:noWrap w:val="0"/>
            <w:vAlign w:val="center"/>
          </w:tcPr>
          <w:p w14:paraId="049FEC62">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c>
          <w:tcPr>
            <w:tcW w:w="1100" w:type="dxa"/>
            <w:noWrap w:val="0"/>
            <w:vAlign w:val="center"/>
          </w:tcPr>
          <w:p w14:paraId="3D2638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技术职称</w:t>
            </w:r>
          </w:p>
        </w:tc>
        <w:tc>
          <w:tcPr>
            <w:tcW w:w="1361" w:type="dxa"/>
            <w:gridSpan w:val="2"/>
            <w:noWrap w:val="0"/>
            <w:vAlign w:val="center"/>
          </w:tcPr>
          <w:p w14:paraId="33B87777">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c>
          <w:tcPr>
            <w:tcW w:w="779" w:type="dxa"/>
            <w:noWrap w:val="0"/>
            <w:vAlign w:val="center"/>
          </w:tcPr>
          <w:p w14:paraId="0B409335">
            <w:pPr>
              <w:keepNext w:val="0"/>
              <w:keepLines w:val="0"/>
              <w:pageBreakBefore w:val="0"/>
              <w:widowControl w:val="0"/>
              <w:kinsoku/>
              <w:wordWrap/>
              <w:overflowPunct/>
              <w:topLinePunct w:val="0"/>
              <w:autoSpaceDE/>
              <w:autoSpaceDN/>
              <w:bidi w:val="0"/>
              <w:adjustRightInd/>
              <w:snapToGrid/>
              <w:spacing w:line="460" w:lineRule="exact"/>
              <w:ind w:firstLine="120" w:firstLineChars="50"/>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电话</w:t>
            </w:r>
          </w:p>
        </w:tc>
        <w:tc>
          <w:tcPr>
            <w:tcW w:w="1303" w:type="dxa"/>
            <w:noWrap w:val="0"/>
            <w:vAlign w:val="center"/>
          </w:tcPr>
          <w:p w14:paraId="33E26B4A">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r>
      <w:tr w14:paraId="71C5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noWrap w:val="0"/>
            <w:vAlign w:val="center"/>
          </w:tcPr>
          <w:p w14:paraId="60E6E47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技术负责人</w:t>
            </w:r>
          </w:p>
        </w:tc>
        <w:tc>
          <w:tcPr>
            <w:tcW w:w="1214" w:type="dxa"/>
            <w:noWrap w:val="0"/>
            <w:vAlign w:val="center"/>
          </w:tcPr>
          <w:p w14:paraId="7D7A355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姓名</w:t>
            </w:r>
          </w:p>
        </w:tc>
        <w:tc>
          <w:tcPr>
            <w:tcW w:w="1007" w:type="dxa"/>
            <w:noWrap w:val="0"/>
            <w:vAlign w:val="center"/>
          </w:tcPr>
          <w:p w14:paraId="3BEA99E1">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c>
          <w:tcPr>
            <w:tcW w:w="1100" w:type="dxa"/>
            <w:noWrap w:val="0"/>
            <w:vAlign w:val="center"/>
          </w:tcPr>
          <w:p w14:paraId="57CDBB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技术职称</w:t>
            </w:r>
          </w:p>
        </w:tc>
        <w:tc>
          <w:tcPr>
            <w:tcW w:w="1361" w:type="dxa"/>
            <w:gridSpan w:val="2"/>
            <w:noWrap w:val="0"/>
            <w:vAlign w:val="center"/>
          </w:tcPr>
          <w:p w14:paraId="5767084E">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c>
          <w:tcPr>
            <w:tcW w:w="779" w:type="dxa"/>
            <w:noWrap w:val="0"/>
            <w:vAlign w:val="center"/>
          </w:tcPr>
          <w:p w14:paraId="426B60B0">
            <w:pPr>
              <w:keepNext w:val="0"/>
              <w:keepLines w:val="0"/>
              <w:pageBreakBefore w:val="0"/>
              <w:widowControl w:val="0"/>
              <w:kinsoku/>
              <w:wordWrap/>
              <w:overflowPunct/>
              <w:topLinePunct w:val="0"/>
              <w:autoSpaceDE/>
              <w:autoSpaceDN/>
              <w:bidi w:val="0"/>
              <w:adjustRightInd/>
              <w:snapToGrid/>
              <w:spacing w:line="460" w:lineRule="exact"/>
              <w:ind w:firstLine="120" w:firstLineChars="50"/>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电话</w:t>
            </w:r>
          </w:p>
        </w:tc>
        <w:tc>
          <w:tcPr>
            <w:tcW w:w="1303" w:type="dxa"/>
            <w:noWrap w:val="0"/>
            <w:vAlign w:val="center"/>
          </w:tcPr>
          <w:p w14:paraId="0190A444">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r>
      <w:tr w14:paraId="666A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noWrap w:val="0"/>
            <w:vAlign w:val="center"/>
          </w:tcPr>
          <w:p w14:paraId="2085E97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成立时间</w:t>
            </w:r>
          </w:p>
        </w:tc>
        <w:tc>
          <w:tcPr>
            <w:tcW w:w="2221" w:type="dxa"/>
            <w:gridSpan w:val="2"/>
            <w:noWrap w:val="0"/>
            <w:vAlign w:val="center"/>
          </w:tcPr>
          <w:p w14:paraId="4D45835C">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c>
          <w:tcPr>
            <w:tcW w:w="4543" w:type="dxa"/>
            <w:gridSpan w:val="5"/>
            <w:noWrap w:val="0"/>
            <w:vAlign w:val="center"/>
          </w:tcPr>
          <w:p w14:paraId="067CC078">
            <w:pPr>
              <w:keepNext w:val="0"/>
              <w:keepLines w:val="0"/>
              <w:pageBreakBefore w:val="0"/>
              <w:widowControl w:val="0"/>
              <w:kinsoku/>
              <w:wordWrap/>
              <w:overflowPunct/>
              <w:topLinePunct w:val="0"/>
              <w:autoSpaceDE/>
              <w:autoSpaceDN/>
              <w:bidi w:val="0"/>
              <w:adjustRightInd/>
              <w:snapToGrid/>
              <w:spacing w:line="460" w:lineRule="exact"/>
              <w:ind w:firstLine="255"/>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员工总人数：</w:t>
            </w:r>
          </w:p>
        </w:tc>
      </w:tr>
      <w:tr w14:paraId="542B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noWrap w:val="0"/>
            <w:vAlign w:val="center"/>
          </w:tcPr>
          <w:p w14:paraId="0ACD28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注册资金</w:t>
            </w:r>
          </w:p>
        </w:tc>
        <w:tc>
          <w:tcPr>
            <w:tcW w:w="6764" w:type="dxa"/>
            <w:gridSpan w:val="7"/>
            <w:noWrap w:val="0"/>
            <w:vAlign w:val="center"/>
          </w:tcPr>
          <w:p w14:paraId="4CD12A6D">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r>
      <w:tr w14:paraId="1F1D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noWrap w:val="0"/>
            <w:vAlign w:val="center"/>
          </w:tcPr>
          <w:p w14:paraId="346A721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开户银行</w:t>
            </w:r>
          </w:p>
        </w:tc>
        <w:tc>
          <w:tcPr>
            <w:tcW w:w="6764" w:type="dxa"/>
            <w:gridSpan w:val="7"/>
            <w:noWrap w:val="0"/>
            <w:vAlign w:val="center"/>
          </w:tcPr>
          <w:p w14:paraId="1950E71E">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r>
      <w:tr w14:paraId="14DE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noWrap w:val="0"/>
            <w:vAlign w:val="center"/>
          </w:tcPr>
          <w:p w14:paraId="56F4F95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账号</w:t>
            </w:r>
          </w:p>
        </w:tc>
        <w:tc>
          <w:tcPr>
            <w:tcW w:w="6764" w:type="dxa"/>
            <w:gridSpan w:val="7"/>
            <w:noWrap w:val="0"/>
            <w:vAlign w:val="center"/>
          </w:tcPr>
          <w:p w14:paraId="4EACBA09">
            <w:pPr>
              <w:keepNext w:val="0"/>
              <w:keepLines w:val="0"/>
              <w:pageBreakBefore w:val="0"/>
              <w:widowControl w:val="0"/>
              <w:kinsoku/>
              <w:wordWrap/>
              <w:overflowPunct/>
              <w:topLinePunct w:val="0"/>
              <w:autoSpaceDE/>
              <w:autoSpaceDN/>
              <w:bidi w:val="0"/>
              <w:adjustRightInd/>
              <w:snapToGrid/>
              <w:spacing w:line="460" w:lineRule="exact"/>
              <w:ind w:firstLine="255"/>
              <w:jc w:val="center"/>
              <w:textAlignment w:val="auto"/>
              <w:rPr>
                <w:rFonts w:hint="eastAsia" w:asciiTheme="majorEastAsia" w:hAnsiTheme="majorEastAsia" w:eastAsiaTheme="majorEastAsia" w:cstheme="majorEastAsia"/>
                <w:color w:val="auto"/>
                <w:sz w:val="24"/>
                <w:highlight w:val="none"/>
              </w:rPr>
            </w:pPr>
          </w:p>
        </w:tc>
      </w:tr>
      <w:tr w14:paraId="3A57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Merge w:val="restart"/>
            <w:noWrap w:val="0"/>
            <w:vAlign w:val="center"/>
          </w:tcPr>
          <w:p w14:paraId="4E923F28">
            <w:pPr>
              <w:pStyle w:val="78"/>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4"/>
                <w:highlight w:val="none"/>
              </w:rPr>
              <w:t>企业关联情况</w:t>
            </w:r>
          </w:p>
        </w:tc>
        <w:tc>
          <w:tcPr>
            <w:tcW w:w="6764" w:type="dxa"/>
            <w:gridSpan w:val="7"/>
            <w:noWrap w:val="0"/>
            <w:vAlign w:val="center"/>
          </w:tcPr>
          <w:p w14:paraId="69BEEB54">
            <w:pPr>
              <w:pStyle w:val="78"/>
              <w:spacing w:line="360" w:lineRule="auto"/>
              <w:ind w:left="101" w:leftChars="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4"/>
                <w:highlight w:val="none"/>
              </w:rPr>
              <w:t>1：与我公司单位负责人为同一人的其他单位名称：</w:t>
            </w:r>
          </w:p>
        </w:tc>
      </w:tr>
      <w:tr w14:paraId="72A9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8" w:hRule="atLeast"/>
          <w:jc w:val="center"/>
        </w:trPr>
        <w:tc>
          <w:tcPr>
            <w:tcW w:w="1936" w:type="dxa"/>
            <w:vMerge w:val="continue"/>
            <w:noWrap w:val="0"/>
            <w:vAlign w:val="center"/>
          </w:tcPr>
          <w:p w14:paraId="26881A97">
            <w:pPr>
              <w:pStyle w:val="80"/>
              <w:widowControl/>
              <w:jc w:val="left"/>
              <w:rPr>
                <w:rFonts w:hint="eastAsia" w:asciiTheme="majorEastAsia" w:hAnsiTheme="majorEastAsia" w:eastAsiaTheme="majorEastAsia" w:cstheme="majorEastAsia"/>
                <w:color w:val="auto"/>
                <w:sz w:val="24"/>
                <w:highlight w:val="none"/>
              </w:rPr>
            </w:pPr>
          </w:p>
        </w:tc>
        <w:tc>
          <w:tcPr>
            <w:tcW w:w="6764" w:type="dxa"/>
            <w:gridSpan w:val="7"/>
            <w:noWrap w:val="0"/>
            <w:vAlign w:val="center"/>
          </w:tcPr>
          <w:p w14:paraId="4B552BDD">
            <w:pPr>
              <w:pStyle w:val="78"/>
              <w:spacing w:line="262" w:lineRule="exact"/>
              <w:ind w:left="101" w:leftChars="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4"/>
                <w:highlight w:val="none"/>
              </w:rPr>
              <w:t>□无；</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 xml:space="preserve"> □有：</w:t>
            </w:r>
          </w:p>
        </w:tc>
      </w:tr>
      <w:tr w14:paraId="2802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Merge w:val="continue"/>
            <w:noWrap w:val="0"/>
            <w:vAlign w:val="center"/>
          </w:tcPr>
          <w:p w14:paraId="6ED6F052">
            <w:pPr>
              <w:pStyle w:val="80"/>
              <w:widowControl/>
              <w:jc w:val="left"/>
              <w:rPr>
                <w:rFonts w:hint="eastAsia" w:asciiTheme="majorEastAsia" w:hAnsiTheme="majorEastAsia" w:eastAsiaTheme="majorEastAsia" w:cstheme="majorEastAsia"/>
                <w:color w:val="auto"/>
                <w:sz w:val="24"/>
                <w:highlight w:val="none"/>
              </w:rPr>
            </w:pPr>
          </w:p>
        </w:tc>
        <w:tc>
          <w:tcPr>
            <w:tcW w:w="6764" w:type="dxa"/>
            <w:gridSpan w:val="7"/>
            <w:noWrap w:val="0"/>
            <w:vAlign w:val="center"/>
          </w:tcPr>
          <w:p w14:paraId="11B0A919">
            <w:pPr>
              <w:pStyle w:val="78"/>
              <w:spacing w:line="262" w:lineRule="exact"/>
              <w:ind w:left="101" w:leftChars="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4"/>
                <w:highlight w:val="none"/>
              </w:rPr>
              <w:t xml:space="preserve">2、与我公司存在控股、管理关系的其他单位的名称： </w:t>
            </w:r>
          </w:p>
        </w:tc>
      </w:tr>
      <w:tr w14:paraId="0746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1936" w:type="dxa"/>
            <w:vMerge w:val="continue"/>
            <w:noWrap w:val="0"/>
            <w:vAlign w:val="center"/>
          </w:tcPr>
          <w:p w14:paraId="60EA08EA">
            <w:pPr>
              <w:pStyle w:val="80"/>
              <w:widowControl/>
              <w:jc w:val="left"/>
              <w:rPr>
                <w:rFonts w:hint="eastAsia" w:asciiTheme="majorEastAsia" w:hAnsiTheme="majorEastAsia" w:eastAsiaTheme="majorEastAsia" w:cstheme="majorEastAsia"/>
                <w:color w:val="auto"/>
                <w:sz w:val="24"/>
                <w:highlight w:val="none"/>
              </w:rPr>
            </w:pPr>
          </w:p>
        </w:tc>
        <w:tc>
          <w:tcPr>
            <w:tcW w:w="6764" w:type="dxa"/>
            <w:gridSpan w:val="7"/>
            <w:noWrap w:val="0"/>
            <w:vAlign w:val="center"/>
          </w:tcPr>
          <w:p w14:paraId="0605D535">
            <w:pPr>
              <w:pStyle w:val="78"/>
              <w:spacing w:line="262" w:lineRule="exact"/>
              <w:ind w:left="101" w:leftChars="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4"/>
                <w:highlight w:val="none"/>
              </w:rPr>
              <w:t>□无；</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 xml:space="preserve"> □有：</w:t>
            </w:r>
          </w:p>
        </w:tc>
      </w:tr>
      <w:tr w14:paraId="3440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3" w:hRule="atLeast"/>
          <w:jc w:val="center"/>
        </w:trPr>
        <w:tc>
          <w:tcPr>
            <w:tcW w:w="1936" w:type="dxa"/>
            <w:vMerge w:val="continue"/>
            <w:noWrap w:val="0"/>
            <w:vAlign w:val="center"/>
          </w:tcPr>
          <w:p w14:paraId="33EFED5B">
            <w:pPr>
              <w:pStyle w:val="80"/>
              <w:widowControl/>
              <w:jc w:val="left"/>
              <w:rPr>
                <w:rFonts w:hint="eastAsia" w:asciiTheme="majorEastAsia" w:hAnsiTheme="majorEastAsia" w:eastAsiaTheme="majorEastAsia" w:cstheme="majorEastAsia"/>
                <w:color w:val="auto"/>
                <w:sz w:val="24"/>
                <w:highlight w:val="none"/>
              </w:rPr>
            </w:pPr>
          </w:p>
        </w:tc>
        <w:tc>
          <w:tcPr>
            <w:tcW w:w="6764" w:type="dxa"/>
            <w:gridSpan w:val="7"/>
            <w:noWrap w:val="0"/>
            <w:vAlign w:val="center"/>
          </w:tcPr>
          <w:p w14:paraId="6A60923A">
            <w:pPr>
              <w:pStyle w:val="78"/>
              <w:spacing w:before="8"/>
              <w:ind w:left="101" w:leftChars="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备注：1、“单位负责人”是指单位法定代表人或者法律、行政法规规定代表单位行使职权的主要负责人。</w:t>
            </w:r>
          </w:p>
          <w:p w14:paraId="0E542430">
            <w:pPr>
              <w:pStyle w:val="78"/>
              <w:spacing w:before="8"/>
              <w:ind w:left="101" w:leftChars="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4"/>
                <w:highlight w:val="none"/>
              </w:rPr>
              <w:t>2、本条所规定的控股、管理关系仅限于直接控股、直接管理关系，不包括间接的控股或管理关系。</w:t>
            </w:r>
          </w:p>
        </w:tc>
      </w:tr>
    </w:tbl>
    <w:p w14:paraId="4C9D7C49">
      <w:pPr>
        <w:pStyle w:val="75"/>
        <w:spacing w:line="360" w:lineRule="auto"/>
        <w:jc w:val="center"/>
        <w:rPr>
          <w:rStyle w:val="76"/>
          <w:rFonts w:hint="eastAsia" w:asciiTheme="majorEastAsia" w:hAnsiTheme="majorEastAsia" w:eastAsiaTheme="majorEastAsia" w:cstheme="majorEastAsia"/>
          <w:b/>
          <w:bCs/>
          <w:color w:val="auto"/>
          <w:sz w:val="24"/>
          <w:szCs w:val="24"/>
          <w:highlight w:val="none"/>
        </w:rPr>
      </w:pPr>
    </w:p>
    <w:p w14:paraId="2E96DF8A">
      <w:pPr>
        <w:snapToGrid w:val="0"/>
        <w:spacing w:line="360" w:lineRule="auto"/>
        <w:ind w:firstLine="602" w:firstLineChars="200"/>
        <w:rPr>
          <w:rFonts w:hint="eastAsia" w:asciiTheme="majorEastAsia" w:hAnsiTheme="majorEastAsia" w:eastAsiaTheme="majorEastAsia" w:cstheme="majorEastAsia"/>
          <w:b/>
          <w:color w:val="auto"/>
          <w:sz w:val="30"/>
          <w:szCs w:val="30"/>
          <w:highlight w:val="none"/>
        </w:rPr>
      </w:pPr>
    </w:p>
    <w:p w14:paraId="505E517F">
      <w:pPr>
        <w:autoSpaceDE w:val="0"/>
        <w:autoSpaceDN w:val="0"/>
        <w:spacing w:line="360" w:lineRule="auto"/>
        <w:ind w:left="4335" w:leftChars="1950" w:hanging="240" w:hangingChars="1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供应商名称（电子</w:t>
      </w:r>
      <w:r>
        <w:rPr>
          <w:rFonts w:hint="eastAsia" w:asciiTheme="majorEastAsia" w:hAnsiTheme="majorEastAsia" w:eastAsiaTheme="majorEastAsia" w:cstheme="majorEastAsia"/>
          <w:color w:val="auto"/>
          <w:kern w:val="0"/>
          <w:sz w:val="24"/>
          <w:highlight w:val="none"/>
          <w:lang w:eastAsia="zh-CN"/>
        </w:rPr>
        <w:t>公</w:t>
      </w:r>
      <w:r>
        <w:rPr>
          <w:rFonts w:hint="eastAsia" w:asciiTheme="majorEastAsia" w:hAnsiTheme="majorEastAsia" w:eastAsiaTheme="majorEastAsia" w:cstheme="majorEastAsia"/>
          <w:color w:val="auto"/>
          <w:kern w:val="0"/>
          <w:sz w:val="24"/>
          <w:highlight w:val="none"/>
        </w:rPr>
        <w:t>章）：</w:t>
      </w:r>
    </w:p>
    <w:p w14:paraId="4BB3EC13">
      <w:pPr>
        <w:pStyle w:val="72"/>
        <w:spacing w:line="500" w:lineRule="exact"/>
        <w:jc w:val="center"/>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kern w:val="0"/>
          <w:sz w:val="24"/>
          <w:highlight w:val="none"/>
          <w:lang w:val="zh-CN"/>
        </w:rPr>
        <w:t xml:space="preserve">日期：  年  月   日 </w:t>
      </w:r>
    </w:p>
    <w:p w14:paraId="6E809873">
      <w:pPr>
        <w:rPr>
          <w:rFonts w:hint="eastAsia" w:ascii="宋体" w:hAnsi="宋体" w:cs="宋体"/>
          <w:b/>
          <w:bCs w:val="0"/>
          <w:color w:val="auto"/>
          <w:kern w:val="2"/>
          <w:sz w:val="30"/>
          <w:szCs w:val="30"/>
          <w:highlight w:val="none"/>
          <w:lang w:val="en-US" w:eastAsia="zh-CN" w:bidi="ar-SA"/>
        </w:rPr>
      </w:pPr>
      <w:r>
        <w:rPr>
          <w:rFonts w:hint="eastAsia" w:ascii="宋体" w:hAnsi="宋体" w:cs="宋体"/>
          <w:b/>
          <w:bCs w:val="0"/>
          <w:color w:val="auto"/>
          <w:kern w:val="2"/>
          <w:sz w:val="30"/>
          <w:szCs w:val="30"/>
          <w:highlight w:val="none"/>
          <w:lang w:val="en-US" w:eastAsia="zh-CN" w:bidi="ar-SA"/>
        </w:rPr>
        <w:br w:type="page"/>
      </w:r>
    </w:p>
    <w:p w14:paraId="137400A0">
      <w:pPr>
        <w:spacing w:line="500" w:lineRule="exact"/>
        <w:jc w:val="center"/>
        <w:outlineLvl w:val="2"/>
        <w:rPr>
          <w:rFonts w:hint="eastAsia" w:ascii="宋体" w:hAnsi="宋体" w:eastAsia="宋体" w:cs="宋体"/>
          <w:b/>
          <w:bCs w:val="0"/>
          <w:color w:val="auto"/>
          <w:kern w:val="2"/>
          <w:sz w:val="30"/>
          <w:szCs w:val="30"/>
          <w:highlight w:val="none"/>
          <w:lang w:val="en-US" w:eastAsia="zh-CN" w:bidi="ar-SA"/>
        </w:rPr>
      </w:pPr>
      <w:bookmarkStart w:id="212" w:name="_Toc6075"/>
      <w:r>
        <w:rPr>
          <w:rFonts w:hint="eastAsia" w:ascii="宋体" w:hAnsi="宋体" w:cs="宋体"/>
          <w:b/>
          <w:bCs w:val="0"/>
          <w:color w:val="auto"/>
          <w:kern w:val="2"/>
          <w:sz w:val="30"/>
          <w:szCs w:val="30"/>
          <w:highlight w:val="none"/>
          <w:lang w:val="en-US" w:eastAsia="zh-CN" w:bidi="ar-SA"/>
        </w:rPr>
        <w:t>4</w:t>
      </w:r>
      <w:r>
        <w:rPr>
          <w:rFonts w:hint="eastAsia" w:ascii="宋体" w:hAnsi="宋体" w:eastAsia="宋体" w:cs="宋体"/>
          <w:b/>
          <w:bCs w:val="0"/>
          <w:color w:val="auto"/>
          <w:kern w:val="2"/>
          <w:sz w:val="30"/>
          <w:szCs w:val="30"/>
          <w:highlight w:val="none"/>
          <w:lang w:val="en-US" w:eastAsia="zh-CN" w:bidi="ar-SA"/>
        </w:rPr>
        <w:t>、</w:t>
      </w:r>
      <w:bookmarkEnd w:id="211"/>
      <w:r>
        <w:rPr>
          <w:rFonts w:hint="eastAsia" w:ascii="宋体" w:hAnsi="宋体" w:eastAsia="宋体" w:cs="宋体"/>
          <w:b/>
          <w:bCs w:val="0"/>
          <w:color w:val="auto"/>
          <w:kern w:val="2"/>
          <w:sz w:val="30"/>
          <w:szCs w:val="30"/>
          <w:highlight w:val="none"/>
          <w:lang w:val="en-US" w:eastAsia="zh-CN" w:bidi="ar-SA"/>
        </w:rPr>
        <w:t>商务条款偏离表</w:t>
      </w:r>
      <w:bookmarkEnd w:id="212"/>
    </w:p>
    <w:p w14:paraId="36DE09A7">
      <w:pPr>
        <w:spacing w:line="360" w:lineRule="auto"/>
        <w:rPr>
          <w:rFonts w:hint="eastAsia" w:asciiTheme="majorEastAsia" w:hAnsiTheme="majorEastAsia" w:eastAsiaTheme="majorEastAsia" w:cstheme="majorEastAsia"/>
          <w:color w:val="auto"/>
          <w:sz w:val="24"/>
          <w:highlight w:val="none"/>
        </w:rPr>
      </w:pPr>
    </w:p>
    <w:p w14:paraId="79F093AA">
      <w:pPr>
        <w:spacing w:line="360" w:lineRule="auto"/>
        <w:ind w:firstLine="480" w:firstLineChars="200"/>
        <w:rPr>
          <w:rFonts w:hint="eastAsia" w:asciiTheme="majorEastAsia" w:hAnsiTheme="majorEastAsia" w:eastAsiaTheme="majorEastAsia" w:cstheme="majorEastAsia"/>
          <w:color w:val="auto"/>
          <w:sz w:val="24"/>
          <w:highlight w:val="none"/>
          <w:u w:val="single"/>
          <w:lang w:val="en-US" w:eastAsia="zh-CN"/>
        </w:rPr>
      </w:pPr>
      <w:r>
        <w:rPr>
          <w:rFonts w:hint="eastAsia" w:asciiTheme="majorEastAsia" w:hAnsiTheme="majorEastAsia" w:eastAsiaTheme="majorEastAsia" w:cstheme="majorEastAsia"/>
          <w:color w:val="auto"/>
          <w:sz w:val="24"/>
          <w:highlight w:val="none"/>
        </w:rPr>
        <w:t>采购项目名称：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val="en-US" w:eastAsia="zh-CN"/>
        </w:rPr>
        <w:t xml:space="preserve">          </w:t>
      </w:r>
    </w:p>
    <w:p w14:paraId="1FB7ED99">
      <w:pPr>
        <w:spacing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采购项目编号：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u w:val="single"/>
        </w:rPr>
        <w:t xml:space="preserve">  </w:t>
      </w:r>
    </w:p>
    <w:tbl>
      <w:tblPr>
        <w:tblStyle w:val="2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225"/>
        <w:gridCol w:w="2869"/>
        <w:gridCol w:w="1787"/>
      </w:tblGrid>
      <w:tr w14:paraId="1C50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14:paraId="75E3A019">
            <w:pPr>
              <w:pStyle w:val="72"/>
              <w:spacing w:line="500" w:lineRule="exact"/>
              <w:jc w:val="center"/>
              <w:rPr>
                <w:rFonts w:hint="eastAsia" w:asciiTheme="majorEastAsia" w:hAnsiTheme="majorEastAsia" w:eastAsiaTheme="majorEastAsia" w:cstheme="majorEastAsia"/>
                <w:color w:val="auto"/>
                <w:sz w:val="24"/>
                <w:szCs w:val="36"/>
                <w:highlight w:val="none"/>
              </w:rPr>
            </w:pPr>
            <w:r>
              <w:rPr>
                <w:rFonts w:hint="eastAsia" w:asciiTheme="majorEastAsia" w:hAnsiTheme="majorEastAsia" w:eastAsiaTheme="majorEastAsia" w:cstheme="majorEastAsia"/>
                <w:color w:val="auto"/>
                <w:sz w:val="24"/>
                <w:szCs w:val="36"/>
                <w:highlight w:val="none"/>
              </w:rPr>
              <w:t>序号</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7AF23BC8">
            <w:pPr>
              <w:pStyle w:val="72"/>
              <w:spacing w:line="500" w:lineRule="exact"/>
              <w:jc w:val="center"/>
              <w:rPr>
                <w:rFonts w:hint="eastAsia" w:asciiTheme="majorEastAsia" w:hAnsiTheme="majorEastAsia" w:eastAsiaTheme="majorEastAsia" w:cstheme="majorEastAsia"/>
                <w:color w:val="auto"/>
                <w:sz w:val="24"/>
                <w:szCs w:val="36"/>
                <w:highlight w:val="none"/>
              </w:rPr>
            </w:pPr>
            <w:r>
              <w:rPr>
                <w:rFonts w:hint="eastAsia" w:asciiTheme="majorEastAsia" w:hAnsiTheme="majorEastAsia" w:eastAsiaTheme="majorEastAsia" w:cstheme="majorEastAsia"/>
                <w:color w:val="auto"/>
                <w:sz w:val="24"/>
                <w:szCs w:val="36"/>
                <w:highlight w:val="none"/>
              </w:rPr>
              <w:t>招标文件要求部分</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08C9927E">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Theme="majorEastAsia" w:hAnsiTheme="majorEastAsia" w:eastAsiaTheme="majorEastAsia" w:cstheme="majorEastAsia"/>
                <w:color w:val="auto"/>
                <w:sz w:val="24"/>
                <w:szCs w:val="36"/>
                <w:highlight w:val="none"/>
              </w:rPr>
            </w:pPr>
            <w:r>
              <w:rPr>
                <w:rFonts w:hint="eastAsia" w:asciiTheme="majorEastAsia" w:hAnsiTheme="majorEastAsia" w:eastAsiaTheme="majorEastAsia" w:cstheme="majorEastAsia"/>
                <w:color w:val="auto"/>
                <w:kern w:val="2"/>
                <w:sz w:val="24"/>
                <w:szCs w:val="36"/>
                <w:highlight w:val="none"/>
                <w:lang w:val="en-US" w:eastAsia="zh-CN" w:bidi="ar-SA"/>
              </w:rPr>
              <w:t>投标服务响应部分</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28E4751B">
            <w:pPr>
              <w:pStyle w:val="72"/>
              <w:spacing w:line="500" w:lineRule="exact"/>
              <w:jc w:val="center"/>
              <w:rPr>
                <w:rFonts w:hint="eastAsia" w:asciiTheme="majorEastAsia" w:hAnsiTheme="majorEastAsia" w:eastAsiaTheme="majorEastAsia" w:cstheme="majorEastAsia"/>
                <w:color w:val="auto"/>
                <w:sz w:val="24"/>
                <w:szCs w:val="36"/>
                <w:highlight w:val="none"/>
              </w:rPr>
            </w:pPr>
            <w:r>
              <w:rPr>
                <w:rFonts w:hint="eastAsia" w:asciiTheme="majorEastAsia" w:hAnsiTheme="majorEastAsia" w:eastAsiaTheme="majorEastAsia" w:cstheme="majorEastAsia"/>
                <w:color w:val="auto"/>
                <w:sz w:val="24"/>
                <w:szCs w:val="36"/>
                <w:highlight w:val="none"/>
              </w:rPr>
              <w:t>偏离说明</w:t>
            </w:r>
          </w:p>
        </w:tc>
      </w:tr>
      <w:tr w14:paraId="79D2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14:paraId="0D0A6F50">
            <w:pPr>
              <w:pStyle w:val="72"/>
              <w:spacing w:line="500" w:lineRule="exact"/>
              <w:jc w:val="center"/>
              <w:rPr>
                <w:rFonts w:hint="eastAsia" w:asciiTheme="majorEastAsia" w:hAnsiTheme="majorEastAsia" w:eastAsiaTheme="majorEastAsia" w:cstheme="majorEastAsia"/>
                <w:color w:val="auto"/>
                <w:sz w:val="24"/>
                <w:szCs w:val="36"/>
                <w:highlight w:val="none"/>
              </w:rPr>
            </w:pPr>
            <w:r>
              <w:rPr>
                <w:rFonts w:hint="eastAsia" w:asciiTheme="majorEastAsia" w:hAnsiTheme="majorEastAsia" w:eastAsiaTheme="majorEastAsia" w:cstheme="majorEastAsia"/>
                <w:color w:val="auto"/>
                <w:sz w:val="24"/>
                <w:szCs w:val="36"/>
                <w:highlight w:val="none"/>
              </w:rPr>
              <w:t>1</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607CEDD9">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rPr>
                <w:rFonts w:hint="eastAsia" w:asciiTheme="majorEastAsia" w:hAnsiTheme="majorEastAsia" w:eastAsiaTheme="majorEastAsia" w:cstheme="majorEastAsia"/>
                <w:color w:val="auto"/>
                <w:kern w:val="2"/>
                <w:sz w:val="24"/>
                <w:szCs w:val="36"/>
                <w:highlight w:val="none"/>
                <w:lang w:val="en-US" w:eastAsia="zh-CN" w:bidi="ar-SA"/>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14:paraId="114F7DF2">
            <w:pPr>
              <w:pStyle w:val="72"/>
              <w:spacing w:line="500" w:lineRule="exact"/>
              <w:jc w:val="center"/>
              <w:rPr>
                <w:rFonts w:hint="eastAsia" w:asciiTheme="majorEastAsia" w:hAnsiTheme="majorEastAsia" w:eastAsiaTheme="majorEastAsia" w:cstheme="majorEastAsia"/>
                <w:color w:val="auto"/>
                <w:sz w:val="24"/>
                <w:szCs w:val="36"/>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14:paraId="5B295060">
            <w:pPr>
              <w:pStyle w:val="72"/>
              <w:spacing w:line="500" w:lineRule="exact"/>
              <w:jc w:val="center"/>
              <w:rPr>
                <w:rFonts w:hint="eastAsia" w:asciiTheme="majorEastAsia" w:hAnsiTheme="majorEastAsia" w:eastAsiaTheme="majorEastAsia" w:cstheme="majorEastAsia"/>
                <w:color w:val="auto"/>
                <w:sz w:val="24"/>
                <w:szCs w:val="36"/>
                <w:highlight w:val="none"/>
              </w:rPr>
            </w:pPr>
          </w:p>
        </w:tc>
      </w:tr>
      <w:tr w14:paraId="1A85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14:paraId="21E66B8F">
            <w:pPr>
              <w:pStyle w:val="72"/>
              <w:spacing w:line="500" w:lineRule="exact"/>
              <w:jc w:val="center"/>
              <w:rPr>
                <w:rFonts w:hint="eastAsia" w:asciiTheme="majorEastAsia" w:hAnsiTheme="majorEastAsia" w:eastAsiaTheme="majorEastAsia" w:cstheme="majorEastAsia"/>
                <w:color w:val="auto"/>
                <w:sz w:val="24"/>
                <w:szCs w:val="36"/>
                <w:highlight w:val="none"/>
              </w:rPr>
            </w:pPr>
            <w:r>
              <w:rPr>
                <w:rFonts w:hint="eastAsia" w:asciiTheme="majorEastAsia" w:hAnsiTheme="majorEastAsia" w:eastAsiaTheme="majorEastAsia" w:cstheme="majorEastAsia"/>
                <w:color w:val="auto"/>
                <w:sz w:val="24"/>
                <w:szCs w:val="36"/>
                <w:highlight w:val="none"/>
              </w:rPr>
              <w:t>2</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1CAEB8AE">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rPr>
                <w:rFonts w:hint="eastAsia" w:asciiTheme="majorEastAsia" w:hAnsiTheme="majorEastAsia" w:eastAsiaTheme="majorEastAsia" w:cstheme="majorEastAsia"/>
                <w:color w:val="auto"/>
                <w:kern w:val="2"/>
                <w:sz w:val="24"/>
                <w:szCs w:val="36"/>
                <w:highlight w:val="none"/>
                <w:lang w:val="en-US" w:eastAsia="zh-CN" w:bidi="ar-SA"/>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14:paraId="51482E01">
            <w:pPr>
              <w:pStyle w:val="72"/>
              <w:spacing w:line="500" w:lineRule="exact"/>
              <w:jc w:val="center"/>
              <w:rPr>
                <w:rFonts w:hint="eastAsia" w:asciiTheme="majorEastAsia" w:hAnsiTheme="majorEastAsia" w:eastAsiaTheme="majorEastAsia" w:cstheme="majorEastAsia"/>
                <w:color w:val="auto"/>
                <w:sz w:val="24"/>
                <w:szCs w:val="36"/>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14:paraId="4CD382BE">
            <w:pPr>
              <w:pStyle w:val="72"/>
              <w:spacing w:line="500" w:lineRule="exact"/>
              <w:jc w:val="center"/>
              <w:rPr>
                <w:rFonts w:hint="eastAsia" w:asciiTheme="majorEastAsia" w:hAnsiTheme="majorEastAsia" w:eastAsiaTheme="majorEastAsia" w:cstheme="majorEastAsia"/>
                <w:color w:val="auto"/>
                <w:sz w:val="24"/>
                <w:szCs w:val="36"/>
                <w:highlight w:val="none"/>
              </w:rPr>
            </w:pPr>
          </w:p>
        </w:tc>
      </w:tr>
      <w:tr w14:paraId="4B72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14:paraId="6FCABBE2">
            <w:pPr>
              <w:pStyle w:val="72"/>
              <w:spacing w:line="500" w:lineRule="exact"/>
              <w:jc w:val="center"/>
              <w:rPr>
                <w:rFonts w:hint="eastAsia" w:asciiTheme="majorEastAsia" w:hAnsiTheme="majorEastAsia" w:eastAsiaTheme="majorEastAsia" w:cstheme="majorEastAsia"/>
                <w:color w:val="auto"/>
                <w:sz w:val="24"/>
                <w:szCs w:val="36"/>
                <w:highlight w:val="none"/>
              </w:rPr>
            </w:pPr>
            <w:r>
              <w:rPr>
                <w:rFonts w:hint="eastAsia" w:asciiTheme="majorEastAsia" w:hAnsiTheme="majorEastAsia" w:eastAsiaTheme="majorEastAsia" w:cstheme="majorEastAsia"/>
                <w:color w:val="auto"/>
                <w:sz w:val="24"/>
                <w:szCs w:val="36"/>
                <w:highlight w:val="none"/>
              </w:rPr>
              <w:t>3</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5174C810">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rPr>
                <w:rFonts w:hint="eastAsia" w:asciiTheme="majorEastAsia" w:hAnsiTheme="majorEastAsia" w:eastAsiaTheme="majorEastAsia" w:cstheme="majorEastAsia"/>
                <w:color w:val="auto"/>
                <w:kern w:val="2"/>
                <w:sz w:val="24"/>
                <w:szCs w:val="36"/>
                <w:highlight w:val="none"/>
                <w:lang w:val="en-US" w:eastAsia="zh-CN" w:bidi="ar-SA"/>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14:paraId="5B70782D">
            <w:pPr>
              <w:pStyle w:val="72"/>
              <w:spacing w:line="500" w:lineRule="exact"/>
              <w:jc w:val="center"/>
              <w:rPr>
                <w:rFonts w:hint="eastAsia" w:asciiTheme="majorEastAsia" w:hAnsiTheme="majorEastAsia" w:eastAsiaTheme="majorEastAsia" w:cstheme="majorEastAsia"/>
                <w:color w:val="auto"/>
                <w:sz w:val="24"/>
                <w:szCs w:val="36"/>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14:paraId="3A2A26D0">
            <w:pPr>
              <w:pStyle w:val="72"/>
              <w:spacing w:line="500" w:lineRule="exact"/>
              <w:jc w:val="center"/>
              <w:rPr>
                <w:rFonts w:hint="eastAsia" w:asciiTheme="majorEastAsia" w:hAnsiTheme="majorEastAsia" w:eastAsiaTheme="majorEastAsia" w:cstheme="majorEastAsia"/>
                <w:color w:val="auto"/>
                <w:sz w:val="24"/>
                <w:szCs w:val="36"/>
                <w:highlight w:val="none"/>
              </w:rPr>
            </w:pPr>
          </w:p>
        </w:tc>
      </w:tr>
      <w:tr w14:paraId="5718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14:paraId="3691EA54">
            <w:pPr>
              <w:pStyle w:val="72"/>
              <w:spacing w:line="500" w:lineRule="exact"/>
              <w:jc w:val="center"/>
              <w:rPr>
                <w:rFonts w:hint="eastAsia" w:asciiTheme="majorEastAsia" w:hAnsiTheme="majorEastAsia" w:eastAsiaTheme="majorEastAsia" w:cstheme="majorEastAsia"/>
                <w:color w:val="auto"/>
                <w:sz w:val="24"/>
                <w:szCs w:val="36"/>
                <w:highlight w:val="none"/>
              </w:rPr>
            </w:pPr>
            <w:r>
              <w:rPr>
                <w:rFonts w:hint="eastAsia" w:asciiTheme="majorEastAsia" w:hAnsiTheme="majorEastAsia" w:eastAsiaTheme="majorEastAsia" w:cstheme="majorEastAsia"/>
                <w:color w:val="auto"/>
                <w:sz w:val="24"/>
                <w:szCs w:val="36"/>
                <w:highlight w:val="none"/>
              </w:rPr>
              <w:t>4</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225264DE">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rPr>
                <w:rFonts w:hint="eastAsia" w:asciiTheme="majorEastAsia" w:hAnsiTheme="majorEastAsia" w:eastAsiaTheme="majorEastAsia" w:cstheme="majorEastAsia"/>
                <w:color w:val="auto"/>
                <w:kern w:val="2"/>
                <w:sz w:val="24"/>
                <w:szCs w:val="36"/>
                <w:highlight w:val="none"/>
                <w:lang w:val="en-US" w:eastAsia="zh-CN" w:bidi="ar-SA"/>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14:paraId="471C179E">
            <w:pPr>
              <w:pStyle w:val="72"/>
              <w:spacing w:line="500" w:lineRule="exact"/>
              <w:jc w:val="center"/>
              <w:rPr>
                <w:rFonts w:hint="eastAsia" w:asciiTheme="majorEastAsia" w:hAnsiTheme="majorEastAsia" w:eastAsiaTheme="majorEastAsia" w:cstheme="majorEastAsia"/>
                <w:color w:val="auto"/>
                <w:sz w:val="24"/>
                <w:szCs w:val="36"/>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14:paraId="04D09958">
            <w:pPr>
              <w:pStyle w:val="72"/>
              <w:spacing w:line="500" w:lineRule="exact"/>
              <w:jc w:val="center"/>
              <w:rPr>
                <w:rFonts w:hint="eastAsia" w:asciiTheme="majorEastAsia" w:hAnsiTheme="majorEastAsia" w:eastAsiaTheme="majorEastAsia" w:cstheme="majorEastAsia"/>
                <w:color w:val="auto"/>
                <w:sz w:val="24"/>
                <w:szCs w:val="36"/>
                <w:highlight w:val="none"/>
              </w:rPr>
            </w:pPr>
          </w:p>
        </w:tc>
      </w:tr>
      <w:tr w14:paraId="7CBB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14:paraId="3C359F53">
            <w:pPr>
              <w:pStyle w:val="72"/>
              <w:spacing w:line="500" w:lineRule="exact"/>
              <w:jc w:val="center"/>
              <w:rPr>
                <w:rFonts w:hint="eastAsia" w:asciiTheme="majorEastAsia" w:hAnsiTheme="majorEastAsia" w:eastAsiaTheme="majorEastAsia" w:cstheme="majorEastAsia"/>
                <w:color w:val="auto"/>
                <w:sz w:val="24"/>
                <w:szCs w:val="36"/>
                <w:highlight w:val="none"/>
              </w:rPr>
            </w:pPr>
            <w:r>
              <w:rPr>
                <w:rFonts w:hint="eastAsia" w:asciiTheme="majorEastAsia" w:hAnsiTheme="majorEastAsia" w:eastAsiaTheme="majorEastAsia" w:cstheme="majorEastAsia"/>
                <w:color w:val="auto"/>
                <w:sz w:val="24"/>
                <w:szCs w:val="36"/>
                <w:highlight w:val="none"/>
              </w:rPr>
              <w:t>5</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47E1EA55">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rPr>
                <w:rFonts w:hint="eastAsia" w:asciiTheme="majorEastAsia" w:hAnsiTheme="majorEastAsia" w:eastAsiaTheme="majorEastAsia" w:cstheme="majorEastAsia"/>
                <w:color w:val="auto"/>
                <w:kern w:val="2"/>
                <w:sz w:val="24"/>
                <w:szCs w:val="36"/>
                <w:highlight w:val="none"/>
                <w:lang w:val="en-US" w:eastAsia="zh-CN" w:bidi="ar-SA"/>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14:paraId="05FC23B7">
            <w:pPr>
              <w:pStyle w:val="72"/>
              <w:spacing w:line="500" w:lineRule="exact"/>
              <w:jc w:val="center"/>
              <w:rPr>
                <w:rFonts w:hint="eastAsia" w:asciiTheme="majorEastAsia" w:hAnsiTheme="majorEastAsia" w:eastAsiaTheme="majorEastAsia" w:cstheme="majorEastAsia"/>
                <w:color w:val="auto"/>
                <w:sz w:val="24"/>
                <w:szCs w:val="36"/>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14:paraId="6DA06A02">
            <w:pPr>
              <w:pStyle w:val="72"/>
              <w:spacing w:line="500" w:lineRule="exact"/>
              <w:jc w:val="center"/>
              <w:rPr>
                <w:rFonts w:hint="eastAsia" w:asciiTheme="majorEastAsia" w:hAnsiTheme="majorEastAsia" w:eastAsiaTheme="majorEastAsia" w:cstheme="majorEastAsia"/>
                <w:color w:val="auto"/>
                <w:sz w:val="24"/>
                <w:szCs w:val="36"/>
                <w:highlight w:val="none"/>
              </w:rPr>
            </w:pPr>
          </w:p>
        </w:tc>
      </w:tr>
      <w:tr w14:paraId="6A30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14:paraId="0DB1D9BE">
            <w:pPr>
              <w:pStyle w:val="72"/>
              <w:spacing w:line="500" w:lineRule="exact"/>
              <w:jc w:val="center"/>
              <w:rPr>
                <w:rFonts w:hint="eastAsia" w:asciiTheme="majorEastAsia" w:hAnsiTheme="majorEastAsia" w:eastAsiaTheme="majorEastAsia" w:cstheme="majorEastAsia"/>
                <w:color w:val="auto"/>
                <w:sz w:val="24"/>
                <w:szCs w:val="36"/>
                <w:highlight w:val="none"/>
              </w:rPr>
            </w:pPr>
            <w:r>
              <w:rPr>
                <w:rFonts w:hint="eastAsia" w:asciiTheme="majorEastAsia" w:hAnsiTheme="majorEastAsia" w:eastAsiaTheme="majorEastAsia" w:cstheme="majorEastAsia"/>
                <w:color w:val="auto"/>
                <w:sz w:val="24"/>
                <w:szCs w:val="36"/>
                <w:highlight w:val="none"/>
              </w:rPr>
              <w:t>6</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1848A471">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rPr>
                <w:rFonts w:hint="eastAsia" w:asciiTheme="majorEastAsia" w:hAnsiTheme="majorEastAsia" w:eastAsiaTheme="majorEastAsia" w:cstheme="majorEastAsia"/>
                <w:color w:val="auto"/>
                <w:kern w:val="2"/>
                <w:sz w:val="24"/>
                <w:szCs w:val="36"/>
                <w:highlight w:val="none"/>
                <w:lang w:val="en-US" w:eastAsia="zh-CN" w:bidi="ar-SA"/>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14:paraId="75922715">
            <w:pPr>
              <w:pStyle w:val="72"/>
              <w:spacing w:line="500" w:lineRule="exact"/>
              <w:jc w:val="center"/>
              <w:rPr>
                <w:rFonts w:hint="eastAsia" w:asciiTheme="majorEastAsia" w:hAnsiTheme="majorEastAsia" w:eastAsiaTheme="majorEastAsia" w:cstheme="majorEastAsia"/>
                <w:color w:val="auto"/>
                <w:sz w:val="24"/>
                <w:szCs w:val="36"/>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14:paraId="6CC06E1D">
            <w:pPr>
              <w:pStyle w:val="72"/>
              <w:spacing w:line="500" w:lineRule="exact"/>
              <w:jc w:val="center"/>
              <w:rPr>
                <w:rFonts w:hint="eastAsia" w:asciiTheme="majorEastAsia" w:hAnsiTheme="majorEastAsia" w:eastAsiaTheme="majorEastAsia" w:cstheme="majorEastAsia"/>
                <w:color w:val="auto"/>
                <w:sz w:val="24"/>
                <w:szCs w:val="36"/>
                <w:highlight w:val="none"/>
              </w:rPr>
            </w:pPr>
          </w:p>
        </w:tc>
      </w:tr>
      <w:tr w14:paraId="5446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14:paraId="30CA007F">
            <w:pPr>
              <w:pStyle w:val="72"/>
              <w:spacing w:line="500" w:lineRule="exact"/>
              <w:jc w:val="center"/>
              <w:rPr>
                <w:rFonts w:hint="default" w:asciiTheme="majorEastAsia" w:hAnsiTheme="majorEastAsia" w:eastAsiaTheme="majorEastAsia" w:cstheme="majorEastAsia"/>
                <w:color w:val="auto"/>
                <w:sz w:val="24"/>
                <w:szCs w:val="36"/>
                <w:highlight w:val="none"/>
                <w:lang w:val="en-US" w:eastAsia="zh-CN"/>
              </w:rPr>
            </w:pPr>
            <w:r>
              <w:rPr>
                <w:rFonts w:hint="eastAsia" w:asciiTheme="majorEastAsia" w:hAnsiTheme="majorEastAsia" w:eastAsiaTheme="majorEastAsia" w:cstheme="majorEastAsia"/>
                <w:color w:val="auto"/>
                <w:sz w:val="24"/>
                <w:szCs w:val="36"/>
                <w:highlight w:val="none"/>
                <w:lang w:val="en-US" w:eastAsia="zh-CN"/>
              </w:rPr>
              <w:t>...</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462AA704">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rPr>
                <w:rFonts w:hint="eastAsia" w:asciiTheme="majorEastAsia" w:hAnsiTheme="majorEastAsia" w:eastAsiaTheme="majorEastAsia" w:cstheme="majorEastAsia"/>
                <w:color w:val="auto"/>
                <w:kern w:val="2"/>
                <w:sz w:val="24"/>
                <w:szCs w:val="36"/>
                <w:highlight w:val="none"/>
                <w:lang w:val="en-US" w:eastAsia="zh-CN" w:bidi="ar-SA"/>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14:paraId="73064DD3">
            <w:pPr>
              <w:pStyle w:val="72"/>
              <w:spacing w:line="500" w:lineRule="exact"/>
              <w:jc w:val="center"/>
              <w:rPr>
                <w:rFonts w:hint="eastAsia" w:asciiTheme="majorEastAsia" w:hAnsiTheme="majorEastAsia" w:eastAsiaTheme="majorEastAsia" w:cstheme="majorEastAsia"/>
                <w:color w:val="auto"/>
                <w:sz w:val="24"/>
                <w:szCs w:val="36"/>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14:paraId="61BB7FED">
            <w:pPr>
              <w:pStyle w:val="72"/>
              <w:spacing w:line="500" w:lineRule="exact"/>
              <w:jc w:val="center"/>
              <w:rPr>
                <w:rFonts w:hint="eastAsia" w:asciiTheme="majorEastAsia" w:hAnsiTheme="majorEastAsia" w:eastAsiaTheme="majorEastAsia" w:cstheme="majorEastAsia"/>
                <w:color w:val="auto"/>
                <w:sz w:val="24"/>
                <w:szCs w:val="36"/>
                <w:highlight w:val="none"/>
              </w:rPr>
            </w:pPr>
          </w:p>
        </w:tc>
      </w:tr>
    </w:tbl>
    <w:p w14:paraId="55245FAF">
      <w:pPr>
        <w:spacing w:line="360" w:lineRule="auto"/>
        <w:rPr>
          <w:rFonts w:hint="eastAsia" w:asciiTheme="majorEastAsia" w:hAnsiTheme="majorEastAsia" w:eastAsiaTheme="majorEastAsia" w:cstheme="majorEastAsia"/>
          <w:color w:val="auto"/>
          <w:sz w:val="21"/>
          <w:szCs w:val="21"/>
          <w:highlight w:val="none"/>
          <w:u w:val="single"/>
        </w:rPr>
      </w:pPr>
    </w:p>
    <w:p w14:paraId="71746C96">
      <w:pPr>
        <w:pStyle w:val="11"/>
        <w:spacing w:line="400" w:lineRule="exact"/>
        <w:ind w:firstLine="0" w:firstLineChars="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1"/>
          <w:szCs w:val="21"/>
          <w:highlight w:val="none"/>
        </w:rPr>
        <w:t>注：</w:t>
      </w:r>
      <w:r>
        <w:rPr>
          <w:rFonts w:hint="eastAsia" w:asciiTheme="majorEastAsia" w:hAnsiTheme="majorEastAsia" w:eastAsiaTheme="majorEastAsia" w:cstheme="majorEastAsia"/>
          <w:color w:val="auto"/>
          <w:sz w:val="22"/>
          <w:szCs w:val="22"/>
          <w:highlight w:val="none"/>
        </w:rPr>
        <w:t>供应商应根据自身情况，对照</w:t>
      </w:r>
      <w:r>
        <w:rPr>
          <w:rFonts w:hint="eastAsia" w:asciiTheme="majorEastAsia" w:hAnsiTheme="majorEastAsia" w:eastAsiaTheme="majorEastAsia" w:cstheme="majorEastAsia"/>
          <w:color w:val="auto"/>
          <w:sz w:val="22"/>
          <w:szCs w:val="22"/>
          <w:highlight w:val="none"/>
          <w:lang w:val="en-US" w:eastAsia="zh-CN"/>
        </w:rPr>
        <w:t>采购</w:t>
      </w:r>
      <w:r>
        <w:rPr>
          <w:rFonts w:hint="eastAsia" w:asciiTheme="majorEastAsia" w:hAnsiTheme="majorEastAsia" w:eastAsiaTheme="majorEastAsia" w:cstheme="majorEastAsia"/>
          <w:color w:val="auto"/>
          <w:sz w:val="22"/>
          <w:szCs w:val="22"/>
          <w:highlight w:val="none"/>
        </w:rPr>
        <w:t>文件要求，在“偏离说明”中注明“正偏离”、“负偏离”或者“无偏离”。既不属于“正偏离”也不属于“负偏离”即为“无偏离”。 当响应文件的商务内容低于采购文件要求时，竞标人应当如实写明“负偏离”，否则视为虚假应标</w:t>
      </w:r>
      <w:r>
        <w:rPr>
          <w:rFonts w:hint="eastAsia" w:asciiTheme="majorEastAsia" w:hAnsiTheme="majorEastAsia" w:eastAsiaTheme="majorEastAsia" w:cstheme="majorEastAsia"/>
          <w:color w:val="auto"/>
          <w:sz w:val="22"/>
          <w:szCs w:val="22"/>
          <w:highlight w:val="none"/>
          <w:lang w:eastAsia="zh-CN"/>
        </w:rPr>
        <w:t>。</w:t>
      </w:r>
    </w:p>
    <w:p w14:paraId="3FC37C12">
      <w:pPr>
        <w:pStyle w:val="11"/>
        <w:spacing w:line="400" w:lineRule="exact"/>
        <w:ind w:firstLine="0" w:firstLineChars="0"/>
        <w:rPr>
          <w:rFonts w:hint="eastAsia" w:asciiTheme="majorEastAsia" w:hAnsiTheme="majorEastAsia" w:eastAsiaTheme="majorEastAsia" w:cstheme="majorEastAsia"/>
          <w:color w:val="auto"/>
          <w:sz w:val="22"/>
          <w:szCs w:val="22"/>
          <w:highlight w:val="none"/>
          <w:lang w:eastAsia="zh-CN"/>
        </w:rPr>
      </w:pPr>
    </w:p>
    <w:p w14:paraId="26A7F42A">
      <w:pPr>
        <w:adjustRightInd w:val="0"/>
        <w:spacing w:line="600" w:lineRule="auto"/>
        <w:ind w:firstLine="420" w:firstLineChars="175"/>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        （盖章）</w:t>
      </w:r>
    </w:p>
    <w:p w14:paraId="6A392CDA">
      <w:pPr>
        <w:adjustRightInd w:val="0"/>
        <w:spacing w:line="600" w:lineRule="auto"/>
        <w:ind w:firstLine="420" w:firstLineChars="175"/>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bCs/>
          <w:color w:val="auto"/>
          <w:sz w:val="24"/>
          <w:szCs w:val="24"/>
          <w:highlight w:val="none"/>
        </w:rPr>
        <w:t>（签字或盖章）：</w:t>
      </w:r>
    </w:p>
    <w:p w14:paraId="65F51C3F">
      <w:pPr>
        <w:adjustRightInd w:val="0"/>
        <w:spacing w:line="60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投标日期:</w:t>
      </w:r>
    </w:p>
    <w:p w14:paraId="6732D702">
      <w:pPr>
        <w:pStyle w:val="4"/>
        <w:numPr>
          <w:ilvl w:val="0"/>
          <w:numId w:val="0"/>
        </w:numPr>
        <w:spacing w:line="400" w:lineRule="exact"/>
        <w:jc w:val="center"/>
        <w:rPr>
          <w:rFonts w:hint="eastAsia" w:ascii="宋体" w:hAnsi="宋体" w:eastAsia="宋体" w:cs="宋体"/>
          <w:bCs w:val="0"/>
          <w:color w:val="auto"/>
          <w:sz w:val="30"/>
          <w:szCs w:val="30"/>
          <w:highlight w:val="none"/>
        </w:rPr>
      </w:pPr>
      <w:bookmarkStart w:id="213" w:name="_Toc217446089"/>
      <w:r>
        <w:rPr>
          <w:rFonts w:hint="eastAsia" w:ascii="宋体" w:hAnsi="宋体" w:eastAsia="宋体" w:cs="宋体"/>
          <w:bCs w:val="0"/>
          <w:color w:val="auto"/>
          <w:szCs w:val="28"/>
          <w:highlight w:val="none"/>
        </w:rPr>
        <w:br w:type="page"/>
      </w:r>
      <w:bookmarkStart w:id="214" w:name="_Toc14085"/>
      <w:r>
        <w:rPr>
          <w:rFonts w:hint="eastAsia" w:ascii="宋体" w:hAnsi="宋体" w:cs="宋体"/>
          <w:bCs w:val="0"/>
          <w:color w:val="auto"/>
          <w:szCs w:val="28"/>
          <w:highlight w:val="none"/>
          <w:lang w:val="en-US" w:eastAsia="zh-CN"/>
        </w:rPr>
        <w:t>5、</w:t>
      </w:r>
      <w:r>
        <w:rPr>
          <w:rFonts w:hint="eastAsia" w:ascii="宋体" w:hAnsi="宋体" w:eastAsia="宋体" w:cs="宋体"/>
          <w:bCs w:val="0"/>
          <w:color w:val="auto"/>
          <w:sz w:val="30"/>
          <w:szCs w:val="30"/>
          <w:highlight w:val="none"/>
        </w:rPr>
        <w:t>供应商类似项目业绩一览表</w:t>
      </w:r>
      <w:bookmarkEnd w:id="213"/>
      <w:bookmarkEnd w:id="214"/>
    </w:p>
    <w:p w14:paraId="5BFBA7BE">
      <w:pPr>
        <w:pStyle w:val="57"/>
        <w:adjustRightInd w:val="0"/>
        <w:snapToGrid w:val="0"/>
        <w:spacing w:line="440" w:lineRule="exact"/>
        <w:ind w:left="0" w:leftChars="0" w:firstLine="0" w:firstLineChars="0"/>
        <w:rPr>
          <w:rFonts w:hint="eastAsia" w:asciiTheme="majorEastAsia" w:hAnsiTheme="majorEastAsia" w:eastAsiaTheme="majorEastAsia" w:cstheme="majorEastAsia"/>
          <w:color w:val="auto"/>
          <w:sz w:val="24"/>
          <w:szCs w:val="28"/>
          <w:highlight w:val="none"/>
        </w:rPr>
      </w:pPr>
      <w:r>
        <w:rPr>
          <w:rFonts w:hint="eastAsia" w:asciiTheme="majorEastAsia" w:hAnsiTheme="majorEastAsia" w:eastAsiaTheme="majorEastAsia" w:cstheme="majorEastAsia"/>
          <w:color w:val="auto"/>
          <w:sz w:val="24"/>
          <w:szCs w:val="28"/>
          <w:highlight w:val="none"/>
        </w:rPr>
        <w:t>采购项目编号：</w:t>
      </w:r>
    </w:p>
    <w:p w14:paraId="10AA80C6">
      <w:pPr>
        <w:pStyle w:val="6"/>
        <w:numPr>
          <w:ilvl w:val="0"/>
          <w:numId w:val="0"/>
        </w:numPr>
        <w:rPr>
          <w:rFonts w:hint="eastAsia"/>
          <w:sz w:val="22"/>
          <w:szCs w:val="28"/>
        </w:rPr>
      </w:pPr>
      <w:r>
        <w:rPr>
          <w:rFonts w:hint="eastAsia" w:asciiTheme="majorEastAsia" w:hAnsiTheme="majorEastAsia" w:eastAsiaTheme="majorEastAsia" w:cstheme="majorEastAsia"/>
          <w:color w:val="auto"/>
          <w:sz w:val="24"/>
          <w:szCs w:val="28"/>
          <w:highlight w:val="none"/>
        </w:rPr>
        <w:t>采购项目名称：</w:t>
      </w:r>
    </w:p>
    <w:tbl>
      <w:tblPr>
        <w:tblStyle w:val="27"/>
        <w:tblW w:w="104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31"/>
        <w:gridCol w:w="1662"/>
        <w:gridCol w:w="1525"/>
        <w:gridCol w:w="1340"/>
        <w:gridCol w:w="1466"/>
        <w:gridCol w:w="1587"/>
        <w:gridCol w:w="1998"/>
      </w:tblGrid>
      <w:tr w14:paraId="6890D7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1" w:type="dxa"/>
            <w:tcBorders>
              <w:top w:val="single" w:color="auto" w:sz="4" w:space="0"/>
            </w:tcBorders>
            <w:noWrap w:val="0"/>
            <w:vAlign w:val="center"/>
          </w:tcPr>
          <w:p w14:paraId="1FB24EAF">
            <w:pPr>
              <w:spacing w:line="400" w:lineRule="exact"/>
              <w:ind w:firstLine="120" w:firstLineChar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662" w:type="dxa"/>
            <w:noWrap w:val="0"/>
            <w:vAlign w:val="center"/>
          </w:tcPr>
          <w:p w14:paraId="0D88FFF7">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w:t>
            </w:r>
          </w:p>
        </w:tc>
        <w:tc>
          <w:tcPr>
            <w:tcW w:w="1525" w:type="dxa"/>
            <w:noWrap w:val="0"/>
            <w:vAlign w:val="center"/>
          </w:tcPr>
          <w:p w14:paraId="27FD36EB">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340" w:type="dxa"/>
            <w:noWrap w:val="0"/>
            <w:vAlign w:val="center"/>
          </w:tcPr>
          <w:p w14:paraId="536B095D">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完成时间</w:t>
            </w:r>
          </w:p>
        </w:tc>
        <w:tc>
          <w:tcPr>
            <w:tcW w:w="1466" w:type="dxa"/>
            <w:noWrap w:val="0"/>
            <w:vAlign w:val="center"/>
          </w:tcPr>
          <w:p w14:paraId="15E39801">
            <w:pPr>
              <w:spacing w:line="400" w:lineRule="exact"/>
              <w:ind w:firstLine="120" w:firstLineChar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tc>
        <w:tc>
          <w:tcPr>
            <w:tcW w:w="1587" w:type="dxa"/>
            <w:tcBorders>
              <w:right w:val="single" w:color="auto" w:sz="4" w:space="0"/>
            </w:tcBorders>
            <w:noWrap w:val="0"/>
            <w:vAlign w:val="center"/>
          </w:tcPr>
          <w:p w14:paraId="46A38970">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项目描述</w:t>
            </w:r>
          </w:p>
        </w:tc>
        <w:tc>
          <w:tcPr>
            <w:tcW w:w="1998" w:type="dxa"/>
            <w:tcBorders>
              <w:right w:val="single" w:color="auto" w:sz="4" w:space="0"/>
            </w:tcBorders>
            <w:noWrap w:val="0"/>
            <w:vAlign w:val="center"/>
          </w:tcPr>
          <w:p w14:paraId="6CC92F08">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采购人联系方式</w:t>
            </w:r>
          </w:p>
        </w:tc>
      </w:tr>
      <w:tr w14:paraId="5D85E0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1" w:type="dxa"/>
            <w:noWrap w:val="0"/>
            <w:vAlign w:val="center"/>
          </w:tcPr>
          <w:p w14:paraId="20E33774">
            <w:pPr>
              <w:spacing w:line="400" w:lineRule="exact"/>
              <w:jc w:val="center"/>
              <w:rPr>
                <w:rFonts w:hint="eastAsia" w:ascii="宋体" w:hAnsi="宋体" w:eastAsia="宋体" w:cs="宋体"/>
                <w:color w:val="auto"/>
                <w:sz w:val="24"/>
                <w:szCs w:val="24"/>
                <w:highlight w:val="none"/>
              </w:rPr>
            </w:pPr>
          </w:p>
        </w:tc>
        <w:tc>
          <w:tcPr>
            <w:tcW w:w="1662" w:type="dxa"/>
            <w:noWrap w:val="0"/>
            <w:vAlign w:val="center"/>
          </w:tcPr>
          <w:p w14:paraId="0A3901F5">
            <w:pPr>
              <w:spacing w:line="400" w:lineRule="exact"/>
              <w:jc w:val="center"/>
              <w:rPr>
                <w:rFonts w:hint="eastAsia" w:ascii="宋体" w:hAnsi="宋体" w:eastAsia="宋体" w:cs="宋体"/>
                <w:color w:val="auto"/>
                <w:sz w:val="24"/>
                <w:szCs w:val="24"/>
                <w:highlight w:val="none"/>
              </w:rPr>
            </w:pPr>
          </w:p>
        </w:tc>
        <w:tc>
          <w:tcPr>
            <w:tcW w:w="1525" w:type="dxa"/>
            <w:noWrap w:val="0"/>
            <w:vAlign w:val="center"/>
          </w:tcPr>
          <w:p w14:paraId="755DF579">
            <w:pPr>
              <w:spacing w:line="400" w:lineRule="exact"/>
              <w:jc w:val="center"/>
              <w:rPr>
                <w:rFonts w:hint="eastAsia" w:ascii="宋体" w:hAnsi="宋体" w:eastAsia="宋体" w:cs="宋体"/>
                <w:color w:val="auto"/>
                <w:sz w:val="24"/>
                <w:szCs w:val="24"/>
                <w:highlight w:val="none"/>
              </w:rPr>
            </w:pPr>
          </w:p>
        </w:tc>
        <w:tc>
          <w:tcPr>
            <w:tcW w:w="1340" w:type="dxa"/>
            <w:noWrap w:val="0"/>
            <w:vAlign w:val="center"/>
          </w:tcPr>
          <w:p w14:paraId="1A3F6F13">
            <w:pPr>
              <w:spacing w:line="400" w:lineRule="exact"/>
              <w:jc w:val="center"/>
              <w:rPr>
                <w:rFonts w:hint="eastAsia" w:ascii="宋体" w:hAnsi="宋体" w:eastAsia="宋体" w:cs="宋体"/>
                <w:color w:val="auto"/>
                <w:sz w:val="24"/>
                <w:szCs w:val="24"/>
                <w:highlight w:val="none"/>
              </w:rPr>
            </w:pPr>
          </w:p>
        </w:tc>
        <w:tc>
          <w:tcPr>
            <w:tcW w:w="1466" w:type="dxa"/>
            <w:noWrap w:val="0"/>
            <w:vAlign w:val="center"/>
          </w:tcPr>
          <w:p w14:paraId="32FF8983">
            <w:pPr>
              <w:spacing w:line="400" w:lineRule="exact"/>
              <w:jc w:val="center"/>
              <w:rPr>
                <w:rFonts w:hint="eastAsia" w:ascii="宋体" w:hAnsi="宋体" w:eastAsia="宋体" w:cs="宋体"/>
                <w:color w:val="auto"/>
                <w:sz w:val="24"/>
                <w:szCs w:val="24"/>
                <w:highlight w:val="none"/>
              </w:rPr>
            </w:pPr>
          </w:p>
        </w:tc>
        <w:tc>
          <w:tcPr>
            <w:tcW w:w="1587" w:type="dxa"/>
            <w:tcBorders>
              <w:right w:val="single" w:color="auto" w:sz="4" w:space="0"/>
            </w:tcBorders>
            <w:noWrap w:val="0"/>
            <w:vAlign w:val="center"/>
          </w:tcPr>
          <w:p w14:paraId="549D1063">
            <w:pPr>
              <w:spacing w:line="400" w:lineRule="exact"/>
              <w:jc w:val="center"/>
              <w:rPr>
                <w:rFonts w:hint="eastAsia" w:ascii="宋体" w:hAnsi="宋体" w:eastAsia="宋体" w:cs="宋体"/>
                <w:color w:val="auto"/>
                <w:sz w:val="24"/>
                <w:szCs w:val="24"/>
                <w:highlight w:val="none"/>
              </w:rPr>
            </w:pPr>
          </w:p>
        </w:tc>
        <w:tc>
          <w:tcPr>
            <w:tcW w:w="1998" w:type="dxa"/>
            <w:tcBorders>
              <w:right w:val="single" w:color="auto" w:sz="4" w:space="0"/>
            </w:tcBorders>
            <w:noWrap w:val="0"/>
            <w:vAlign w:val="center"/>
          </w:tcPr>
          <w:p w14:paraId="359A0297">
            <w:pPr>
              <w:spacing w:line="400" w:lineRule="exact"/>
              <w:jc w:val="center"/>
              <w:rPr>
                <w:rFonts w:hint="eastAsia" w:ascii="宋体" w:hAnsi="宋体" w:eastAsia="宋体" w:cs="宋体"/>
                <w:color w:val="auto"/>
                <w:sz w:val="24"/>
                <w:szCs w:val="24"/>
                <w:highlight w:val="none"/>
              </w:rPr>
            </w:pPr>
          </w:p>
        </w:tc>
      </w:tr>
      <w:tr w14:paraId="05F4CB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1" w:type="dxa"/>
            <w:noWrap w:val="0"/>
            <w:vAlign w:val="center"/>
          </w:tcPr>
          <w:p w14:paraId="3B38D9CF">
            <w:pPr>
              <w:spacing w:line="400" w:lineRule="exact"/>
              <w:jc w:val="center"/>
              <w:rPr>
                <w:rFonts w:hint="eastAsia" w:ascii="宋体" w:hAnsi="宋体" w:eastAsia="宋体" w:cs="宋体"/>
                <w:color w:val="auto"/>
                <w:sz w:val="24"/>
                <w:szCs w:val="24"/>
                <w:highlight w:val="none"/>
              </w:rPr>
            </w:pPr>
          </w:p>
        </w:tc>
        <w:tc>
          <w:tcPr>
            <w:tcW w:w="1662" w:type="dxa"/>
            <w:noWrap w:val="0"/>
            <w:vAlign w:val="center"/>
          </w:tcPr>
          <w:p w14:paraId="0E080EEB">
            <w:pPr>
              <w:spacing w:line="400" w:lineRule="exact"/>
              <w:jc w:val="center"/>
              <w:rPr>
                <w:rFonts w:hint="eastAsia" w:ascii="宋体" w:hAnsi="宋体" w:eastAsia="宋体" w:cs="宋体"/>
                <w:color w:val="auto"/>
                <w:sz w:val="24"/>
                <w:szCs w:val="24"/>
                <w:highlight w:val="none"/>
              </w:rPr>
            </w:pPr>
          </w:p>
        </w:tc>
        <w:tc>
          <w:tcPr>
            <w:tcW w:w="1525" w:type="dxa"/>
            <w:noWrap w:val="0"/>
            <w:vAlign w:val="center"/>
          </w:tcPr>
          <w:p w14:paraId="4D147209">
            <w:pPr>
              <w:spacing w:line="400" w:lineRule="exact"/>
              <w:jc w:val="center"/>
              <w:rPr>
                <w:rFonts w:hint="eastAsia" w:ascii="宋体" w:hAnsi="宋体" w:eastAsia="宋体" w:cs="宋体"/>
                <w:color w:val="auto"/>
                <w:sz w:val="24"/>
                <w:szCs w:val="24"/>
                <w:highlight w:val="none"/>
              </w:rPr>
            </w:pPr>
          </w:p>
        </w:tc>
        <w:tc>
          <w:tcPr>
            <w:tcW w:w="1340" w:type="dxa"/>
            <w:noWrap w:val="0"/>
            <w:vAlign w:val="center"/>
          </w:tcPr>
          <w:p w14:paraId="006E3812">
            <w:pPr>
              <w:spacing w:line="400" w:lineRule="exact"/>
              <w:jc w:val="center"/>
              <w:rPr>
                <w:rFonts w:hint="eastAsia" w:ascii="宋体" w:hAnsi="宋体" w:eastAsia="宋体" w:cs="宋体"/>
                <w:color w:val="auto"/>
                <w:sz w:val="24"/>
                <w:szCs w:val="24"/>
                <w:highlight w:val="none"/>
              </w:rPr>
            </w:pPr>
          </w:p>
        </w:tc>
        <w:tc>
          <w:tcPr>
            <w:tcW w:w="1466" w:type="dxa"/>
            <w:noWrap w:val="0"/>
            <w:vAlign w:val="center"/>
          </w:tcPr>
          <w:p w14:paraId="4A49944A">
            <w:pPr>
              <w:spacing w:line="400" w:lineRule="exact"/>
              <w:jc w:val="center"/>
              <w:rPr>
                <w:rFonts w:hint="eastAsia" w:ascii="宋体" w:hAnsi="宋体" w:eastAsia="宋体" w:cs="宋体"/>
                <w:color w:val="auto"/>
                <w:sz w:val="24"/>
                <w:szCs w:val="24"/>
                <w:highlight w:val="none"/>
              </w:rPr>
            </w:pPr>
          </w:p>
        </w:tc>
        <w:tc>
          <w:tcPr>
            <w:tcW w:w="1587" w:type="dxa"/>
            <w:tcBorders>
              <w:right w:val="single" w:color="auto" w:sz="4" w:space="0"/>
            </w:tcBorders>
            <w:noWrap w:val="0"/>
            <w:vAlign w:val="center"/>
          </w:tcPr>
          <w:p w14:paraId="391F66BA">
            <w:pPr>
              <w:spacing w:line="400" w:lineRule="exact"/>
              <w:jc w:val="center"/>
              <w:rPr>
                <w:rFonts w:hint="eastAsia" w:ascii="宋体" w:hAnsi="宋体" w:eastAsia="宋体" w:cs="宋体"/>
                <w:color w:val="auto"/>
                <w:sz w:val="24"/>
                <w:szCs w:val="24"/>
                <w:highlight w:val="none"/>
              </w:rPr>
            </w:pPr>
          </w:p>
        </w:tc>
        <w:tc>
          <w:tcPr>
            <w:tcW w:w="1998" w:type="dxa"/>
            <w:tcBorders>
              <w:right w:val="single" w:color="auto" w:sz="4" w:space="0"/>
            </w:tcBorders>
            <w:noWrap w:val="0"/>
            <w:vAlign w:val="center"/>
          </w:tcPr>
          <w:p w14:paraId="2BC0B318">
            <w:pPr>
              <w:spacing w:line="400" w:lineRule="exact"/>
              <w:jc w:val="center"/>
              <w:rPr>
                <w:rFonts w:hint="eastAsia" w:ascii="宋体" w:hAnsi="宋体" w:eastAsia="宋体" w:cs="宋体"/>
                <w:color w:val="auto"/>
                <w:sz w:val="24"/>
                <w:szCs w:val="24"/>
                <w:highlight w:val="none"/>
              </w:rPr>
            </w:pPr>
          </w:p>
        </w:tc>
      </w:tr>
      <w:tr w14:paraId="7B203D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1" w:type="dxa"/>
            <w:noWrap w:val="0"/>
            <w:vAlign w:val="center"/>
          </w:tcPr>
          <w:p w14:paraId="2611CB69">
            <w:pPr>
              <w:spacing w:line="400" w:lineRule="exact"/>
              <w:jc w:val="center"/>
              <w:rPr>
                <w:rFonts w:hint="eastAsia" w:ascii="宋体" w:hAnsi="宋体" w:eastAsia="宋体" w:cs="宋体"/>
                <w:color w:val="auto"/>
                <w:sz w:val="24"/>
                <w:szCs w:val="24"/>
                <w:highlight w:val="none"/>
              </w:rPr>
            </w:pPr>
          </w:p>
        </w:tc>
        <w:tc>
          <w:tcPr>
            <w:tcW w:w="1662" w:type="dxa"/>
            <w:noWrap w:val="0"/>
            <w:vAlign w:val="center"/>
          </w:tcPr>
          <w:p w14:paraId="64007F77">
            <w:pPr>
              <w:spacing w:line="400" w:lineRule="exact"/>
              <w:jc w:val="center"/>
              <w:rPr>
                <w:rFonts w:hint="eastAsia" w:ascii="宋体" w:hAnsi="宋体" w:eastAsia="宋体" w:cs="宋体"/>
                <w:color w:val="auto"/>
                <w:sz w:val="24"/>
                <w:szCs w:val="24"/>
                <w:highlight w:val="none"/>
              </w:rPr>
            </w:pPr>
          </w:p>
        </w:tc>
        <w:tc>
          <w:tcPr>
            <w:tcW w:w="1525" w:type="dxa"/>
            <w:noWrap w:val="0"/>
            <w:vAlign w:val="center"/>
          </w:tcPr>
          <w:p w14:paraId="14152E5A">
            <w:pPr>
              <w:spacing w:line="400" w:lineRule="exact"/>
              <w:jc w:val="center"/>
              <w:rPr>
                <w:rFonts w:hint="eastAsia" w:ascii="宋体" w:hAnsi="宋体" w:eastAsia="宋体" w:cs="宋体"/>
                <w:color w:val="auto"/>
                <w:sz w:val="24"/>
                <w:szCs w:val="24"/>
                <w:highlight w:val="none"/>
              </w:rPr>
            </w:pPr>
          </w:p>
        </w:tc>
        <w:tc>
          <w:tcPr>
            <w:tcW w:w="1340" w:type="dxa"/>
            <w:noWrap w:val="0"/>
            <w:vAlign w:val="center"/>
          </w:tcPr>
          <w:p w14:paraId="5589B8FD">
            <w:pPr>
              <w:spacing w:line="400" w:lineRule="exact"/>
              <w:jc w:val="center"/>
              <w:rPr>
                <w:rFonts w:hint="eastAsia" w:ascii="宋体" w:hAnsi="宋体" w:eastAsia="宋体" w:cs="宋体"/>
                <w:color w:val="auto"/>
                <w:sz w:val="24"/>
                <w:szCs w:val="24"/>
                <w:highlight w:val="none"/>
              </w:rPr>
            </w:pPr>
          </w:p>
        </w:tc>
        <w:tc>
          <w:tcPr>
            <w:tcW w:w="1466" w:type="dxa"/>
            <w:noWrap w:val="0"/>
            <w:vAlign w:val="center"/>
          </w:tcPr>
          <w:p w14:paraId="001C119F">
            <w:pPr>
              <w:spacing w:line="400" w:lineRule="exact"/>
              <w:jc w:val="center"/>
              <w:rPr>
                <w:rFonts w:hint="eastAsia" w:ascii="宋体" w:hAnsi="宋体" w:eastAsia="宋体" w:cs="宋体"/>
                <w:color w:val="auto"/>
                <w:sz w:val="24"/>
                <w:szCs w:val="24"/>
                <w:highlight w:val="none"/>
              </w:rPr>
            </w:pPr>
          </w:p>
        </w:tc>
        <w:tc>
          <w:tcPr>
            <w:tcW w:w="1587" w:type="dxa"/>
            <w:tcBorders>
              <w:right w:val="single" w:color="auto" w:sz="4" w:space="0"/>
            </w:tcBorders>
            <w:noWrap w:val="0"/>
            <w:vAlign w:val="center"/>
          </w:tcPr>
          <w:p w14:paraId="00531C38">
            <w:pPr>
              <w:spacing w:line="400" w:lineRule="exact"/>
              <w:jc w:val="center"/>
              <w:rPr>
                <w:rFonts w:hint="eastAsia" w:ascii="宋体" w:hAnsi="宋体" w:eastAsia="宋体" w:cs="宋体"/>
                <w:color w:val="auto"/>
                <w:sz w:val="24"/>
                <w:szCs w:val="24"/>
                <w:highlight w:val="none"/>
              </w:rPr>
            </w:pPr>
          </w:p>
        </w:tc>
        <w:tc>
          <w:tcPr>
            <w:tcW w:w="1998" w:type="dxa"/>
            <w:tcBorders>
              <w:right w:val="single" w:color="auto" w:sz="4" w:space="0"/>
            </w:tcBorders>
            <w:noWrap w:val="0"/>
            <w:vAlign w:val="center"/>
          </w:tcPr>
          <w:p w14:paraId="40276A75">
            <w:pPr>
              <w:spacing w:line="400" w:lineRule="exact"/>
              <w:jc w:val="center"/>
              <w:rPr>
                <w:rFonts w:hint="eastAsia" w:ascii="宋体" w:hAnsi="宋体" w:eastAsia="宋体" w:cs="宋体"/>
                <w:color w:val="auto"/>
                <w:sz w:val="24"/>
                <w:szCs w:val="24"/>
                <w:highlight w:val="none"/>
              </w:rPr>
            </w:pPr>
          </w:p>
        </w:tc>
      </w:tr>
      <w:tr w14:paraId="70E16E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1" w:type="dxa"/>
            <w:noWrap w:val="0"/>
            <w:vAlign w:val="center"/>
          </w:tcPr>
          <w:p w14:paraId="55415653">
            <w:pPr>
              <w:spacing w:line="400" w:lineRule="exact"/>
              <w:jc w:val="center"/>
              <w:rPr>
                <w:rFonts w:hint="eastAsia" w:ascii="宋体" w:hAnsi="宋体" w:eastAsia="宋体" w:cs="宋体"/>
                <w:color w:val="auto"/>
                <w:sz w:val="24"/>
                <w:szCs w:val="24"/>
                <w:highlight w:val="none"/>
              </w:rPr>
            </w:pPr>
          </w:p>
        </w:tc>
        <w:tc>
          <w:tcPr>
            <w:tcW w:w="1662" w:type="dxa"/>
            <w:tcBorders>
              <w:right w:val="single" w:color="auto" w:sz="4" w:space="0"/>
            </w:tcBorders>
            <w:noWrap w:val="0"/>
            <w:vAlign w:val="center"/>
          </w:tcPr>
          <w:p w14:paraId="1DA9D8D1">
            <w:pPr>
              <w:spacing w:line="400" w:lineRule="exact"/>
              <w:jc w:val="center"/>
              <w:rPr>
                <w:rFonts w:hint="eastAsia" w:ascii="宋体" w:hAnsi="宋体" w:eastAsia="宋体" w:cs="宋体"/>
                <w:color w:val="auto"/>
                <w:sz w:val="24"/>
                <w:szCs w:val="24"/>
                <w:highlight w:val="none"/>
              </w:rPr>
            </w:pPr>
          </w:p>
        </w:tc>
        <w:tc>
          <w:tcPr>
            <w:tcW w:w="1525" w:type="dxa"/>
            <w:tcBorders>
              <w:left w:val="single" w:color="auto" w:sz="4" w:space="0"/>
            </w:tcBorders>
            <w:noWrap w:val="0"/>
            <w:vAlign w:val="center"/>
          </w:tcPr>
          <w:p w14:paraId="05DFBAD8">
            <w:pPr>
              <w:spacing w:line="400" w:lineRule="exact"/>
              <w:jc w:val="center"/>
              <w:rPr>
                <w:rFonts w:hint="eastAsia" w:ascii="宋体" w:hAnsi="宋体" w:eastAsia="宋体" w:cs="宋体"/>
                <w:color w:val="auto"/>
                <w:sz w:val="24"/>
                <w:szCs w:val="24"/>
                <w:highlight w:val="none"/>
              </w:rPr>
            </w:pPr>
          </w:p>
        </w:tc>
        <w:tc>
          <w:tcPr>
            <w:tcW w:w="1340" w:type="dxa"/>
            <w:noWrap w:val="0"/>
            <w:vAlign w:val="center"/>
          </w:tcPr>
          <w:p w14:paraId="3899518C">
            <w:pPr>
              <w:spacing w:line="400" w:lineRule="exact"/>
              <w:jc w:val="center"/>
              <w:rPr>
                <w:rFonts w:hint="eastAsia" w:ascii="宋体" w:hAnsi="宋体" w:eastAsia="宋体" w:cs="宋体"/>
                <w:color w:val="auto"/>
                <w:sz w:val="24"/>
                <w:szCs w:val="24"/>
                <w:highlight w:val="none"/>
              </w:rPr>
            </w:pPr>
          </w:p>
        </w:tc>
        <w:tc>
          <w:tcPr>
            <w:tcW w:w="1466" w:type="dxa"/>
            <w:noWrap w:val="0"/>
            <w:vAlign w:val="center"/>
          </w:tcPr>
          <w:p w14:paraId="7C5A6989">
            <w:pPr>
              <w:spacing w:line="400" w:lineRule="exact"/>
              <w:jc w:val="center"/>
              <w:rPr>
                <w:rFonts w:hint="eastAsia" w:ascii="宋体" w:hAnsi="宋体" w:eastAsia="宋体" w:cs="宋体"/>
                <w:color w:val="auto"/>
                <w:sz w:val="24"/>
                <w:szCs w:val="24"/>
                <w:highlight w:val="none"/>
              </w:rPr>
            </w:pPr>
          </w:p>
        </w:tc>
        <w:tc>
          <w:tcPr>
            <w:tcW w:w="1587" w:type="dxa"/>
            <w:tcBorders>
              <w:right w:val="single" w:color="auto" w:sz="4" w:space="0"/>
            </w:tcBorders>
            <w:noWrap w:val="0"/>
            <w:vAlign w:val="center"/>
          </w:tcPr>
          <w:p w14:paraId="0A59526C">
            <w:pPr>
              <w:spacing w:line="400" w:lineRule="exact"/>
              <w:jc w:val="center"/>
              <w:rPr>
                <w:rFonts w:hint="eastAsia" w:ascii="宋体" w:hAnsi="宋体" w:eastAsia="宋体" w:cs="宋体"/>
                <w:color w:val="auto"/>
                <w:sz w:val="24"/>
                <w:szCs w:val="24"/>
                <w:highlight w:val="none"/>
              </w:rPr>
            </w:pPr>
          </w:p>
        </w:tc>
        <w:tc>
          <w:tcPr>
            <w:tcW w:w="1998" w:type="dxa"/>
            <w:tcBorders>
              <w:right w:val="single" w:color="auto" w:sz="4" w:space="0"/>
            </w:tcBorders>
            <w:noWrap w:val="0"/>
            <w:vAlign w:val="center"/>
          </w:tcPr>
          <w:p w14:paraId="757C2E2C">
            <w:pPr>
              <w:spacing w:line="400" w:lineRule="exact"/>
              <w:jc w:val="center"/>
              <w:rPr>
                <w:rFonts w:hint="eastAsia" w:ascii="宋体" w:hAnsi="宋体" w:eastAsia="宋体" w:cs="宋体"/>
                <w:color w:val="auto"/>
                <w:sz w:val="24"/>
                <w:szCs w:val="24"/>
                <w:highlight w:val="none"/>
              </w:rPr>
            </w:pPr>
          </w:p>
        </w:tc>
      </w:tr>
      <w:tr w14:paraId="1A4762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1" w:type="dxa"/>
            <w:tcBorders>
              <w:right w:val="single" w:color="auto" w:sz="4" w:space="0"/>
            </w:tcBorders>
            <w:noWrap w:val="0"/>
            <w:vAlign w:val="center"/>
          </w:tcPr>
          <w:p w14:paraId="0299D797">
            <w:pPr>
              <w:spacing w:line="400" w:lineRule="exact"/>
              <w:rPr>
                <w:rFonts w:hint="eastAsia" w:ascii="宋体" w:hAnsi="宋体" w:eastAsia="宋体" w:cs="宋体"/>
                <w:color w:val="auto"/>
                <w:sz w:val="24"/>
                <w:szCs w:val="24"/>
                <w:highlight w:val="none"/>
              </w:rPr>
            </w:pPr>
          </w:p>
        </w:tc>
        <w:tc>
          <w:tcPr>
            <w:tcW w:w="1662" w:type="dxa"/>
            <w:tcBorders>
              <w:left w:val="single" w:color="auto" w:sz="4" w:space="0"/>
              <w:right w:val="single" w:color="auto" w:sz="4" w:space="0"/>
            </w:tcBorders>
            <w:noWrap w:val="0"/>
            <w:vAlign w:val="center"/>
          </w:tcPr>
          <w:p w14:paraId="6A291DD9">
            <w:pPr>
              <w:spacing w:line="400" w:lineRule="exact"/>
              <w:rPr>
                <w:rFonts w:hint="eastAsia" w:ascii="宋体" w:hAnsi="宋体" w:eastAsia="宋体" w:cs="宋体"/>
                <w:color w:val="auto"/>
                <w:sz w:val="24"/>
                <w:szCs w:val="24"/>
                <w:highlight w:val="none"/>
              </w:rPr>
            </w:pPr>
          </w:p>
        </w:tc>
        <w:tc>
          <w:tcPr>
            <w:tcW w:w="1525" w:type="dxa"/>
            <w:tcBorders>
              <w:left w:val="single" w:color="auto" w:sz="4" w:space="0"/>
              <w:right w:val="single" w:color="auto" w:sz="4" w:space="0"/>
            </w:tcBorders>
            <w:noWrap w:val="0"/>
            <w:vAlign w:val="center"/>
          </w:tcPr>
          <w:p w14:paraId="4D65A056">
            <w:pPr>
              <w:spacing w:line="400" w:lineRule="exact"/>
              <w:rPr>
                <w:rFonts w:hint="eastAsia" w:ascii="宋体" w:hAnsi="宋体" w:eastAsia="宋体" w:cs="宋体"/>
                <w:color w:val="auto"/>
                <w:sz w:val="24"/>
                <w:szCs w:val="24"/>
                <w:highlight w:val="none"/>
              </w:rPr>
            </w:pPr>
          </w:p>
        </w:tc>
        <w:tc>
          <w:tcPr>
            <w:tcW w:w="1340" w:type="dxa"/>
            <w:tcBorders>
              <w:left w:val="single" w:color="auto" w:sz="4" w:space="0"/>
              <w:right w:val="single" w:color="auto" w:sz="4" w:space="0"/>
            </w:tcBorders>
            <w:noWrap w:val="0"/>
            <w:vAlign w:val="center"/>
          </w:tcPr>
          <w:p w14:paraId="62EC133D">
            <w:pPr>
              <w:spacing w:line="400" w:lineRule="exact"/>
              <w:rPr>
                <w:rFonts w:hint="eastAsia" w:ascii="宋体" w:hAnsi="宋体" w:eastAsia="宋体" w:cs="宋体"/>
                <w:color w:val="auto"/>
                <w:sz w:val="24"/>
                <w:szCs w:val="24"/>
                <w:highlight w:val="none"/>
              </w:rPr>
            </w:pPr>
          </w:p>
        </w:tc>
        <w:tc>
          <w:tcPr>
            <w:tcW w:w="1466" w:type="dxa"/>
            <w:tcBorders>
              <w:left w:val="single" w:color="auto" w:sz="4" w:space="0"/>
              <w:right w:val="single" w:color="auto" w:sz="4" w:space="0"/>
            </w:tcBorders>
            <w:noWrap w:val="0"/>
            <w:vAlign w:val="center"/>
          </w:tcPr>
          <w:p w14:paraId="2C1F7168">
            <w:pPr>
              <w:spacing w:line="400" w:lineRule="exact"/>
              <w:rPr>
                <w:rFonts w:hint="eastAsia" w:ascii="宋体" w:hAnsi="宋体" w:eastAsia="宋体" w:cs="宋体"/>
                <w:color w:val="auto"/>
                <w:sz w:val="24"/>
                <w:szCs w:val="24"/>
                <w:highlight w:val="none"/>
              </w:rPr>
            </w:pPr>
          </w:p>
        </w:tc>
        <w:tc>
          <w:tcPr>
            <w:tcW w:w="1587" w:type="dxa"/>
            <w:tcBorders>
              <w:left w:val="single" w:color="auto" w:sz="4" w:space="0"/>
              <w:right w:val="single" w:color="auto" w:sz="4" w:space="0"/>
            </w:tcBorders>
            <w:noWrap w:val="0"/>
            <w:vAlign w:val="center"/>
          </w:tcPr>
          <w:p w14:paraId="343698E2">
            <w:pPr>
              <w:spacing w:line="400" w:lineRule="exact"/>
              <w:rPr>
                <w:rFonts w:hint="eastAsia" w:ascii="宋体" w:hAnsi="宋体" w:eastAsia="宋体" w:cs="宋体"/>
                <w:color w:val="auto"/>
                <w:sz w:val="24"/>
                <w:szCs w:val="24"/>
                <w:highlight w:val="none"/>
              </w:rPr>
            </w:pPr>
          </w:p>
        </w:tc>
        <w:tc>
          <w:tcPr>
            <w:tcW w:w="1998" w:type="dxa"/>
            <w:tcBorders>
              <w:left w:val="single" w:color="auto" w:sz="4" w:space="0"/>
              <w:right w:val="single" w:color="auto" w:sz="4" w:space="0"/>
            </w:tcBorders>
            <w:noWrap w:val="0"/>
            <w:vAlign w:val="center"/>
          </w:tcPr>
          <w:p w14:paraId="352BA75E">
            <w:pPr>
              <w:spacing w:line="400" w:lineRule="exact"/>
              <w:rPr>
                <w:rFonts w:hint="eastAsia" w:ascii="宋体" w:hAnsi="宋体" w:eastAsia="宋体" w:cs="宋体"/>
                <w:color w:val="auto"/>
                <w:sz w:val="24"/>
                <w:szCs w:val="24"/>
                <w:highlight w:val="none"/>
              </w:rPr>
            </w:pPr>
          </w:p>
        </w:tc>
      </w:tr>
      <w:tr w14:paraId="5AE8A0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1" w:type="dxa"/>
            <w:noWrap w:val="0"/>
            <w:vAlign w:val="center"/>
          </w:tcPr>
          <w:p w14:paraId="4FF3BF69">
            <w:pPr>
              <w:spacing w:line="400" w:lineRule="exact"/>
              <w:rPr>
                <w:rFonts w:hint="eastAsia" w:ascii="宋体" w:hAnsi="宋体" w:eastAsia="宋体" w:cs="宋体"/>
                <w:color w:val="auto"/>
                <w:sz w:val="24"/>
                <w:szCs w:val="24"/>
                <w:highlight w:val="none"/>
              </w:rPr>
            </w:pPr>
          </w:p>
        </w:tc>
        <w:tc>
          <w:tcPr>
            <w:tcW w:w="1662" w:type="dxa"/>
            <w:noWrap w:val="0"/>
            <w:vAlign w:val="center"/>
          </w:tcPr>
          <w:p w14:paraId="40ACC04F">
            <w:pPr>
              <w:spacing w:line="400" w:lineRule="exact"/>
              <w:rPr>
                <w:rFonts w:hint="eastAsia" w:ascii="宋体" w:hAnsi="宋体" w:eastAsia="宋体" w:cs="宋体"/>
                <w:color w:val="auto"/>
                <w:sz w:val="24"/>
                <w:szCs w:val="24"/>
                <w:highlight w:val="none"/>
              </w:rPr>
            </w:pPr>
          </w:p>
        </w:tc>
        <w:tc>
          <w:tcPr>
            <w:tcW w:w="1525" w:type="dxa"/>
            <w:noWrap w:val="0"/>
            <w:vAlign w:val="center"/>
          </w:tcPr>
          <w:p w14:paraId="35ACEC77">
            <w:pPr>
              <w:spacing w:line="400" w:lineRule="exact"/>
              <w:rPr>
                <w:rFonts w:hint="eastAsia" w:ascii="宋体" w:hAnsi="宋体" w:eastAsia="宋体" w:cs="宋体"/>
                <w:color w:val="auto"/>
                <w:sz w:val="24"/>
                <w:szCs w:val="24"/>
                <w:highlight w:val="none"/>
              </w:rPr>
            </w:pPr>
          </w:p>
        </w:tc>
        <w:tc>
          <w:tcPr>
            <w:tcW w:w="1340" w:type="dxa"/>
            <w:noWrap w:val="0"/>
            <w:vAlign w:val="center"/>
          </w:tcPr>
          <w:p w14:paraId="56EF85FE">
            <w:pPr>
              <w:spacing w:line="400" w:lineRule="exact"/>
              <w:rPr>
                <w:rFonts w:hint="eastAsia" w:ascii="宋体" w:hAnsi="宋体" w:eastAsia="宋体" w:cs="宋体"/>
                <w:color w:val="auto"/>
                <w:sz w:val="24"/>
                <w:szCs w:val="24"/>
                <w:highlight w:val="none"/>
              </w:rPr>
            </w:pPr>
          </w:p>
        </w:tc>
        <w:tc>
          <w:tcPr>
            <w:tcW w:w="1466" w:type="dxa"/>
            <w:tcBorders>
              <w:right w:val="single" w:color="auto" w:sz="4" w:space="0"/>
            </w:tcBorders>
            <w:noWrap w:val="0"/>
            <w:vAlign w:val="center"/>
          </w:tcPr>
          <w:p w14:paraId="4B34E85B">
            <w:pPr>
              <w:spacing w:line="400" w:lineRule="exact"/>
              <w:rPr>
                <w:rFonts w:hint="eastAsia" w:ascii="宋体" w:hAnsi="宋体" w:eastAsia="宋体" w:cs="宋体"/>
                <w:color w:val="auto"/>
                <w:sz w:val="24"/>
                <w:szCs w:val="24"/>
                <w:highlight w:val="none"/>
              </w:rPr>
            </w:pPr>
          </w:p>
        </w:tc>
        <w:tc>
          <w:tcPr>
            <w:tcW w:w="1587" w:type="dxa"/>
            <w:tcBorders>
              <w:left w:val="single" w:color="auto" w:sz="4" w:space="0"/>
              <w:right w:val="single" w:color="auto" w:sz="4" w:space="0"/>
            </w:tcBorders>
            <w:noWrap w:val="0"/>
            <w:vAlign w:val="center"/>
          </w:tcPr>
          <w:p w14:paraId="00830DD2">
            <w:pPr>
              <w:spacing w:line="400" w:lineRule="exact"/>
              <w:rPr>
                <w:rFonts w:hint="eastAsia" w:ascii="宋体" w:hAnsi="宋体" w:eastAsia="宋体" w:cs="宋体"/>
                <w:color w:val="auto"/>
                <w:sz w:val="24"/>
                <w:szCs w:val="24"/>
                <w:highlight w:val="none"/>
              </w:rPr>
            </w:pPr>
          </w:p>
        </w:tc>
        <w:tc>
          <w:tcPr>
            <w:tcW w:w="1998" w:type="dxa"/>
            <w:tcBorders>
              <w:left w:val="single" w:color="auto" w:sz="4" w:space="0"/>
              <w:right w:val="single" w:color="auto" w:sz="4" w:space="0"/>
            </w:tcBorders>
            <w:noWrap w:val="0"/>
            <w:vAlign w:val="center"/>
          </w:tcPr>
          <w:p w14:paraId="70A84B6A">
            <w:pPr>
              <w:spacing w:line="400" w:lineRule="exact"/>
              <w:rPr>
                <w:rFonts w:hint="eastAsia" w:ascii="宋体" w:hAnsi="宋体" w:eastAsia="宋体" w:cs="宋体"/>
                <w:color w:val="auto"/>
                <w:sz w:val="24"/>
                <w:szCs w:val="24"/>
                <w:highlight w:val="none"/>
              </w:rPr>
            </w:pPr>
          </w:p>
        </w:tc>
      </w:tr>
      <w:tr w14:paraId="6856BB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1" w:type="dxa"/>
            <w:noWrap w:val="0"/>
            <w:vAlign w:val="center"/>
          </w:tcPr>
          <w:p w14:paraId="6B34D42B">
            <w:pPr>
              <w:spacing w:line="400" w:lineRule="exact"/>
              <w:jc w:val="center"/>
              <w:rPr>
                <w:rFonts w:hint="eastAsia" w:ascii="宋体" w:hAnsi="宋体" w:eastAsia="宋体" w:cs="宋体"/>
                <w:color w:val="auto"/>
                <w:sz w:val="24"/>
                <w:szCs w:val="24"/>
                <w:highlight w:val="none"/>
              </w:rPr>
            </w:pPr>
          </w:p>
        </w:tc>
        <w:tc>
          <w:tcPr>
            <w:tcW w:w="1662" w:type="dxa"/>
            <w:noWrap w:val="0"/>
            <w:vAlign w:val="center"/>
          </w:tcPr>
          <w:p w14:paraId="7FF3606D">
            <w:pPr>
              <w:spacing w:line="400" w:lineRule="exact"/>
              <w:jc w:val="center"/>
              <w:rPr>
                <w:rFonts w:hint="eastAsia" w:ascii="宋体" w:hAnsi="宋体" w:eastAsia="宋体" w:cs="宋体"/>
                <w:color w:val="auto"/>
                <w:sz w:val="24"/>
                <w:szCs w:val="24"/>
                <w:highlight w:val="none"/>
              </w:rPr>
            </w:pPr>
          </w:p>
        </w:tc>
        <w:tc>
          <w:tcPr>
            <w:tcW w:w="1525" w:type="dxa"/>
            <w:noWrap w:val="0"/>
            <w:vAlign w:val="center"/>
          </w:tcPr>
          <w:p w14:paraId="7FB6D725">
            <w:pPr>
              <w:spacing w:line="400" w:lineRule="exact"/>
              <w:jc w:val="center"/>
              <w:rPr>
                <w:rFonts w:hint="eastAsia" w:ascii="宋体" w:hAnsi="宋体" w:eastAsia="宋体" w:cs="宋体"/>
                <w:color w:val="auto"/>
                <w:sz w:val="24"/>
                <w:szCs w:val="24"/>
                <w:highlight w:val="none"/>
              </w:rPr>
            </w:pPr>
          </w:p>
        </w:tc>
        <w:tc>
          <w:tcPr>
            <w:tcW w:w="1340" w:type="dxa"/>
            <w:noWrap w:val="0"/>
            <w:vAlign w:val="center"/>
          </w:tcPr>
          <w:p w14:paraId="6ECCA4F6">
            <w:pPr>
              <w:spacing w:line="400" w:lineRule="exact"/>
              <w:jc w:val="center"/>
              <w:rPr>
                <w:rFonts w:hint="eastAsia" w:ascii="宋体" w:hAnsi="宋体" w:eastAsia="宋体" w:cs="宋体"/>
                <w:color w:val="auto"/>
                <w:sz w:val="24"/>
                <w:szCs w:val="24"/>
                <w:highlight w:val="none"/>
              </w:rPr>
            </w:pPr>
          </w:p>
        </w:tc>
        <w:tc>
          <w:tcPr>
            <w:tcW w:w="1466" w:type="dxa"/>
            <w:tcBorders>
              <w:right w:val="single" w:color="auto" w:sz="4" w:space="0"/>
            </w:tcBorders>
            <w:noWrap w:val="0"/>
            <w:vAlign w:val="center"/>
          </w:tcPr>
          <w:p w14:paraId="76C609A8">
            <w:pPr>
              <w:spacing w:line="400" w:lineRule="exact"/>
              <w:jc w:val="center"/>
              <w:rPr>
                <w:rFonts w:hint="eastAsia" w:ascii="宋体" w:hAnsi="宋体" w:eastAsia="宋体" w:cs="宋体"/>
                <w:color w:val="auto"/>
                <w:sz w:val="24"/>
                <w:szCs w:val="24"/>
                <w:highlight w:val="none"/>
              </w:rPr>
            </w:pPr>
          </w:p>
        </w:tc>
        <w:tc>
          <w:tcPr>
            <w:tcW w:w="1587" w:type="dxa"/>
            <w:tcBorders>
              <w:left w:val="single" w:color="auto" w:sz="4" w:space="0"/>
              <w:right w:val="single" w:color="auto" w:sz="4" w:space="0"/>
            </w:tcBorders>
            <w:noWrap w:val="0"/>
            <w:vAlign w:val="center"/>
          </w:tcPr>
          <w:p w14:paraId="2AF015E4">
            <w:pPr>
              <w:spacing w:line="400" w:lineRule="exact"/>
              <w:jc w:val="center"/>
              <w:rPr>
                <w:rFonts w:hint="eastAsia" w:ascii="宋体" w:hAnsi="宋体" w:eastAsia="宋体" w:cs="宋体"/>
                <w:color w:val="auto"/>
                <w:sz w:val="24"/>
                <w:szCs w:val="24"/>
                <w:highlight w:val="none"/>
              </w:rPr>
            </w:pPr>
          </w:p>
        </w:tc>
        <w:tc>
          <w:tcPr>
            <w:tcW w:w="1998" w:type="dxa"/>
            <w:tcBorders>
              <w:left w:val="single" w:color="auto" w:sz="4" w:space="0"/>
              <w:right w:val="single" w:color="auto" w:sz="4" w:space="0"/>
            </w:tcBorders>
            <w:noWrap w:val="0"/>
            <w:vAlign w:val="center"/>
          </w:tcPr>
          <w:p w14:paraId="5F6404BC">
            <w:pPr>
              <w:spacing w:line="400" w:lineRule="exact"/>
              <w:jc w:val="center"/>
              <w:rPr>
                <w:rFonts w:hint="eastAsia" w:ascii="宋体" w:hAnsi="宋体" w:eastAsia="宋体" w:cs="宋体"/>
                <w:color w:val="auto"/>
                <w:sz w:val="24"/>
                <w:szCs w:val="24"/>
                <w:highlight w:val="none"/>
              </w:rPr>
            </w:pPr>
          </w:p>
        </w:tc>
      </w:tr>
      <w:tr w14:paraId="422499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1" w:type="dxa"/>
            <w:noWrap w:val="0"/>
            <w:vAlign w:val="center"/>
          </w:tcPr>
          <w:p w14:paraId="076C59DB">
            <w:pPr>
              <w:spacing w:line="400" w:lineRule="exact"/>
              <w:jc w:val="center"/>
              <w:rPr>
                <w:rFonts w:hint="eastAsia" w:ascii="宋体" w:hAnsi="宋体" w:eastAsia="宋体" w:cs="宋体"/>
                <w:color w:val="auto"/>
                <w:sz w:val="24"/>
                <w:szCs w:val="24"/>
                <w:highlight w:val="none"/>
              </w:rPr>
            </w:pPr>
          </w:p>
        </w:tc>
        <w:tc>
          <w:tcPr>
            <w:tcW w:w="1662" w:type="dxa"/>
            <w:noWrap w:val="0"/>
            <w:vAlign w:val="center"/>
          </w:tcPr>
          <w:p w14:paraId="593D3ADB">
            <w:pPr>
              <w:spacing w:line="400" w:lineRule="exact"/>
              <w:jc w:val="center"/>
              <w:rPr>
                <w:rFonts w:hint="eastAsia" w:ascii="宋体" w:hAnsi="宋体" w:eastAsia="宋体" w:cs="宋体"/>
                <w:color w:val="auto"/>
                <w:sz w:val="24"/>
                <w:szCs w:val="24"/>
                <w:highlight w:val="none"/>
              </w:rPr>
            </w:pPr>
          </w:p>
        </w:tc>
        <w:tc>
          <w:tcPr>
            <w:tcW w:w="1525" w:type="dxa"/>
            <w:noWrap w:val="0"/>
            <w:vAlign w:val="center"/>
          </w:tcPr>
          <w:p w14:paraId="4F17C66A">
            <w:pPr>
              <w:spacing w:line="400" w:lineRule="exact"/>
              <w:jc w:val="center"/>
              <w:rPr>
                <w:rFonts w:hint="eastAsia" w:ascii="宋体" w:hAnsi="宋体" w:eastAsia="宋体" w:cs="宋体"/>
                <w:color w:val="auto"/>
                <w:sz w:val="24"/>
                <w:szCs w:val="24"/>
                <w:highlight w:val="none"/>
              </w:rPr>
            </w:pPr>
          </w:p>
        </w:tc>
        <w:tc>
          <w:tcPr>
            <w:tcW w:w="1340" w:type="dxa"/>
            <w:noWrap w:val="0"/>
            <w:vAlign w:val="center"/>
          </w:tcPr>
          <w:p w14:paraId="7B207766">
            <w:pPr>
              <w:spacing w:line="400" w:lineRule="exact"/>
              <w:jc w:val="center"/>
              <w:rPr>
                <w:rFonts w:hint="eastAsia" w:ascii="宋体" w:hAnsi="宋体" w:eastAsia="宋体" w:cs="宋体"/>
                <w:color w:val="auto"/>
                <w:sz w:val="24"/>
                <w:szCs w:val="24"/>
                <w:highlight w:val="none"/>
              </w:rPr>
            </w:pPr>
          </w:p>
        </w:tc>
        <w:tc>
          <w:tcPr>
            <w:tcW w:w="1466" w:type="dxa"/>
            <w:tcBorders>
              <w:right w:val="single" w:color="auto" w:sz="4" w:space="0"/>
            </w:tcBorders>
            <w:noWrap w:val="0"/>
            <w:vAlign w:val="center"/>
          </w:tcPr>
          <w:p w14:paraId="6FADB36C">
            <w:pPr>
              <w:spacing w:line="400" w:lineRule="exact"/>
              <w:jc w:val="center"/>
              <w:rPr>
                <w:rFonts w:hint="eastAsia" w:ascii="宋体" w:hAnsi="宋体" w:eastAsia="宋体" w:cs="宋体"/>
                <w:color w:val="auto"/>
                <w:sz w:val="24"/>
                <w:szCs w:val="24"/>
                <w:highlight w:val="none"/>
              </w:rPr>
            </w:pPr>
          </w:p>
        </w:tc>
        <w:tc>
          <w:tcPr>
            <w:tcW w:w="1587" w:type="dxa"/>
            <w:tcBorders>
              <w:left w:val="single" w:color="auto" w:sz="4" w:space="0"/>
              <w:right w:val="single" w:color="auto" w:sz="4" w:space="0"/>
            </w:tcBorders>
            <w:noWrap w:val="0"/>
            <w:vAlign w:val="center"/>
          </w:tcPr>
          <w:p w14:paraId="0DAD26EA">
            <w:pPr>
              <w:spacing w:line="400" w:lineRule="exact"/>
              <w:jc w:val="center"/>
              <w:rPr>
                <w:rFonts w:hint="eastAsia" w:ascii="宋体" w:hAnsi="宋体" w:eastAsia="宋体" w:cs="宋体"/>
                <w:color w:val="auto"/>
                <w:sz w:val="24"/>
                <w:szCs w:val="24"/>
                <w:highlight w:val="none"/>
              </w:rPr>
            </w:pPr>
          </w:p>
        </w:tc>
        <w:tc>
          <w:tcPr>
            <w:tcW w:w="1998" w:type="dxa"/>
            <w:tcBorders>
              <w:left w:val="single" w:color="auto" w:sz="4" w:space="0"/>
              <w:right w:val="single" w:color="auto" w:sz="4" w:space="0"/>
            </w:tcBorders>
            <w:noWrap w:val="0"/>
            <w:vAlign w:val="center"/>
          </w:tcPr>
          <w:p w14:paraId="64FE5641">
            <w:pPr>
              <w:spacing w:line="400" w:lineRule="exact"/>
              <w:jc w:val="center"/>
              <w:rPr>
                <w:rFonts w:hint="eastAsia" w:ascii="宋体" w:hAnsi="宋体" w:eastAsia="宋体" w:cs="宋体"/>
                <w:color w:val="auto"/>
                <w:sz w:val="24"/>
                <w:szCs w:val="24"/>
                <w:highlight w:val="none"/>
              </w:rPr>
            </w:pPr>
          </w:p>
        </w:tc>
      </w:tr>
      <w:tr w14:paraId="5D85B5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31" w:type="dxa"/>
            <w:tcBorders>
              <w:bottom w:val="single" w:color="auto" w:sz="4" w:space="0"/>
            </w:tcBorders>
            <w:noWrap w:val="0"/>
            <w:vAlign w:val="center"/>
          </w:tcPr>
          <w:p w14:paraId="1A010FB5">
            <w:pPr>
              <w:spacing w:line="400" w:lineRule="exact"/>
              <w:jc w:val="center"/>
              <w:rPr>
                <w:rFonts w:hint="eastAsia" w:ascii="宋体" w:hAnsi="宋体" w:eastAsia="宋体" w:cs="宋体"/>
                <w:color w:val="auto"/>
                <w:sz w:val="24"/>
                <w:szCs w:val="24"/>
                <w:highlight w:val="none"/>
              </w:rPr>
            </w:pPr>
          </w:p>
        </w:tc>
        <w:tc>
          <w:tcPr>
            <w:tcW w:w="1662" w:type="dxa"/>
            <w:tcBorders>
              <w:bottom w:val="single" w:color="auto" w:sz="4" w:space="0"/>
            </w:tcBorders>
            <w:noWrap w:val="0"/>
            <w:vAlign w:val="center"/>
          </w:tcPr>
          <w:p w14:paraId="6365E604">
            <w:pPr>
              <w:spacing w:line="400" w:lineRule="exact"/>
              <w:jc w:val="center"/>
              <w:rPr>
                <w:rFonts w:hint="eastAsia" w:ascii="宋体" w:hAnsi="宋体" w:eastAsia="宋体" w:cs="宋体"/>
                <w:color w:val="auto"/>
                <w:sz w:val="24"/>
                <w:szCs w:val="24"/>
                <w:highlight w:val="none"/>
              </w:rPr>
            </w:pPr>
          </w:p>
        </w:tc>
        <w:tc>
          <w:tcPr>
            <w:tcW w:w="1525" w:type="dxa"/>
            <w:tcBorders>
              <w:bottom w:val="single" w:color="auto" w:sz="4" w:space="0"/>
            </w:tcBorders>
            <w:noWrap w:val="0"/>
            <w:vAlign w:val="center"/>
          </w:tcPr>
          <w:p w14:paraId="6E9844D2">
            <w:pPr>
              <w:spacing w:line="400" w:lineRule="exact"/>
              <w:jc w:val="center"/>
              <w:rPr>
                <w:rFonts w:hint="eastAsia" w:ascii="宋体" w:hAnsi="宋体" w:eastAsia="宋体" w:cs="宋体"/>
                <w:color w:val="auto"/>
                <w:sz w:val="24"/>
                <w:szCs w:val="24"/>
                <w:highlight w:val="none"/>
              </w:rPr>
            </w:pPr>
          </w:p>
        </w:tc>
        <w:tc>
          <w:tcPr>
            <w:tcW w:w="1340" w:type="dxa"/>
            <w:tcBorders>
              <w:bottom w:val="single" w:color="auto" w:sz="4" w:space="0"/>
            </w:tcBorders>
            <w:noWrap w:val="0"/>
            <w:vAlign w:val="center"/>
          </w:tcPr>
          <w:p w14:paraId="72211F95">
            <w:pPr>
              <w:spacing w:line="400" w:lineRule="exact"/>
              <w:jc w:val="center"/>
              <w:rPr>
                <w:rFonts w:hint="eastAsia" w:ascii="宋体" w:hAnsi="宋体" w:eastAsia="宋体" w:cs="宋体"/>
                <w:color w:val="auto"/>
                <w:sz w:val="24"/>
                <w:szCs w:val="24"/>
                <w:highlight w:val="none"/>
              </w:rPr>
            </w:pPr>
          </w:p>
        </w:tc>
        <w:tc>
          <w:tcPr>
            <w:tcW w:w="1466" w:type="dxa"/>
            <w:tcBorders>
              <w:bottom w:val="single" w:color="auto" w:sz="4" w:space="0"/>
              <w:right w:val="single" w:color="auto" w:sz="4" w:space="0"/>
            </w:tcBorders>
            <w:noWrap w:val="0"/>
            <w:vAlign w:val="center"/>
          </w:tcPr>
          <w:p w14:paraId="551FF98D">
            <w:pPr>
              <w:spacing w:line="400" w:lineRule="exact"/>
              <w:jc w:val="center"/>
              <w:rPr>
                <w:rFonts w:hint="eastAsia" w:ascii="宋体" w:hAnsi="宋体" w:eastAsia="宋体" w:cs="宋体"/>
                <w:color w:val="auto"/>
                <w:sz w:val="24"/>
                <w:szCs w:val="24"/>
                <w:highlight w:val="none"/>
              </w:rPr>
            </w:pPr>
          </w:p>
        </w:tc>
        <w:tc>
          <w:tcPr>
            <w:tcW w:w="1587" w:type="dxa"/>
            <w:tcBorders>
              <w:left w:val="single" w:color="auto" w:sz="4" w:space="0"/>
              <w:bottom w:val="single" w:color="auto" w:sz="4" w:space="0"/>
              <w:right w:val="single" w:color="auto" w:sz="4" w:space="0"/>
            </w:tcBorders>
            <w:noWrap w:val="0"/>
            <w:vAlign w:val="center"/>
          </w:tcPr>
          <w:p w14:paraId="2669A9FB">
            <w:pPr>
              <w:spacing w:line="400" w:lineRule="exact"/>
              <w:jc w:val="center"/>
              <w:rPr>
                <w:rFonts w:hint="eastAsia" w:ascii="宋体" w:hAnsi="宋体" w:eastAsia="宋体" w:cs="宋体"/>
                <w:color w:val="auto"/>
                <w:sz w:val="24"/>
                <w:szCs w:val="24"/>
                <w:highlight w:val="none"/>
              </w:rPr>
            </w:pPr>
          </w:p>
        </w:tc>
        <w:tc>
          <w:tcPr>
            <w:tcW w:w="1998" w:type="dxa"/>
            <w:tcBorders>
              <w:left w:val="single" w:color="auto" w:sz="4" w:space="0"/>
              <w:bottom w:val="single" w:color="auto" w:sz="4" w:space="0"/>
              <w:right w:val="single" w:color="auto" w:sz="4" w:space="0"/>
            </w:tcBorders>
            <w:noWrap w:val="0"/>
            <w:vAlign w:val="center"/>
          </w:tcPr>
          <w:p w14:paraId="5D7ED0C2">
            <w:pPr>
              <w:spacing w:line="400" w:lineRule="exact"/>
              <w:jc w:val="center"/>
              <w:rPr>
                <w:rFonts w:hint="eastAsia" w:ascii="宋体" w:hAnsi="宋体" w:eastAsia="宋体" w:cs="宋体"/>
                <w:color w:val="auto"/>
                <w:sz w:val="24"/>
                <w:szCs w:val="24"/>
                <w:highlight w:val="none"/>
              </w:rPr>
            </w:pPr>
          </w:p>
        </w:tc>
      </w:tr>
      <w:tr w14:paraId="469B2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31" w:type="dxa"/>
            <w:tcBorders>
              <w:top w:val="single" w:color="auto" w:sz="4" w:space="0"/>
              <w:bottom w:val="single" w:color="auto" w:sz="4" w:space="0"/>
            </w:tcBorders>
            <w:noWrap w:val="0"/>
            <w:vAlign w:val="center"/>
          </w:tcPr>
          <w:p w14:paraId="1B2BBD25">
            <w:pPr>
              <w:spacing w:line="400" w:lineRule="exact"/>
              <w:jc w:val="center"/>
              <w:rPr>
                <w:rFonts w:hint="eastAsia" w:ascii="宋体" w:hAnsi="宋体" w:eastAsia="宋体" w:cs="宋体"/>
                <w:color w:val="auto"/>
                <w:sz w:val="24"/>
                <w:szCs w:val="24"/>
                <w:highlight w:val="none"/>
              </w:rPr>
            </w:pPr>
          </w:p>
        </w:tc>
        <w:tc>
          <w:tcPr>
            <w:tcW w:w="1662" w:type="dxa"/>
            <w:tcBorders>
              <w:top w:val="single" w:color="auto" w:sz="4" w:space="0"/>
              <w:bottom w:val="single" w:color="auto" w:sz="4" w:space="0"/>
            </w:tcBorders>
            <w:noWrap w:val="0"/>
            <w:vAlign w:val="center"/>
          </w:tcPr>
          <w:p w14:paraId="7713C445">
            <w:pPr>
              <w:spacing w:line="400" w:lineRule="exact"/>
              <w:jc w:val="center"/>
              <w:rPr>
                <w:rFonts w:hint="eastAsia" w:ascii="宋体" w:hAnsi="宋体" w:eastAsia="宋体" w:cs="宋体"/>
                <w:color w:val="auto"/>
                <w:sz w:val="24"/>
                <w:szCs w:val="24"/>
                <w:highlight w:val="none"/>
              </w:rPr>
            </w:pPr>
          </w:p>
        </w:tc>
        <w:tc>
          <w:tcPr>
            <w:tcW w:w="1525" w:type="dxa"/>
            <w:tcBorders>
              <w:top w:val="single" w:color="auto" w:sz="4" w:space="0"/>
              <w:bottom w:val="single" w:color="auto" w:sz="4" w:space="0"/>
            </w:tcBorders>
            <w:noWrap w:val="0"/>
            <w:vAlign w:val="center"/>
          </w:tcPr>
          <w:p w14:paraId="2FFF66F2">
            <w:pPr>
              <w:spacing w:line="400" w:lineRule="exact"/>
              <w:jc w:val="center"/>
              <w:rPr>
                <w:rFonts w:hint="eastAsia" w:ascii="宋体" w:hAnsi="宋体" w:eastAsia="宋体" w:cs="宋体"/>
                <w:color w:val="auto"/>
                <w:sz w:val="24"/>
                <w:szCs w:val="24"/>
                <w:highlight w:val="none"/>
              </w:rPr>
            </w:pPr>
          </w:p>
        </w:tc>
        <w:tc>
          <w:tcPr>
            <w:tcW w:w="1340" w:type="dxa"/>
            <w:tcBorders>
              <w:top w:val="single" w:color="auto" w:sz="4" w:space="0"/>
              <w:bottom w:val="single" w:color="auto" w:sz="4" w:space="0"/>
            </w:tcBorders>
            <w:noWrap w:val="0"/>
            <w:vAlign w:val="center"/>
          </w:tcPr>
          <w:p w14:paraId="661A0306">
            <w:pPr>
              <w:spacing w:line="400" w:lineRule="exact"/>
              <w:jc w:val="center"/>
              <w:rPr>
                <w:rFonts w:hint="eastAsia" w:ascii="宋体" w:hAnsi="宋体" w:eastAsia="宋体" w:cs="宋体"/>
                <w:color w:val="auto"/>
                <w:sz w:val="24"/>
                <w:szCs w:val="24"/>
                <w:highlight w:val="none"/>
              </w:rPr>
            </w:pPr>
          </w:p>
        </w:tc>
        <w:tc>
          <w:tcPr>
            <w:tcW w:w="1466" w:type="dxa"/>
            <w:tcBorders>
              <w:top w:val="single" w:color="auto" w:sz="4" w:space="0"/>
              <w:bottom w:val="single" w:color="auto" w:sz="4" w:space="0"/>
              <w:right w:val="single" w:color="auto" w:sz="4" w:space="0"/>
            </w:tcBorders>
            <w:noWrap w:val="0"/>
            <w:vAlign w:val="center"/>
          </w:tcPr>
          <w:p w14:paraId="047E36A9">
            <w:pPr>
              <w:spacing w:line="400" w:lineRule="exact"/>
              <w:jc w:val="center"/>
              <w:rPr>
                <w:rFonts w:hint="eastAsia" w:ascii="宋体" w:hAnsi="宋体" w:eastAsia="宋体" w:cs="宋体"/>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C4B882A">
            <w:pPr>
              <w:spacing w:line="400" w:lineRule="exact"/>
              <w:jc w:val="center"/>
              <w:rPr>
                <w:rFonts w:hint="eastAsia" w:ascii="宋体" w:hAnsi="宋体" w:eastAsia="宋体" w:cs="宋体"/>
                <w:color w:val="auto"/>
                <w:sz w:val="24"/>
                <w:szCs w:val="24"/>
                <w:highlight w:val="none"/>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14:paraId="03CAD7B4">
            <w:pPr>
              <w:spacing w:line="400" w:lineRule="exact"/>
              <w:jc w:val="center"/>
              <w:rPr>
                <w:rFonts w:hint="eastAsia" w:ascii="宋体" w:hAnsi="宋体" w:eastAsia="宋体" w:cs="宋体"/>
                <w:color w:val="auto"/>
                <w:sz w:val="24"/>
                <w:szCs w:val="24"/>
                <w:highlight w:val="none"/>
              </w:rPr>
            </w:pPr>
          </w:p>
        </w:tc>
      </w:tr>
      <w:tr w14:paraId="227F53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31" w:type="dxa"/>
            <w:tcBorders>
              <w:top w:val="single" w:color="auto" w:sz="4" w:space="0"/>
              <w:bottom w:val="single" w:color="auto" w:sz="4" w:space="0"/>
            </w:tcBorders>
            <w:noWrap w:val="0"/>
            <w:vAlign w:val="center"/>
          </w:tcPr>
          <w:p w14:paraId="1F513B17">
            <w:pPr>
              <w:spacing w:line="400" w:lineRule="exact"/>
              <w:jc w:val="center"/>
              <w:rPr>
                <w:rFonts w:hint="eastAsia" w:ascii="宋体" w:hAnsi="宋体" w:eastAsia="宋体" w:cs="宋体"/>
                <w:color w:val="auto"/>
                <w:sz w:val="24"/>
                <w:szCs w:val="24"/>
                <w:highlight w:val="none"/>
              </w:rPr>
            </w:pPr>
          </w:p>
        </w:tc>
        <w:tc>
          <w:tcPr>
            <w:tcW w:w="1662" w:type="dxa"/>
            <w:tcBorders>
              <w:top w:val="single" w:color="auto" w:sz="4" w:space="0"/>
              <w:bottom w:val="single" w:color="auto" w:sz="4" w:space="0"/>
            </w:tcBorders>
            <w:noWrap w:val="0"/>
            <w:vAlign w:val="center"/>
          </w:tcPr>
          <w:p w14:paraId="16F9348A">
            <w:pPr>
              <w:spacing w:line="400" w:lineRule="exact"/>
              <w:jc w:val="center"/>
              <w:rPr>
                <w:rFonts w:hint="eastAsia" w:ascii="宋体" w:hAnsi="宋体" w:eastAsia="宋体" w:cs="宋体"/>
                <w:color w:val="auto"/>
                <w:sz w:val="24"/>
                <w:szCs w:val="24"/>
                <w:highlight w:val="none"/>
              </w:rPr>
            </w:pPr>
          </w:p>
        </w:tc>
        <w:tc>
          <w:tcPr>
            <w:tcW w:w="1525" w:type="dxa"/>
            <w:tcBorders>
              <w:top w:val="single" w:color="auto" w:sz="4" w:space="0"/>
              <w:bottom w:val="single" w:color="auto" w:sz="4" w:space="0"/>
            </w:tcBorders>
            <w:noWrap w:val="0"/>
            <w:vAlign w:val="center"/>
          </w:tcPr>
          <w:p w14:paraId="174F60DE">
            <w:pPr>
              <w:spacing w:line="400" w:lineRule="exact"/>
              <w:jc w:val="center"/>
              <w:rPr>
                <w:rFonts w:hint="eastAsia" w:ascii="宋体" w:hAnsi="宋体" w:eastAsia="宋体" w:cs="宋体"/>
                <w:color w:val="auto"/>
                <w:sz w:val="24"/>
                <w:szCs w:val="24"/>
                <w:highlight w:val="none"/>
              </w:rPr>
            </w:pPr>
          </w:p>
        </w:tc>
        <w:tc>
          <w:tcPr>
            <w:tcW w:w="1340" w:type="dxa"/>
            <w:tcBorders>
              <w:top w:val="single" w:color="auto" w:sz="4" w:space="0"/>
              <w:bottom w:val="single" w:color="auto" w:sz="4" w:space="0"/>
            </w:tcBorders>
            <w:noWrap w:val="0"/>
            <w:vAlign w:val="center"/>
          </w:tcPr>
          <w:p w14:paraId="7F814629">
            <w:pPr>
              <w:spacing w:line="400" w:lineRule="exact"/>
              <w:jc w:val="center"/>
              <w:rPr>
                <w:rFonts w:hint="eastAsia" w:ascii="宋体" w:hAnsi="宋体" w:eastAsia="宋体" w:cs="宋体"/>
                <w:color w:val="auto"/>
                <w:sz w:val="24"/>
                <w:szCs w:val="24"/>
                <w:highlight w:val="none"/>
              </w:rPr>
            </w:pPr>
          </w:p>
        </w:tc>
        <w:tc>
          <w:tcPr>
            <w:tcW w:w="1466" w:type="dxa"/>
            <w:tcBorders>
              <w:top w:val="single" w:color="auto" w:sz="4" w:space="0"/>
              <w:bottom w:val="single" w:color="auto" w:sz="4" w:space="0"/>
              <w:right w:val="single" w:color="auto" w:sz="4" w:space="0"/>
            </w:tcBorders>
            <w:noWrap w:val="0"/>
            <w:vAlign w:val="center"/>
          </w:tcPr>
          <w:p w14:paraId="7AA56BF5">
            <w:pPr>
              <w:spacing w:line="400" w:lineRule="exact"/>
              <w:jc w:val="center"/>
              <w:rPr>
                <w:rFonts w:hint="eastAsia" w:ascii="宋体" w:hAnsi="宋体" w:eastAsia="宋体" w:cs="宋体"/>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97979DE">
            <w:pPr>
              <w:spacing w:line="400" w:lineRule="exact"/>
              <w:jc w:val="center"/>
              <w:rPr>
                <w:rFonts w:hint="eastAsia" w:ascii="宋体" w:hAnsi="宋体" w:eastAsia="宋体" w:cs="宋体"/>
                <w:color w:val="auto"/>
                <w:sz w:val="24"/>
                <w:szCs w:val="24"/>
                <w:highlight w:val="none"/>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14:paraId="71E31605">
            <w:pPr>
              <w:spacing w:line="400" w:lineRule="exact"/>
              <w:jc w:val="center"/>
              <w:rPr>
                <w:rFonts w:hint="eastAsia" w:ascii="宋体" w:hAnsi="宋体" w:eastAsia="宋体" w:cs="宋体"/>
                <w:color w:val="auto"/>
                <w:sz w:val="24"/>
                <w:szCs w:val="24"/>
                <w:highlight w:val="none"/>
              </w:rPr>
            </w:pPr>
          </w:p>
        </w:tc>
      </w:tr>
      <w:tr w14:paraId="60E472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831" w:type="dxa"/>
            <w:tcBorders>
              <w:top w:val="single" w:color="auto" w:sz="4" w:space="0"/>
              <w:bottom w:val="single" w:color="auto" w:sz="4" w:space="0"/>
            </w:tcBorders>
            <w:noWrap w:val="0"/>
            <w:vAlign w:val="center"/>
          </w:tcPr>
          <w:p w14:paraId="5F4D426E">
            <w:pPr>
              <w:spacing w:line="400" w:lineRule="exact"/>
              <w:jc w:val="center"/>
              <w:rPr>
                <w:rFonts w:hint="eastAsia" w:ascii="宋体" w:hAnsi="宋体" w:eastAsia="宋体" w:cs="宋体"/>
                <w:color w:val="auto"/>
                <w:sz w:val="24"/>
                <w:szCs w:val="24"/>
                <w:highlight w:val="none"/>
              </w:rPr>
            </w:pPr>
          </w:p>
        </w:tc>
        <w:tc>
          <w:tcPr>
            <w:tcW w:w="1662" w:type="dxa"/>
            <w:tcBorders>
              <w:top w:val="single" w:color="auto" w:sz="4" w:space="0"/>
              <w:bottom w:val="single" w:color="auto" w:sz="4" w:space="0"/>
            </w:tcBorders>
            <w:noWrap w:val="0"/>
            <w:vAlign w:val="center"/>
          </w:tcPr>
          <w:p w14:paraId="30CF4A72">
            <w:pPr>
              <w:spacing w:line="400" w:lineRule="exact"/>
              <w:jc w:val="center"/>
              <w:rPr>
                <w:rFonts w:hint="eastAsia" w:ascii="宋体" w:hAnsi="宋体" w:eastAsia="宋体" w:cs="宋体"/>
                <w:color w:val="auto"/>
                <w:sz w:val="24"/>
                <w:szCs w:val="24"/>
                <w:highlight w:val="none"/>
              </w:rPr>
            </w:pPr>
          </w:p>
        </w:tc>
        <w:tc>
          <w:tcPr>
            <w:tcW w:w="1525" w:type="dxa"/>
            <w:tcBorders>
              <w:top w:val="single" w:color="auto" w:sz="4" w:space="0"/>
              <w:bottom w:val="single" w:color="auto" w:sz="4" w:space="0"/>
            </w:tcBorders>
            <w:noWrap w:val="0"/>
            <w:vAlign w:val="center"/>
          </w:tcPr>
          <w:p w14:paraId="3A0F990A">
            <w:pPr>
              <w:spacing w:line="400" w:lineRule="exact"/>
              <w:jc w:val="center"/>
              <w:rPr>
                <w:rFonts w:hint="eastAsia" w:ascii="宋体" w:hAnsi="宋体" w:eastAsia="宋体" w:cs="宋体"/>
                <w:color w:val="auto"/>
                <w:sz w:val="24"/>
                <w:szCs w:val="24"/>
                <w:highlight w:val="none"/>
              </w:rPr>
            </w:pPr>
          </w:p>
        </w:tc>
        <w:tc>
          <w:tcPr>
            <w:tcW w:w="1340" w:type="dxa"/>
            <w:tcBorders>
              <w:top w:val="single" w:color="auto" w:sz="4" w:space="0"/>
              <w:bottom w:val="single" w:color="auto" w:sz="4" w:space="0"/>
            </w:tcBorders>
            <w:noWrap w:val="0"/>
            <w:vAlign w:val="center"/>
          </w:tcPr>
          <w:p w14:paraId="07042E30">
            <w:pPr>
              <w:spacing w:line="400" w:lineRule="exact"/>
              <w:jc w:val="center"/>
              <w:rPr>
                <w:rFonts w:hint="eastAsia" w:ascii="宋体" w:hAnsi="宋体" w:eastAsia="宋体" w:cs="宋体"/>
                <w:color w:val="auto"/>
                <w:sz w:val="24"/>
                <w:szCs w:val="24"/>
                <w:highlight w:val="none"/>
              </w:rPr>
            </w:pPr>
          </w:p>
        </w:tc>
        <w:tc>
          <w:tcPr>
            <w:tcW w:w="1466" w:type="dxa"/>
            <w:tcBorders>
              <w:top w:val="single" w:color="auto" w:sz="4" w:space="0"/>
              <w:bottom w:val="single" w:color="auto" w:sz="4" w:space="0"/>
              <w:right w:val="single" w:color="auto" w:sz="4" w:space="0"/>
            </w:tcBorders>
            <w:noWrap w:val="0"/>
            <w:vAlign w:val="center"/>
          </w:tcPr>
          <w:p w14:paraId="255BFFE3">
            <w:pPr>
              <w:spacing w:line="400" w:lineRule="exact"/>
              <w:jc w:val="center"/>
              <w:rPr>
                <w:rFonts w:hint="eastAsia" w:ascii="宋体" w:hAnsi="宋体" w:eastAsia="宋体" w:cs="宋体"/>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7E89506A">
            <w:pPr>
              <w:spacing w:line="400" w:lineRule="exact"/>
              <w:jc w:val="center"/>
              <w:rPr>
                <w:rFonts w:hint="eastAsia" w:ascii="宋体" w:hAnsi="宋体" w:eastAsia="宋体" w:cs="宋体"/>
                <w:color w:val="auto"/>
                <w:sz w:val="24"/>
                <w:szCs w:val="24"/>
                <w:highlight w:val="none"/>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14:paraId="4B64014F">
            <w:pPr>
              <w:spacing w:line="400" w:lineRule="exact"/>
              <w:jc w:val="center"/>
              <w:rPr>
                <w:rFonts w:hint="eastAsia" w:ascii="宋体" w:hAnsi="宋体" w:eastAsia="宋体" w:cs="宋体"/>
                <w:color w:val="auto"/>
                <w:sz w:val="24"/>
                <w:szCs w:val="24"/>
                <w:highlight w:val="none"/>
              </w:rPr>
            </w:pPr>
          </w:p>
        </w:tc>
      </w:tr>
      <w:tr w14:paraId="0106C9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831" w:type="dxa"/>
            <w:tcBorders>
              <w:top w:val="single" w:color="auto" w:sz="4" w:space="0"/>
              <w:bottom w:val="single" w:color="auto" w:sz="4" w:space="0"/>
            </w:tcBorders>
            <w:noWrap w:val="0"/>
            <w:vAlign w:val="center"/>
          </w:tcPr>
          <w:p w14:paraId="5B101081">
            <w:pPr>
              <w:spacing w:line="400" w:lineRule="exact"/>
              <w:jc w:val="center"/>
              <w:rPr>
                <w:rFonts w:hint="eastAsia" w:ascii="宋体" w:hAnsi="宋体" w:eastAsia="宋体" w:cs="宋体"/>
                <w:color w:val="auto"/>
                <w:sz w:val="24"/>
                <w:szCs w:val="24"/>
                <w:highlight w:val="none"/>
              </w:rPr>
            </w:pPr>
          </w:p>
        </w:tc>
        <w:tc>
          <w:tcPr>
            <w:tcW w:w="1662" w:type="dxa"/>
            <w:tcBorders>
              <w:top w:val="single" w:color="auto" w:sz="4" w:space="0"/>
              <w:bottom w:val="single" w:color="auto" w:sz="4" w:space="0"/>
            </w:tcBorders>
            <w:noWrap w:val="0"/>
            <w:vAlign w:val="center"/>
          </w:tcPr>
          <w:p w14:paraId="57BE315F">
            <w:pPr>
              <w:spacing w:line="400" w:lineRule="exact"/>
              <w:jc w:val="center"/>
              <w:rPr>
                <w:rFonts w:hint="eastAsia" w:ascii="宋体" w:hAnsi="宋体" w:eastAsia="宋体" w:cs="宋体"/>
                <w:color w:val="auto"/>
                <w:sz w:val="24"/>
                <w:szCs w:val="24"/>
                <w:highlight w:val="none"/>
              </w:rPr>
            </w:pPr>
          </w:p>
        </w:tc>
        <w:tc>
          <w:tcPr>
            <w:tcW w:w="1525" w:type="dxa"/>
            <w:tcBorders>
              <w:top w:val="single" w:color="auto" w:sz="4" w:space="0"/>
              <w:bottom w:val="single" w:color="auto" w:sz="4" w:space="0"/>
            </w:tcBorders>
            <w:noWrap w:val="0"/>
            <w:vAlign w:val="center"/>
          </w:tcPr>
          <w:p w14:paraId="7D320A11">
            <w:pPr>
              <w:spacing w:line="400" w:lineRule="exact"/>
              <w:jc w:val="center"/>
              <w:rPr>
                <w:rFonts w:hint="eastAsia" w:ascii="宋体" w:hAnsi="宋体" w:eastAsia="宋体" w:cs="宋体"/>
                <w:color w:val="auto"/>
                <w:sz w:val="24"/>
                <w:szCs w:val="24"/>
                <w:highlight w:val="none"/>
              </w:rPr>
            </w:pPr>
          </w:p>
        </w:tc>
        <w:tc>
          <w:tcPr>
            <w:tcW w:w="1340" w:type="dxa"/>
            <w:tcBorders>
              <w:top w:val="single" w:color="auto" w:sz="4" w:space="0"/>
              <w:bottom w:val="single" w:color="auto" w:sz="4" w:space="0"/>
            </w:tcBorders>
            <w:noWrap w:val="0"/>
            <w:vAlign w:val="center"/>
          </w:tcPr>
          <w:p w14:paraId="3E59C5B9">
            <w:pPr>
              <w:spacing w:line="400" w:lineRule="exact"/>
              <w:jc w:val="center"/>
              <w:rPr>
                <w:rFonts w:hint="eastAsia" w:ascii="宋体" w:hAnsi="宋体" w:eastAsia="宋体" w:cs="宋体"/>
                <w:color w:val="auto"/>
                <w:sz w:val="24"/>
                <w:szCs w:val="24"/>
                <w:highlight w:val="none"/>
              </w:rPr>
            </w:pPr>
          </w:p>
        </w:tc>
        <w:tc>
          <w:tcPr>
            <w:tcW w:w="1466" w:type="dxa"/>
            <w:tcBorders>
              <w:top w:val="single" w:color="auto" w:sz="4" w:space="0"/>
              <w:bottom w:val="single" w:color="auto" w:sz="4" w:space="0"/>
              <w:right w:val="single" w:color="auto" w:sz="4" w:space="0"/>
            </w:tcBorders>
            <w:noWrap w:val="0"/>
            <w:vAlign w:val="center"/>
          </w:tcPr>
          <w:p w14:paraId="465B2C7F">
            <w:pPr>
              <w:spacing w:line="400" w:lineRule="exact"/>
              <w:jc w:val="center"/>
              <w:rPr>
                <w:rFonts w:hint="eastAsia" w:ascii="宋体" w:hAnsi="宋体" w:eastAsia="宋体" w:cs="宋体"/>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2F894EB6">
            <w:pPr>
              <w:spacing w:line="400" w:lineRule="exact"/>
              <w:jc w:val="center"/>
              <w:rPr>
                <w:rFonts w:hint="eastAsia" w:ascii="宋体" w:hAnsi="宋体" w:eastAsia="宋体" w:cs="宋体"/>
                <w:color w:val="auto"/>
                <w:sz w:val="24"/>
                <w:szCs w:val="24"/>
                <w:highlight w:val="none"/>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14:paraId="10038628">
            <w:pPr>
              <w:spacing w:line="400" w:lineRule="exact"/>
              <w:jc w:val="center"/>
              <w:rPr>
                <w:rFonts w:hint="eastAsia" w:ascii="宋体" w:hAnsi="宋体" w:eastAsia="宋体" w:cs="宋体"/>
                <w:color w:val="auto"/>
                <w:sz w:val="24"/>
                <w:szCs w:val="24"/>
                <w:highlight w:val="none"/>
              </w:rPr>
            </w:pPr>
          </w:p>
        </w:tc>
      </w:tr>
      <w:tr w14:paraId="4C2C09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831" w:type="dxa"/>
            <w:tcBorders>
              <w:top w:val="single" w:color="auto" w:sz="4" w:space="0"/>
            </w:tcBorders>
            <w:noWrap w:val="0"/>
            <w:vAlign w:val="center"/>
          </w:tcPr>
          <w:p w14:paraId="7CFC399D">
            <w:pPr>
              <w:spacing w:line="400" w:lineRule="exact"/>
              <w:jc w:val="center"/>
              <w:rPr>
                <w:rFonts w:hint="eastAsia" w:ascii="宋体" w:hAnsi="宋体" w:eastAsia="宋体" w:cs="宋体"/>
                <w:color w:val="auto"/>
                <w:sz w:val="24"/>
                <w:szCs w:val="24"/>
                <w:highlight w:val="none"/>
              </w:rPr>
            </w:pPr>
          </w:p>
        </w:tc>
        <w:tc>
          <w:tcPr>
            <w:tcW w:w="1662" w:type="dxa"/>
            <w:tcBorders>
              <w:top w:val="single" w:color="auto" w:sz="4" w:space="0"/>
            </w:tcBorders>
            <w:noWrap w:val="0"/>
            <w:vAlign w:val="center"/>
          </w:tcPr>
          <w:p w14:paraId="339437CD">
            <w:pPr>
              <w:spacing w:line="400" w:lineRule="exact"/>
              <w:jc w:val="center"/>
              <w:rPr>
                <w:rFonts w:hint="eastAsia" w:ascii="宋体" w:hAnsi="宋体" w:eastAsia="宋体" w:cs="宋体"/>
                <w:color w:val="auto"/>
                <w:sz w:val="24"/>
                <w:szCs w:val="24"/>
                <w:highlight w:val="none"/>
              </w:rPr>
            </w:pPr>
          </w:p>
        </w:tc>
        <w:tc>
          <w:tcPr>
            <w:tcW w:w="1525" w:type="dxa"/>
            <w:tcBorders>
              <w:top w:val="single" w:color="auto" w:sz="4" w:space="0"/>
            </w:tcBorders>
            <w:noWrap w:val="0"/>
            <w:vAlign w:val="center"/>
          </w:tcPr>
          <w:p w14:paraId="7FE53919">
            <w:pPr>
              <w:spacing w:line="400" w:lineRule="exact"/>
              <w:jc w:val="center"/>
              <w:rPr>
                <w:rFonts w:hint="eastAsia" w:ascii="宋体" w:hAnsi="宋体" w:eastAsia="宋体" w:cs="宋体"/>
                <w:color w:val="auto"/>
                <w:sz w:val="24"/>
                <w:szCs w:val="24"/>
                <w:highlight w:val="none"/>
              </w:rPr>
            </w:pPr>
          </w:p>
        </w:tc>
        <w:tc>
          <w:tcPr>
            <w:tcW w:w="1340" w:type="dxa"/>
            <w:tcBorders>
              <w:top w:val="single" w:color="auto" w:sz="4" w:space="0"/>
            </w:tcBorders>
            <w:noWrap w:val="0"/>
            <w:vAlign w:val="center"/>
          </w:tcPr>
          <w:p w14:paraId="4E6B10D3">
            <w:pPr>
              <w:spacing w:line="400" w:lineRule="exact"/>
              <w:jc w:val="center"/>
              <w:rPr>
                <w:rFonts w:hint="eastAsia" w:ascii="宋体" w:hAnsi="宋体" w:eastAsia="宋体" w:cs="宋体"/>
                <w:color w:val="auto"/>
                <w:sz w:val="24"/>
                <w:szCs w:val="24"/>
                <w:highlight w:val="none"/>
              </w:rPr>
            </w:pPr>
          </w:p>
        </w:tc>
        <w:tc>
          <w:tcPr>
            <w:tcW w:w="1466" w:type="dxa"/>
            <w:tcBorders>
              <w:top w:val="single" w:color="auto" w:sz="4" w:space="0"/>
              <w:right w:val="single" w:color="auto" w:sz="4" w:space="0"/>
            </w:tcBorders>
            <w:noWrap w:val="0"/>
            <w:vAlign w:val="center"/>
          </w:tcPr>
          <w:p w14:paraId="15B4A777">
            <w:pPr>
              <w:spacing w:line="400" w:lineRule="exact"/>
              <w:jc w:val="center"/>
              <w:rPr>
                <w:rFonts w:hint="eastAsia" w:ascii="宋体" w:hAnsi="宋体" w:eastAsia="宋体" w:cs="宋体"/>
                <w:color w:val="auto"/>
                <w:sz w:val="24"/>
                <w:szCs w:val="24"/>
                <w:highlight w:val="none"/>
              </w:rPr>
            </w:pPr>
          </w:p>
        </w:tc>
        <w:tc>
          <w:tcPr>
            <w:tcW w:w="1587" w:type="dxa"/>
            <w:tcBorders>
              <w:top w:val="single" w:color="auto" w:sz="4" w:space="0"/>
              <w:left w:val="single" w:color="auto" w:sz="4" w:space="0"/>
              <w:right w:val="single" w:color="auto" w:sz="4" w:space="0"/>
            </w:tcBorders>
            <w:noWrap w:val="0"/>
            <w:vAlign w:val="center"/>
          </w:tcPr>
          <w:p w14:paraId="743E4893">
            <w:pPr>
              <w:spacing w:line="400" w:lineRule="exact"/>
              <w:jc w:val="center"/>
              <w:rPr>
                <w:rFonts w:hint="eastAsia" w:ascii="宋体" w:hAnsi="宋体" w:eastAsia="宋体" w:cs="宋体"/>
                <w:color w:val="auto"/>
                <w:sz w:val="24"/>
                <w:szCs w:val="24"/>
                <w:highlight w:val="none"/>
              </w:rPr>
            </w:pPr>
          </w:p>
        </w:tc>
        <w:tc>
          <w:tcPr>
            <w:tcW w:w="1998" w:type="dxa"/>
            <w:tcBorders>
              <w:top w:val="single" w:color="auto" w:sz="4" w:space="0"/>
              <w:left w:val="single" w:color="auto" w:sz="4" w:space="0"/>
              <w:right w:val="single" w:color="auto" w:sz="4" w:space="0"/>
            </w:tcBorders>
            <w:noWrap w:val="0"/>
            <w:vAlign w:val="center"/>
          </w:tcPr>
          <w:p w14:paraId="0CB53346">
            <w:pPr>
              <w:spacing w:line="400" w:lineRule="exact"/>
              <w:jc w:val="center"/>
              <w:rPr>
                <w:rFonts w:hint="eastAsia" w:ascii="宋体" w:hAnsi="宋体" w:eastAsia="宋体" w:cs="宋体"/>
                <w:color w:val="auto"/>
                <w:sz w:val="24"/>
                <w:szCs w:val="24"/>
                <w:highlight w:val="none"/>
              </w:rPr>
            </w:pPr>
          </w:p>
        </w:tc>
      </w:tr>
    </w:tbl>
    <w:p w14:paraId="70B65BD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val="en-US" w:eastAsia="zh-CN"/>
        </w:rPr>
        <w:t>后附</w:t>
      </w:r>
      <w:r>
        <w:rPr>
          <w:rFonts w:hint="eastAsia" w:ascii="宋体" w:hAnsi="宋体" w:eastAsia="宋体" w:cs="宋体"/>
          <w:color w:val="auto"/>
          <w:sz w:val="24"/>
          <w:szCs w:val="24"/>
          <w:highlight w:val="none"/>
        </w:rPr>
        <w:t>相关证明材料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相关证明材料如有虚假，供应商自行承担相关法律责任</w:t>
      </w:r>
    </w:p>
    <w:p w14:paraId="21035D1B">
      <w:pPr>
        <w:spacing w:line="400" w:lineRule="exact"/>
        <w:ind w:left="360"/>
        <w:jc w:val="center"/>
        <w:rPr>
          <w:rFonts w:hint="eastAsia" w:ascii="宋体" w:hAnsi="宋体" w:eastAsia="宋体" w:cs="宋体"/>
          <w:color w:val="auto"/>
          <w:sz w:val="24"/>
          <w:szCs w:val="24"/>
          <w:highlight w:val="none"/>
        </w:rPr>
      </w:pPr>
    </w:p>
    <w:p w14:paraId="5B036515">
      <w:pPr>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6E56AD55">
      <w:pPr>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bCs/>
          <w:color w:val="auto"/>
          <w:sz w:val="24"/>
          <w:szCs w:val="24"/>
          <w:highlight w:val="none"/>
        </w:rPr>
        <w:t>（签字或盖章）：</w:t>
      </w:r>
    </w:p>
    <w:p w14:paraId="699C40FC">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投标日期:</w:t>
      </w:r>
    </w:p>
    <w:p w14:paraId="371896F9">
      <w:pPr>
        <w:spacing w:line="400" w:lineRule="exact"/>
        <w:rPr>
          <w:rFonts w:hint="eastAsia" w:ascii="宋体" w:hAnsi="宋体" w:eastAsia="宋体" w:cs="宋体"/>
          <w:color w:val="auto"/>
          <w:highlight w:val="none"/>
        </w:rPr>
      </w:pPr>
    </w:p>
    <w:p w14:paraId="6172349A">
      <w:pPr>
        <w:spacing w:line="400" w:lineRule="exact"/>
        <w:rPr>
          <w:rFonts w:hint="eastAsia" w:ascii="宋体" w:hAnsi="宋体" w:eastAsia="宋体" w:cs="宋体"/>
          <w:color w:val="auto"/>
          <w:highlight w:val="none"/>
        </w:rPr>
      </w:pPr>
    </w:p>
    <w:p w14:paraId="3426B93F">
      <w:pPr>
        <w:spacing w:line="400" w:lineRule="exact"/>
        <w:rPr>
          <w:rFonts w:hint="eastAsia" w:ascii="宋体" w:hAnsi="宋体" w:eastAsia="宋体" w:cs="宋体"/>
          <w:color w:val="auto"/>
          <w:highlight w:val="none"/>
        </w:rPr>
      </w:pPr>
    </w:p>
    <w:p w14:paraId="29C4B924">
      <w:pPr>
        <w:rPr>
          <w:rFonts w:hint="eastAsia" w:asciiTheme="majorEastAsia" w:hAnsiTheme="majorEastAsia" w:eastAsiaTheme="majorEastAsia" w:cstheme="majorEastAsia"/>
          <w:b/>
          <w:color w:val="auto"/>
          <w:kern w:val="0"/>
          <w:sz w:val="28"/>
          <w:szCs w:val="24"/>
          <w:highlight w:val="none"/>
          <w:lang w:val="en-US" w:eastAsia="zh-CN" w:bidi="ar-SA"/>
        </w:rPr>
      </w:pPr>
      <w:bookmarkStart w:id="215" w:name="_Toc25400"/>
      <w:bookmarkStart w:id="216" w:name="_Toc31271_WPSOffice_Level1"/>
      <w:r>
        <w:rPr>
          <w:rFonts w:hint="eastAsia" w:asciiTheme="majorEastAsia" w:hAnsiTheme="majorEastAsia" w:eastAsiaTheme="majorEastAsia" w:cstheme="majorEastAsia"/>
          <w:b/>
          <w:color w:val="auto"/>
          <w:kern w:val="0"/>
          <w:sz w:val="28"/>
          <w:szCs w:val="24"/>
          <w:highlight w:val="none"/>
          <w:lang w:val="en-US" w:eastAsia="zh-CN" w:bidi="ar-SA"/>
        </w:rPr>
        <w:br w:type="page"/>
      </w:r>
    </w:p>
    <w:p w14:paraId="6387F850">
      <w:pPr>
        <w:numPr>
          <w:ilvl w:val="0"/>
          <w:numId w:val="0"/>
        </w:numPr>
        <w:jc w:val="center"/>
        <w:outlineLvl w:val="2"/>
        <w:rPr>
          <w:rFonts w:hint="eastAsia" w:ascii="宋体" w:hAnsi="宋体" w:eastAsia="宋体" w:cs="宋体"/>
          <w:b/>
          <w:bCs/>
          <w:color w:val="auto"/>
          <w:sz w:val="30"/>
          <w:szCs w:val="30"/>
          <w:highlight w:val="none"/>
          <w:lang w:val="en-US" w:eastAsia="zh-CN"/>
        </w:rPr>
      </w:pPr>
      <w:bookmarkStart w:id="217" w:name="_Toc4898"/>
      <w:r>
        <w:rPr>
          <w:rFonts w:hint="eastAsia" w:ascii="宋体" w:hAnsi="宋体" w:cs="宋体"/>
          <w:b/>
          <w:bCs/>
          <w:color w:val="auto"/>
          <w:sz w:val="30"/>
          <w:szCs w:val="30"/>
          <w:highlight w:val="none"/>
          <w:lang w:val="en-US" w:eastAsia="zh-CN"/>
        </w:rPr>
        <w:t>6、</w:t>
      </w:r>
      <w:r>
        <w:rPr>
          <w:rFonts w:hint="eastAsia" w:ascii="宋体" w:hAnsi="宋体" w:eastAsia="宋体" w:cs="宋体"/>
          <w:b/>
          <w:bCs/>
          <w:color w:val="auto"/>
          <w:sz w:val="30"/>
          <w:szCs w:val="30"/>
          <w:highlight w:val="none"/>
          <w:lang w:val="en-US" w:eastAsia="zh-CN"/>
        </w:rPr>
        <w:t>质量保证承诺书</w:t>
      </w:r>
      <w:bookmarkEnd w:id="217"/>
    </w:p>
    <w:p w14:paraId="6A70EB64">
      <w:pPr>
        <w:numPr>
          <w:ilvl w:val="0"/>
          <w:numId w:val="0"/>
        </w:numPr>
        <w:jc w:val="both"/>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致：</w:t>
      </w:r>
      <w:r>
        <w:rPr>
          <w:rFonts w:hint="eastAsia" w:ascii="宋体" w:hAnsi="宋体" w:eastAsia="宋体" w:cs="宋体"/>
          <w:b w:val="0"/>
          <w:bCs w:val="0"/>
          <w:color w:val="auto"/>
          <w:sz w:val="24"/>
          <w:szCs w:val="24"/>
          <w:highlight w:val="none"/>
          <w:u w:val="single"/>
          <w:lang w:val="en-US" w:eastAsia="zh-CN"/>
        </w:rPr>
        <w:t>（采购人名称）</w:t>
      </w:r>
    </w:p>
    <w:p w14:paraId="4DF4DCBA">
      <w:pPr>
        <w:numPr>
          <w:ilvl w:val="0"/>
          <w:numId w:val="0"/>
        </w:numPr>
        <w:ind w:firstLine="480" w:firstLineChars="200"/>
        <w:jc w:val="both"/>
        <w:rPr>
          <w:rFonts w:hint="eastAsia" w:ascii="宋体" w:hAnsi="宋体" w:eastAsia="宋体" w:cs="宋体"/>
          <w:b w:val="0"/>
          <w:bCs w:val="0"/>
          <w:color w:val="auto"/>
          <w:sz w:val="24"/>
          <w:szCs w:val="24"/>
          <w:highlight w:val="none"/>
          <w:lang w:val="en-US" w:eastAsia="zh-CN"/>
        </w:rPr>
      </w:pPr>
    </w:p>
    <w:p w14:paraId="7B5661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我公司承诺全面响应招标文件的所有规定及要求:</w:t>
      </w:r>
    </w:p>
    <w:p w14:paraId="545191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(1)我公司承诺:为本项目提供货物均符合质量合格要求。</w:t>
      </w:r>
    </w:p>
    <w:p w14:paraId="55772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(2)我公司承诺:提供货物到采购人指定地点。</w:t>
      </w:r>
    </w:p>
    <w:p w14:paraId="284E3D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(3）我公司承诺:交付的货物不符合约定的，无条件更换符合约定的货物。</w:t>
      </w:r>
    </w:p>
    <w:p w14:paraId="27F7C2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(4）本公司在响应文件中所提供材料均为真实、有效，如有虚假，将接受任何处罚、并承担相应的法律责任。</w:t>
      </w:r>
    </w:p>
    <w:p w14:paraId="6CB461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若有违背上述承诺,贵单位可因此终止合同。</w:t>
      </w:r>
    </w:p>
    <w:p w14:paraId="430C82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7E4007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6D772F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03290F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特此承诺。</w:t>
      </w:r>
    </w:p>
    <w:p w14:paraId="4AFB87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0CD6E2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66D608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供应商名称（加盖单位公章）：</w:t>
      </w:r>
      <w:r>
        <w:rPr>
          <w:rFonts w:hint="eastAsia" w:ascii="宋体" w:hAnsi="宋体" w:eastAsia="宋体" w:cs="宋体"/>
          <w:b w:val="0"/>
          <w:bCs w:val="0"/>
          <w:color w:val="auto"/>
          <w:sz w:val="24"/>
          <w:szCs w:val="24"/>
          <w:highlight w:val="none"/>
          <w:u w:val="single"/>
          <w:lang w:val="en-US" w:eastAsia="zh-CN"/>
        </w:rPr>
        <w:t xml:space="preserve">                </w:t>
      </w:r>
    </w:p>
    <w:p w14:paraId="2E2C04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日期：</w:t>
      </w:r>
      <w:r>
        <w:rPr>
          <w:rFonts w:hint="eastAsia" w:ascii="宋体" w:hAnsi="宋体" w:eastAsia="宋体" w:cs="宋体"/>
          <w:b w:val="0"/>
          <w:bCs w:val="0"/>
          <w:color w:val="auto"/>
          <w:sz w:val="24"/>
          <w:szCs w:val="24"/>
          <w:highlight w:val="none"/>
          <w:u w:val="single"/>
          <w:lang w:val="en-US" w:eastAsia="zh-CN"/>
        </w:rPr>
        <w:t xml:space="preserve">                   </w:t>
      </w:r>
    </w:p>
    <w:p w14:paraId="335D34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p>
    <w:p w14:paraId="554985CE">
      <w:pPr>
        <w:numPr>
          <w:ilvl w:val="0"/>
          <w:numId w:val="0"/>
        </w:numPr>
        <w:jc w:val="center"/>
        <w:outlineLvl w:val="2"/>
        <w:rPr>
          <w:rFonts w:hint="eastAsia" w:ascii="宋体" w:hAnsi="宋体" w:eastAsia="宋体" w:cs="宋体"/>
          <w:b/>
          <w:bCs/>
          <w:color w:val="auto"/>
          <w:sz w:val="30"/>
          <w:szCs w:val="30"/>
          <w:highlight w:val="none"/>
          <w:lang w:val="en-US" w:eastAsia="zh-CN"/>
        </w:rPr>
      </w:pPr>
      <w:bookmarkStart w:id="218" w:name="_Toc11215"/>
      <w:r>
        <w:rPr>
          <w:rFonts w:hint="eastAsia" w:ascii="宋体" w:hAnsi="宋体" w:cs="宋体"/>
          <w:b/>
          <w:bCs/>
          <w:color w:val="auto"/>
          <w:sz w:val="30"/>
          <w:szCs w:val="30"/>
          <w:highlight w:val="none"/>
          <w:lang w:val="en-US" w:eastAsia="zh-CN"/>
        </w:rPr>
        <w:t>7、</w:t>
      </w:r>
      <w:r>
        <w:rPr>
          <w:rFonts w:hint="eastAsia" w:ascii="宋体" w:hAnsi="宋体" w:eastAsia="宋体" w:cs="宋体"/>
          <w:b/>
          <w:bCs/>
          <w:color w:val="auto"/>
          <w:sz w:val="30"/>
          <w:szCs w:val="30"/>
          <w:highlight w:val="none"/>
          <w:lang w:val="en-US" w:eastAsia="zh-CN"/>
        </w:rPr>
        <w:t>投标保证金凭证</w:t>
      </w:r>
      <w:bookmarkEnd w:id="218"/>
    </w:p>
    <w:p w14:paraId="57C8DA09">
      <w:pPr>
        <w:rPr>
          <w:rFonts w:hint="eastAsia" w:ascii="宋体" w:hAnsi="宋体" w:eastAsia="宋体" w:cs="宋体"/>
          <w:color w:val="auto"/>
          <w:spacing w:val="0"/>
          <w:highlight w:val="none"/>
          <w:lang w:val="en-US" w:eastAsia="zh-CN"/>
        </w:rPr>
      </w:pPr>
      <w:r>
        <w:rPr>
          <w:rFonts w:hint="eastAsia" w:asciiTheme="majorEastAsia" w:hAnsiTheme="majorEastAsia" w:eastAsiaTheme="majorEastAsia" w:cstheme="majorEastAsia"/>
          <w:color w:val="auto"/>
          <w:highlight w:val="none"/>
        </w:rPr>
        <mc:AlternateContent>
          <mc:Choice Requires="wps">
            <w:drawing>
              <wp:anchor distT="0" distB="0" distL="114300" distR="114300" simplePos="0" relativeHeight="251663360" behindDoc="1" locked="0" layoutInCell="1" allowOverlap="1">
                <wp:simplePos x="0" y="0"/>
                <wp:positionH relativeFrom="column">
                  <wp:posOffset>280670</wp:posOffset>
                </wp:positionH>
                <wp:positionV relativeFrom="paragraph">
                  <wp:posOffset>138430</wp:posOffset>
                </wp:positionV>
                <wp:extent cx="4991100" cy="3148330"/>
                <wp:effectExtent l="4445" t="5080" r="14605" b="8890"/>
                <wp:wrapTight wrapText="bothSides">
                  <wp:wrapPolygon>
                    <wp:start x="-19" y="-35"/>
                    <wp:lineTo x="-19" y="21530"/>
                    <wp:lineTo x="21581" y="21530"/>
                    <wp:lineTo x="21581" y="-35"/>
                    <wp:lineTo x="-19" y="-35"/>
                  </wp:wrapPolygon>
                </wp:wrapTight>
                <wp:docPr id="18" name="文本框 18"/>
                <wp:cNvGraphicFramePr/>
                <a:graphic xmlns:a="http://schemas.openxmlformats.org/drawingml/2006/main">
                  <a:graphicData uri="http://schemas.microsoft.com/office/word/2010/wordprocessingShape">
                    <wps:wsp>
                      <wps:cNvSpPr txBox="1"/>
                      <wps:spPr>
                        <a:xfrm>
                          <a:off x="0" y="0"/>
                          <a:ext cx="4991100" cy="314833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14:paraId="4CD2A735">
                            <w:pPr>
                              <w:jc w:val="center"/>
                            </w:pPr>
                          </w:p>
                          <w:p w14:paraId="7E373E6F">
                            <w:pPr>
                              <w:jc w:val="center"/>
                              <w:rPr>
                                <w:b/>
                              </w:rPr>
                            </w:pPr>
                          </w:p>
                          <w:p w14:paraId="73578C62">
                            <w:pPr>
                              <w:jc w:val="center"/>
                              <w:rPr>
                                <w:rFonts w:hint="eastAsia" w:ascii="宋体" w:hAnsi="宋体"/>
                                <w:b/>
                                <w:sz w:val="24"/>
                              </w:rPr>
                            </w:pPr>
                          </w:p>
                          <w:p w14:paraId="5671849D">
                            <w:pPr>
                              <w:jc w:val="center"/>
                              <w:rPr>
                                <w:rFonts w:hint="eastAsia" w:ascii="宋体" w:hAnsi="宋体" w:eastAsia="宋体"/>
                                <w:b/>
                                <w:sz w:val="24"/>
                                <w:lang w:eastAsia="zh-CN"/>
                              </w:rPr>
                            </w:pPr>
                            <w:r>
                              <w:rPr>
                                <w:rFonts w:hint="eastAsia" w:ascii="宋体" w:hAnsi="宋体"/>
                                <w:b/>
                                <w:sz w:val="24"/>
                              </w:rPr>
                              <w:t>此处附</w:t>
                            </w:r>
                            <w:r>
                              <w:rPr>
                                <w:rFonts w:hint="eastAsia" w:ascii="宋体" w:hAnsi="宋体"/>
                                <w:b/>
                                <w:sz w:val="24"/>
                                <w:lang w:val="en-US" w:eastAsia="zh-CN"/>
                              </w:rPr>
                              <w:t>投标保证金凭证</w:t>
                            </w:r>
                          </w:p>
                          <w:p w14:paraId="2A4C5C29">
                            <w:pPr>
                              <w:jc w:val="center"/>
                              <w:rPr>
                                <w:rFonts w:ascii="宋体" w:hAnsi="宋体"/>
                                <w:b/>
                                <w:sz w:val="24"/>
                              </w:rPr>
                            </w:pPr>
                          </w:p>
                        </w:txbxContent>
                      </wps:txbx>
                      <wps:bodyPr upright="1"/>
                    </wps:wsp>
                  </a:graphicData>
                </a:graphic>
              </wp:anchor>
            </w:drawing>
          </mc:Choice>
          <mc:Fallback>
            <w:pict>
              <v:shape id="_x0000_s1026" o:spid="_x0000_s1026" o:spt="202" type="#_x0000_t202" style="position:absolute;left:0pt;margin-left:22.1pt;margin-top:10.9pt;height:247.9pt;width:393pt;mso-wrap-distance-left:9pt;mso-wrap-distance-right:9pt;z-index:-251653120;mso-width-relative:page;mso-height-relative:page;" fillcolor="#FFFFFF" filled="t" stroked="t" coordsize="21600,21600" wrapcoords="-19 -35 -19 21530 21581 21530 21581 -35 -19 -35" o:gfxdata="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7mACv2AAAAAkBAAAP&#10;AAAAAAAAAAEAIAAAACIAAABkcnMvZG93bnJldi54bWxQSwECFAAUAAAACACHTuJAk4KjHhgCAABI&#10;BAAADgAAAAAAAAABACAAAAAnAQAAZHJzL2Uyb0RvYy54bWxQSwUGAAAAAAYABgBZAQAAsQUAAAAA&#10;">
                <v:fill on="t" focussize="0,0"/>
                <v:stroke color="#000000" joinstyle="miter" dashstyle="1 1"/>
                <v:imagedata o:title=""/>
                <o:lock v:ext="edit" aspectratio="f"/>
                <v:textbox>
                  <w:txbxContent>
                    <w:p w14:paraId="4CD2A735">
                      <w:pPr>
                        <w:jc w:val="center"/>
                      </w:pPr>
                    </w:p>
                    <w:p w14:paraId="7E373E6F">
                      <w:pPr>
                        <w:jc w:val="center"/>
                        <w:rPr>
                          <w:b/>
                        </w:rPr>
                      </w:pPr>
                    </w:p>
                    <w:p w14:paraId="73578C62">
                      <w:pPr>
                        <w:jc w:val="center"/>
                        <w:rPr>
                          <w:rFonts w:hint="eastAsia" w:ascii="宋体" w:hAnsi="宋体"/>
                          <w:b/>
                          <w:sz w:val="24"/>
                        </w:rPr>
                      </w:pPr>
                    </w:p>
                    <w:p w14:paraId="5671849D">
                      <w:pPr>
                        <w:jc w:val="center"/>
                        <w:rPr>
                          <w:rFonts w:hint="eastAsia" w:ascii="宋体" w:hAnsi="宋体" w:eastAsia="宋体"/>
                          <w:b/>
                          <w:sz w:val="24"/>
                          <w:lang w:eastAsia="zh-CN"/>
                        </w:rPr>
                      </w:pPr>
                      <w:r>
                        <w:rPr>
                          <w:rFonts w:hint="eastAsia" w:ascii="宋体" w:hAnsi="宋体"/>
                          <w:b/>
                          <w:sz w:val="24"/>
                        </w:rPr>
                        <w:t>此处附</w:t>
                      </w:r>
                      <w:r>
                        <w:rPr>
                          <w:rFonts w:hint="eastAsia" w:ascii="宋体" w:hAnsi="宋体"/>
                          <w:b/>
                          <w:sz w:val="24"/>
                          <w:lang w:val="en-US" w:eastAsia="zh-CN"/>
                        </w:rPr>
                        <w:t>投标保证金凭证</w:t>
                      </w:r>
                    </w:p>
                    <w:p w14:paraId="2A4C5C29">
                      <w:pPr>
                        <w:jc w:val="center"/>
                        <w:rPr>
                          <w:rFonts w:ascii="宋体" w:hAnsi="宋体"/>
                          <w:b/>
                          <w:sz w:val="24"/>
                        </w:rPr>
                      </w:pPr>
                    </w:p>
                  </w:txbxContent>
                </v:textbox>
                <w10:wrap type="tight"/>
              </v:shape>
            </w:pict>
          </mc:Fallback>
        </mc:AlternateContent>
      </w:r>
    </w:p>
    <w:p w14:paraId="41D8966A">
      <w:pPr>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br w:type="page"/>
      </w:r>
    </w:p>
    <w:p w14:paraId="4F51C277">
      <w:pPr>
        <w:numPr>
          <w:ilvl w:val="0"/>
          <w:numId w:val="0"/>
        </w:numPr>
        <w:jc w:val="center"/>
        <w:outlineLvl w:val="2"/>
        <w:rPr>
          <w:rFonts w:hint="default" w:ascii="宋体" w:hAnsi="宋体" w:eastAsia="宋体" w:cs="宋体"/>
          <w:b/>
          <w:bCs/>
          <w:color w:val="auto"/>
          <w:sz w:val="30"/>
          <w:szCs w:val="30"/>
          <w:highlight w:val="none"/>
          <w:lang w:val="en-US" w:eastAsia="zh-CN"/>
        </w:rPr>
      </w:pPr>
      <w:bookmarkStart w:id="219" w:name="_Toc2546"/>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lang w:val="en-US" w:eastAsia="zh-CN"/>
        </w:rPr>
        <w:t>供应商认为需要提供的其他有关资料</w:t>
      </w:r>
      <w:bookmarkEnd w:id="219"/>
    </w:p>
    <w:p w14:paraId="1CEA1FB1">
      <w:pPr>
        <w:rPr>
          <w:rFonts w:hint="eastAsia" w:ascii="宋体" w:hAnsi="宋体" w:eastAsia="宋体" w:cs="宋体"/>
          <w:color w:val="auto"/>
          <w:spacing w:val="0"/>
          <w:highlight w:val="none"/>
          <w:lang w:val="en-US" w:eastAsia="zh-CN"/>
        </w:rPr>
      </w:pPr>
    </w:p>
    <w:p w14:paraId="41542A8B">
      <w:pPr>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br w:type="page"/>
      </w:r>
    </w:p>
    <w:p w14:paraId="662CFFF5">
      <w:pPr>
        <w:pStyle w:val="3"/>
        <w:pageBreakBefore w:val="0"/>
        <w:kinsoku/>
        <w:overflowPunct/>
        <w:topLinePunct w:val="0"/>
        <w:bidi w:val="0"/>
        <w:jc w:val="center"/>
        <w:rPr>
          <w:rFonts w:hint="eastAsia" w:ascii="宋体" w:hAnsi="宋体" w:eastAsia="宋体" w:cs="宋体"/>
          <w:color w:val="auto"/>
          <w:spacing w:val="0"/>
          <w:highlight w:val="none"/>
        </w:rPr>
      </w:pPr>
      <w:bookmarkStart w:id="220" w:name="_Toc25906"/>
      <w:bookmarkStart w:id="221" w:name="_Toc10619"/>
      <w:r>
        <w:rPr>
          <w:rFonts w:hint="eastAsia" w:ascii="宋体" w:hAnsi="宋体" w:eastAsia="宋体" w:cs="宋体"/>
          <w:color w:val="auto"/>
          <w:spacing w:val="0"/>
          <w:highlight w:val="none"/>
          <w:lang w:val="en-US" w:eastAsia="zh-CN"/>
        </w:rPr>
        <w:t>三</w:t>
      </w: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val="en-US" w:eastAsia="zh-CN"/>
        </w:rPr>
        <w:t>报价</w:t>
      </w:r>
      <w:r>
        <w:rPr>
          <w:rFonts w:hint="eastAsia" w:ascii="宋体" w:hAnsi="宋体" w:eastAsia="宋体" w:cs="宋体"/>
          <w:color w:val="auto"/>
          <w:spacing w:val="0"/>
          <w:highlight w:val="none"/>
        </w:rPr>
        <w:t>文件组成</w:t>
      </w:r>
      <w:bookmarkEnd w:id="220"/>
      <w:bookmarkEnd w:id="221"/>
    </w:p>
    <w:p w14:paraId="78AC5AE5">
      <w:pPr>
        <w:pStyle w:val="4"/>
        <w:jc w:val="center"/>
        <w:rPr>
          <w:rFonts w:hint="eastAsia" w:ascii="宋体" w:hAnsi="宋体" w:eastAsia="宋体" w:cs="宋体"/>
          <w:color w:val="auto"/>
          <w:sz w:val="30"/>
          <w:szCs w:val="30"/>
          <w:highlight w:val="none"/>
        </w:rPr>
      </w:pPr>
      <w:bookmarkStart w:id="222" w:name="_Toc17848"/>
      <w:r>
        <w:rPr>
          <w:rFonts w:hint="eastAsia" w:ascii="宋体" w:hAnsi="宋体" w:cs="宋体"/>
          <w:color w:val="auto"/>
          <w:sz w:val="30"/>
          <w:szCs w:val="30"/>
          <w:highlight w:val="none"/>
          <w:lang w:val="en-US" w:eastAsia="zh-CN"/>
        </w:rPr>
        <w:t>1</w:t>
      </w:r>
      <w:r>
        <w:rPr>
          <w:rFonts w:hint="eastAsia" w:ascii="宋体" w:hAnsi="宋体" w:eastAsia="宋体" w:cs="宋体"/>
          <w:color w:val="auto"/>
          <w:sz w:val="30"/>
          <w:szCs w:val="30"/>
          <w:highlight w:val="none"/>
        </w:rPr>
        <w:t>、开标一览表</w:t>
      </w:r>
      <w:bookmarkEnd w:id="222"/>
    </w:p>
    <w:p w14:paraId="4592A3A0">
      <w:pPr>
        <w:snapToGrid w:val="0"/>
        <w:spacing w:before="50" w:after="50"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项</w:t>
      </w:r>
      <w:r>
        <w:rPr>
          <w:rFonts w:hint="eastAsia" w:asciiTheme="majorEastAsia" w:hAnsiTheme="majorEastAsia" w:eastAsiaTheme="majorEastAsia" w:cstheme="majorEastAsia"/>
          <w:color w:val="auto"/>
          <w:sz w:val="24"/>
          <w:szCs w:val="24"/>
          <w:highlight w:val="none"/>
        </w:rPr>
        <w:t>目名称：</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 xml:space="preserve">        </w:t>
      </w:r>
    </w:p>
    <w:p w14:paraId="7F7BFA95">
      <w:pPr>
        <w:snapToGrid w:val="0"/>
        <w:spacing w:before="50" w:after="50"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项目编号：</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 xml:space="preserve">   </w:t>
      </w:r>
    </w:p>
    <w:tbl>
      <w:tblPr>
        <w:tblStyle w:val="2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6351"/>
      </w:tblGrid>
      <w:tr w14:paraId="44C1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6" w:hRule="atLeast"/>
          <w:jc w:val="center"/>
        </w:trPr>
        <w:tc>
          <w:tcPr>
            <w:tcW w:w="2649" w:type="dxa"/>
            <w:noWrap w:val="0"/>
            <w:vAlign w:val="center"/>
          </w:tcPr>
          <w:p w14:paraId="293B6CEB">
            <w:pPr>
              <w:pStyle w:val="74"/>
              <w:keepNext w:val="0"/>
              <w:keepLines w:val="0"/>
              <w:pageBreakBefore w:val="0"/>
              <w:widowControl w:val="0"/>
              <w:tabs>
                <w:tab w:val="left" w:pos="1337"/>
              </w:tabs>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val="en-US" w:eastAsia="zh-CN"/>
              </w:rPr>
              <w:t>投标总报价</w:t>
            </w:r>
            <w:r>
              <w:rPr>
                <w:rFonts w:hint="eastAsia" w:asciiTheme="majorEastAsia" w:hAnsiTheme="majorEastAsia" w:eastAsiaTheme="majorEastAsia" w:cstheme="majorEastAsia"/>
                <w:bCs/>
                <w:color w:val="auto"/>
                <w:sz w:val="24"/>
                <w:szCs w:val="24"/>
                <w:highlight w:val="none"/>
                <w:lang w:eastAsia="zh-CN"/>
              </w:rPr>
              <w:t>（元）</w:t>
            </w:r>
          </w:p>
        </w:tc>
        <w:tc>
          <w:tcPr>
            <w:tcW w:w="6351" w:type="dxa"/>
            <w:noWrap w:val="0"/>
            <w:vAlign w:val="center"/>
          </w:tcPr>
          <w:p w14:paraId="4E50BE6B">
            <w:pPr>
              <w:pStyle w:val="74"/>
              <w:keepNext w:val="0"/>
              <w:keepLines w:val="0"/>
              <w:pageBreakBefore w:val="0"/>
              <w:widowControl w:val="0"/>
              <w:tabs>
                <w:tab w:val="left" w:pos="1337"/>
              </w:tabs>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小写：</w:t>
            </w:r>
            <w:r>
              <w:rPr>
                <w:rFonts w:hint="eastAsia" w:asciiTheme="majorEastAsia" w:hAnsiTheme="majorEastAsia" w:eastAsiaTheme="majorEastAsia" w:cstheme="majorEastAsia"/>
                <w:bCs/>
                <w:color w:val="auto"/>
                <w:sz w:val="24"/>
                <w:szCs w:val="24"/>
                <w:highlight w:val="none"/>
                <w:lang w:val="en-US" w:eastAsia="zh-CN"/>
              </w:rPr>
              <w:t xml:space="preserve">    </w:t>
            </w:r>
          </w:p>
          <w:p w14:paraId="5DEA630F">
            <w:pPr>
              <w:pStyle w:val="74"/>
              <w:keepNext w:val="0"/>
              <w:keepLines w:val="0"/>
              <w:pageBreakBefore w:val="0"/>
              <w:widowControl w:val="0"/>
              <w:tabs>
                <w:tab w:val="left" w:pos="1337"/>
              </w:tabs>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Cs/>
                <w:color w:val="auto"/>
                <w:sz w:val="24"/>
                <w:szCs w:val="24"/>
                <w:highlight w:val="none"/>
              </w:rPr>
            </w:pPr>
          </w:p>
          <w:p w14:paraId="1A47D0A3">
            <w:pPr>
              <w:pStyle w:val="74"/>
              <w:keepNext w:val="0"/>
              <w:keepLines w:val="0"/>
              <w:pageBreakBefore w:val="0"/>
              <w:widowControl w:val="0"/>
              <w:tabs>
                <w:tab w:val="left" w:pos="1337"/>
              </w:tabs>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大写：</w:t>
            </w:r>
          </w:p>
        </w:tc>
      </w:tr>
      <w:tr w14:paraId="5071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2649" w:type="dxa"/>
            <w:noWrap w:val="0"/>
            <w:vAlign w:val="center"/>
          </w:tcPr>
          <w:p w14:paraId="086933B5">
            <w:pPr>
              <w:pStyle w:val="74"/>
              <w:keepNext w:val="0"/>
              <w:keepLines w:val="0"/>
              <w:pageBreakBefore w:val="0"/>
              <w:widowControl w:val="0"/>
              <w:tabs>
                <w:tab w:val="left" w:pos="1337"/>
              </w:tabs>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供</w:t>
            </w:r>
            <w:r>
              <w:rPr>
                <w:rFonts w:hint="eastAsia" w:asciiTheme="majorEastAsia" w:hAnsiTheme="majorEastAsia" w:eastAsiaTheme="majorEastAsia" w:cstheme="majorEastAsia"/>
                <w:bCs/>
                <w:color w:val="auto"/>
                <w:sz w:val="24"/>
                <w:szCs w:val="24"/>
                <w:highlight w:val="none"/>
              </w:rPr>
              <w:t>货期</w:t>
            </w:r>
          </w:p>
        </w:tc>
        <w:tc>
          <w:tcPr>
            <w:tcW w:w="6351" w:type="dxa"/>
            <w:noWrap w:val="0"/>
            <w:vAlign w:val="center"/>
          </w:tcPr>
          <w:p w14:paraId="5D9281EE">
            <w:pPr>
              <w:pStyle w:val="74"/>
              <w:keepNext w:val="0"/>
              <w:keepLines w:val="0"/>
              <w:pageBreakBefore w:val="0"/>
              <w:widowControl w:val="0"/>
              <w:tabs>
                <w:tab w:val="left" w:pos="1337"/>
              </w:tabs>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color w:val="auto"/>
                <w:sz w:val="24"/>
                <w:szCs w:val="24"/>
                <w:highlight w:val="none"/>
              </w:rPr>
            </w:pPr>
          </w:p>
        </w:tc>
      </w:tr>
      <w:tr w14:paraId="35CE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2649" w:type="dxa"/>
            <w:noWrap w:val="0"/>
            <w:vAlign w:val="center"/>
          </w:tcPr>
          <w:p w14:paraId="666D0A47">
            <w:pPr>
              <w:pStyle w:val="74"/>
              <w:keepNext w:val="0"/>
              <w:keepLines w:val="0"/>
              <w:pageBreakBefore w:val="0"/>
              <w:widowControl w:val="0"/>
              <w:tabs>
                <w:tab w:val="left" w:pos="1337"/>
              </w:tabs>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eastAsia="zh-CN"/>
              </w:rPr>
              <w:t>质保期</w:t>
            </w:r>
          </w:p>
        </w:tc>
        <w:tc>
          <w:tcPr>
            <w:tcW w:w="6351" w:type="dxa"/>
            <w:noWrap w:val="0"/>
            <w:vAlign w:val="center"/>
          </w:tcPr>
          <w:p w14:paraId="2D82C826">
            <w:pPr>
              <w:pStyle w:val="74"/>
              <w:keepNext w:val="0"/>
              <w:keepLines w:val="0"/>
              <w:pageBreakBefore w:val="0"/>
              <w:widowControl w:val="0"/>
              <w:tabs>
                <w:tab w:val="left" w:pos="1337"/>
              </w:tabs>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color w:val="auto"/>
                <w:sz w:val="24"/>
                <w:szCs w:val="24"/>
                <w:highlight w:val="none"/>
                <w:u w:val="single"/>
              </w:rPr>
            </w:pPr>
          </w:p>
        </w:tc>
      </w:tr>
      <w:tr w14:paraId="2C36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2649" w:type="dxa"/>
            <w:noWrap w:val="0"/>
            <w:vAlign w:val="center"/>
          </w:tcPr>
          <w:p w14:paraId="433960E5">
            <w:pPr>
              <w:pStyle w:val="74"/>
              <w:keepNext w:val="0"/>
              <w:keepLines w:val="0"/>
              <w:pageBreakBefore w:val="0"/>
              <w:widowControl w:val="0"/>
              <w:tabs>
                <w:tab w:val="left" w:pos="1337"/>
              </w:tabs>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投标保证金</w:t>
            </w:r>
            <w:r>
              <w:rPr>
                <w:rFonts w:hint="eastAsia" w:asciiTheme="majorEastAsia" w:hAnsiTheme="majorEastAsia" w:eastAsiaTheme="majorEastAsia" w:cstheme="majorEastAsia"/>
                <w:bCs/>
                <w:color w:val="auto"/>
                <w:sz w:val="24"/>
                <w:szCs w:val="24"/>
                <w:highlight w:val="none"/>
                <w:lang w:eastAsia="zh-CN"/>
              </w:rPr>
              <w:t>缴纳方式</w:t>
            </w:r>
          </w:p>
        </w:tc>
        <w:tc>
          <w:tcPr>
            <w:tcW w:w="6351" w:type="dxa"/>
            <w:noWrap w:val="0"/>
            <w:vAlign w:val="center"/>
          </w:tcPr>
          <w:p w14:paraId="285EBC56">
            <w:pPr>
              <w:pStyle w:val="74"/>
              <w:keepNext w:val="0"/>
              <w:keepLines w:val="0"/>
              <w:pageBreakBefore w:val="0"/>
              <w:widowControl w:val="0"/>
              <w:tabs>
                <w:tab w:val="left" w:pos="1337"/>
              </w:tabs>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color w:val="auto"/>
                <w:sz w:val="24"/>
                <w:szCs w:val="24"/>
                <w:highlight w:val="none"/>
                <w:u w:val="single"/>
              </w:rPr>
            </w:pPr>
          </w:p>
        </w:tc>
      </w:tr>
    </w:tbl>
    <w:p w14:paraId="6EA8E7D1">
      <w:pPr>
        <w:pStyle w:val="6"/>
        <w:spacing w:line="360" w:lineRule="auto"/>
        <w:ind w:firstLine="480"/>
        <w:rPr>
          <w:rFonts w:hint="eastAsia" w:ascii="宋体" w:hAnsi="宋体" w:eastAsia="宋体" w:cs="宋体"/>
          <w:color w:val="auto"/>
          <w:sz w:val="24"/>
          <w:highlight w:val="none"/>
        </w:rPr>
      </w:pPr>
    </w:p>
    <w:p w14:paraId="4B65550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rPr>
        <w:t>“开标一览表”以</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rPr>
        <w:t>为单位填写。</w:t>
      </w:r>
    </w:p>
    <w:p w14:paraId="6CFA8F74">
      <w:pPr>
        <w:spacing w:line="400" w:lineRule="exact"/>
        <w:ind w:firstLine="960" w:firstLineChars="4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2、包含货价、人工费、运输费、税费等完成本项目的一切相关费用。</w:t>
      </w:r>
    </w:p>
    <w:p w14:paraId="65D48179">
      <w:pPr>
        <w:spacing w:line="400" w:lineRule="exact"/>
        <w:ind w:firstLine="480" w:firstLineChars="200"/>
        <w:jc w:val="left"/>
        <w:rPr>
          <w:rFonts w:hint="eastAsia" w:ascii="宋体" w:hAnsi="宋体" w:eastAsia="宋体" w:cs="宋体"/>
          <w:color w:val="auto"/>
          <w:sz w:val="24"/>
          <w:szCs w:val="24"/>
          <w:highlight w:val="none"/>
        </w:rPr>
      </w:pPr>
    </w:p>
    <w:p w14:paraId="17704E24">
      <w:pPr>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10851681">
      <w:pPr>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14:paraId="6B93C05B">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投标日期：</w:t>
      </w:r>
    </w:p>
    <w:p w14:paraId="13DBB2ED">
      <w:pPr>
        <w:adjustRightInd w:val="0"/>
        <w:spacing w:line="400" w:lineRule="exact"/>
        <w:jc w:val="left"/>
        <w:rPr>
          <w:rFonts w:hint="eastAsia" w:ascii="宋体" w:hAnsi="宋体" w:eastAsia="宋体" w:cs="宋体"/>
          <w:color w:val="auto"/>
          <w:sz w:val="24"/>
          <w:szCs w:val="24"/>
          <w:highlight w:val="none"/>
        </w:rPr>
        <w:sectPr>
          <w:footerReference r:id="rId8" w:type="default"/>
          <w:pgSz w:w="11907" w:h="16840"/>
          <w:pgMar w:top="1440" w:right="1474" w:bottom="1440" w:left="1474"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0DF1F4E3">
      <w:pPr>
        <w:pStyle w:val="4"/>
        <w:spacing w:line="400" w:lineRule="exact"/>
        <w:jc w:val="center"/>
        <w:rPr>
          <w:rFonts w:hint="eastAsia" w:ascii="宋体" w:hAnsi="宋体" w:eastAsia="宋体" w:cs="宋体"/>
          <w:bCs w:val="0"/>
          <w:color w:val="auto"/>
          <w:kern w:val="0"/>
          <w:sz w:val="30"/>
          <w:szCs w:val="30"/>
          <w:highlight w:val="none"/>
          <w:lang w:val="en-US" w:eastAsia="zh-CN"/>
        </w:rPr>
      </w:pPr>
      <w:bookmarkStart w:id="223" w:name="_Toc18021"/>
      <w:r>
        <w:rPr>
          <w:rFonts w:hint="eastAsia" w:ascii="宋体" w:hAnsi="宋体" w:cs="宋体"/>
          <w:bCs w:val="0"/>
          <w:color w:val="auto"/>
          <w:kern w:val="0"/>
          <w:sz w:val="30"/>
          <w:szCs w:val="30"/>
          <w:highlight w:val="none"/>
          <w:lang w:val="en-US" w:eastAsia="zh-CN"/>
        </w:rPr>
        <w:t>2</w:t>
      </w:r>
      <w:r>
        <w:rPr>
          <w:rFonts w:hint="eastAsia" w:ascii="宋体" w:hAnsi="宋体" w:eastAsia="宋体" w:cs="宋体"/>
          <w:bCs w:val="0"/>
          <w:color w:val="auto"/>
          <w:kern w:val="0"/>
          <w:sz w:val="30"/>
          <w:szCs w:val="30"/>
          <w:highlight w:val="none"/>
        </w:rPr>
        <w:t>、</w:t>
      </w:r>
      <w:r>
        <w:rPr>
          <w:rFonts w:hint="eastAsia" w:ascii="宋体" w:hAnsi="宋体" w:eastAsia="宋体" w:cs="宋体"/>
          <w:bCs w:val="0"/>
          <w:color w:val="auto"/>
          <w:kern w:val="0"/>
          <w:sz w:val="30"/>
          <w:szCs w:val="30"/>
          <w:highlight w:val="none"/>
          <w:lang w:val="en-US" w:eastAsia="zh-CN"/>
        </w:rPr>
        <w:t>报价明细表</w:t>
      </w:r>
      <w:bookmarkEnd w:id="223"/>
    </w:p>
    <w:p w14:paraId="33920105">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注：投标人不可更改采购清单中的数量，否</w:t>
      </w:r>
      <w:r>
        <w:rPr>
          <w:rFonts w:hint="eastAsia" w:ascii="宋体" w:hAnsi="宋体" w:cs="宋体"/>
          <w:b/>
          <w:bCs/>
          <w:color w:val="000000"/>
          <w:kern w:val="0"/>
          <w:sz w:val="24"/>
          <w:szCs w:val="24"/>
          <w:lang w:val="en-US" w:eastAsia="zh-CN" w:bidi="ar"/>
        </w:rPr>
        <w:t>则</w:t>
      </w:r>
      <w:r>
        <w:rPr>
          <w:rFonts w:hint="eastAsia" w:ascii="宋体" w:hAnsi="宋体" w:eastAsia="宋体" w:cs="宋体"/>
          <w:b/>
          <w:bCs/>
          <w:color w:val="000000"/>
          <w:kern w:val="0"/>
          <w:sz w:val="24"/>
          <w:szCs w:val="24"/>
          <w:lang w:val="en-US" w:eastAsia="zh-CN" w:bidi="ar"/>
        </w:rPr>
        <w:t xml:space="preserve">投标将被否决。招标人清标时发现报价数量不一致，可取消投标人中标资格。 </w:t>
      </w:r>
    </w:p>
    <w:p w14:paraId="43EDC940">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投标人按照第四章 采购清单及技术要求的格式填写投标报价，并加盖公章，表中的</w:t>
      </w:r>
      <w:r>
        <w:rPr>
          <w:rFonts w:hint="default" w:ascii="宋体" w:hAnsi="宋体" w:eastAsia="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投标总报价</w:t>
      </w:r>
      <w:r>
        <w:rPr>
          <w:rFonts w:hint="default" w:ascii="宋体" w:hAnsi="宋体" w:eastAsia="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应与</w:t>
      </w:r>
      <w:r>
        <w:rPr>
          <w:rFonts w:hint="default" w:ascii="宋体" w:hAnsi="宋体" w:eastAsia="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开标一览表</w:t>
      </w:r>
      <w:r>
        <w:rPr>
          <w:rFonts w:hint="default" w:ascii="宋体" w:hAnsi="宋体" w:eastAsia="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中的投标总报价一致。 </w:t>
      </w:r>
    </w:p>
    <w:p w14:paraId="7D0AB928">
      <w:pPr>
        <w:keepNext w:val="0"/>
        <w:keepLines w:val="0"/>
        <w:widowControl/>
        <w:suppressLineNumbers w:val="0"/>
        <w:spacing w:line="360" w:lineRule="auto"/>
        <w:ind w:firstLine="482" w:firstLineChars="200"/>
        <w:jc w:val="left"/>
      </w:pPr>
      <w:r>
        <w:rPr>
          <w:rFonts w:hint="eastAsia" w:ascii="宋体" w:hAnsi="宋体" w:eastAsia="宋体" w:cs="宋体"/>
          <w:b/>
          <w:bCs/>
          <w:color w:val="000000"/>
          <w:kern w:val="0"/>
          <w:sz w:val="24"/>
          <w:szCs w:val="24"/>
          <w:lang w:val="en-US" w:eastAsia="zh-CN" w:bidi="ar"/>
        </w:rPr>
        <w:t>投标总报价为投标人完成招标范围所述的全部工程内容的体现和完成该项目的成本、管理费、技术措施费、利润、风险费及政策性文件规定的不可竞争费用、规费和税金等所有费用，以及所有根据合同或其它原因由投标人支付的税金和其它应缴纳的费用。</w:t>
      </w:r>
    </w:p>
    <w:p w14:paraId="20EB0823">
      <w:pPr>
        <w:rPr>
          <w:rFonts w:hint="eastAsia" w:ascii="宋体" w:hAnsi="宋体" w:eastAsia="宋体" w:cs="宋体"/>
          <w:color w:val="auto"/>
          <w:spacing w:val="0"/>
          <w:highlight w:val="none"/>
          <w:lang w:val="en-US" w:eastAsia="zh-CN"/>
        </w:rPr>
      </w:pPr>
    </w:p>
    <w:p w14:paraId="06BEE4A8">
      <w:pPr>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br w:type="page"/>
      </w:r>
    </w:p>
    <w:p w14:paraId="3FA6FDC0">
      <w:pPr>
        <w:pStyle w:val="3"/>
        <w:pageBreakBefore w:val="0"/>
        <w:kinsoku/>
        <w:overflowPunct/>
        <w:topLinePunct w:val="0"/>
        <w:bidi w:val="0"/>
        <w:jc w:val="center"/>
        <w:rPr>
          <w:rFonts w:hint="eastAsia" w:ascii="宋体" w:hAnsi="宋体" w:eastAsia="宋体" w:cs="宋体"/>
          <w:color w:val="auto"/>
          <w:spacing w:val="0"/>
          <w:highlight w:val="none"/>
        </w:rPr>
      </w:pPr>
      <w:bookmarkStart w:id="224" w:name="_Toc12893"/>
      <w:bookmarkStart w:id="225" w:name="_Toc11940"/>
      <w:r>
        <w:rPr>
          <w:rFonts w:hint="eastAsia" w:ascii="宋体" w:hAnsi="宋体" w:eastAsia="宋体" w:cs="宋体"/>
          <w:color w:val="auto"/>
          <w:spacing w:val="0"/>
          <w:highlight w:val="none"/>
          <w:lang w:val="en-US" w:eastAsia="zh-CN"/>
        </w:rPr>
        <w:t>四</w:t>
      </w:r>
      <w:r>
        <w:rPr>
          <w:rFonts w:hint="eastAsia" w:ascii="宋体" w:hAnsi="宋体" w:eastAsia="宋体" w:cs="宋体"/>
          <w:color w:val="auto"/>
          <w:spacing w:val="0"/>
          <w:highlight w:val="none"/>
        </w:rPr>
        <w:t>、</w:t>
      </w:r>
      <w:bookmarkStart w:id="226" w:name="_Toc257633149"/>
      <w:r>
        <w:rPr>
          <w:rFonts w:hint="eastAsia" w:ascii="宋体" w:hAnsi="宋体" w:eastAsia="宋体" w:cs="宋体"/>
          <w:color w:val="auto"/>
          <w:spacing w:val="0"/>
          <w:highlight w:val="none"/>
        </w:rPr>
        <w:t>技术文件组成</w:t>
      </w:r>
      <w:bookmarkEnd w:id="224"/>
      <w:bookmarkEnd w:id="225"/>
      <w:bookmarkEnd w:id="226"/>
    </w:p>
    <w:p w14:paraId="0BBE6E39">
      <w:pPr>
        <w:keepNext w:val="0"/>
        <w:keepLines w:val="0"/>
        <w:widowControl/>
        <w:suppressLineNumbers w:val="0"/>
        <w:spacing w:line="360" w:lineRule="auto"/>
        <w:jc w:val="center"/>
        <w:outlineLvl w:val="2"/>
        <w:rPr>
          <w:rFonts w:hint="eastAsia" w:ascii="宋体" w:hAnsi="宋体" w:eastAsia="宋体" w:cs="宋体"/>
          <w:b/>
          <w:bCs/>
          <w:color w:val="auto"/>
          <w:sz w:val="30"/>
          <w:szCs w:val="30"/>
          <w:highlight w:val="none"/>
          <w:lang w:val="en-US" w:eastAsia="zh-CN"/>
        </w:rPr>
      </w:pPr>
      <w:bookmarkStart w:id="227" w:name="_Toc6633"/>
      <w:r>
        <w:rPr>
          <w:rFonts w:hint="eastAsia" w:ascii="宋体" w:hAnsi="宋体" w:eastAsia="宋体" w:cs="宋体"/>
          <w:b/>
          <w:bCs/>
          <w:color w:val="auto"/>
          <w:sz w:val="30"/>
          <w:szCs w:val="30"/>
          <w:highlight w:val="none"/>
          <w:lang w:val="en-US" w:eastAsia="zh-CN"/>
        </w:rPr>
        <w:t>1、技术参数响应表（格式）</w:t>
      </w:r>
      <w:bookmarkEnd w:id="227"/>
    </w:p>
    <w:tbl>
      <w:tblPr>
        <w:tblStyle w:val="28"/>
        <w:tblpPr w:leftFromText="180" w:rightFromText="180" w:vertAnchor="text" w:horzAnchor="page" w:tblpX="1864" w:tblpY="48"/>
        <w:tblOverlap w:val="never"/>
        <w:tblW w:w="8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500"/>
        <w:gridCol w:w="1702"/>
        <w:gridCol w:w="1701"/>
        <w:gridCol w:w="1421"/>
        <w:gridCol w:w="1702"/>
      </w:tblGrid>
      <w:tr w14:paraId="0F6D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77" w:type="dxa"/>
            <w:vMerge w:val="restart"/>
            <w:vAlign w:val="center"/>
          </w:tcPr>
          <w:p w14:paraId="582B54D0">
            <w:pPr>
              <w:jc w:val="center"/>
              <w:rPr>
                <w:rFonts w:hint="eastAsia"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序号</w:t>
            </w:r>
          </w:p>
        </w:tc>
        <w:tc>
          <w:tcPr>
            <w:tcW w:w="1500" w:type="dxa"/>
            <w:vMerge w:val="restart"/>
            <w:vAlign w:val="center"/>
          </w:tcPr>
          <w:p w14:paraId="21482C32">
            <w:pPr>
              <w:jc w:val="center"/>
              <w:rPr>
                <w:rFonts w:hint="eastAsia" w:ascii="宋体" w:hAnsi="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名称</w:t>
            </w:r>
          </w:p>
        </w:tc>
        <w:tc>
          <w:tcPr>
            <w:tcW w:w="3403" w:type="dxa"/>
            <w:gridSpan w:val="2"/>
            <w:vAlign w:val="center"/>
          </w:tcPr>
          <w:p w14:paraId="67D75707">
            <w:pPr>
              <w:jc w:val="center"/>
              <w:rPr>
                <w:rFonts w:hint="eastAsia" w:ascii="宋体" w:hAnsi="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技术指标及配置</w:t>
            </w:r>
          </w:p>
        </w:tc>
        <w:tc>
          <w:tcPr>
            <w:tcW w:w="1421" w:type="dxa"/>
            <w:vMerge w:val="restart"/>
            <w:vAlign w:val="center"/>
          </w:tcPr>
          <w:p w14:paraId="256954F7">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是否响应</w:t>
            </w:r>
          </w:p>
          <w:p w14:paraId="502EB600">
            <w:pPr>
              <w:jc w:val="center"/>
              <w:rPr>
                <w:rFonts w:hint="eastAsia" w:ascii="宋体" w:hAnsi="宋体" w:eastAsia="宋体" w:cs="宋体"/>
                <w:bCs/>
                <w:color w:val="auto"/>
                <w:sz w:val="24"/>
                <w:szCs w:val="24"/>
                <w:vertAlign w:val="baseline"/>
              </w:rPr>
            </w:pPr>
          </w:p>
        </w:tc>
        <w:tc>
          <w:tcPr>
            <w:tcW w:w="1702" w:type="dxa"/>
            <w:vMerge w:val="restart"/>
            <w:vAlign w:val="center"/>
          </w:tcPr>
          <w:p w14:paraId="4F1EDE2B">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其他情况说明</w:t>
            </w:r>
          </w:p>
          <w:p w14:paraId="1B7CA9A9">
            <w:pPr>
              <w:jc w:val="center"/>
              <w:rPr>
                <w:rFonts w:hint="eastAsia" w:ascii="宋体" w:hAnsi="宋体" w:eastAsia="宋体" w:cs="宋体"/>
                <w:bCs/>
                <w:color w:val="auto"/>
                <w:sz w:val="24"/>
                <w:szCs w:val="24"/>
                <w:vertAlign w:val="baseline"/>
              </w:rPr>
            </w:pPr>
          </w:p>
        </w:tc>
      </w:tr>
      <w:tr w14:paraId="00B7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14:paraId="1F0A4770">
            <w:pPr>
              <w:jc w:val="center"/>
              <w:rPr>
                <w:rFonts w:hint="eastAsia" w:ascii="宋体" w:hAnsi="宋体" w:eastAsia="宋体" w:cs="宋体"/>
                <w:bCs/>
                <w:color w:val="auto"/>
                <w:sz w:val="24"/>
                <w:szCs w:val="24"/>
                <w:vertAlign w:val="baseline"/>
              </w:rPr>
            </w:pPr>
          </w:p>
        </w:tc>
        <w:tc>
          <w:tcPr>
            <w:tcW w:w="1500" w:type="dxa"/>
            <w:vMerge w:val="continue"/>
          </w:tcPr>
          <w:p w14:paraId="5A56857C">
            <w:pPr>
              <w:jc w:val="center"/>
              <w:rPr>
                <w:rFonts w:hint="eastAsia" w:ascii="宋体" w:hAnsi="宋体" w:cs="宋体"/>
                <w:bCs/>
                <w:color w:val="auto"/>
                <w:sz w:val="24"/>
                <w:szCs w:val="24"/>
                <w:vertAlign w:val="baseline"/>
                <w:lang w:val="en-US" w:eastAsia="zh-CN"/>
              </w:rPr>
            </w:pPr>
          </w:p>
        </w:tc>
        <w:tc>
          <w:tcPr>
            <w:tcW w:w="1702" w:type="dxa"/>
          </w:tcPr>
          <w:p w14:paraId="001CF5EA">
            <w:pPr>
              <w:jc w:val="center"/>
              <w:rPr>
                <w:rFonts w:hint="eastAsia" w:ascii="宋体" w:hAnsi="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招标要求技术指标及配置</w:t>
            </w:r>
          </w:p>
        </w:tc>
        <w:tc>
          <w:tcPr>
            <w:tcW w:w="1701" w:type="dxa"/>
          </w:tcPr>
          <w:p w14:paraId="2EDAAD13">
            <w:pPr>
              <w:jc w:val="center"/>
              <w:rPr>
                <w:rFonts w:hint="eastAsia" w:ascii="宋体" w:hAnsi="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投标货物技术指标及配置</w:t>
            </w:r>
          </w:p>
        </w:tc>
        <w:tc>
          <w:tcPr>
            <w:tcW w:w="1421" w:type="dxa"/>
            <w:vMerge w:val="continue"/>
          </w:tcPr>
          <w:p w14:paraId="03D0F6EC">
            <w:pPr>
              <w:jc w:val="center"/>
              <w:rPr>
                <w:rFonts w:hint="eastAsia" w:ascii="宋体" w:hAnsi="宋体" w:eastAsia="宋体" w:cs="宋体"/>
                <w:bCs/>
                <w:color w:val="auto"/>
                <w:sz w:val="24"/>
                <w:szCs w:val="24"/>
                <w:vertAlign w:val="baseline"/>
              </w:rPr>
            </w:pPr>
          </w:p>
        </w:tc>
        <w:tc>
          <w:tcPr>
            <w:tcW w:w="1702" w:type="dxa"/>
            <w:vMerge w:val="continue"/>
          </w:tcPr>
          <w:p w14:paraId="539F3F19">
            <w:pPr>
              <w:jc w:val="center"/>
              <w:rPr>
                <w:rFonts w:hint="eastAsia" w:ascii="宋体" w:hAnsi="宋体" w:eastAsia="宋体" w:cs="宋体"/>
                <w:bCs/>
                <w:color w:val="auto"/>
                <w:sz w:val="24"/>
                <w:szCs w:val="24"/>
                <w:vertAlign w:val="baseline"/>
              </w:rPr>
            </w:pPr>
          </w:p>
        </w:tc>
      </w:tr>
      <w:tr w14:paraId="198A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77" w:type="dxa"/>
          </w:tcPr>
          <w:p w14:paraId="7391AA55">
            <w:pPr>
              <w:jc w:val="center"/>
              <w:rPr>
                <w:rFonts w:hint="eastAsia" w:ascii="宋体" w:hAnsi="宋体" w:eastAsia="宋体" w:cs="宋体"/>
                <w:bCs/>
                <w:color w:val="auto"/>
                <w:sz w:val="24"/>
                <w:szCs w:val="24"/>
                <w:vertAlign w:val="baseline"/>
              </w:rPr>
            </w:pPr>
          </w:p>
        </w:tc>
        <w:tc>
          <w:tcPr>
            <w:tcW w:w="1500" w:type="dxa"/>
          </w:tcPr>
          <w:p w14:paraId="1DAF972B">
            <w:pPr>
              <w:jc w:val="center"/>
              <w:rPr>
                <w:rFonts w:hint="eastAsia" w:ascii="宋体" w:hAnsi="宋体" w:eastAsia="宋体" w:cs="宋体"/>
                <w:bCs/>
                <w:color w:val="auto"/>
                <w:sz w:val="24"/>
                <w:szCs w:val="24"/>
                <w:vertAlign w:val="baseline"/>
              </w:rPr>
            </w:pPr>
          </w:p>
        </w:tc>
        <w:tc>
          <w:tcPr>
            <w:tcW w:w="1702" w:type="dxa"/>
          </w:tcPr>
          <w:p w14:paraId="73694C6E">
            <w:pPr>
              <w:jc w:val="center"/>
              <w:rPr>
                <w:rFonts w:hint="eastAsia" w:ascii="宋体" w:hAnsi="宋体" w:eastAsia="宋体" w:cs="宋体"/>
                <w:bCs/>
                <w:color w:val="auto"/>
                <w:sz w:val="24"/>
                <w:szCs w:val="24"/>
                <w:vertAlign w:val="baseline"/>
              </w:rPr>
            </w:pPr>
          </w:p>
        </w:tc>
        <w:tc>
          <w:tcPr>
            <w:tcW w:w="1701" w:type="dxa"/>
          </w:tcPr>
          <w:p w14:paraId="7FAA2EC8">
            <w:pPr>
              <w:jc w:val="center"/>
              <w:rPr>
                <w:rFonts w:hint="eastAsia" w:ascii="宋体" w:hAnsi="宋体" w:eastAsia="宋体" w:cs="宋体"/>
                <w:bCs/>
                <w:color w:val="auto"/>
                <w:sz w:val="24"/>
                <w:szCs w:val="24"/>
                <w:vertAlign w:val="baseline"/>
              </w:rPr>
            </w:pPr>
          </w:p>
        </w:tc>
        <w:tc>
          <w:tcPr>
            <w:tcW w:w="1421" w:type="dxa"/>
          </w:tcPr>
          <w:p w14:paraId="1E8972E8">
            <w:pPr>
              <w:jc w:val="center"/>
              <w:rPr>
                <w:rFonts w:hint="default" w:ascii="宋体" w:hAnsi="宋体" w:eastAsia="宋体" w:cs="宋体"/>
                <w:bCs/>
                <w:color w:val="auto"/>
                <w:sz w:val="24"/>
                <w:szCs w:val="24"/>
                <w:vertAlign w:val="baseline"/>
                <w:lang w:val="en-US" w:eastAsia="zh-CN"/>
              </w:rPr>
            </w:pPr>
          </w:p>
        </w:tc>
        <w:tc>
          <w:tcPr>
            <w:tcW w:w="1702" w:type="dxa"/>
          </w:tcPr>
          <w:p w14:paraId="46C3B77C">
            <w:pPr>
              <w:jc w:val="center"/>
              <w:rPr>
                <w:rFonts w:hint="eastAsia" w:ascii="宋体" w:hAnsi="宋体" w:eastAsia="宋体" w:cs="宋体"/>
                <w:bCs/>
                <w:color w:val="auto"/>
                <w:sz w:val="24"/>
                <w:szCs w:val="24"/>
                <w:vertAlign w:val="baseline"/>
              </w:rPr>
            </w:pPr>
          </w:p>
        </w:tc>
      </w:tr>
      <w:tr w14:paraId="0F33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7" w:type="dxa"/>
          </w:tcPr>
          <w:p w14:paraId="00EE1085">
            <w:pPr>
              <w:jc w:val="center"/>
              <w:rPr>
                <w:rFonts w:hint="eastAsia" w:ascii="宋体" w:hAnsi="宋体" w:eastAsia="宋体" w:cs="宋体"/>
                <w:bCs/>
                <w:color w:val="auto"/>
                <w:sz w:val="24"/>
                <w:szCs w:val="24"/>
                <w:vertAlign w:val="baseline"/>
              </w:rPr>
            </w:pPr>
          </w:p>
        </w:tc>
        <w:tc>
          <w:tcPr>
            <w:tcW w:w="1500" w:type="dxa"/>
          </w:tcPr>
          <w:p w14:paraId="2E24CB3C">
            <w:pPr>
              <w:jc w:val="center"/>
              <w:rPr>
                <w:rFonts w:hint="eastAsia" w:ascii="宋体" w:hAnsi="宋体" w:eastAsia="宋体" w:cs="宋体"/>
                <w:bCs/>
                <w:color w:val="auto"/>
                <w:sz w:val="24"/>
                <w:szCs w:val="24"/>
                <w:vertAlign w:val="baseline"/>
              </w:rPr>
            </w:pPr>
          </w:p>
        </w:tc>
        <w:tc>
          <w:tcPr>
            <w:tcW w:w="1702" w:type="dxa"/>
          </w:tcPr>
          <w:p w14:paraId="672C7F2C">
            <w:pPr>
              <w:jc w:val="center"/>
              <w:rPr>
                <w:rFonts w:hint="eastAsia" w:ascii="宋体" w:hAnsi="宋体" w:eastAsia="宋体" w:cs="宋体"/>
                <w:bCs/>
                <w:color w:val="auto"/>
                <w:sz w:val="24"/>
                <w:szCs w:val="24"/>
                <w:vertAlign w:val="baseline"/>
              </w:rPr>
            </w:pPr>
          </w:p>
        </w:tc>
        <w:tc>
          <w:tcPr>
            <w:tcW w:w="1701" w:type="dxa"/>
          </w:tcPr>
          <w:p w14:paraId="0C77837A">
            <w:pPr>
              <w:jc w:val="center"/>
              <w:rPr>
                <w:rFonts w:hint="eastAsia" w:ascii="宋体" w:hAnsi="宋体" w:eastAsia="宋体" w:cs="宋体"/>
                <w:bCs/>
                <w:color w:val="auto"/>
                <w:sz w:val="24"/>
                <w:szCs w:val="24"/>
                <w:vertAlign w:val="baseline"/>
              </w:rPr>
            </w:pPr>
          </w:p>
        </w:tc>
        <w:tc>
          <w:tcPr>
            <w:tcW w:w="1421" w:type="dxa"/>
          </w:tcPr>
          <w:p w14:paraId="37A95970">
            <w:pPr>
              <w:jc w:val="center"/>
              <w:rPr>
                <w:rFonts w:hint="eastAsia" w:ascii="宋体" w:hAnsi="宋体" w:eastAsia="宋体" w:cs="宋体"/>
                <w:bCs/>
                <w:color w:val="auto"/>
                <w:sz w:val="24"/>
                <w:szCs w:val="24"/>
                <w:vertAlign w:val="baseline"/>
              </w:rPr>
            </w:pPr>
          </w:p>
        </w:tc>
        <w:tc>
          <w:tcPr>
            <w:tcW w:w="1702" w:type="dxa"/>
          </w:tcPr>
          <w:p w14:paraId="72B00426">
            <w:pPr>
              <w:jc w:val="center"/>
              <w:rPr>
                <w:rFonts w:hint="eastAsia" w:ascii="宋体" w:hAnsi="宋体" w:eastAsia="宋体" w:cs="宋体"/>
                <w:bCs/>
                <w:color w:val="auto"/>
                <w:sz w:val="24"/>
                <w:szCs w:val="24"/>
                <w:vertAlign w:val="baseline"/>
              </w:rPr>
            </w:pPr>
          </w:p>
        </w:tc>
      </w:tr>
      <w:tr w14:paraId="2570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7" w:type="dxa"/>
          </w:tcPr>
          <w:p w14:paraId="56DD5785">
            <w:pPr>
              <w:jc w:val="center"/>
              <w:rPr>
                <w:rFonts w:hint="default"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w:t>
            </w:r>
          </w:p>
        </w:tc>
        <w:tc>
          <w:tcPr>
            <w:tcW w:w="1500" w:type="dxa"/>
          </w:tcPr>
          <w:p w14:paraId="161CAC46">
            <w:pPr>
              <w:jc w:val="center"/>
              <w:rPr>
                <w:rFonts w:hint="eastAsia" w:ascii="宋体" w:hAnsi="宋体" w:eastAsia="宋体" w:cs="宋体"/>
                <w:bCs/>
                <w:color w:val="auto"/>
                <w:sz w:val="24"/>
                <w:szCs w:val="24"/>
                <w:vertAlign w:val="baseline"/>
              </w:rPr>
            </w:pPr>
          </w:p>
        </w:tc>
        <w:tc>
          <w:tcPr>
            <w:tcW w:w="1702" w:type="dxa"/>
          </w:tcPr>
          <w:p w14:paraId="552AE322">
            <w:pPr>
              <w:jc w:val="center"/>
              <w:rPr>
                <w:rFonts w:hint="eastAsia" w:ascii="宋体" w:hAnsi="宋体" w:eastAsia="宋体" w:cs="宋体"/>
                <w:bCs/>
                <w:color w:val="auto"/>
                <w:sz w:val="24"/>
                <w:szCs w:val="24"/>
                <w:vertAlign w:val="baseline"/>
              </w:rPr>
            </w:pPr>
          </w:p>
        </w:tc>
        <w:tc>
          <w:tcPr>
            <w:tcW w:w="1701" w:type="dxa"/>
          </w:tcPr>
          <w:p w14:paraId="156A0838">
            <w:pPr>
              <w:jc w:val="center"/>
              <w:rPr>
                <w:rFonts w:hint="eastAsia" w:ascii="宋体" w:hAnsi="宋体" w:eastAsia="宋体" w:cs="宋体"/>
                <w:bCs/>
                <w:color w:val="auto"/>
                <w:sz w:val="24"/>
                <w:szCs w:val="24"/>
                <w:vertAlign w:val="baseline"/>
              </w:rPr>
            </w:pPr>
          </w:p>
        </w:tc>
        <w:tc>
          <w:tcPr>
            <w:tcW w:w="1421" w:type="dxa"/>
          </w:tcPr>
          <w:p w14:paraId="0ECF4088">
            <w:pPr>
              <w:jc w:val="center"/>
              <w:rPr>
                <w:rFonts w:hint="eastAsia" w:ascii="宋体" w:hAnsi="宋体" w:eastAsia="宋体" w:cs="宋体"/>
                <w:bCs/>
                <w:color w:val="auto"/>
                <w:sz w:val="24"/>
                <w:szCs w:val="24"/>
                <w:vertAlign w:val="baseline"/>
              </w:rPr>
            </w:pPr>
          </w:p>
        </w:tc>
        <w:tc>
          <w:tcPr>
            <w:tcW w:w="1702" w:type="dxa"/>
          </w:tcPr>
          <w:p w14:paraId="5587F22B">
            <w:pPr>
              <w:jc w:val="center"/>
              <w:rPr>
                <w:rFonts w:hint="eastAsia" w:ascii="宋体" w:hAnsi="宋体" w:eastAsia="宋体" w:cs="宋体"/>
                <w:bCs/>
                <w:color w:val="auto"/>
                <w:sz w:val="24"/>
                <w:szCs w:val="24"/>
                <w:vertAlign w:val="baseline"/>
              </w:rPr>
            </w:pPr>
          </w:p>
        </w:tc>
      </w:tr>
    </w:tbl>
    <w:p w14:paraId="13730BE2">
      <w:pPr>
        <w:rPr>
          <w:rFonts w:hint="eastAsia" w:ascii="宋体" w:hAnsi="宋体" w:cs="宋体"/>
          <w:b/>
          <w:bCs/>
          <w:color w:val="auto"/>
          <w:sz w:val="28"/>
          <w:szCs w:val="28"/>
          <w:highlight w:val="none"/>
          <w:lang w:val="en-US" w:eastAsia="zh-CN"/>
        </w:rPr>
      </w:pPr>
    </w:p>
    <w:p w14:paraId="4297007F">
      <w:pPr>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4A9B2D2C">
      <w:pPr>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14:paraId="19FEADAD">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投标日期：</w:t>
      </w:r>
    </w:p>
    <w:p w14:paraId="22488F53">
      <w:pPr>
        <w:adjustRightInd w:val="0"/>
        <w:spacing w:line="400" w:lineRule="exact"/>
        <w:jc w:val="left"/>
        <w:rPr>
          <w:rFonts w:hint="eastAsia" w:ascii="宋体" w:hAnsi="宋体" w:eastAsia="宋体" w:cs="宋体"/>
          <w:color w:val="auto"/>
          <w:sz w:val="24"/>
          <w:szCs w:val="24"/>
          <w:highlight w:val="none"/>
        </w:rPr>
        <w:sectPr>
          <w:footerReference r:id="rId9" w:type="default"/>
          <w:pgSz w:w="11907" w:h="16840"/>
          <w:pgMar w:top="1440" w:right="1474" w:bottom="1440" w:left="1474"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6BC11D80">
      <w:pPr>
        <w:keepNext w:val="0"/>
        <w:keepLines w:val="0"/>
        <w:widowControl/>
        <w:suppressLineNumbers w:val="0"/>
        <w:spacing w:line="720" w:lineRule="auto"/>
        <w:jc w:val="center"/>
        <w:outlineLvl w:val="2"/>
        <w:rPr>
          <w:rFonts w:hint="eastAsia" w:ascii="宋体" w:hAnsi="宋体" w:eastAsia="宋体" w:cs="宋体"/>
          <w:b/>
          <w:bCs/>
          <w:color w:val="auto"/>
          <w:sz w:val="30"/>
          <w:szCs w:val="30"/>
          <w:highlight w:val="none"/>
          <w:lang w:val="en-US" w:eastAsia="zh-CN"/>
        </w:rPr>
      </w:pPr>
      <w:bookmarkStart w:id="228" w:name="_Toc16537"/>
      <w:r>
        <w:rPr>
          <w:rFonts w:hint="default"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en-US" w:eastAsia="zh-CN"/>
        </w:rPr>
        <w:t>、货物的详细配置清单</w:t>
      </w:r>
      <w:bookmarkEnd w:id="228"/>
    </w:p>
    <w:tbl>
      <w:tblPr>
        <w:tblStyle w:val="28"/>
        <w:tblW w:w="9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51"/>
        <w:gridCol w:w="1420"/>
        <w:gridCol w:w="1420"/>
        <w:gridCol w:w="1421"/>
        <w:gridCol w:w="1922"/>
      </w:tblGrid>
      <w:tr w14:paraId="504B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4356501F">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lang w:val="en-US" w:eastAsia="zh-CN"/>
              </w:rPr>
            </w:pPr>
            <w:bookmarkStart w:id="229" w:name="_Toc21887"/>
            <w:r>
              <w:rPr>
                <w:rFonts w:hint="eastAsia" w:ascii="宋体" w:hAnsi="宋体" w:cs="宋体"/>
                <w:bCs/>
                <w:color w:val="auto"/>
                <w:sz w:val="24"/>
                <w:szCs w:val="24"/>
                <w:vertAlign w:val="baseline"/>
                <w:lang w:val="en-US" w:eastAsia="zh-CN"/>
              </w:rPr>
              <w:t>序号</w:t>
            </w:r>
            <w:bookmarkEnd w:id="229"/>
          </w:p>
        </w:tc>
        <w:tc>
          <w:tcPr>
            <w:tcW w:w="2051" w:type="dxa"/>
            <w:vAlign w:val="center"/>
          </w:tcPr>
          <w:p w14:paraId="1FA918D3">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lang w:val="en-US" w:eastAsia="zh-CN"/>
              </w:rPr>
            </w:pPr>
            <w:bookmarkStart w:id="230" w:name="_Toc22812"/>
            <w:r>
              <w:rPr>
                <w:rFonts w:hint="eastAsia" w:ascii="宋体" w:hAnsi="宋体" w:cs="宋体"/>
                <w:bCs/>
                <w:color w:val="auto"/>
                <w:sz w:val="24"/>
                <w:szCs w:val="24"/>
                <w:vertAlign w:val="baseline"/>
                <w:lang w:val="en-US" w:eastAsia="zh-CN"/>
              </w:rPr>
              <w:t>名称</w:t>
            </w:r>
            <w:bookmarkEnd w:id="230"/>
          </w:p>
        </w:tc>
        <w:tc>
          <w:tcPr>
            <w:tcW w:w="1420" w:type="dxa"/>
            <w:vAlign w:val="center"/>
          </w:tcPr>
          <w:p w14:paraId="74B61695">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lang w:val="en-US" w:eastAsia="zh-CN"/>
              </w:rPr>
            </w:pPr>
            <w:bookmarkStart w:id="231" w:name="_Toc12232"/>
            <w:r>
              <w:rPr>
                <w:rFonts w:hint="eastAsia" w:ascii="宋体" w:hAnsi="宋体" w:cs="宋体"/>
                <w:bCs/>
                <w:color w:val="auto"/>
                <w:sz w:val="24"/>
                <w:szCs w:val="24"/>
                <w:vertAlign w:val="baseline"/>
                <w:lang w:val="en-US" w:eastAsia="zh-CN"/>
              </w:rPr>
              <w:t>品牌</w:t>
            </w:r>
            <w:bookmarkEnd w:id="231"/>
          </w:p>
        </w:tc>
        <w:tc>
          <w:tcPr>
            <w:tcW w:w="1420" w:type="dxa"/>
            <w:vAlign w:val="center"/>
          </w:tcPr>
          <w:p w14:paraId="429A4841">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lang w:val="en-US" w:eastAsia="zh-CN"/>
              </w:rPr>
            </w:pPr>
            <w:bookmarkStart w:id="232" w:name="_Toc19951"/>
            <w:r>
              <w:rPr>
                <w:rFonts w:hint="eastAsia" w:ascii="宋体" w:hAnsi="宋体" w:cs="宋体"/>
                <w:bCs/>
                <w:color w:val="auto"/>
                <w:sz w:val="24"/>
                <w:szCs w:val="24"/>
                <w:vertAlign w:val="baseline"/>
                <w:lang w:val="en-US" w:eastAsia="zh-CN"/>
              </w:rPr>
              <w:t>产地</w:t>
            </w:r>
            <w:bookmarkEnd w:id="232"/>
          </w:p>
        </w:tc>
        <w:tc>
          <w:tcPr>
            <w:tcW w:w="1421" w:type="dxa"/>
            <w:vAlign w:val="center"/>
          </w:tcPr>
          <w:p w14:paraId="24644FEA">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lang w:val="en-US" w:eastAsia="zh-CN"/>
              </w:rPr>
            </w:pPr>
            <w:bookmarkStart w:id="233" w:name="_Toc30954"/>
            <w:r>
              <w:rPr>
                <w:rFonts w:hint="eastAsia" w:ascii="宋体" w:hAnsi="宋体" w:cs="宋体"/>
                <w:bCs/>
                <w:color w:val="auto"/>
                <w:sz w:val="24"/>
                <w:szCs w:val="24"/>
                <w:vertAlign w:val="baseline"/>
                <w:lang w:val="en-US" w:eastAsia="zh-CN"/>
              </w:rPr>
              <w:t>生产厂家</w:t>
            </w:r>
            <w:bookmarkEnd w:id="233"/>
          </w:p>
        </w:tc>
        <w:tc>
          <w:tcPr>
            <w:tcW w:w="1922" w:type="dxa"/>
            <w:vAlign w:val="center"/>
          </w:tcPr>
          <w:p w14:paraId="0CDE9044">
            <w:pPr>
              <w:keepNext w:val="0"/>
              <w:keepLines w:val="0"/>
              <w:widowControl/>
              <w:suppressLineNumbers w:val="0"/>
              <w:jc w:val="center"/>
              <w:rPr>
                <w:rFonts w:hint="eastAsia" w:ascii="宋体" w:hAnsi="宋体" w:eastAsia="宋体" w:cs="宋体"/>
                <w:bCs/>
                <w:color w:val="auto"/>
                <w:sz w:val="24"/>
                <w:szCs w:val="24"/>
                <w:vertAlign w:val="baseline"/>
              </w:rPr>
            </w:pPr>
            <w:r>
              <w:rPr>
                <w:rFonts w:hint="eastAsia" w:ascii="宋体" w:hAnsi="宋体" w:eastAsia="宋体" w:cs="宋体"/>
                <w:color w:val="000000"/>
                <w:kern w:val="0"/>
                <w:sz w:val="24"/>
                <w:szCs w:val="24"/>
                <w:lang w:val="en-US" w:eastAsia="zh-CN" w:bidi="ar"/>
              </w:rPr>
              <w:t>详细配置清单</w:t>
            </w:r>
          </w:p>
        </w:tc>
      </w:tr>
      <w:tr w14:paraId="46E9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6E88F6FC">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2051" w:type="dxa"/>
          </w:tcPr>
          <w:p w14:paraId="2F5DC3D1">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0" w:type="dxa"/>
          </w:tcPr>
          <w:p w14:paraId="73E00AD9">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0" w:type="dxa"/>
          </w:tcPr>
          <w:p w14:paraId="3FFDC6EA">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1" w:type="dxa"/>
          </w:tcPr>
          <w:p w14:paraId="39B2109C">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922" w:type="dxa"/>
          </w:tcPr>
          <w:p w14:paraId="73508F8A">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r>
      <w:tr w14:paraId="48B8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71177508">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2051" w:type="dxa"/>
          </w:tcPr>
          <w:p w14:paraId="6BFF337F">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0" w:type="dxa"/>
          </w:tcPr>
          <w:p w14:paraId="07CD0C11">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0" w:type="dxa"/>
          </w:tcPr>
          <w:p w14:paraId="03390AF7">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1" w:type="dxa"/>
          </w:tcPr>
          <w:p w14:paraId="0CE67631">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922" w:type="dxa"/>
          </w:tcPr>
          <w:p w14:paraId="6BCCA016">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r>
      <w:tr w14:paraId="3004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2A4B0C63">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2051" w:type="dxa"/>
          </w:tcPr>
          <w:p w14:paraId="6DA5E410">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0" w:type="dxa"/>
          </w:tcPr>
          <w:p w14:paraId="16C46E5C">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0" w:type="dxa"/>
          </w:tcPr>
          <w:p w14:paraId="0B46B31D">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1" w:type="dxa"/>
          </w:tcPr>
          <w:p w14:paraId="669A2CA4">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922" w:type="dxa"/>
          </w:tcPr>
          <w:p w14:paraId="3B9F838F">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r>
      <w:tr w14:paraId="5E76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62FE16DD">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2051" w:type="dxa"/>
          </w:tcPr>
          <w:p w14:paraId="241DECA0">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0" w:type="dxa"/>
          </w:tcPr>
          <w:p w14:paraId="4EAEEF59">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0" w:type="dxa"/>
          </w:tcPr>
          <w:p w14:paraId="6D3D3838">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1" w:type="dxa"/>
          </w:tcPr>
          <w:p w14:paraId="1E95FD48">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922" w:type="dxa"/>
          </w:tcPr>
          <w:p w14:paraId="199B0475">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r>
      <w:tr w14:paraId="077C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2545124A">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2051" w:type="dxa"/>
          </w:tcPr>
          <w:p w14:paraId="4EF9F93A">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0" w:type="dxa"/>
          </w:tcPr>
          <w:p w14:paraId="50C08AAF">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0" w:type="dxa"/>
          </w:tcPr>
          <w:p w14:paraId="5F92CE75">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1" w:type="dxa"/>
          </w:tcPr>
          <w:p w14:paraId="23A8C834">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922" w:type="dxa"/>
          </w:tcPr>
          <w:p w14:paraId="5D91BEAD">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r>
      <w:tr w14:paraId="752F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76AAF538">
            <w:pPr>
              <w:keepNext w:val="0"/>
              <w:keepLines w:val="0"/>
              <w:widowControl/>
              <w:suppressLineNumbers w:val="0"/>
              <w:spacing w:line="360" w:lineRule="auto"/>
              <w:jc w:val="center"/>
              <w:outlineLvl w:val="2"/>
              <w:rPr>
                <w:rFonts w:hint="default"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w:t>
            </w:r>
          </w:p>
        </w:tc>
        <w:tc>
          <w:tcPr>
            <w:tcW w:w="2051" w:type="dxa"/>
          </w:tcPr>
          <w:p w14:paraId="1EAE32CC">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0" w:type="dxa"/>
          </w:tcPr>
          <w:p w14:paraId="797BFD3D">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0" w:type="dxa"/>
          </w:tcPr>
          <w:p w14:paraId="66F53153">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421" w:type="dxa"/>
          </w:tcPr>
          <w:p w14:paraId="6D523D13">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c>
          <w:tcPr>
            <w:tcW w:w="1922" w:type="dxa"/>
          </w:tcPr>
          <w:p w14:paraId="21C5D568">
            <w:pPr>
              <w:keepNext w:val="0"/>
              <w:keepLines w:val="0"/>
              <w:widowControl/>
              <w:suppressLineNumbers w:val="0"/>
              <w:spacing w:line="360" w:lineRule="auto"/>
              <w:jc w:val="center"/>
              <w:outlineLvl w:val="2"/>
              <w:rPr>
                <w:rFonts w:hint="eastAsia" w:ascii="宋体" w:hAnsi="宋体" w:eastAsia="宋体" w:cs="宋体"/>
                <w:bCs/>
                <w:color w:val="auto"/>
                <w:sz w:val="24"/>
                <w:szCs w:val="24"/>
                <w:vertAlign w:val="baseline"/>
              </w:rPr>
            </w:pPr>
          </w:p>
        </w:tc>
      </w:tr>
    </w:tbl>
    <w:p w14:paraId="206117E6">
      <w:pPr>
        <w:adjustRightInd w:val="0"/>
        <w:spacing w:line="400" w:lineRule="exact"/>
        <w:ind w:firstLine="480" w:firstLineChars="200"/>
        <w:jc w:val="left"/>
        <w:rPr>
          <w:rFonts w:hint="eastAsia" w:ascii="宋体" w:hAnsi="宋体" w:eastAsia="宋体" w:cs="宋体"/>
          <w:color w:val="auto"/>
          <w:sz w:val="24"/>
          <w:szCs w:val="24"/>
          <w:highlight w:val="none"/>
        </w:rPr>
      </w:pPr>
    </w:p>
    <w:p w14:paraId="3EF14480">
      <w:pPr>
        <w:adjustRightInd w:val="0"/>
        <w:spacing w:line="400" w:lineRule="exact"/>
        <w:ind w:firstLine="480" w:firstLineChars="200"/>
        <w:jc w:val="left"/>
        <w:rPr>
          <w:rFonts w:hint="eastAsia" w:ascii="宋体" w:hAnsi="宋体" w:eastAsia="宋体" w:cs="宋体"/>
          <w:color w:val="auto"/>
          <w:sz w:val="24"/>
          <w:szCs w:val="24"/>
          <w:highlight w:val="none"/>
        </w:rPr>
      </w:pPr>
    </w:p>
    <w:p w14:paraId="27A607B5">
      <w:pPr>
        <w:adjustRightInd w:val="0"/>
        <w:spacing w:line="400" w:lineRule="exact"/>
        <w:ind w:firstLine="480" w:firstLineChars="200"/>
        <w:jc w:val="left"/>
        <w:rPr>
          <w:rFonts w:hint="eastAsia" w:ascii="宋体" w:hAnsi="宋体" w:eastAsia="宋体" w:cs="宋体"/>
          <w:color w:val="auto"/>
          <w:sz w:val="24"/>
          <w:szCs w:val="24"/>
          <w:highlight w:val="none"/>
        </w:rPr>
      </w:pPr>
    </w:p>
    <w:p w14:paraId="3A3ADE1D">
      <w:pPr>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5C4F27FE">
      <w:pPr>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14:paraId="015EF256">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投标日期：</w:t>
      </w:r>
    </w:p>
    <w:p w14:paraId="24A26CF1">
      <w:pPr>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14:paraId="33D8D29C">
      <w:pPr>
        <w:keepNext w:val="0"/>
        <w:keepLines w:val="0"/>
        <w:widowControl/>
        <w:suppressLineNumbers w:val="0"/>
        <w:spacing w:line="360" w:lineRule="auto"/>
        <w:jc w:val="center"/>
        <w:outlineLvl w:val="2"/>
        <w:rPr>
          <w:rFonts w:hint="eastAsia" w:ascii="宋体" w:hAnsi="宋体" w:eastAsia="宋体" w:cs="宋体"/>
          <w:b/>
          <w:bCs/>
          <w:color w:val="auto"/>
          <w:sz w:val="30"/>
          <w:szCs w:val="30"/>
          <w:highlight w:val="none"/>
          <w:lang w:val="en-US" w:eastAsia="zh-CN"/>
        </w:rPr>
      </w:pPr>
      <w:bookmarkStart w:id="234" w:name="_Toc25556"/>
      <w:r>
        <w:rPr>
          <w:rFonts w:hint="default" w:ascii="宋体" w:hAnsi="宋体" w:eastAsia="宋体" w:cs="宋体"/>
          <w:b/>
          <w:bCs/>
          <w:color w:val="auto"/>
          <w:sz w:val="30"/>
          <w:szCs w:val="30"/>
          <w:highlight w:val="none"/>
          <w:lang w:val="en-US" w:eastAsia="zh-CN"/>
        </w:rPr>
        <w:t>3</w:t>
      </w:r>
      <w:r>
        <w:rPr>
          <w:rFonts w:hint="eastAsia" w:ascii="宋体" w:hAnsi="宋体" w:eastAsia="宋体" w:cs="宋体"/>
          <w:b/>
          <w:bCs/>
          <w:color w:val="auto"/>
          <w:sz w:val="30"/>
          <w:szCs w:val="30"/>
          <w:highlight w:val="none"/>
          <w:lang w:val="en-US" w:eastAsia="zh-CN"/>
        </w:rPr>
        <w:t>、实施方案</w:t>
      </w:r>
      <w:bookmarkEnd w:id="234"/>
    </w:p>
    <w:p w14:paraId="29EB2A28">
      <w:pPr>
        <w:adjustRightInd w:val="0"/>
        <w:spacing w:line="400" w:lineRule="exact"/>
        <w:ind w:firstLine="420" w:firstLineChars="175"/>
        <w:jc w:val="left"/>
        <w:rPr>
          <w:rFonts w:hint="eastAsia" w:ascii="宋体" w:hAnsi="宋体" w:eastAsia="宋体" w:cs="宋体"/>
          <w:bCs/>
          <w:color w:val="auto"/>
          <w:sz w:val="24"/>
          <w:szCs w:val="24"/>
        </w:rPr>
      </w:pPr>
    </w:p>
    <w:p w14:paraId="5A9E3FDB">
      <w:pPr>
        <w:keepNext w:val="0"/>
        <w:keepLines w:val="0"/>
        <w:widowControl/>
        <w:suppressLineNumbers w:val="0"/>
        <w:ind w:firstLine="1920" w:firstLineChars="8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（为本项目实施所采用的技术措施和实施方案等）</w:t>
      </w:r>
    </w:p>
    <w:p w14:paraId="2A952250">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14:paraId="1C46ABF8">
      <w:pPr>
        <w:keepNext w:val="0"/>
        <w:keepLines w:val="0"/>
        <w:widowControl/>
        <w:suppressLineNumbers w:val="0"/>
        <w:spacing w:line="360" w:lineRule="auto"/>
        <w:jc w:val="center"/>
        <w:outlineLvl w:val="2"/>
        <w:rPr>
          <w:rFonts w:hint="eastAsia" w:ascii="宋体" w:hAnsi="宋体" w:eastAsia="宋体" w:cs="宋体"/>
          <w:b/>
          <w:bCs/>
          <w:color w:val="auto"/>
          <w:sz w:val="30"/>
          <w:szCs w:val="30"/>
          <w:highlight w:val="none"/>
          <w:lang w:val="en-US" w:eastAsia="zh-CN"/>
        </w:rPr>
      </w:pPr>
      <w:bookmarkStart w:id="235" w:name="_Toc10996"/>
      <w:r>
        <w:rPr>
          <w:rFonts w:hint="eastAsia" w:ascii="宋体" w:hAnsi="宋体" w:eastAsia="宋体" w:cs="宋体"/>
          <w:b/>
          <w:bCs/>
          <w:color w:val="auto"/>
          <w:sz w:val="30"/>
          <w:szCs w:val="30"/>
          <w:highlight w:val="none"/>
          <w:lang w:val="en-US" w:eastAsia="zh-CN"/>
        </w:rPr>
        <w:t>4、招标文件规定或投标人认为应提供的其它材料</w:t>
      </w:r>
      <w:bookmarkEnd w:id="235"/>
      <w:r>
        <w:rPr>
          <w:rFonts w:hint="eastAsia" w:ascii="宋体" w:hAnsi="宋体" w:eastAsia="宋体" w:cs="宋体"/>
          <w:b/>
          <w:bCs/>
          <w:color w:val="auto"/>
          <w:sz w:val="30"/>
          <w:szCs w:val="30"/>
          <w:highlight w:val="none"/>
          <w:lang w:val="en-US" w:eastAsia="zh-CN"/>
        </w:rPr>
        <w:t xml:space="preserve"> </w:t>
      </w:r>
    </w:p>
    <w:p w14:paraId="02C502BD">
      <w:pPr>
        <w:keepNext w:val="0"/>
        <w:keepLines w:val="0"/>
        <w:widowControl/>
        <w:suppressLineNumbers w:val="0"/>
        <w:spacing w:line="360" w:lineRule="auto"/>
        <w:jc w:val="left"/>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、包括所投产品情况 </w:t>
      </w:r>
    </w:p>
    <w:p w14:paraId="3ADDF668">
      <w:pPr>
        <w:keepNext w:val="0"/>
        <w:keepLines w:val="0"/>
        <w:widowControl/>
        <w:suppressLineNumbers w:val="0"/>
        <w:spacing w:line="360" w:lineRule="auto"/>
        <w:jc w:val="left"/>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、其它资料 </w:t>
      </w:r>
    </w:p>
    <w:p w14:paraId="451FB65E">
      <w:pPr>
        <w:keepNext w:val="0"/>
        <w:keepLines w:val="0"/>
        <w:widowControl/>
        <w:suppressLineNumbers w:val="0"/>
        <w:spacing w:line="360" w:lineRule="auto"/>
        <w:jc w:val="left"/>
      </w:pP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、技术部分评分细则里需要提供的相关材料及方案。 </w:t>
      </w:r>
    </w:p>
    <w:p w14:paraId="610707E7">
      <w:pPr>
        <w:keepNext w:val="0"/>
        <w:keepLines w:val="0"/>
        <w:widowControl/>
        <w:suppressLineNumbers w:val="0"/>
        <w:spacing w:line="360" w:lineRule="auto"/>
        <w:jc w:val="left"/>
      </w:pP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、货物符合招标文件规定的证明材料</w:t>
      </w:r>
    </w:p>
    <w:p w14:paraId="17F84FA9">
      <w:pPr>
        <w:keepNext w:val="0"/>
        <w:keepLines w:val="0"/>
        <w:widowControl/>
        <w:suppressLineNumbers w:val="0"/>
        <w:ind w:firstLine="1920" w:firstLineChars="800"/>
        <w:jc w:val="left"/>
        <w:rPr>
          <w:rFonts w:hint="eastAsia" w:ascii="宋体" w:hAnsi="宋体" w:eastAsia="宋体" w:cs="宋体"/>
          <w:color w:val="000000"/>
          <w:kern w:val="0"/>
          <w:sz w:val="24"/>
          <w:szCs w:val="24"/>
          <w:lang w:val="en-US" w:eastAsia="zh-CN" w:bidi="ar"/>
        </w:rPr>
      </w:pPr>
    </w:p>
    <w:p w14:paraId="69A56F67">
      <w:pPr>
        <w:spacing w:line="360" w:lineRule="auto"/>
        <w:ind w:firstLine="602" w:firstLineChars="200"/>
        <w:rPr>
          <w:rFonts w:hint="eastAsia" w:ascii="宋体" w:hAnsi="宋体" w:cs="宋体"/>
          <w:b/>
          <w:bCs/>
          <w:color w:val="auto"/>
          <w:sz w:val="30"/>
          <w:szCs w:val="30"/>
          <w:highlight w:val="none"/>
          <w:lang w:val="en-US" w:eastAsia="zh-CN"/>
        </w:rPr>
      </w:pPr>
    </w:p>
    <w:p w14:paraId="74B62875">
      <w:pP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br w:type="page"/>
      </w:r>
    </w:p>
    <w:bookmarkEnd w:id="215"/>
    <w:bookmarkEnd w:id="216"/>
    <w:p w14:paraId="0067E5DD">
      <w:pPr>
        <w:pStyle w:val="2"/>
        <w:pageBreakBefore w:val="0"/>
        <w:numPr>
          <w:ilvl w:val="0"/>
          <w:numId w:val="0"/>
        </w:numPr>
        <w:kinsoku/>
        <w:wordWrap/>
        <w:overflowPunct/>
        <w:topLinePunct w:val="0"/>
        <w:autoSpaceDE/>
        <w:autoSpaceDN/>
        <w:bidi w:val="0"/>
        <w:adjustRightInd/>
        <w:snapToGrid/>
        <w:spacing w:before="0" w:after="0" w:line="240" w:lineRule="auto"/>
        <w:ind w:left="3150" w:leftChars="0" w:right="0" w:rightChars="0"/>
        <w:jc w:val="both"/>
        <w:textAlignment w:val="auto"/>
        <w:rPr>
          <w:rFonts w:hint="eastAsia" w:ascii="宋体" w:hAnsi="宋体" w:eastAsia="宋体" w:cs="宋体"/>
          <w:b/>
          <w:bCs/>
          <w:color w:val="auto"/>
          <w:kern w:val="44"/>
          <w:sz w:val="30"/>
          <w:szCs w:val="30"/>
          <w:highlight w:val="none"/>
          <w:lang w:val="en-US" w:eastAsia="zh-CN" w:bidi="ar-SA"/>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236" w:name="_Toc6068_WPSOffice_Level1"/>
      <w:bookmarkStart w:id="237" w:name="_Toc25369"/>
      <w:bookmarkStart w:id="238" w:name="_Toc217446093"/>
      <w:bookmarkStart w:id="239" w:name="_Toc32507"/>
    </w:p>
    <w:p w14:paraId="6E4D7C74">
      <w:pPr>
        <w:pStyle w:val="2"/>
        <w:pageBreakBefore w:val="0"/>
        <w:numPr>
          <w:ilvl w:val="0"/>
          <w:numId w:val="0"/>
        </w:numPr>
        <w:kinsoku/>
        <w:wordWrap/>
        <w:overflowPunct/>
        <w:topLinePunct w:val="0"/>
        <w:autoSpaceDE/>
        <w:autoSpaceDN/>
        <w:bidi w:val="0"/>
        <w:adjustRightInd/>
        <w:snapToGrid/>
        <w:spacing w:before="0" w:after="0" w:line="240" w:lineRule="auto"/>
        <w:ind w:left="3150" w:leftChars="0" w:right="0" w:rightChars="0" w:firstLine="2249" w:firstLineChars="800"/>
        <w:jc w:val="both"/>
        <w:textAlignment w:val="auto"/>
        <w:rPr>
          <w:rFonts w:hint="eastAsia" w:ascii="宋体" w:hAnsi="宋体" w:eastAsia="宋体" w:cs="宋体"/>
          <w:color w:val="auto"/>
          <w:sz w:val="28"/>
          <w:szCs w:val="28"/>
          <w:highlight w:val="none"/>
          <w:lang w:val="en-US" w:eastAsia="zh-CN"/>
        </w:rPr>
      </w:pPr>
      <w:bookmarkStart w:id="240" w:name="_Toc22184"/>
      <w:bookmarkStart w:id="241" w:name="_Toc2498"/>
      <w:bookmarkStart w:id="242" w:name="_Toc7087"/>
      <w:r>
        <w:rPr>
          <w:rFonts w:hint="eastAsia" w:ascii="宋体" w:hAnsi="宋体" w:cs="宋体"/>
          <w:b/>
          <w:bCs/>
          <w:color w:val="auto"/>
          <w:kern w:val="44"/>
          <w:sz w:val="28"/>
          <w:szCs w:val="28"/>
          <w:highlight w:val="none"/>
          <w:lang w:val="en-US" w:eastAsia="zh-CN" w:bidi="ar-SA"/>
        </w:rPr>
        <w:t>第四章</w:t>
      </w:r>
      <w:r>
        <w:rPr>
          <w:rFonts w:hint="eastAsia" w:ascii="宋体" w:hAnsi="宋体" w:eastAsia="宋体" w:cs="宋体"/>
          <w:b/>
          <w:bCs/>
          <w:color w:val="auto"/>
          <w:kern w:val="44"/>
          <w:sz w:val="28"/>
          <w:szCs w:val="28"/>
          <w:highlight w:val="none"/>
          <w:lang w:val="en-US" w:eastAsia="zh-CN" w:bidi="ar-SA"/>
        </w:rPr>
        <w:t xml:space="preserve"> </w:t>
      </w:r>
      <w:bookmarkEnd w:id="236"/>
      <w:bookmarkEnd w:id="237"/>
      <w:bookmarkEnd w:id="238"/>
      <w:r>
        <w:rPr>
          <w:rFonts w:hint="eastAsia" w:ascii="宋体" w:hAnsi="宋体" w:cs="宋体"/>
          <w:b/>
          <w:bCs/>
          <w:color w:val="auto"/>
          <w:kern w:val="44"/>
          <w:sz w:val="28"/>
          <w:szCs w:val="28"/>
          <w:highlight w:val="none"/>
          <w:lang w:val="en-US" w:eastAsia="zh-CN" w:bidi="ar-SA"/>
        </w:rPr>
        <w:t xml:space="preserve"> </w:t>
      </w:r>
      <w:bookmarkEnd w:id="239"/>
      <w:bookmarkEnd w:id="240"/>
      <w:bookmarkStart w:id="243" w:name="_Toc8931"/>
      <w:bookmarkStart w:id="244" w:name="_Toc17884_WPSOffice_Level1"/>
      <w:r>
        <w:rPr>
          <w:rFonts w:hint="eastAsia" w:ascii="宋体" w:hAnsi="宋体" w:cs="宋体"/>
          <w:b/>
          <w:bCs/>
          <w:color w:val="auto"/>
          <w:kern w:val="44"/>
          <w:sz w:val="28"/>
          <w:szCs w:val="28"/>
          <w:highlight w:val="none"/>
          <w:lang w:val="en-US" w:eastAsia="zh-CN" w:bidi="ar-SA"/>
        </w:rPr>
        <w:t>采购清单及技术要求</w:t>
      </w:r>
      <w:bookmarkEnd w:id="241"/>
      <w:bookmarkEnd w:id="242"/>
    </w:p>
    <w:tbl>
      <w:tblPr>
        <w:tblStyle w:val="27"/>
        <w:tblW w:w="14397" w:type="dxa"/>
        <w:tblInd w:w="-3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1963"/>
        <w:gridCol w:w="5"/>
        <w:gridCol w:w="8238"/>
        <w:gridCol w:w="603"/>
        <w:gridCol w:w="919"/>
        <w:gridCol w:w="919"/>
        <w:gridCol w:w="919"/>
      </w:tblGrid>
      <w:tr w14:paraId="4488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5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245" w:name="_Toc9967"/>
            <w:r>
              <w:rPr>
                <w:rFonts w:hint="eastAsia" w:ascii="宋体" w:hAnsi="宋体" w:eastAsia="宋体" w:cs="宋体"/>
                <w:i w:val="0"/>
                <w:iCs w:val="0"/>
                <w:color w:val="000000"/>
                <w:kern w:val="0"/>
                <w:sz w:val="22"/>
                <w:szCs w:val="22"/>
                <w:u w:val="none"/>
                <w:lang w:val="en-US" w:eastAsia="zh-CN" w:bidi="ar"/>
              </w:rPr>
              <w:t>序号</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7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8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89F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技术指标及配置</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3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E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9E7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金额（元）</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BB2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6D5F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B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5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非车载充电机现场检定装置</w:t>
            </w:r>
          </w:p>
        </w:tc>
        <w:tc>
          <w:tcPr>
            <w:tcW w:w="8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223A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★（1）直流电压校准量程含 200V～1000V；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★（2）直流电压校准示值范围优于或等于：200V～1000V；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★（3）直流电流校准量程含 250A；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★（4）直流电流校准示值范围优于或等于：1A～250A；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★（5）直流电压/电流最佳测量不确定度优于或等于：U=0.05%(k=2)；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★（6）直流功率/电能最佳测量不确定度优于或等于：U=0.05%(k=2)（或相对误差不超过±0.05%）；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（7）温度测量范围：-30℃～60℃，最大允许误差小于等于0.5℃；支持GPS实时时间及环境温湿度的记录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（8）内置不小于8kW的负载；支持非车载充电桩端辅助电源供给12V～24V兼容工作。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★（9）设备重量不超过25kg；</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4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1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85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99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FF9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5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2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交流充电桩现场检定装置</w:t>
            </w:r>
          </w:p>
        </w:tc>
        <w:tc>
          <w:tcPr>
            <w:tcW w:w="8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BFC9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★（1）交流电压校准量程含220V;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★（2）交流电压校准示值范围优于或等于：30V～264V；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★（3）交流电流校准量程含70A；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★（4）交流电流校准示值范围优于或等于：100mA～72A；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★（5）交流电压/电流最佳测量不确定度优于,或等于：U=0.05%(k=2)；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★（6）交流功率/电能最佳测量不确定度优于或等于：U=0.05%(k=2)（或相对误差不超过±0.05%）；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（7）温度测量范围：-30℃～60℃，最大允许误差：0.5℃；支持GPS实时时间及环境温湿度的记录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（8）内置不小于8kW的负载；支持电能走字方式和电能脉冲检定方式（电能常数校验）的检定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★（9）设备重量不超过21kg；</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8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2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1D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0B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96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4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69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额定功率DC </w:t>
            </w:r>
            <w:r>
              <w:rPr>
                <w:rFonts w:hint="eastAsia" w:ascii="宋体" w:hAnsi="宋体" w:cs="宋体"/>
                <w:i w:val="0"/>
                <w:iCs w:val="0"/>
                <w:color w:val="auto"/>
                <w:kern w:val="0"/>
                <w:sz w:val="22"/>
                <w:szCs w:val="22"/>
                <w:u w:val="none"/>
                <w:lang w:val="en-US" w:eastAsia="zh-CN" w:bidi="ar"/>
              </w:rPr>
              <w:t>30</w:t>
            </w:r>
            <w:r>
              <w:rPr>
                <w:rFonts w:hint="eastAsia" w:ascii="宋体" w:hAnsi="宋体" w:eastAsia="宋体" w:cs="宋体"/>
                <w:i w:val="0"/>
                <w:iCs w:val="0"/>
                <w:color w:val="auto"/>
                <w:kern w:val="0"/>
                <w:sz w:val="22"/>
                <w:szCs w:val="22"/>
                <w:u w:val="none"/>
                <w:lang w:val="en-US" w:eastAsia="zh-CN" w:bidi="ar"/>
              </w:rPr>
              <w:t>kW 直流可调阻性负载</w:t>
            </w:r>
          </w:p>
        </w:tc>
        <w:tc>
          <w:tcPr>
            <w:tcW w:w="8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456E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（1）额定功率：DC </w:t>
            </w:r>
            <w:r>
              <w:rPr>
                <w:rFonts w:hint="eastAsia" w:ascii="宋体" w:hAnsi="宋体" w:cs="宋体"/>
                <w:i w:val="0"/>
                <w:iCs w:val="0"/>
                <w:color w:val="auto"/>
                <w:kern w:val="0"/>
                <w:sz w:val="22"/>
                <w:szCs w:val="22"/>
                <w:u w:val="none"/>
                <w:lang w:val="en-US" w:eastAsia="zh-CN" w:bidi="ar"/>
              </w:rPr>
              <w:t>30</w:t>
            </w:r>
            <w:r>
              <w:rPr>
                <w:rFonts w:hint="eastAsia" w:ascii="宋体" w:hAnsi="宋体" w:eastAsia="宋体" w:cs="宋体"/>
                <w:i w:val="0"/>
                <w:iCs w:val="0"/>
                <w:color w:val="auto"/>
                <w:kern w:val="0"/>
                <w:sz w:val="22"/>
                <w:szCs w:val="22"/>
                <w:u w:val="none"/>
                <w:lang w:val="en-US" w:eastAsia="zh-CN" w:bidi="ar"/>
              </w:rPr>
              <w:t>kW，直流可调阻性负载箱；</w:t>
            </w:r>
            <w:r>
              <w:rPr>
                <w:rFonts w:hint="eastAsia" w:ascii="宋体" w:hAnsi="宋体" w:cs="宋体"/>
                <w:i w:val="0"/>
                <w:iCs w:val="0"/>
                <w:color w:val="auto"/>
                <w:kern w:val="0"/>
                <w:sz w:val="22"/>
                <w:szCs w:val="22"/>
                <w:u w:val="none"/>
                <w:lang w:val="en-US" w:eastAsia="zh-CN" w:bidi="ar"/>
              </w:rPr>
              <w:t>支持级联；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（2）供电电源：同时支持市电及充电枪头取电；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（3）具有数据通讯功能，可与充电桩现场检定装置进行数据通讯，并可用检定装置主机程控调节负载大小；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（4）散热方式：强制风冷；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（5）保护：支持过流、过压、短路、过温等保护及报警模式；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（6）运输：设备底部英底部四角均装有万向滚轮，便于移动负载及固定；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w:t>
            </w:r>
            <w:r>
              <w:rPr>
                <w:rFonts w:hint="eastAsia" w:ascii="宋体" w:hAnsi="宋体" w:cs="宋体"/>
                <w:i w:val="0"/>
                <w:iCs w:val="0"/>
                <w:color w:val="auto"/>
                <w:kern w:val="0"/>
                <w:sz w:val="22"/>
                <w:szCs w:val="22"/>
                <w:u w:val="none"/>
                <w:lang w:val="en-US" w:eastAsia="zh-CN" w:bidi="ar"/>
              </w:rPr>
              <w:t>30</w:t>
            </w:r>
            <w:r>
              <w:rPr>
                <w:rFonts w:hint="eastAsia" w:ascii="宋体" w:hAnsi="宋体" w:eastAsia="宋体" w:cs="宋体"/>
                <w:i w:val="0"/>
                <w:iCs w:val="0"/>
                <w:color w:val="auto"/>
                <w:kern w:val="0"/>
                <w:sz w:val="22"/>
                <w:szCs w:val="22"/>
                <w:u w:val="none"/>
                <w:lang w:val="en-US" w:eastAsia="zh-CN" w:bidi="ar"/>
              </w:rPr>
              <w:t>kW负载重量不得大于</w:t>
            </w:r>
            <w:r>
              <w:rPr>
                <w:rFonts w:hint="eastAsia" w:ascii="宋体" w:hAnsi="宋体" w:cs="宋体"/>
                <w:i w:val="0"/>
                <w:iCs w:val="0"/>
                <w:color w:val="auto"/>
                <w:kern w:val="0"/>
                <w:sz w:val="22"/>
                <w:szCs w:val="22"/>
                <w:u w:val="none"/>
                <w:lang w:val="en-US" w:eastAsia="zh-CN" w:bidi="ar"/>
              </w:rPr>
              <w:t>35</w:t>
            </w:r>
            <w:r>
              <w:rPr>
                <w:rFonts w:hint="eastAsia" w:ascii="宋体" w:hAnsi="宋体" w:eastAsia="宋体" w:cs="宋体"/>
                <w:i w:val="0"/>
                <w:iCs w:val="0"/>
                <w:color w:val="auto"/>
                <w:kern w:val="0"/>
                <w:sz w:val="22"/>
                <w:szCs w:val="22"/>
                <w:u w:val="none"/>
                <w:lang w:val="en-US" w:eastAsia="zh-CN" w:bidi="ar"/>
              </w:rPr>
              <w:t>kg。</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1D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台</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32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6A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8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FD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31F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10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额定功率DC </w:t>
            </w:r>
            <w:r>
              <w:rPr>
                <w:rFonts w:hint="eastAsia" w:ascii="宋体" w:hAnsi="宋体" w:cs="宋体"/>
                <w:i w:val="0"/>
                <w:iCs w:val="0"/>
                <w:color w:val="auto"/>
                <w:kern w:val="0"/>
                <w:sz w:val="22"/>
                <w:szCs w:val="22"/>
                <w:u w:val="none"/>
                <w:lang w:val="en-US" w:eastAsia="zh-CN" w:bidi="ar"/>
              </w:rPr>
              <w:t>60</w:t>
            </w:r>
            <w:r>
              <w:rPr>
                <w:rFonts w:hint="eastAsia" w:ascii="宋体" w:hAnsi="宋体" w:eastAsia="宋体" w:cs="宋体"/>
                <w:i w:val="0"/>
                <w:iCs w:val="0"/>
                <w:color w:val="auto"/>
                <w:kern w:val="0"/>
                <w:sz w:val="22"/>
                <w:szCs w:val="22"/>
                <w:u w:val="none"/>
                <w:lang w:val="en-US" w:eastAsia="zh-CN" w:bidi="ar"/>
              </w:rPr>
              <w:t>kW 直流可调阻性负载</w:t>
            </w:r>
          </w:p>
        </w:tc>
        <w:tc>
          <w:tcPr>
            <w:tcW w:w="8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BE2D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（1）额定功率：DC </w:t>
            </w:r>
            <w:r>
              <w:rPr>
                <w:rFonts w:hint="eastAsia" w:ascii="宋体" w:hAnsi="宋体" w:cs="宋体"/>
                <w:i w:val="0"/>
                <w:iCs w:val="0"/>
                <w:color w:val="auto"/>
                <w:kern w:val="0"/>
                <w:sz w:val="22"/>
                <w:szCs w:val="22"/>
                <w:u w:val="none"/>
                <w:lang w:val="en-US" w:eastAsia="zh-CN" w:bidi="ar"/>
              </w:rPr>
              <w:t>60</w:t>
            </w:r>
            <w:r>
              <w:rPr>
                <w:rFonts w:hint="eastAsia" w:ascii="宋体" w:hAnsi="宋体" w:eastAsia="宋体" w:cs="宋体"/>
                <w:i w:val="0"/>
                <w:iCs w:val="0"/>
                <w:color w:val="auto"/>
                <w:kern w:val="0"/>
                <w:sz w:val="22"/>
                <w:szCs w:val="22"/>
                <w:u w:val="none"/>
                <w:lang w:val="en-US" w:eastAsia="zh-CN" w:bidi="ar"/>
              </w:rPr>
              <w:t>kW，直流可调阻性负载箱</w:t>
            </w:r>
            <w:r>
              <w:rPr>
                <w:rFonts w:hint="eastAsia" w:ascii="宋体" w:hAnsi="宋体" w:cs="宋体"/>
                <w:i w:val="0"/>
                <w:iCs w:val="0"/>
                <w:color w:val="auto"/>
                <w:kern w:val="0"/>
                <w:sz w:val="22"/>
                <w:szCs w:val="22"/>
                <w:u w:val="none"/>
                <w:lang w:val="en-US" w:eastAsia="zh-CN" w:bidi="ar"/>
              </w:rPr>
              <w:t>，支持级联；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（2）供电电源：同时支持市电及充电枪头取电；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（3）具有数据通讯功能，可与充电桩现场检定装置进行数据通讯，并可用检定装置主机程控调节负载大小；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（4）散热方式：强制风冷；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（5）保护：支持过流、过压、短路、过温等保护及报警模式；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（6）运输：设备底部英底部四角均装有万向滚轮，便于移动负载及固定；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w:t>
            </w:r>
            <w:r>
              <w:rPr>
                <w:rFonts w:hint="eastAsia" w:ascii="宋体" w:hAnsi="宋体" w:cs="宋体"/>
                <w:i w:val="0"/>
                <w:iCs w:val="0"/>
                <w:color w:val="auto"/>
                <w:kern w:val="0"/>
                <w:sz w:val="22"/>
                <w:szCs w:val="22"/>
                <w:u w:val="none"/>
                <w:lang w:val="en-US" w:eastAsia="zh-CN" w:bidi="ar"/>
              </w:rPr>
              <w:t>60</w:t>
            </w:r>
            <w:r>
              <w:rPr>
                <w:rFonts w:hint="eastAsia" w:ascii="宋体" w:hAnsi="宋体" w:eastAsia="宋体" w:cs="宋体"/>
                <w:i w:val="0"/>
                <w:iCs w:val="0"/>
                <w:color w:val="auto"/>
                <w:kern w:val="0"/>
                <w:sz w:val="22"/>
                <w:szCs w:val="22"/>
                <w:u w:val="none"/>
                <w:lang w:val="en-US" w:eastAsia="zh-CN" w:bidi="ar"/>
              </w:rPr>
              <w:t>kW负载重量不得大于</w:t>
            </w:r>
            <w:r>
              <w:rPr>
                <w:rFonts w:hint="eastAsia" w:ascii="宋体" w:hAnsi="宋体" w:cs="宋体"/>
                <w:i w:val="0"/>
                <w:iCs w:val="0"/>
                <w:color w:val="auto"/>
                <w:kern w:val="0"/>
                <w:sz w:val="22"/>
                <w:szCs w:val="22"/>
                <w:u w:val="none"/>
                <w:lang w:val="en-US" w:eastAsia="zh-CN" w:bidi="ar"/>
              </w:rPr>
              <w:t>70</w:t>
            </w:r>
            <w:r>
              <w:rPr>
                <w:rFonts w:hint="eastAsia" w:ascii="宋体" w:hAnsi="宋体" w:eastAsia="宋体" w:cs="宋体"/>
                <w:i w:val="0"/>
                <w:iCs w:val="0"/>
                <w:color w:val="auto"/>
                <w:kern w:val="0"/>
                <w:sz w:val="22"/>
                <w:szCs w:val="22"/>
                <w:u w:val="none"/>
                <w:lang w:val="en-US" w:eastAsia="zh-CN" w:bidi="ar"/>
              </w:rPr>
              <w:t>kg。</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674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台</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510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12E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27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1AA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5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D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磁场环境测试仪</w:t>
            </w:r>
          </w:p>
        </w:tc>
        <w:tc>
          <w:tcPr>
            <w:tcW w:w="8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28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（1）配备三轴手持式磁通门磁强计，用于测量充电现场的空间三维矢量环境磁场；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（2）为便于外检工作及后续送检，磁通门磁强计必须为手持式，且配有三轴磁通门探头，可测量XYZ三轴磁场及矢量合成后的空间磁场；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★（3）磁场测量范围优于或等于：10μT-100μT，测量不确定度</w:t>
            </w:r>
            <w:r>
              <w:rPr>
                <w:rFonts w:hint="eastAsia" w:ascii="宋体" w:hAnsi="宋体" w:eastAsia="宋体" w:cs="宋体"/>
                <w:i/>
                <w:iCs/>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iCs/>
                <w:color w:val="000000"/>
                <w:kern w:val="0"/>
                <w:sz w:val="22"/>
                <w:szCs w:val="22"/>
                <w:u w:val="none"/>
                <w:lang w:val="en-US" w:eastAsia="zh-CN" w:bidi="ar"/>
              </w:rPr>
              <w:t>k</w:t>
            </w:r>
            <w:r>
              <w:rPr>
                <w:rFonts w:hint="eastAsia" w:ascii="宋体" w:hAnsi="宋体" w:eastAsia="宋体" w:cs="宋体"/>
                <w:i w:val="0"/>
                <w:iCs w:val="0"/>
                <w:color w:val="000000"/>
                <w:kern w:val="0"/>
                <w:sz w:val="22"/>
                <w:szCs w:val="22"/>
                <w:u w:val="none"/>
                <w:lang w:val="en-US" w:eastAsia="zh-CN" w:bidi="ar"/>
              </w:rPr>
              <w:t>=2)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（4）配高清全彩显示屏，内置存储器，方便记录及查询现场的测试数据；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（5）采用锂电池供电，支持Type-C型USB充电；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（6）内置蓝牙通讯模块，可与充电机(桩)测试仪器主机进行蓝牙通讯，将磁场测量数据通过无线传输至主机，用户无须手动输入磁场数据。</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6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B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4C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DE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D05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C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F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电动汽车充电设施综合测试软件</w:t>
            </w:r>
          </w:p>
        </w:tc>
        <w:tc>
          <w:tcPr>
            <w:tcW w:w="8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233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（1）用于完成计量性能检定；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（2）具有BMS软件模拟和系统各部分如示波器等设备的控制、参数配置、系统监测的需要，具备充电桩（机）各项计量性能指标等项目自动测试功能；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（3）基于友好的可视化功能，显示和保存重要检定过程量和检定结果，通过内置的规范要求数据集，研判检定结果的规范性。具备测试曲线的绘制、故障信息和故障原因的提示、检定报告的生成与导出等功能；</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D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A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E7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80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C6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A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w:t>
            </w:r>
          </w:p>
        </w:tc>
        <w:tc>
          <w:tcPr>
            <w:tcW w:w="196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13424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检定专用笔记本</w:t>
            </w:r>
          </w:p>
        </w:tc>
        <w:tc>
          <w:tcPr>
            <w:tcW w:w="824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67CBDD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笔记本电脑（国产）：</w:t>
            </w:r>
            <w:r>
              <w:rPr>
                <w:rFonts w:hint="eastAsia" w:ascii="宋体" w:hAnsi="宋体" w:eastAsia="宋体" w:cs="宋体"/>
                <w:i w:val="0"/>
                <w:iCs w:val="0"/>
                <w:color w:val="000000"/>
                <w:kern w:val="0"/>
                <w:sz w:val="22"/>
                <w:szCs w:val="22"/>
                <w:u w:val="none"/>
                <w:lang w:val="en-US" w:eastAsia="zh-CN" w:bidi="ar"/>
              </w:rPr>
              <w:t>内存</w:t>
            </w:r>
            <w:r>
              <w:rPr>
                <w:rFonts w:hint="eastAsia" w:ascii="宋体" w:hAnsi="宋体" w:cs="宋体"/>
                <w:i w:val="0"/>
                <w:iCs w:val="0"/>
                <w:color w:val="000000"/>
                <w:kern w:val="0"/>
                <w:sz w:val="22"/>
                <w:szCs w:val="22"/>
                <w:u w:val="none"/>
                <w:lang w:val="en-US" w:eastAsia="zh-CN" w:bidi="ar"/>
              </w:rPr>
              <w:t>512</w:t>
            </w:r>
            <w:r>
              <w:rPr>
                <w:rFonts w:hint="eastAsia" w:ascii="宋体" w:hAnsi="宋体" w:eastAsia="宋体" w:cs="宋体"/>
                <w:i w:val="0"/>
                <w:iCs w:val="0"/>
                <w:color w:val="000000"/>
                <w:kern w:val="0"/>
                <w:sz w:val="22"/>
                <w:szCs w:val="22"/>
                <w:u w:val="none"/>
                <w:lang w:val="en-US" w:eastAsia="zh-CN" w:bidi="ar"/>
              </w:rPr>
              <w:t>G或以上；i7处理器或以上；安装配套专用检定软件，实现系统控制、实时监测及证书出具等；</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3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台</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7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B8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0D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FF7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441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96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B8BF2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打印机</w:t>
            </w:r>
          </w:p>
        </w:tc>
        <w:tc>
          <w:tcPr>
            <w:tcW w:w="824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FB19A8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主流打印机（国产）：支持双面打印；</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7D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44E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94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0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61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2799"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6D83B5AF">
            <w:pPr>
              <w:pStyle w:val="74"/>
              <w:keepNext w:val="0"/>
              <w:keepLines w:val="0"/>
              <w:pageBreakBefore w:val="0"/>
              <w:widowControl w:val="0"/>
              <w:tabs>
                <w:tab w:val="left" w:pos="1337"/>
              </w:tabs>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投标总报价（元）</w:t>
            </w:r>
          </w:p>
          <w:p w14:paraId="6FB60E15">
            <w:pPr>
              <w:keepNext w:val="0"/>
              <w:keepLines w:val="0"/>
              <w:widowControl/>
              <w:suppressLineNumbers w:val="0"/>
              <w:ind w:firstLine="4840" w:firstLineChars="2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w:t>
            </w:r>
          </w:p>
        </w:tc>
        <w:tc>
          <w:tcPr>
            <w:tcW w:w="11598"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14:paraId="3113FBA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小写：</w:t>
            </w:r>
          </w:p>
          <w:p w14:paraId="7240E12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大写：</w:t>
            </w:r>
          </w:p>
        </w:tc>
      </w:tr>
    </w:tbl>
    <w:p w14:paraId="33DF2CA2">
      <w:pPr>
        <w:rPr>
          <w:rFonts w:hint="eastAsia" w:ascii="宋体" w:hAnsi="宋体" w:eastAsia="宋体" w:cs="宋体"/>
          <w:b/>
          <w:bCs/>
          <w:color w:val="auto"/>
          <w:sz w:val="30"/>
          <w:szCs w:val="30"/>
          <w:highlight w:val="none"/>
        </w:rPr>
        <w:sectPr>
          <w:pgSz w:w="16838" w:h="11906" w:orient="landscape"/>
          <w:pgMar w:top="1080" w:right="1440" w:bottom="108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0EBD94A">
      <w:pPr>
        <w:jc w:val="center"/>
        <w:outlineLvl w:val="0"/>
        <w:rPr>
          <w:rFonts w:hint="eastAsia" w:ascii="宋体" w:hAnsi="宋体" w:eastAsia="宋体" w:cs="宋体"/>
          <w:color w:val="auto"/>
          <w:sz w:val="36"/>
          <w:szCs w:val="36"/>
          <w:highlight w:val="none"/>
        </w:rPr>
      </w:pPr>
      <w:bookmarkStart w:id="246" w:name="_Toc9647"/>
      <w:bookmarkStart w:id="247" w:name="_Toc7702"/>
      <w:bookmarkStart w:id="248" w:name="_Toc14073"/>
      <w:r>
        <w:rPr>
          <w:rFonts w:hint="eastAsia" w:ascii="宋体" w:hAnsi="宋体" w:eastAsia="宋体" w:cs="宋体"/>
          <w:b/>
          <w:bCs/>
          <w:color w:val="auto"/>
          <w:sz w:val="30"/>
          <w:szCs w:val="30"/>
          <w:highlight w:val="none"/>
        </w:rPr>
        <w:t>第</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章</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评标办法</w:t>
      </w:r>
      <w:bookmarkEnd w:id="243"/>
      <w:bookmarkEnd w:id="244"/>
      <w:bookmarkEnd w:id="245"/>
      <w:bookmarkEnd w:id="246"/>
      <w:bookmarkEnd w:id="247"/>
      <w:bookmarkEnd w:id="248"/>
      <w:bookmarkStart w:id="249" w:name="_Hlt101846155"/>
      <w:bookmarkEnd w:id="249"/>
      <w:bookmarkStart w:id="250" w:name="_Toc208849007"/>
      <w:bookmarkStart w:id="251" w:name="_Toc183682415"/>
      <w:bookmarkStart w:id="252" w:name="_Toc217446097"/>
      <w:bookmarkStart w:id="253" w:name="_Toc183582280"/>
    </w:p>
    <w:p w14:paraId="3F17A7D7">
      <w:pPr>
        <w:pStyle w:val="3"/>
        <w:spacing w:before="0" w:after="0" w:line="360" w:lineRule="auto"/>
        <w:ind w:firstLine="482" w:firstLineChars="200"/>
        <w:rPr>
          <w:rFonts w:hint="eastAsia" w:ascii="宋体" w:hAnsi="宋体" w:eastAsia="宋体" w:cs="宋体"/>
          <w:bCs w:val="0"/>
          <w:color w:val="auto"/>
          <w:sz w:val="24"/>
          <w:szCs w:val="24"/>
          <w:highlight w:val="none"/>
        </w:rPr>
      </w:pPr>
      <w:bookmarkStart w:id="254" w:name="_Toc1229"/>
      <w:bookmarkStart w:id="255" w:name="_Toc25670"/>
      <w:r>
        <w:rPr>
          <w:rFonts w:hint="eastAsia" w:ascii="宋体" w:hAnsi="宋体" w:eastAsia="宋体" w:cs="宋体"/>
          <w:color w:val="auto"/>
          <w:sz w:val="24"/>
          <w:szCs w:val="24"/>
          <w:highlight w:val="none"/>
        </w:rPr>
        <w:t>1. 总则</w:t>
      </w:r>
      <w:bookmarkEnd w:id="250"/>
      <w:bookmarkEnd w:id="251"/>
      <w:bookmarkEnd w:id="252"/>
      <w:bookmarkEnd w:id="253"/>
      <w:bookmarkEnd w:id="254"/>
      <w:bookmarkEnd w:id="255"/>
    </w:p>
    <w:p w14:paraId="1E1616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根据《中华人民共和国政府采购法》和《政府采购货物和服务招标投标管理办法》（财政部第87号令）等法律规章，结合采购项目特点制定本评标办法。</w:t>
      </w:r>
    </w:p>
    <w:p w14:paraId="77931C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bCs/>
          <w:color w:val="auto"/>
          <w:sz w:val="24"/>
          <w:szCs w:val="24"/>
          <w:highlight w:val="none"/>
        </w:rPr>
        <w:t>评标工作由采购人负责组织，具体评标事务由采购人依法组建的评标委员会负责。评标委员会由采购人代表和有关技术、经济等方面的专家组成。</w:t>
      </w:r>
    </w:p>
    <w:p w14:paraId="1327B0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评标工作应遵循公平、公正、科学及择优的原则，并以相同的评标程序和标准对待所有的供应商。</w:t>
      </w:r>
    </w:p>
    <w:p w14:paraId="744C79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评标委员会按照采购文件规定的评标方法和标准进行评标，并独立履行下列职责：</w:t>
      </w:r>
    </w:p>
    <w:p w14:paraId="7710B8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（1）审查响应文件是否符合采购文件要求，并作出评价；</w:t>
      </w:r>
    </w:p>
    <w:p w14:paraId="3DD1C0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（2）要求投标供应商对响应文件有关事项作出解释或者澄清；</w:t>
      </w:r>
    </w:p>
    <w:p w14:paraId="246C4C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（3）推荐</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候选供应商名单，或者受采购人委托按照事先确定的办法直接确定</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供应商；</w:t>
      </w:r>
    </w:p>
    <w:p w14:paraId="6D3219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（4）向采购单位或者有关部门报告非法干预评标工作的行为。</w:t>
      </w:r>
      <w:bookmarkStart w:id="256" w:name="_Toc217446098"/>
    </w:p>
    <w:p w14:paraId="79FAC5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评标过程严格保密。供应商对评委会的评标过程或合同授予决定施加影响的任何行为都可能导致其投标被拒绝。</w:t>
      </w:r>
    </w:p>
    <w:p w14:paraId="5BAF6B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1.6评委会决定响应文件的响应性依据响应文件本身的内容，而不寻求外部的证据。</w:t>
      </w:r>
    </w:p>
    <w:p w14:paraId="7F031A8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1.7评委会发现采购文件表述不明确或需要说明的事项，可提请采购单位书面解释说明。发现采购文件违反有关法律、法规和规章的，可以拒绝评标，并向采购单位书面说明情况。</w:t>
      </w:r>
    </w:p>
    <w:p w14:paraId="4EF226F1">
      <w:pPr>
        <w:spacing w:line="360" w:lineRule="auto"/>
        <w:ind w:firstLine="482" w:firstLineChars="200"/>
        <w:outlineLvl w:val="1"/>
        <w:rPr>
          <w:rFonts w:hint="eastAsia" w:ascii="宋体" w:hAnsi="宋体" w:eastAsia="宋体" w:cs="宋体"/>
          <w:color w:val="auto"/>
          <w:sz w:val="24"/>
          <w:szCs w:val="24"/>
          <w:highlight w:val="none"/>
        </w:rPr>
      </w:pPr>
      <w:bookmarkStart w:id="257" w:name="_Toc10073"/>
      <w:bookmarkStart w:id="258" w:name="_Toc2040"/>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评标方法</w:t>
      </w:r>
      <w:bookmarkEnd w:id="257"/>
      <w:bookmarkEnd w:id="258"/>
    </w:p>
    <w:p w14:paraId="2AF1FC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本项目评标方法为：综合评分法。</w:t>
      </w:r>
    </w:p>
    <w:bookmarkEnd w:id="256"/>
    <w:p w14:paraId="05D80DEE">
      <w:pPr>
        <w:spacing w:line="360" w:lineRule="auto"/>
        <w:ind w:firstLine="482" w:firstLineChars="200"/>
        <w:outlineLvl w:val="1"/>
        <w:rPr>
          <w:rFonts w:hint="eastAsia" w:ascii="宋体" w:hAnsi="宋体" w:eastAsia="宋体" w:cs="宋体"/>
          <w:b/>
          <w:color w:val="auto"/>
          <w:sz w:val="24"/>
          <w:szCs w:val="24"/>
          <w:highlight w:val="none"/>
        </w:rPr>
      </w:pPr>
      <w:bookmarkStart w:id="259" w:name="_Toc13904"/>
      <w:bookmarkStart w:id="260" w:name="_Toc24271"/>
      <w:bookmarkStart w:id="261" w:name="_Toc217446099"/>
      <w:r>
        <w:rPr>
          <w:rFonts w:hint="eastAsia" w:ascii="宋体" w:hAnsi="宋体" w:eastAsia="宋体" w:cs="宋体"/>
          <w:b/>
          <w:bCs/>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评标程序</w:t>
      </w:r>
      <w:bookmarkEnd w:id="259"/>
      <w:bookmarkEnd w:id="260"/>
    </w:p>
    <w:p w14:paraId="708D68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3.1资格审查。采购人或采购代理机构根据供应商的响应文件进行资格审查，资格审查通过的单位进行符合性审查，未通过的单位予以废标处理。</w:t>
      </w:r>
    </w:p>
    <w:tbl>
      <w:tblPr>
        <w:tblStyle w:val="27"/>
        <w:tblW w:w="9589" w:type="dxa"/>
        <w:jc w:val="center"/>
        <w:tblLayout w:type="fixed"/>
        <w:tblCellMar>
          <w:top w:w="0" w:type="dxa"/>
          <w:left w:w="57" w:type="dxa"/>
          <w:bottom w:w="0" w:type="dxa"/>
          <w:right w:w="0" w:type="dxa"/>
        </w:tblCellMar>
      </w:tblPr>
      <w:tblGrid>
        <w:gridCol w:w="648"/>
        <w:gridCol w:w="7440"/>
        <w:gridCol w:w="750"/>
        <w:gridCol w:w="751"/>
      </w:tblGrid>
      <w:tr w14:paraId="3A20E253">
        <w:tblPrEx>
          <w:tblCellMar>
            <w:top w:w="0" w:type="dxa"/>
            <w:left w:w="57" w:type="dxa"/>
            <w:bottom w:w="0" w:type="dxa"/>
            <w:right w:w="0" w:type="dxa"/>
          </w:tblCellMar>
        </w:tblPrEx>
        <w:trPr>
          <w:trHeight w:val="646" w:hRule="atLeast"/>
          <w:jc w:val="center"/>
        </w:trPr>
        <w:tc>
          <w:tcPr>
            <w:tcW w:w="648" w:type="dxa"/>
            <w:vMerge w:val="restart"/>
            <w:tcBorders>
              <w:top w:val="single" w:color="auto" w:sz="4" w:space="0"/>
              <w:left w:val="single" w:color="auto" w:sz="4" w:space="0"/>
              <w:right w:val="single" w:color="auto" w:sz="4" w:space="0"/>
            </w:tcBorders>
            <w:vAlign w:val="center"/>
          </w:tcPr>
          <w:p w14:paraId="53C78676">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7440" w:type="dxa"/>
            <w:vMerge w:val="restart"/>
            <w:tcBorders>
              <w:top w:val="single" w:color="auto" w:sz="4" w:space="0"/>
              <w:left w:val="single" w:color="auto" w:sz="4" w:space="0"/>
              <w:right w:val="single" w:color="auto" w:sz="4" w:space="0"/>
            </w:tcBorders>
            <w:vAlign w:val="center"/>
          </w:tcPr>
          <w:p w14:paraId="61DEDF2B">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资格审查内容</w:t>
            </w:r>
          </w:p>
        </w:tc>
        <w:tc>
          <w:tcPr>
            <w:tcW w:w="1501" w:type="dxa"/>
            <w:gridSpan w:val="2"/>
            <w:tcBorders>
              <w:top w:val="single" w:color="auto" w:sz="4" w:space="0"/>
              <w:left w:val="nil"/>
              <w:bottom w:val="single" w:color="auto" w:sz="4" w:space="0"/>
              <w:right w:val="single" w:color="auto" w:sz="4" w:space="0"/>
            </w:tcBorders>
            <w:vAlign w:val="center"/>
          </w:tcPr>
          <w:p w14:paraId="0FB80A00">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评审意见</w:t>
            </w:r>
          </w:p>
        </w:tc>
      </w:tr>
      <w:tr w14:paraId="76989572">
        <w:tblPrEx>
          <w:tblCellMar>
            <w:top w:w="0" w:type="dxa"/>
            <w:left w:w="57" w:type="dxa"/>
            <w:bottom w:w="0" w:type="dxa"/>
            <w:right w:w="0" w:type="dxa"/>
          </w:tblCellMar>
        </w:tblPrEx>
        <w:trPr>
          <w:trHeight w:val="547" w:hRule="atLeast"/>
          <w:jc w:val="center"/>
        </w:trPr>
        <w:tc>
          <w:tcPr>
            <w:tcW w:w="648" w:type="dxa"/>
            <w:vMerge w:val="continue"/>
            <w:tcBorders>
              <w:left w:val="single" w:color="auto" w:sz="4" w:space="0"/>
              <w:bottom w:val="single" w:color="auto" w:sz="4" w:space="0"/>
              <w:right w:val="single" w:color="auto" w:sz="4" w:space="0"/>
            </w:tcBorders>
            <w:vAlign w:val="center"/>
          </w:tcPr>
          <w:p w14:paraId="21B88182">
            <w:pPr>
              <w:widowControl/>
              <w:spacing w:line="460" w:lineRule="exact"/>
              <w:jc w:val="center"/>
              <w:rPr>
                <w:rFonts w:hint="eastAsia" w:ascii="宋体" w:hAnsi="宋体" w:eastAsia="宋体" w:cs="宋体"/>
                <w:color w:val="auto"/>
                <w:kern w:val="0"/>
                <w:sz w:val="24"/>
                <w:szCs w:val="24"/>
                <w:highlight w:val="none"/>
              </w:rPr>
            </w:pPr>
          </w:p>
        </w:tc>
        <w:tc>
          <w:tcPr>
            <w:tcW w:w="7440" w:type="dxa"/>
            <w:vMerge w:val="continue"/>
            <w:tcBorders>
              <w:left w:val="single" w:color="auto" w:sz="4" w:space="0"/>
              <w:bottom w:val="single" w:color="auto" w:sz="4" w:space="0"/>
              <w:right w:val="single" w:color="auto" w:sz="4" w:space="0"/>
            </w:tcBorders>
            <w:vAlign w:val="center"/>
          </w:tcPr>
          <w:p w14:paraId="7FBCEB8F">
            <w:pPr>
              <w:widowControl/>
              <w:spacing w:line="460" w:lineRule="exact"/>
              <w:jc w:val="center"/>
              <w:rPr>
                <w:rFonts w:hint="eastAsia" w:ascii="宋体" w:hAnsi="宋体" w:eastAsia="宋体" w:cs="宋体"/>
                <w:color w:val="auto"/>
                <w:kern w:val="0"/>
                <w:sz w:val="24"/>
                <w:szCs w:val="24"/>
                <w:highlight w:val="none"/>
              </w:rPr>
            </w:pPr>
          </w:p>
        </w:tc>
        <w:tc>
          <w:tcPr>
            <w:tcW w:w="750" w:type="dxa"/>
            <w:tcBorders>
              <w:top w:val="single" w:color="auto" w:sz="4" w:space="0"/>
              <w:left w:val="nil"/>
              <w:bottom w:val="single" w:color="auto" w:sz="4" w:space="0"/>
              <w:right w:val="single" w:color="auto" w:sz="4" w:space="0"/>
            </w:tcBorders>
            <w:vAlign w:val="center"/>
          </w:tcPr>
          <w:p w14:paraId="466889E1">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w:t>
            </w:r>
          </w:p>
        </w:tc>
        <w:tc>
          <w:tcPr>
            <w:tcW w:w="751" w:type="dxa"/>
            <w:tcBorders>
              <w:top w:val="single" w:color="auto" w:sz="4" w:space="0"/>
              <w:left w:val="nil"/>
              <w:bottom w:val="single" w:color="auto" w:sz="4" w:space="0"/>
              <w:right w:val="single" w:color="auto" w:sz="4" w:space="0"/>
            </w:tcBorders>
            <w:vAlign w:val="center"/>
          </w:tcPr>
          <w:p w14:paraId="2737F0A5">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w:t>
            </w:r>
          </w:p>
        </w:tc>
      </w:tr>
      <w:tr w14:paraId="1F680949">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942FD0F">
            <w:pPr>
              <w:tabs>
                <w:tab w:val="left" w:pos="1642"/>
                <w:tab w:val="left" w:pos="3363"/>
                <w:tab w:val="left" w:pos="3887"/>
                <w:tab w:val="left" w:pos="9649"/>
              </w:tabs>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7440" w:type="dxa"/>
            <w:tcBorders>
              <w:top w:val="single" w:color="auto" w:sz="4" w:space="0"/>
              <w:left w:val="single" w:color="auto" w:sz="4" w:space="0"/>
              <w:bottom w:val="single" w:color="auto" w:sz="4" w:space="0"/>
              <w:right w:val="single" w:color="auto" w:sz="4" w:space="0"/>
            </w:tcBorders>
            <w:vAlign w:val="center"/>
          </w:tcPr>
          <w:p w14:paraId="0F4031F9">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具有独立承担民事责任的能力【</w:t>
            </w:r>
            <w:r>
              <w:rPr>
                <w:rStyle w:val="59"/>
                <w:rFonts w:hint="eastAsia" w:ascii="宋体" w:hAnsi="宋体" w:eastAsia="宋体" w:cs="宋体"/>
                <w:b w:val="0"/>
                <w:bCs/>
                <w:i w:val="0"/>
                <w:color w:val="auto"/>
                <w:spacing w:val="0"/>
                <w:w w:val="100"/>
                <w:sz w:val="24"/>
                <w:szCs w:val="24"/>
                <w:highlight w:val="none"/>
                <w:lang w:bidi="ar-SA"/>
              </w:rPr>
              <w:t>是否具备有效在中华人民共和国境内注册的法人或其他组织或自然人的营业执照副本或事业法人登记证或执业许可证或身份证等相关证明原件扫描件</w:t>
            </w:r>
            <w:r>
              <w:rPr>
                <w:rFonts w:hint="eastAsia" w:ascii="宋体" w:hAnsi="宋体" w:eastAsia="宋体" w:cs="宋体"/>
                <w:color w:val="auto"/>
                <w:kern w:val="0"/>
                <w:sz w:val="24"/>
                <w:szCs w:val="24"/>
                <w:highlight w:val="none"/>
                <w:lang w:eastAsia="zh-CN"/>
              </w:rPr>
              <w:t>】；</w:t>
            </w:r>
          </w:p>
        </w:tc>
        <w:tc>
          <w:tcPr>
            <w:tcW w:w="750" w:type="dxa"/>
            <w:tcBorders>
              <w:top w:val="single" w:color="auto" w:sz="4" w:space="0"/>
              <w:left w:val="nil"/>
              <w:bottom w:val="single" w:color="auto" w:sz="4" w:space="0"/>
              <w:right w:val="single" w:color="auto" w:sz="4" w:space="0"/>
            </w:tcBorders>
            <w:vAlign w:val="center"/>
          </w:tcPr>
          <w:p w14:paraId="5A1F62E5">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p>
        </w:tc>
        <w:tc>
          <w:tcPr>
            <w:tcW w:w="751" w:type="dxa"/>
            <w:tcBorders>
              <w:top w:val="single" w:color="auto" w:sz="4" w:space="0"/>
              <w:left w:val="nil"/>
              <w:bottom w:val="single" w:color="auto" w:sz="4" w:space="0"/>
              <w:right w:val="single" w:color="auto" w:sz="4" w:space="0"/>
            </w:tcBorders>
            <w:vAlign w:val="center"/>
          </w:tcPr>
          <w:p w14:paraId="167C0993">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p>
        </w:tc>
      </w:tr>
      <w:tr w14:paraId="6634AE0F">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325A9AE">
            <w:pPr>
              <w:tabs>
                <w:tab w:val="left" w:pos="1642"/>
                <w:tab w:val="left" w:pos="3363"/>
                <w:tab w:val="left" w:pos="3887"/>
                <w:tab w:val="left" w:pos="9649"/>
              </w:tabs>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7440" w:type="dxa"/>
            <w:tcBorders>
              <w:top w:val="single" w:color="auto" w:sz="4" w:space="0"/>
              <w:left w:val="single" w:color="auto" w:sz="4" w:space="0"/>
              <w:bottom w:val="single" w:color="auto" w:sz="4" w:space="0"/>
              <w:right w:val="single" w:color="auto" w:sz="4" w:space="0"/>
            </w:tcBorders>
            <w:vAlign w:val="center"/>
          </w:tcPr>
          <w:p w14:paraId="379804A3">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具有良好的商业信誉和健全的财务会计制度【</w:t>
            </w:r>
            <w:r>
              <w:rPr>
                <w:rStyle w:val="59"/>
                <w:rFonts w:hint="eastAsia" w:ascii="宋体" w:hAnsi="宋体" w:eastAsia="宋体" w:cs="宋体"/>
                <w:b w:val="0"/>
                <w:bCs/>
                <w:i w:val="0"/>
                <w:color w:val="auto"/>
                <w:spacing w:val="0"/>
                <w:w w:val="100"/>
                <w:sz w:val="24"/>
                <w:szCs w:val="24"/>
                <w:highlight w:val="none"/>
                <w:lang w:bidi="ar-SA"/>
              </w:rPr>
              <w:t>须提供近两年度（任意一年）经审计的财务审计报告复印件（报告中须包括资产负债表、利润表、现金流量表等）或银行在开标日期前三个月内开具的资信证明</w:t>
            </w:r>
            <w:r>
              <w:rPr>
                <w:rFonts w:hint="eastAsia" w:ascii="宋体" w:hAnsi="宋体" w:eastAsia="宋体" w:cs="宋体"/>
                <w:color w:val="auto"/>
                <w:kern w:val="0"/>
                <w:sz w:val="24"/>
                <w:szCs w:val="24"/>
                <w:highlight w:val="none"/>
                <w:lang w:eastAsia="zh-CN"/>
              </w:rPr>
              <w:t>】；</w:t>
            </w:r>
          </w:p>
        </w:tc>
        <w:tc>
          <w:tcPr>
            <w:tcW w:w="750" w:type="dxa"/>
            <w:tcBorders>
              <w:top w:val="single" w:color="auto" w:sz="4" w:space="0"/>
              <w:left w:val="nil"/>
              <w:bottom w:val="single" w:color="auto" w:sz="4" w:space="0"/>
              <w:right w:val="single" w:color="auto" w:sz="4" w:space="0"/>
            </w:tcBorders>
            <w:vAlign w:val="center"/>
          </w:tcPr>
          <w:p w14:paraId="1AA3441E">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p>
        </w:tc>
        <w:tc>
          <w:tcPr>
            <w:tcW w:w="751" w:type="dxa"/>
            <w:tcBorders>
              <w:top w:val="single" w:color="auto" w:sz="4" w:space="0"/>
              <w:left w:val="nil"/>
              <w:bottom w:val="single" w:color="auto" w:sz="4" w:space="0"/>
              <w:right w:val="single" w:color="auto" w:sz="4" w:space="0"/>
            </w:tcBorders>
            <w:vAlign w:val="center"/>
          </w:tcPr>
          <w:p w14:paraId="586E14C4">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p>
        </w:tc>
      </w:tr>
      <w:tr w14:paraId="1129ABED">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79A0EBD">
            <w:pPr>
              <w:tabs>
                <w:tab w:val="left" w:pos="1642"/>
                <w:tab w:val="left" w:pos="3363"/>
                <w:tab w:val="left" w:pos="3887"/>
                <w:tab w:val="left" w:pos="9649"/>
              </w:tabs>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7440" w:type="dxa"/>
            <w:tcBorders>
              <w:top w:val="single" w:color="auto" w:sz="4" w:space="0"/>
              <w:left w:val="single" w:color="auto" w:sz="4" w:space="0"/>
              <w:bottom w:val="single" w:color="auto" w:sz="4" w:space="0"/>
              <w:right w:val="single" w:color="auto" w:sz="4" w:space="0"/>
            </w:tcBorders>
            <w:vAlign w:val="center"/>
          </w:tcPr>
          <w:p w14:paraId="6672C4F6">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具有履行合同所必需的设备和专业技术能力；【</w:t>
            </w:r>
            <w:r>
              <w:rPr>
                <w:rStyle w:val="59"/>
                <w:rFonts w:hint="eastAsia" w:ascii="宋体" w:hAnsi="宋体" w:eastAsia="宋体" w:cs="宋体"/>
                <w:b w:val="0"/>
                <w:bCs/>
                <w:i w:val="0"/>
                <w:color w:val="auto"/>
                <w:spacing w:val="0"/>
                <w:w w:val="100"/>
                <w:sz w:val="24"/>
                <w:szCs w:val="24"/>
                <w:highlight w:val="none"/>
                <w:lang w:bidi="ar-SA"/>
              </w:rPr>
              <w:t>具备履行合同所必需的设备和专业技术能力的书面声明原件扫描件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tc>
        <w:tc>
          <w:tcPr>
            <w:tcW w:w="750" w:type="dxa"/>
            <w:tcBorders>
              <w:top w:val="single" w:color="auto" w:sz="4" w:space="0"/>
              <w:left w:val="nil"/>
              <w:bottom w:val="single" w:color="auto" w:sz="4" w:space="0"/>
              <w:right w:val="single" w:color="auto" w:sz="4" w:space="0"/>
            </w:tcBorders>
            <w:vAlign w:val="center"/>
          </w:tcPr>
          <w:p w14:paraId="11C4D051">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p>
        </w:tc>
        <w:tc>
          <w:tcPr>
            <w:tcW w:w="751" w:type="dxa"/>
            <w:tcBorders>
              <w:top w:val="single" w:color="auto" w:sz="4" w:space="0"/>
              <w:left w:val="nil"/>
              <w:bottom w:val="single" w:color="auto" w:sz="4" w:space="0"/>
              <w:right w:val="single" w:color="auto" w:sz="4" w:space="0"/>
            </w:tcBorders>
            <w:vAlign w:val="center"/>
          </w:tcPr>
          <w:p w14:paraId="70CB691D">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p>
        </w:tc>
      </w:tr>
      <w:tr w14:paraId="0CA3A12C">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504DC83">
            <w:pPr>
              <w:tabs>
                <w:tab w:val="left" w:pos="1642"/>
                <w:tab w:val="left" w:pos="3363"/>
                <w:tab w:val="left" w:pos="3887"/>
                <w:tab w:val="left" w:pos="9649"/>
              </w:tabs>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7440" w:type="dxa"/>
            <w:tcBorders>
              <w:top w:val="single" w:color="auto" w:sz="4" w:space="0"/>
              <w:left w:val="single" w:color="auto" w:sz="4" w:space="0"/>
              <w:bottom w:val="single" w:color="auto" w:sz="4" w:space="0"/>
              <w:right w:val="single" w:color="auto" w:sz="4" w:space="0"/>
            </w:tcBorders>
            <w:vAlign w:val="center"/>
          </w:tcPr>
          <w:p w14:paraId="27595FC5">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有依法缴纳税收和社会保障资金的良好记录；【</w:t>
            </w:r>
            <w:r>
              <w:rPr>
                <w:rStyle w:val="59"/>
                <w:rFonts w:hint="eastAsia" w:ascii="宋体" w:hAnsi="宋体" w:eastAsia="宋体" w:cs="宋体"/>
                <w:b w:val="0"/>
                <w:bCs/>
                <w:i w:val="0"/>
                <w:color w:val="auto"/>
                <w:spacing w:val="0"/>
                <w:w w:val="100"/>
                <w:sz w:val="24"/>
                <w:szCs w:val="24"/>
                <w:highlight w:val="none"/>
                <w:lang w:val="en-US" w:eastAsia="zh-CN" w:bidi="ar-SA"/>
              </w:rPr>
              <w:t>依法缴纳税收和社会保障资金的证明材料，须提供开标前六个月内任意一个月的依法缴税凭据和缴纳社会保险的凭据复印件</w:t>
            </w:r>
            <w:r>
              <w:rPr>
                <w:rStyle w:val="59"/>
                <w:rFonts w:hint="eastAsia" w:ascii="宋体" w:hAnsi="宋体" w:eastAsia="宋体" w:cs="宋体"/>
                <w:b w:val="0"/>
                <w:bCs/>
                <w:i w:val="0"/>
                <w:color w:val="auto"/>
                <w:spacing w:val="0"/>
                <w:w w:val="100"/>
                <w:sz w:val="24"/>
                <w:szCs w:val="24"/>
                <w:highlight w:val="none"/>
                <w:lang w:bidi="ar-SA"/>
              </w:rPr>
              <w:t>（依法免税的应提供相应文件说明）</w:t>
            </w:r>
            <w:r>
              <w:rPr>
                <w:rFonts w:hint="eastAsia" w:ascii="宋体" w:hAnsi="宋体" w:eastAsia="宋体" w:cs="宋体"/>
                <w:color w:val="auto"/>
                <w:kern w:val="0"/>
                <w:sz w:val="24"/>
                <w:szCs w:val="24"/>
                <w:highlight w:val="none"/>
                <w:lang w:eastAsia="zh-CN"/>
              </w:rPr>
              <w:t>】；</w:t>
            </w:r>
          </w:p>
        </w:tc>
        <w:tc>
          <w:tcPr>
            <w:tcW w:w="750" w:type="dxa"/>
            <w:tcBorders>
              <w:top w:val="single" w:color="auto" w:sz="4" w:space="0"/>
              <w:left w:val="nil"/>
              <w:bottom w:val="single" w:color="auto" w:sz="4" w:space="0"/>
              <w:right w:val="single" w:color="auto" w:sz="4" w:space="0"/>
            </w:tcBorders>
            <w:vAlign w:val="center"/>
          </w:tcPr>
          <w:p w14:paraId="29F9450F">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p>
        </w:tc>
        <w:tc>
          <w:tcPr>
            <w:tcW w:w="751" w:type="dxa"/>
            <w:tcBorders>
              <w:top w:val="single" w:color="auto" w:sz="4" w:space="0"/>
              <w:left w:val="nil"/>
              <w:bottom w:val="single" w:color="auto" w:sz="4" w:space="0"/>
              <w:right w:val="single" w:color="auto" w:sz="4" w:space="0"/>
            </w:tcBorders>
            <w:vAlign w:val="center"/>
          </w:tcPr>
          <w:p w14:paraId="74862B14">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p>
        </w:tc>
      </w:tr>
      <w:tr w14:paraId="38BC9347">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6877D70">
            <w:pPr>
              <w:tabs>
                <w:tab w:val="left" w:pos="1642"/>
                <w:tab w:val="left" w:pos="3363"/>
                <w:tab w:val="left" w:pos="3887"/>
                <w:tab w:val="left" w:pos="9649"/>
              </w:tabs>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7440" w:type="dxa"/>
            <w:tcBorders>
              <w:top w:val="single" w:color="auto" w:sz="4" w:space="0"/>
              <w:left w:val="single" w:color="auto" w:sz="4" w:space="0"/>
              <w:bottom w:val="single" w:color="auto" w:sz="4" w:space="0"/>
              <w:right w:val="single" w:color="auto" w:sz="4" w:space="0"/>
            </w:tcBorders>
            <w:vAlign w:val="center"/>
          </w:tcPr>
          <w:p w14:paraId="0ECEBA22">
            <w:pPr>
              <w:widowControl/>
              <w:spacing w:line="460" w:lineRule="exact"/>
              <w:ind w:right="82" w:rightChars="3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参与投标的单位前三年内，在经营活动中没有重大违法记录；【参加政府采购活动前三年内，在经营活动中没有重大违法记录；须提供书面声明】；</w:t>
            </w:r>
          </w:p>
        </w:tc>
        <w:tc>
          <w:tcPr>
            <w:tcW w:w="750" w:type="dxa"/>
            <w:tcBorders>
              <w:top w:val="single" w:color="auto" w:sz="4" w:space="0"/>
              <w:left w:val="nil"/>
              <w:bottom w:val="single" w:color="auto" w:sz="4" w:space="0"/>
              <w:right w:val="single" w:color="auto" w:sz="4" w:space="0"/>
            </w:tcBorders>
            <w:vAlign w:val="center"/>
          </w:tcPr>
          <w:p w14:paraId="5A8C636C">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p>
        </w:tc>
        <w:tc>
          <w:tcPr>
            <w:tcW w:w="751" w:type="dxa"/>
            <w:tcBorders>
              <w:top w:val="single" w:color="auto" w:sz="4" w:space="0"/>
              <w:left w:val="nil"/>
              <w:bottom w:val="single" w:color="auto" w:sz="4" w:space="0"/>
              <w:right w:val="single" w:color="auto" w:sz="4" w:space="0"/>
            </w:tcBorders>
            <w:vAlign w:val="center"/>
          </w:tcPr>
          <w:p w14:paraId="5340D58F">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p>
        </w:tc>
      </w:tr>
      <w:tr w14:paraId="18678097">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EBB9A24">
            <w:pPr>
              <w:tabs>
                <w:tab w:val="left" w:pos="1642"/>
                <w:tab w:val="left" w:pos="3363"/>
                <w:tab w:val="left" w:pos="3887"/>
                <w:tab w:val="left" w:pos="9649"/>
              </w:tabs>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7440" w:type="dxa"/>
            <w:tcBorders>
              <w:top w:val="single" w:color="auto" w:sz="4" w:space="0"/>
              <w:left w:val="single" w:color="auto" w:sz="4" w:space="0"/>
              <w:bottom w:val="single" w:color="auto" w:sz="4" w:space="0"/>
              <w:right w:val="single" w:color="auto" w:sz="4" w:space="0"/>
            </w:tcBorders>
            <w:vAlign w:val="center"/>
          </w:tcPr>
          <w:p w14:paraId="1E916EAD">
            <w:pPr>
              <w:widowControl/>
              <w:spacing w:line="460" w:lineRule="exact"/>
              <w:ind w:right="82" w:rightChars="39"/>
              <w:rPr>
                <w:rFonts w:hint="eastAsia" w:ascii="宋体" w:hAnsi="宋体" w:eastAsia="宋体" w:cs="宋体"/>
                <w:color w:val="auto"/>
                <w:kern w:val="0"/>
                <w:sz w:val="24"/>
                <w:szCs w:val="24"/>
                <w:highlight w:val="none"/>
              </w:rPr>
            </w:pPr>
            <w:r>
              <w:rPr>
                <w:rStyle w:val="59"/>
                <w:rFonts w:hint="eastAsia" w:ascii="宋体" w:hAnsi="宋体" w:eastAsia="宋体" w:cs="宋体"/>
                <w:b w:val="0"/>
                <w:i w:val="0"/>
                <w:color w:val="auto"/>
                <w:spacing w:val="0"/>
                <w:w w:val="100"/>
                <w:kern w:val="2"/>
                <w:sz w:val="24"/>
                <w:szCs w:val="24"/>
                <w:highlight w:val="none"/>
                <w:lang w:val="en-US" w:eastAsia="zh-CN" w:bidi="ar-SA"/>
              </w:rPr>
              <w:t>法律、行政法规规定的其他条件</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kern w:val="2"/>
                <w:sz w:val="24"/>
                <w:szCs w:val="22"/>
                <w:lang w:val="en-US" w:eastAsia="zh-CN" w:bidi="ar-SA"/>
              </w:rPr>
              <w:t>凡拟参加本次招标项目的供应商，供应商未被列入“信用中国”网站（www.creditchina.gov.cn）和“中国政府采购网”（www.ccgp.gov.cn）渠道信用记录失信被执行人、重大税收违法失信主体名单以及政府采购严重违法失信行为记录名单（查询日期自采购公告发布之日后，提供网页复印件加盖公章）</w:t>
            </w:r>
            <w:r>
              <w:rPr>
                <w:rFonts w:hint="eastAsia" w:ascii="宋体" w:hAnsi="宋体" w:eastAsia="宋体" w:cs="宋体"/>
                <w:color w:val="auto"/>
                <w:kern w:val="0"/>
                <w:sz w:val="24"/>
                <w:szCs w:val="24"/>
                <w:highlight w:val="none"/>
                <w:lang w:eastAsia="zh-CN"/>
              </w:rPr>
              <w:t>】；</w:t>
            </w:r>
          </w:p>
        </w:tc>
        <w:tc>
          <w:tcPr>
            <w:tcW w:w="750" w:type="dxa"/>
            <w:tcBorders>
              <w:top w:val="single" w:color="auto" w:sz="4" w:space="0"/>
              <w:left w:val="nil"/>
              <w:bottom w:val="single" w:color="auto" w:sz="4" w:space="0"/>
              <w:right w:val="single" w:color="auto" w:sz="4" w:space="0"/>
            </w:tcBorders>
            <w:vAlign w:val="center"/>
          </w:tcPr>
          <w:p w14:paraId="24D5A086">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p>
        </w:tc>
        <w:tc>
          <w:tcPr>
            <w:tcW w:w="751" w:type="dxa"/>
            <w:tcBorders>
              <w:top w:val="single" w:color="auto" w:sz="4" w:space="0"/>
              <w:left w:val="nil"/>
              <w:bottom w:val="single" w:color="auto" w:sz="4" w:space="0"/>
              <w:right w:val="single" w:color="auto" w:sz="4" w:space="0"/>
            </w:tcBorders>
            <w:vAlign w:val="center"/>
          </w:tcPr>
          <w:p w14:paraId="3A9F9054">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p>
        </w:tc>
      </w:tr>
      <w:tr w14:paraId="2001866A">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C52C0DA">
            <w:pPr>
              <w:tabs>
                <w:tab w:val="left" w:pos="1642"/>
                <w:tab w:val="left" w:pos="3363"/>
                <w:tab w:val="left" w:pos="3887"/>
                <w:tab w:val="left" w:pos="9649"/>
              </w:tabs>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p>
        </w:tc>
        <w:tc>
          <w:tcPr>
            <w:tcW w:w="7440" w:type="dxa"/>
            <w:tcBorders>
              <w:top w:val="single" w:color="auto" w:sz="4" w:space="0"/>
              <w:left w:val="single" w:color="auto" w:sz="4" w:space="0"/>
              <w:bottom w:val="single" w:color="auto" w:sz="4" w:space="0"/>
              <w:right w:val="single" w:color="auto" w:sz="4" w:space="0"/>
            </w:tcBorders>
            <w:vAlign w:val="center"/>
          </w:tcPr>
          <w:p w14:paraId="748A1C9A">
            <w:pPr>
              <w:widowControl/>
              <w:spacing w:line="460" w:lineRule="exact"/>
              <w:ind w:right="82" w:rightChars="39"/>
              <w:rPr>
                <w:rFonts w:hint="eastAsia" w:ascii="宋体" w:hAnsi="宋体" w:eastAsia="宋体" w:cs="宋体"/>
                <w:color w:val="auto"/>
                <w:kern w:val="0"/>
                <w:sz w:val="24"/>
                <w:szCs w:val="24"/>
                <w:highlight w:val="none"/>
                <w:lang w:eastAsia="zh-CN"/>
              </w:rPr>
            </w:pPr>
            <w:r>
              <w:rPr>
                <w:rFonts w:hint="eastAsia" w:ascii="宋体" w:hAnsi="宋体" w:cs="宋体"/>
                <w:color w:val="auto"/>
                <w:spacing w:val="0"/>
                <w:sz w:val="24"/>
                <w:szCs w:val="24"/>
                <w:highlight w:val="none"/>
                <w:lang w:eastAsia="zh-CN"/>
              </w:rPr>
              <w:t>本项目专门面向中小企业采购的项目</w:t>
            </w:r>
            <w:r>
              <w:rPr>
                <w:rFonts w:hint="eastAsia" w:ascii="宋体" w:hAnsi="宋体" w:eastAsia="宋体" w:cs="宋体"/>
                <w:color w:val="auto"/>
                <w:kern w:val="0"/>
                <w:sz w:val="24"/>
                <w:szCs w:val="24"/>
                <w:highlight w:val="none"/>
              </w:rPr>
              <w:t>【</w:t>
            </w:r>
            <w:r>
              <w:rPr>
                <w:rFonts w:hint="eastAsia" w:ascii="宋体" w:hAnsi="宋体" w:eastAsia="宋体" w:cs="宋体"/>
                <w:color w:val="auto"/>
                <w:spacing w:val="0"/>
                <w:sz w:val="24"/>
                <w:szCs w:val="24"/>
                <w:highlight w:val="none"/>
                <w:lang w:val="en-US" w:eastAsia="zh-CN" w:bidi="ar-SA"/>
              </w:rPr>
              <w:t>请根据要求单独上传《中小企业声明函》格式以采购文件要求为准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tc>
        <w:tc>
          <w:tcPr>
            <w:tcW w:w="750" w:type="dxa"/>
            <w:tcBorders>
              <w:top w:val="single" w:color="auto" w:sz="4" w:space="0"/>
              <w:left w:val="nil"/>
              <w:bottom w:val="single" w:color="auto" w:sz="4" w:space="0"/>
              <w:right w:val="single" w:color="auto" w:sz="4" w:space="0"/>
            </w:tcBorders>
            <w:vAlign w:val="center"/>
          </w:tcPr>
          <w:p w14:paraId="771F5C4E">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p>
        </w:tc>
        <w:tc>
          <w:tcPr>
            <w:tcW w:w="751" w:type="dxa"/>
            <w:tcBorders>
              <w:top w:val="single" w:color="auto" w:sz="4" w:space="0"/>
              <w:left w:val="nil"/>
              <w:bottom w:val="single" w:color="auto" w:sz="4" w:space="0"/>
              <w:right w:val="single" w:color="auto" w:sz="4" w:space="0"/>
            </w:tcBorders>
            <w:vAlign w:val="center"/>
          </w:tcPr>
          <w:p w14:paraId="14DCB761">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p>
        </w:tc>
      </w:tr>
      <w:tr w14:paraId="634391EB">
        <w:tblPrEx>
          <w:tblCellMar>
            <w:top w:w="0" w:type="dxa"/>
            <w:left w:w="57" w:type="dxa"/>
            <w:bottom w:w="0" w:type="dxa"/>
            <w:right w:w="0" w:type="dxa"/>
          </w:tblCellMar>
        </w:tblPrEx>
        <w:trPr>
          <w:trHeight w:val="474" w:hRule="atLeast"/>
          <w:jc w:val="center"/>
        </w:trPr>
        <w:tc>
          <w:tcPr>
            <w:tcW w:w="648" w:type="dxa"/>
            <w:tcBorders>
              <w:top w:val="nil"/>
              <w:left w:val="single" w:color="auto" w:sz="4" w:space="0"/>
              <w:bottom w:val="single" w:color="auto" w:sz="4" w:space="0"/>
              <w:right w:val="single" w:color="auto" w:sz="4" w:space="0"/>
            </w:tcBorders>
            <w:vAlign w:val="center"/>
          </w:tcPr>
          <w:p w14:paraId="5384032C">
            <w:pPr>
              <w:widowControl/>
              <w:spacing w:line="460" w:lineRule="exact"/>
              <w:rPr>
                <w:rFonts w:hint="eastAsia" w:ascii="宋体" w:hAnsi="宋体" w:eastAsia="宋体" w:cs="宋体"/>
                <w:color w:val="auto"/>
                <w:kern w:val="0"/>
                <w:sz w:val="24"/>
                <w:szCs w:val="24"/>
                <w:highlight w:val="none"/>
              </w:rPr>
            </w:pPr>
          </w:p>
        </w:tc>
        <w:tc>
          <w:tcPr>
            <w:tcW w:w="7440" w:type="dxa"/>
            <w:tcBorders>
              <w:top w:val="single" w:color="auto" w:sz="4" w:space="0"/>
              <w:left w:val="nil"/>
              <w:bottom w:val="single" w:color="auto" w:sz="4" w:space="0"/>
              <w:right w:val="single" w:color="auto" w:sz="4" w:space="0"/>
            </w:tcBorders>
            <w:vAlign w:val="center"/>
          </w:tcPr>
          <w:p w14:paraId="7357CC47">
            <w:pPr>
              <w:widowControl/>
              <w:spacing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结论（通过/不通过）</w:t>
            </w:r>
          </w:p>
        </w:tc>
        <w:tc>
          <w:tcPr>
            <w:tcW w:w="750" w:type="dxa"/>
            <w:tcBorders>
              <w:top w:val="nil"/>
              <w:left w:val="nil"/>
              <w:bottom w:val="single" w:color="auto" w:sz="4" w:space="0"/>
              <w:right w:val="single" w:color="auto" w:sz="4" w:space="0"/>
            </w:tcBorders>
            <w:vAlign w:val="center"/>
          </w:tcPr>
          <w:p w14:paraId="375CFBD9">
            <w:pPr>
              <w:widowControl/>
              <w:spacing w:line="460" w:lineRule="exact"/>
              <w:rPr>
                <w:rFonts w:hint="eastAsia" w:ascii="宋体" w:hAnsi="宋体" w:eastAsia="宋体" w:cs="宋体"/>
                <w:color w:val="auto"/>
                <w:kern w:val="0"/>
                <w:sz w:val="24"/>
                <w:szCs w:val="24"/>
                <w:highlight w:val="none"/>
              </w:rPr>
            </w:pPr>
          </w:p>
        </w:tc>
        <w:tc>
          <w:tcPr>
            <w:tcW w:w="751" w:type="dxa"/>
            <w:tcBorders>
              <w:top w:val="nil"/>
              <w:left w:val="nil"/>
              <w:bottom w:val="single" w:color="auto" w:sz="4" w:space="0"/>
              <w:right w:val="single" w:color="auto" w:sz="4" w:space="0"/>
            </w:tcBorders>
            <w:vAlign w:val="center"/>
          </w:tcPr>
          <w:p w14:paraId="64ADBFB9">
            <w:pPr>
              <w:widowControl/>
              <w:spacing w:line="460" w:lineRule="exact"/>
              <w:rPr>
                <w:rFonts w:hint="eastAsia" w:ascii="宋体" w:hAnsi="宋体" w:eastAsia="宋体" w:cs="宋体"/>
                <w:color w:val="auto"/>
                <w:kern w:val="0"/>
                <w:sz w:val="24"/>
                <w:szCs w:val="24"/>
                <w:highlight w:val="none"/>
              </w:rPr>
            </w:pPr>
          </w:p>
        </w:tc>
      </w:tr>
      <w:tr w14:paraId="4BEBC752">
        <w:tblPrEx>
          <w:tblCellMar>
            <w:top w:w="0" w:type="dxa"/>
            <w:left w:w="57" w:type="dxa"/>
            <w:bottom w:w="0" w:type="dxa"/>
            <w:right w:w="0" w:type="dxa"/>
          </w:tblCellMar>
        </w:tblPrEx>
        <w:trPr>
          <w:trHeight w:val="394" w:hRule="atLeast"/>
          <w:jc w:val="center"/>
        </w:trPr>
        <w:tc>
          <w:tcPr>
            <w:tcW w:w="9589" w:type="dxa"/>
            <w:gridSpan w:val="4"/>
            <w:tcBorders>
              <w:top w:val="single" w:color="auto" w:sz="4" w:space="0"/>
              <w:left w:val="nil"/>
              <w:bottom w:val="nil"/>
            </w:tcBorders>
            <w:vAlign w:val="center"/>
          </w:tcPr>
          <w:p w14:paraId="7A514FEC">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说明：</w:t>
            </w:r>
          </w:p>
          <w:p w14:paraId="770BEC5C">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（1）上述各项中用“√”表示通过，“×”表示不通过；</w:t>
            </w:r>
          </w:p>
          <w:p w14:paraId="6380036E">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（2）上述各项中如有一项为“×”，则结论为“×”，表示该投标文件中存在重大偏差，不能通过</w:t>
            </w:r>
            <w:r>
              <w:rPr>
                <w:rFonts w:hint="eastAsia" w:ascii="宋体" w:hAnsi="宋体" w:eastAsia="宋体" w:cs="宋体"/>
                <w:sz w:val="24"/>
                <w:szCs w:val="24"/>
              </w:rPr>
              <w:t>资格审查</w:t>
            </w:r>
            <w:r>
              <w:rPr>
                <w:rFonts w:hint="eastAsia" w:ascii="宋体" w:hAnsi="宋体" w:eastAsia="宋体" w:cs="宋体"/>
                <w:color w:val="auto"/>
                <w:kern w:val="0"/>
                <w:sz w:val="24"/>
                <w:szCs w:val="24"/>
                <w:highlight w:val="none"/>
              </w:rPr>
              <w:t>；须写明原因。</w:t>
            </w:r>
          </w:p>
          <w:p w14:paraId="5DCC4CA9">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（3）本项内容由采购人完成。</w:t>
            </w:r>
          </w:p>
          <w:p w14:paraId="663EB4F2">
            <w:pPr>
              <w:tabs>
                <w:tab w:val="left" w:pos="1642"/>
                <w:tab w:val="left" w:pos="3363"/>
                <w:tab w:val="left" w:pos="3887"/>
                <w:tab w:val="left" w:pos="9649"/>
              </w:tabs>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（4）投标人请认真阅读和理解上述内容，避免投标文件中有违背上述审查标准之一的情况发生而造成投标被否决。</w:t>
            </w:r>
          </w:p>
        </w:tc>
      </w:tr>
    </w:tbl>
    <w:p w14:paraId="23AEA3EB">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符合性检查。依据采购文件的规定，从响应文件的有效性、完整性和对采购文件的响应程度进行审查，以确定是否对采购文件的实质性要求作出响应。供应商响应文件属于下列情况之一的，在符合性检查时按照无效投标处理：</w:t>
      </w:r>
    </w:p>
    <w:p w14:paraId="3F88B9CD">
      <w:pPr>
        <w:pStyle w:val="26"/>
        <w:rPr>
          <w:rFonts w:hint="eastAsia" w:ascii="宋体" w:hAnsi="宋体" w:eastAsia="宋体" w:cs="宋体"/>
          <w:color w:val="auto"/>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8"/>
        <w:gridCol w:w="452"/>
        <w:gridCol w:w="5565"/>
        <w:gridCol w:w="602"/>
        <w:gridCol w:w="551"/>
      </w:tblGrid>
      <w:tr w14:paraId="2BB8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1778" w:type="dxa"/>
            <w:vMerge w:val="restart"/>
            <w:noWrap w:val="0"/>
            <w:vAlign w:val="center"/>
          </w:tcPr>
          <w:p w14:paraId="3270F255">
            <w:pPr>
              <w:pStyle w:val="39"/>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符合性审查</w:t>
            </w:r>
          </w:p>
          <w:p w14:paraId="7D4C3B31">
            <w:pPr>
              <w:pStyle w:val="39"/>
              <w:jc w:val="center"/>
              <w:textAlignment w:val="center"/>
              <w:rPr>
                <w:rFonts w:hint="eastAsia" w:ascii="宋体" w:hAnsi="宋体" w:eastAsia="宋体" w:cs="宋体"/>
                <w:color w:val="auto"/>
                <w:sz w:val="24"/>
                <w:szCs w:val="24"/>
                <w:highlight w:val="none"/>
                <w:lang w:val="en-US" w:eastAsia="zh-CN"/>
              </w:rPr>
            </w:pPr>
          </w:p>
        </w:tc>
        <w:tc>
          <w:tcPr>
            <w:tcW w:w="6017" w:type="dxa"/>
            <w:gridSpan w:val="2"/>
            <w:vMerge w:val="restart"/>
            <w:noWrap w:val="0"/>
            <w:vAlign w:val="center"/>
          </w:tcPr>
          <w:p w14:paraId="7190B8D5">
            <w:pPr>
              <w:pStyle w:val="39"/>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   审   内   容</w:t>
            </w:r>
          </w:p>
        </w:tc>
        <w:tc>
          <w:tcPr>
            <w:tcW w:w="1153" w:type="dxa"/>
            <w:gridSpan w:val="2"/>
            <w:noWrap w:val="0"/>
            <w:vAlign w:val="center"/>
          </w:tcPr>
          <w:p w14:paraId="7462E5A8">
            <w:pPr>
              <w:pStyle w:val="39"/>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w:t>
            </w:r>
          </w:p>
          <w:p w14:paraId="068414F0">
            <w:pPr>
              <w:pStyle w:val="39"/>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方法</w:t>
            </w:r>
          </w:p>
        </w:tc>
      </w:tr>
      <w:tr w14:paraId="60E5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778" w:type="dxa"/>
            <w:vMerge w:val="continue"/>
            <w:noWrap w:val="0"/>
            <w:vAlign w:val="center"/>
          </w:tcPr>
          <w:p w14:paraId="0A1A1F2A">
            <w:pPr>
              <w:widowControl/>
              <w:ind w:firstLine="480"/>
              <w:jc w:val="left"/>
              <w:rPr>
                <w:rFonts w:hint="eastAsia" w:ascii="宋体" w:hAnsi="宋体" w:eastAsia="宋体" w:cs="宋体"/>
                <w:color w:val="auto"/>
                <w:sz w:val="24"/>
                <w:szCs w:val="24"/>
                <w:highlight w:val="none"/>
              </w:rPr>
            </w:pPr>
          </w:p>
        </w:tc>
        <w:tc>
          <w:tcPr>
            <w:tcW w:w="6017" w:type="dxa"/>
            <w:gridSpan w:val="2"/>
            <w:vMerge w:val="continue"/>
            <w:noWrap w:val="0"/>
            <w:vAlign w:val="center"/>
          </w:tcPr>
          <w:p w14:paraId="0007B546">
            <w:pPr>
              <w:pStyle w:val="39"/>
              <w:jc w:val="center"/>
              <w:textAlignment w:val="center"/>
              <w:rPr>
                <w:rFonts w:hint="eastAsia" w:ascii="宋体" w:hAnsi="宋体" w:eastAsia="宋体" w:cs="宋体"/>
                <w:color w:val="auto"/>
                <w:sz w:val="24"/>
                <w:szCs w:val="24"/>
                <w:highlight w:val="none"/>
              </w:rPr>
            </w:pPr>
          </w:p>
        </w:tc>
        <w:tc>
          <w:tcPr>
            <w:tcW w:w="602" w:type="dxa"/>
            <w:noWrap w:val="0"/>
            <w:vAlign w:val="center"/>
          </w:tcPr>
          <w:p w14:paraId="14252F56">
            <w:pPr>
              <w:pStyle w:val="39"/>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p>
        </w:tc>
        <w:tc>
          <w:tcPr>
            <w:tcW w:w="551" w:type="dxa"/>
            <w:noWrap w:val="0"/>
            <w:vAlign w:val="center"/>
          </w:tcPr>
          <w:p w14:paraId="3A4ACD27">
            <w:pPr>
              <w:pStyle w:val="39"/>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w:t>
            </w:r>
          </w:p>
        </w:tc>
      </w:tr>
      <w:tr w14:paraId="5097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778" w:type="dxa"/>
            <w:vMerge w:val="continue"/>
            <w:noWrap w:val="0"/>
            <w:vAlign w:val="center"/>
          </w:tcPr>
          <w:p w14:paraId="03563C2E">
            <w:pPr>
              <w:pStyle w:val="39"/>
              <w:jc w:val="center"/>
              <w:textAlignment w:val="center"/>
              <w:rPr>
                <w:rFonts w:hint="eastAsia" w:ascii="宋体" w:hAnsi="宋体" w:eastAsia="宋体" w:cs="宋体"/>
                <w:color w:val="auto"/>
                <w:sz w:val="24"/>
                <w:szCs w:val="24"/>
                <w:highlight w:val="none"/>
              </w:rPr>
            </w:pPr>
          </w:p>
        </w:tc>
        <w:tc>
          <w:tcPr>
            <w:tcW w:w="452" w:type="dxa"/>
            <w:noWrap w:val="0"/>
            <w:vAlign w:val="center"/>
          </w:tcPr>
          <w:p w14:paraId="25DBA54D">
            <w:pPr>
              <w:pStyle w:val="39"/>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65" w:type="dxa"/>
            <w:noWrap w:val="0"/>
            <w:vAlign w:val="center"/>
          </w:tcPr>
          <w:p w14:paraId="0AFEAFF7">
            <w:pPr>
              <w:pStyle w:val="39"/>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文件规定和要求加密、签章；</w:t>
            </w:r>
          </w:p>
        </w:tc>
        <w:tc>
          <w:tcPr>
            <w:tcW w:w="602" w:type="dxa"/>
            <w:noWrap w:val="0"/>
            <w:vAlign w:val="center"/>
          </w:tcPr>
          <w:p w14:paraId="016A01C8">
            <w:pPr>
              <w:pStyle w:val="39"/>
              <w:jc w:val="center"/>
              <w:textAlignment w:val="center"/>
              <w:rPr>
                <w:rFonts w:hint="eastAsia" w:ascii="宋体" w:hAnsi="宋体" w:eastAsia="宋体" w:cs="宋体"/>
                <w:color w:val="auto"/>
                <w:sz w:val="24"/>
                <w:szCs w:val="24"/>
                <w:highlight w:val="none"/>
              </w:rPr>
            </w:pPr>
          </w:p>
        </w:tc>
        <w:tc>
          <w:tcPr>
            <w:tcW w:w="551" w:type="dxa"/>
            <w:noWrap w:val="0"/>
            <w:vAlign w:val="center"/>
          </w:tcPr>
          <w:p w14:paraId="37CBD565">
            <w:pPr>
              <w:pStyle w:val="39"/>
              <w:jc w:val="center"/>
              <w:textAlignment w:val="center"/>
              <w:rPr>
                <w:rFonts w:hint="eastAsia" w:ascii="宋体" w:hAnsi="宋体" w:eastAsia="宋体" w:cs="宋体"/>
                <w:color w:val="auto"/>
                <w:sz w:val="24"/>
                <w:szCs w:val="24"/>
                <w:highlight w:val="none"/>
              </w:rPr>
            </w:pPr>
          </w:p>
        </w:tc>
      </w:tr>
      <w:tr w14:paraId="1C74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1778" w:type="dxa"/>
            <w:vMerge w:val="continue"/>
            <w:noWrap w:val="0"/>
            <w:vAlign w:val="center"/>
          </w:tcPr>
          <w:p w14:paraId="689AA3AE">
            <w:pPr>
              <w:pStyle w:val="39"/>
              <w:jc w:val="center"/>
              <w:textAlignment w:val="center"/>
              <w:rPr>
                <w:rFonts w:hint="eastAsia" w:ascii="宋体" w:hAnsi="宋体" w:eastAsia="宋体" w:cs="宋体"/>
                <w:color w:val="auto"/>
                <w:sz w:val="24"/>
                <w:szCs w:val="24"/>
                <w:highlight w:val="none"/>
              </w:rPr>
            </w:pPr>
          </w:p>
        </w:tc>
        <w:tc>
          <w:tcPr>
            <w:tcW w:w="452" w:type="dxa"/>
            <w:noWrap w:val="0"/>
            <w:vAlign w:val="center"/>
          </w:tcPr>
          <w:p w14:paraId="53CF32FB">
            <w:pPr>
              <w:pStyle w:val="39"/>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565" w:type="dxa"/>
            <w:noWrap w:val="0"/>
            <w:vAlign w:val="center"/>
          </w:tcPr>
          <w:p w14:paraId="6A3FDF8E">
            <w:pPr>
              <w:pStyle w:val="39"/>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文件规定交纳投标保证金；</w:t>
            </w:r>
          </w:p>
        </w:tc>
        <w:tc>
          <w:tcPr>
            <w:tcW w:w="602" w:type="dxa"/>
            <w:noWrap w:val="0"/>
            <w:vAlign w:val="center"/>
          </w:tcPr>
          <w:p w14:paraId="6635CFF8">
            <w:pPr>
              <w:pStyle w:val="39"/>
              <w:jc w:val="center"/>
              <w:textAlignment w:val="center"/>
              <w:rPr>
                <w:rFonts w:hint="eastAsia" w:ascii="宋体" w:hAnsi="宋体" w:eastAsia="宋体" w:cs="宋体"/>
                <w:color w:val="auto"/>
                <w:sz w:val="24"/>
                <w:szCs w:val="24"/>
                <w:highlight w:val="none"/>
              </w:rPr>
            </w:pPr>
          </w:p>
        </w:tc>
        <w:tc>
          <w:tcPr>
            <w:tcW w:w="551" w:type="dxa"/>
            <w:noWrap w:val="0"/>
            <w:vAlign w:val="center"/>
          </w:tcPr>
          <w:p w14:paraId="0FFD2DA3">
            <w:pPr>
              <w:pStyle w:val="39"/>
              <w:jc w:val="center"/>
              <w:textAlignment w:val="center"/>
              <w:rPr>
                <w:rFonts w:hint="eastAsia" w:ascii="宋体" w:hAnsi="宋体" w:eastAsia="宋体" w:cs="宋体"/>
                <w:color w:val="auto"/>
                <w:sz w:val="24"/>
                <w:szCs w:val="24"/>
                <w:highlight w:val="none"/>
              </w:rPr>
            </w:pPr>
          </w:p>
        </w:tc>
      </w:tr>
      <w:tr w14:paraId="3A0D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8" w:type="dxa"/>
            <w:vMerge w:val="continue"/>
            <w:noWrap w:val="0"/>
            <w:vAlign w:val="center"/>
          </w:tcPr>
          <w:p w14:paraId="4346B032">
            <w:pPr>
              <w:pStyle w:val="39"/>
              <w:jc w:val="center"/>
              <w:textAlignment w:val="center"/>
              <w:rPr>
                <w:rFonts w:hint="eastAsia" w:ascii="宋体" w:hAnsi="宋体" w:eastAsia="宋体" w:cs="宋体"/>
                <w:color w:val="auto"/>
                <w:sz w:val="24"/>
                <w:szCs w:val="24"/>
                <w:highlight w:val="none"/>
              </w:rPr>
            </w:pPr>
          </w:p>
        </w:tc>
        <w:tc>
          <w:tcPr>
            <w:tcW w:w="452" w:type="dxa"/>
            <w:noWrap w:val="0"/>
            <w:vAlign w:val="center"/>
          </w:tcPr>
          <w:p w14:paraId="66C5FB4B">
            <w:pPr>
              <w:pStyle w:val="39"/>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565" w:type="dxa"/>
            <w:noWrap w:val="0"/>
            <w:vAlign w:val="center"/>
          </w:tcPr>
          <w:p w14:paraId="7865008E">
            <w:pPr>
              <w:pStyle w:val="39"/>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投标报价不高于设定的预算金额；</w:t>
            </w:r>
          </w:p>
        </w:tc>
        <w:tc>
          <w:tcPr>
            <w:tcW w:w="602" w:type="dxa"/>
            <w:noWrap w:val="0"/>
            <w:vAlign w:val="center"/>
          </w:tcPr>
          <w:p w14:paraId="3657AFD8">
            <w:pPr>
              <w:pStyle w:val="39"/>
              <w:jc w:val="center"/>
              <w:textAlignment w:val="center"/>
              <w:rPr>
                <w:rFonts w:hint="eastAsia" w:ascii="宋体" w:hAnsi="宋体" w:eastAsia="宋体" w:cs="宋体"/>
                <w:color w:val="auto"/>
                <w:sz w:val="24"/>
                <w:szCs w:val="24"/>
                <w:highlight w:val="none"/>
              </w:rPr>
            </w:pPr>
          </w:p>
        </w:tc>
        <w:tc>
          <w:tcPr>
            <w:tcW w:w="551" w:type="dxa"/>
            <w:noWrap w:val="0"/>
            <w:vAlign w:val="center"/>
          </w:tcPr>
          <w:p w14:paraId="1DFF2F57">
            <w:pPr>
              <w:pStyle w:val="39"/>
              <w:jc w:val="center"/>
              <w:textAlignment w:val="center"/>
              <w:rPr>
                <w:rFonts w:hint="eastAsia" w:ascii="宋体" w:hAnsi="宋体" w:eastAsia="宋体" w:cs="宋体"/>
                <w:color w:val="auto"/>
                <w:sz w:val="24"/>
                <w:szCs w:val="24"/>
                <w:highlight w:val="none"/>
              </w:rPr>
            </w:pPr>
          </w:p>
        </w:tc>
      </w:tr>
      <w:tr w14:paraId="610E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8" w:type="dxa"/>
            <w:vMerge w:val="continue"/>
            <w:noWrap w:val="0"/>
            <w:vAlign w:val="center"/>
          </w:tcPr>
          <w:p w14:paraId="5E6F6EC9">
            <w:pPr>
              <w:pStyle w:val="39"/>
              <w:jc w:val="center"/>
              <w:textAlignment w:val="center"/>
              <w:rPr>
                <w:rFonts w:hint="eastAsia" w:ascii="宋体" w:hAnsi="宋体" w:eastAsia="宋体" w:cs="宋体"/>
                <w:color w:val="auto"/>
                <w:sz w:val="24"/>
                <w:szCs w:val="24"/>
                <w:highlight w:val="none"/>
              </w:rPr>
            </w:pPr>
          </w:p>
        </w:tc>
        <w:tc>
          <w:tcPr>
            <w:tcW w:w="452" w:type="dxa"/>
            <w:noWrap w:val="0"/>
            <w:vAlign w:val="center"/>
          </w:tcPr>
          <w:p w14:paraId="74C1E78F">
            <w:pPr>
              <w:pStyle w:val="39"/>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565" w:type="dxa"/>
            <w:noWrap w:val="0"/>
            <w:vAlign w:val="center"/>
          </w:tcPr>
          <w:p w14:paraId="2679611C">
            <w:pPr>
              <w:pStyle w:val="39"/>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供货期符合</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文件规定期限；</w:t>
            </w:r>
          </w:p>
        </w:tc>
        <w:tc>
          <w:tcPr>
            <w:tcW w:w="602" w:type="dxa"/>
            <w:noWrap w:val="0"/>
            <w:vAlign w:val="center"/>
          </w:tcPr>
          <w:p w14:paraId="5DE92572">
            <w:pPr>
              <w:pStyle w:val="39"/>
              <w:jc w:val="center"/>
              <w:textAlignment w:val="center"/>
              <w:rPr>
                <w:rFonts w:hint="eastAsia" w:ascii="宋体" w:hAnsi="宋体" w:eastAsia="宋体" w:cs="宋体"/>
                <w:color w:val="auto"/>
                <w:sz w:val="24"/>
                <w:szCs w:val="24"/>
                <w:highlight w:val="none"/>
              </w:rPr>
            </w:pPr>
          </w:p>
        </w:tc>
        <w:tc>
          <w:tcPr>
            <w:tcW w:w="551" w:type="dxa"/>
            <w:noWrap w:val="0"/>
            <w:vAlign w:val="center"/>
          </w:tcPr>
          <w:p w14:paraId="49628066">
            <w:pPr>
              <w:pStyle w:val="39"/>
              <w:jc w:val="center"/>
              <w:textAlignment w:val="center"/>
              <w:rPr>
                <w:rFonts w:hint="eastAsia" w:ascii="宋体" w:hAnsi="宋体" w:eastAsia="宋体" w:cs="宋体"/>
                <w:color w:val="auto"/>
                <w:sz w:val="24"/>
                <w:szCs w:val="24"/>
                <w:highlight w:val="none"/>
              </w:rPr>
            </w:pPr>
          </w:p>
        </w:tc>
      </w:tr>
      <w:tr w14:paraId="6AC7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8" w:type="dxa"/>
            <w:vMerge w:val="continue"/>
            <w:noWrap w:val="0"/>
            <w:vAlign w:val="center"/>
          </w:tcPr>
          <w:p w14:paraId="43F8CE4D">
            <w:pPr>
              <w:pStyle w:val="39"/>
              <w:jc w:val="center"/>
              <w:textAlignment w:val="center"/>
              <w:rPr>
                <w:rFonts w:hint="eastAsia" w:ascii="宋体" w:hAnsi="宋体" w:eastAsia="宋体" w:cs="宋体"/>
                <w:color w:val="auto"/>
                <w:sz w:val="24"/>
                <w:szCs w:val="24"/>
                <w:highlight w:val="none"/>
              </w:rPr>
            </w:pPr>
          </w:p>
        </w:tc>
        <w:tc>
          <w:tcPr>
            <w:tcW w:w="452" w:type="dxa"/>
            <w:noWrap w:val="0"/>
            <w:vAlign w:val="center"/>
          </w:tcPr>
          <w:p w14:paraId="7C741DE2">
            <w:pPr>
              <w:pStyle w:val="39"/>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565" w:type="dxa"/>
            <w:noWrap w:val="0"/>
            <w:vAlign w:val="center"/>
          </w:tcPr>
          <w:p w14:paraId="3B455FFE">
            <w:pPr>
              <w:pStyle w:val="39"/>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文件规定的格式要求编制响应文件，实质性响应</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文件内容；</w:t>
            </w:r>
          </w:p>
        </w:tc>
        <w:tc>
          <w:tcPr>
            <w:tcW w:w="602" w:type="dxa"/>
            <w:noWrap w:val="0"/>
            <w:vAlign w:val="center"/>
          </w:tcPr>
          <w:p w14:paraId="66FC9CCF">
            <w:pPr>
              <w:pStyle w:val="39"/>
              <w:jc w:val="center"/>
              <w:textAlignment w:val="center"/>
              <w:rPr>
                <w:rFonts w:hint="eastAsia" w:ascii="宋体" w:hAnsi="宋体" w:eastAsia="宋体" w:cs="宋体"/>
                <w:color w:val="auto"/>
                <w:sz w:val="24"/>
                <w:szCs w:val="24"/>
                <w:highlight w:val="none"/>
              </w:rPr>
            </w:pPr>
          </w:p>
        </w:tc>
        <w:tc>
          <w:tcPr>
            <w:tcW w:w="551" w:type="dxa"/>
            <w:noWrap w:val="0"/>
            <w:vAlign w:val="center"/>
          </w:tcPr>
          <w:p w14:paraId="27314036">
            <w:pPr>
              <w:pStyle w:val="39"/>
              <w:jc w:val="center"/>
              <w:textAlignment w:val="center"/>
              <w:rPr>
                <w:rFonts w:hint="eastAsia" w:ascii="宋体" w:hAnsi="宋体" w:eastAsia="宋体" w:cs="宋体"/>
                <w:color w:val="auto"/>
                <w:sz w:val="24"/>
                <w:szCs w:val="24"/>
                <w:highlight w:val="none"/>
              </w:rPr>
            </w:pPr>
          </w:p>
        </w:tc>
      </w:tr>
      <w:tr w14:paraId="0050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8" w:type="dxa"/>
            <w:vMerge w:val="continue"/>
            <w:noWrap w:val="0"/>
            <w:vAlign w:val="center"/>
          </w:tcPr>
          <w:p w14:paraId="4F8DD647">
            <w:pPr>
              <w:pStyle w:val="39"/>
              <w:jc w:val="center"/>
              <w:textAlignment w:val="center"/>
              <w:rPr>
                <w:rFonts w:hint="eastAsia" w:ascii="宋体" w:hAnsi="宋体" w:eastAsia="宋体" w:cs="宋体"/>
                <w:color w:val="auto"/>
                <w:sz w:val="24"/>
                <w:szCs w:val="24"/>
                <w:highlight w:val="none"/>
              </w:rPr>
            </w:pPr>
          </w:p>
        </w:tc>
        <w:tc>
          <w:tcPr>
            <w:tcW w:w="452" w:type="dxa"/>
            <w:noWrap w:val="0"/>
            <w:vAlign w:val="center"/>
          </w:tcPr>
          <w:p w14:paraId="4719F96E">
            <w:pPr>
              <w:pStyle w:val="39"/>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565" w:type="dxa"/>
            <w:noWrap w:val="0"/>
            <w:vAlign w:val="center"/>
          </w:tcPr>
          <w:p w14:paraId="7E5FBAEE">
            <w:pPr>
              <w:pStyle w:val="39"/>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响应文件不得附有采购人不能接受的条件；</w:t>
            </w:r>
          </w:p>
        </w:tc>
        <w:tc>
          <w:tcPr>
            <w:tcW w:w="602" w:type="dxa"/>
            <w:noWrap w:val="0"/>
            <w:vAlign w:val="center"/>
          </w:tcPr>
          <w:p w14:paraId="7B9A0471">
            <w:pPr>
              <w:pStyle w:val="39"/>
              <w:jc w:val="center"/>
              <w:textAlignment w:val="center"/>
              <w:rPr>
                <w:rFonts w:hint="eastAsia" w:ascii="宋体" w:hAnsi="宋体" w:eastAsia="宋体" w:cs="宋体"/>
                <w:color w:val="auto"/>
                <w:sz w:val="24"/>
                <w:szCs w:val="24"/>
                <w:highlight w:val="none"/>
              </w:rPr>
            </w:pPr>
          </w:p>
        </w:tc>
        <w:tc>
          <w:tcPr>
            <w:tcW w:w="551" w:type="dxa"/>
            <w:noWrap w:val="0"/>
            <w:vAlign w:val="center"/>
          </w:tcPr>
          <w:p w14:paraId="34AA08CB">
            <w:pPr>
              <w:pStyle w:val="39"/>
              <w:jc w:val="center"/>
              <w:textAlignment w:val="center"/>
              <w:rPr>
                <w:rFonts w:hint="eastAsia" w:ascii="宋体" w:hAnsi="宋体" w:eastAsia="宋体" w:cs="宋体"/>
                <w:color w:val="auto"/>
                <w:sz w:val="24"/>
                <w:szCs w:val="24"/>
                <w:highlight w:val="none"/>
              </w:rPr>
            </w:pPr>
          </w:p>
        </w:tc>
      </w:tr>
      <w:tr w14:paraId="53A3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8" w:type="dxa"/>
            <w:vMerge w:val="continue"/>
            <w:noWrap w:val="0"/>
            <w:vAlign w:val="center"/>
          </w:tcPr>
          <w:p w14:paraId="41F5470C">
            <w:pPr>
              <w:pStyle w:val="39"/>
              <w:jc w:val="center"/>
              <w:textAlignment w:val="center"/>
              <w:rPr>
                <w:rFonts w:hint="eastAsia" w:ascii="宋体" w:hAnsi="宋体" w:eastAsia="宋体" w:cs="宋体"/>
                <w:color w:val="auto"/>
                <w:sz w:val="24"/>
                <w:szCs w:val="24"/>
                <w:highlight w:val="none"/>
              </w:rPr>
            </w:pPr>
          </w:p>
        </w:tc>
        <w:tc>
          <w:tcPr>
            <w:tcW w:w="452" w:type="dxa"/>
            <w:noWrap w:val="0"/>
            <w:vAlign w:val="center"/>
          </w:tcPr>
          <w:p w14:paraId="1BC850D6">
            <w:pPr>
              <w:pStyle w:val="39"/>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565" w:type="dxa"/>
            <w:noWrap w:val="0"/>
            <w:vAlign w:val="center"/>
          </w:tcPr>
          <w:p w14:paraId="19427965">
            <w:pPr>
              <w:pStyle w:val="39"/>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响应文件实质性响应</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r>
              <w:rPr>
                <w:rFonts w:hint="eastAsia" w:ascii="宋体" w:hAnsi="宋体" w:cs="宋体"/>
                <w:color w:val="auto"/>
                <w:sz w:val="24"/>
                <w:szCs w:val="24"/>
                <w:lang w:val="en-US" w:eastAsia="zh-CN"/>
              </w:rPr>
              <w:t>技术</w:t>
            </w:r>
            <w:r>
              <w:rPr>
                <w:rFonts w:hint="eastAsia" w:ascii="宋体" w:hAnsi="宋体" w:eastAsia="宋体" w:cs="宋体"/>
                <w:color w:val="auto"/>
                <w:sz w:val="24"/>
                <w:szCs w:val="24"/>
              </w:rPr>
              <w:t>要求。</w:t>
            </w:r>
          </w:p>
        </w:tc>
        <w:tc>
          <w:tcPr>
            <w:tcW w:w="602" w:type="dxa"/>
            <w:noWrap w:val="0"/>
            <w:vAlign w:val="center"/>
          </w:tcPr>
          <w:p w14:paraId="1D212A9D">
            <w:pPr>
              <w:pStyle w:val="39"/>
              <w:jc w:val="center"/>
              <w:textAlignment w:val="center"/>
              <w:rPr>
                <w:rFonts w:hint="eastAsia" w:ascii="宋体" w:hAnsi="宋体" w:eastAsia="宋体" w:cs="宋体"/>
                <w:color w:val="auto"/>
                <w:sz w:val="24"/>
                <w:szCs w:val="24"/>
                <w:highlight w:val="none"/>
              </w:rPr>
            </w:pPr>
          </w:p>
        </w:tc>
        <w:tc>
          <w:tcPr>
            <w:tcW w:w="551" w:type="dxa"/>
            <w:noWrap w:val="0"/>
            <w:vAlign w:val="center"/>
          </w:tcPr>
          <w:p w14:paraId="3B3E71CB">
            <w:pPr>
              <w:pStyle w:val="39"/>
              <w:jc w:val="center"/>
              <w:textAlignment w:val="center"/>
              <w:rPr>
                <w:rFonts w:hint="eastAsia" w:ascii="宋体" w:hAnsi="宋体" w:eastAsia="宋体" w:cs="宋体"/>
                <w:color w:val="auto"/>
                <w:sz w:val="24"/>
                <w:szCs w:val="24"/>
                <w:highlight w:val="none"/>
              </w:rPr>
            </w:pPr>
          </w:p>
        </w:tc>
      </w:tr>
      <w:tr w14:paraId="2975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8948" w:type="dxa"/>
            <w:gridSpan w:val="5"/>
            <w:noWrap w:val="0"/>
            <w:vAlign w:val="center"/>
          </w:tcPr>
          <w:p w14:paraId="116EF58C">
            <w:pPr>
              <w:pStyle w:val="39"/>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备注：如果响应文件中有一项未通过上述审查标准，评标小组将认定整个响应文件不响应采购文件而予以无效处理，并且不允许供应商通过修改或撤销其不符合要求的差异或保留，使之成为具有响应性的投标。</w:t>
            </w:r>
          </w:p>
        </w:tc>
      </w:tr>
    </w:tbl>
    <w:p w14:paraId="6840F738">
      <w:pPr>
        <w:pStyle w:val="11"/>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3.2.1在响应文件符合性检查过程中，如果出现评标委员会成员意见不一致的情况，按照少数服从多数的原则确定，但不得违背政府采购基本原则和采购文件规定。</w:t>
      </w:r>
    </w:p>
    <w:p w14:paraId="4CCFC2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澄清有关问题。对响应文件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响应文件的范围或者改变响应文件的实质性内容。</w:t>
      </w:r>
      <w:bookmarkStart w:id="262" w:name="_Toc217446104"/>
      <w:bookmarkStart w:id="263" w:name="_Toc183582287"/>
      <w:bookmarkStart w:id="264" w:name="_Toc183682422"/>
    </w:p>
    <w:bookmarkEnd w:id="262"/>
    <w:bookmarkEnd w:id="263"/>
    <w:bookmarkEnd w:id="264"/>
    <w:p w14:paraId="7A8464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3.4比较与评价。按采购文件中规定的评标方法和标准，对符合性检查合格的响应文件进行商务和服务评估，综合比较与评价。</w:t>
      </w:r>
    </w:p>
    <w:p w14:paraId="7DAB62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3.5推荐</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候选供应商名单。</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候选供应商数量应当根据采购需要确定，但必须按顺序排列</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候选供应商。</w:t>
      </w:r>
    </w:p>
    <w:p w14:paraId="5B6F58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3.5.1本项目采用综合评分法，评标结果按评审后得分由高到低顺序排列。得分相同的，按投标报价由低到高顺序排列。得分且投标报价相同的排序并列。</w:t>
      </w:r>
    </w:p>
    <w:p w14:paraId="23326D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3.6编写评标报告。评标报告是评标委员会根据全体评标成员签字的原始评标记录和评标结果编写的报告，其主要内容包括：</w:t>
      </w:r>
    </w:p>
    <w:p w14:paraId="45D0B2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（1）项目概况、开标日期和地点；</w:t>
      </w:r>
    </w:p>
    <w:p w14:paraId="195E3D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（2）购买采购文件的供应商名单和评标委员会成员名单；</w:t>
      </w:r>
    </w:p>
    <w:p w14:paraId="60C5A9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（3）评标方法和标准；</w:t>
      </w:r>
    </w:p>
    <w:p w14:paraId="2F93CB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（4）开标记录和评标情况及说明，包括投标无效供应商名单及原因；</w:t>
      </w:r>
    </w:p>
    <w:p w14:paraId="6102128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（5）评标结果和</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候选供应商排序。</w:t>
      </w:r>
    </w:p>
    <w:p w14:paraId="78440407">
      <w:pPr>
        <w:pStyle w:val="3"/>
        <w:spacing w:before="0" w:after="0" w:line="360" w:lineRule="auto"/>
        <w:ind w:firstLine="482" w:firstLineChars="200"/>
        <w:rPr>
          <w:rFonts w:hint="eastAsia" w:ascii="宋体" w:hAnsi="宋体" w:eastAsia="宋体" w:cs="宋体"/>
          <w:color w:val="auto"/>
          <w:sz w:val="24"/>
          <w:szCs w:val="24"/>
          <w:highlight w:val="none"/>
        </w:rPr>
      </w:pPr>
      <w:bookmarkStart w:id="265" w:name="_Toc217446103"/>
      <w:bookmarkStart w:id="266" w:name="_Toc5513"/>
      <w:bookmarkStart w:id="267" w:name="_Toc26231"/>
      <w:r>
        <w:rPr>
          <w:rFonts w:hint="eastAsia" w:ascii="宋体" w:hAnsi="宋体" w:eastAsia="宋体" w:cs="宋体"/>
          <w:color w:val="auto"/>
          <w:sz w:val="24"/>
          <w:szCs w:val="24"/>
          <w:highlight w:val="none"/>
        </w:rPr>
        <w:t>4. 评标细则及标准</w:t>
      </w:r>
      <w:bookmarkEnd w:id="265"/>
      <w:bookmarkEnd w:id="266"/>
      <w:bookmarkEnd w:id="267"/>
    </w:p>
    <w:p w14:paraId="1267E1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评委会只对通过符合性检查的响应文件，根据采购文件的要求采用相同的评标程序、评分办法及标准进行评价和比较。</w:t>
      </w:r>
    </w:p>
    <w:p w14:paraId="72E55F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本次综合评分的因素是：价格、服务、信誉、业绩、对采购文件的响应程度和（如涉及）节能、环境标志产品及响应文件规范性等。</w:t>
      </w:r>
    </w:p>
    <w:p w14:paraId="1ED031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除价格因素外，评委会成员应依据响应文件规定的评分标准和方法独立对其他因素进行比较打分。</w:t>
      </w:r>
    </w:p>
    <w:p w14:paraId="6888E1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在评标过程中，响应文件有下列情况之一，评标委员会成员应当按照采购文件规定的非实质性偏离进行扣分：</w:t>
      </w:r>
    </w:p>
    <w:p w14:paraId="6FD50B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14:paraId="2C49A1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（2）响应文件未编制目录、页码；</w:t>
      </w:r>
    </w:p>
    <w:p w14:paraId="718BD3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（3）认定的与采购文件第五章规定的技术、商务和其他规定要求不符的非实质性偏离</w:t>
      </w:r>
    </w:p>
    <w:p w14:paraId="2FD146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（4）认定的其他非实质性偏离。</w:t>
      </w:r>
    </w:p>
    <w:p w14:paraId="7032AB82">
      <w:pPr>
        <w:pStyle w:val="11"/>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4.5综合评分明细表</w:t>
      </w:r>
    </w:p>
    <w:p w14:paraId="1E1ADB17">
      <w:pPr>
        <w:pStyle w:val="11"/>
        <w:keepNext w:val="0"/>
        <w:keepLines w:val="0"/>
        <w:pageBreakBefore w:val="0"/>
        <w:widowControl w:val="0"/>
        <w:tabs>
          <w:tab w:val="left" w:pos="600"/>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4.5.1综合评分明细表的制定以科学合理、降低评标委员会自由裁量权为原则。</w:t>
      </w:r>
    </w:p>
    <w:p w14:paraId="75A77368">
      <w:pPr>
        <w:pStyle w:val="11"/>
        <w:keepNext w:val="0"/>
        <w:keepLines w:val="0"/>
        <w:pageBreakBefore w:val="0"/>
        <w:widowControl w:val="0"/>
        <w:tabs>
          <w:tab w:val="left" w:pos="600"/>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4.5.2评标委员会将按照下述评分标准对通过符合性检查的响应文件进行详细评审，供应商评审得分等于所有评委评分的算术平均值，结果保留两位小数。</w:t>
      </w:r>
    </w:p>
    <w:p w14:paraId="6267B3BC">
      <w:pPr>
        <w:pStyle w:val="11"/>
        <w:keepNext w:val="0"/>
        <w:keepLines w:val="0"/>
        <w:pageBreakBefore w:val="0"/>
        <w:widowControl w:val="0"/>
        <w:tabs>
          <w:tab w:val="left" w:pos="600"/>
        </w:tabs>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评标因素权重表：</w:t>
      </w:r>
    </w:p>
    <w:tbl>
      <w:tblPr>
        <w:tblStyle w:val="27"/>
        <w:tblW w:w="0" w:type="auto"/>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995"/>
        <w:gridCol w:w="1815"/>
        <w:gridCol w:w="2700"/>
      </w:tblGrid>
      <w:tr w14:paraId="750F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950" w:type="dxa"/>
            <w:tcBorders>
              <w:top w:val="single" w:color="auto" w:sz="4" w:space="0"/>
              <w:left w:val="single" w:color="auto" w:sz="4" w:space="0"/>
              <w:bottom w:val="single" w:color="auto" w:sz="4" w:space="0"/>
              <w:right w:val="single" w:color="auto" w:sz="4" w:space="0"/>
            </w:tcBorders>
            <w:noWrap w:val="0"/>
            <w:vAlign w:val="center"/>
          </w:tcPr>
          <w:p w14:paraId="683B466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24FEE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F14FA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41638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3CB8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0" w:type="dxa"/>
            <w:tcBorders>
              <w:top w:val="single" w:color="auto" w:sz="4" w:space="0"/>
              <w:left w:val="single" w:color="auto" w:sz="4" w:space="0"/>
              <w:bottom w:val="single" w:color="auto" w:sz="4" w:space="0"/>
              <w:right w:val="single" w:color="auto" w:sz="4" w:space="0"/>
            </w:tcBorders>
            <w:noWrap w:val="0"/>
            <w:vAlign w:val="center"/>
          </w:tcPr>
          <w:p w14:paraId="326C01F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评标因素</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5F3A31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1A178F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技术、商务部分</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5BA1EB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r>
      <w:tr w14:paraId="4046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50" w:type="dxa"/>
            <w:tcBorders>
              <w:top w:val="single" w:color="auto" w:sz="4" w:space="0"/>
              <w:left w:val="single" w:color="auto" w:sz="4" w:space="0"/>
              <w:bottom w:val="single" w:color="auto" w:sz="4" w:space="0"/>
              <w:right w:val="single" w:color="auto" w:sz="4" w:space="0"/>
            </w:tcBorders>
            <w:noWrap w:val="0"/>
            <w:vAlign w:val="center"/>
          </w:tcPr>
          <w:p w14:paraId="5293FA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分值</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CDEE21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30分</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2CF0A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70分</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EABB3B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100分</w:t>
            </w:r>
          </w:p>
        </w:tc>
      </w:tr>
    </w:tbl>
    <w:p w14:paraId="283253C0">
      <w:pPr>
        <w:jc w:val="center"/>
        <w:rPr>
          <w:rFonts w:hint="eastAsia" w:ascii="宋体" w:hAnsi="宋体" w:eastAsia="宋体" w:cs="宋体"/>
          <w:b/>
          <w:bCs/>
          <w:color w:val="auto"/>
          <w:sz w:val="24"/>
          <w:szCs w:val="24"/>
          <w:highlight w:val="none"/>
        </w:rPr>
      </w:pPr>
    </w:p>
    <w:p w14:paraId="26DEC617">
      <w:pPr>
        <w:jc w:val="center"/>
        <w:rPr>
          <w:rFonts w:hint="eastAsia" w:ascii="宋体" w:hAnsi="宋体" w:eastAsia="宋体" w:cs="宋体"/>
          <w:b/>
          <w:bCs/>
          <w:color w:val="auto"/>
          <w:sz w:val="24"/>
          <w:szCs w:val="24"/>
          <w:highlight w:val="none"/>
        </w:rPr>
      </w:pPr>
    </w:p>
    <w:p w14:paraId="211F11F6">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32CC105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技术评分标准（</w:t>
      </w:r>
      <w:r>
        <w:rPr>
          <w:rFonts w:hint="eastAsia" w:ascii="宋体" w:hAnsi="宋体" w:eastAsia="宋体" w:cs="宋体"/>
          <w:b/>
          <w:color w:val="auto"/>
          <w:spacing w:val="-2"/>
          <w:sz w:val="24"/>
          <w:szCs w:val="24"/>
          <w:highlight w:val="none"/>
          <w:lang w:val="en-US" w:eastAsia="zh-CN"/>
        </w:rPr>
        <w:t>70分</w:t>
      </w:r>
      <w:r>
        <w:rPr>
          <w:rFonts w:hint="eastAsia" w:ascii="宋体" w:hAnsi="宋体" w:eastAsia="宋体" w:cs="宋体"/>
          <w:b/>
          <w:bCs/>
          <w:color w:val="auto"/>
          <w:sz w:val="24"/>
          <w:szCs w:val="24"/>
          <w:highlight w:val="none"/>
        </w:rPr>
        <w:t>）</w:t>
      </w:r>
    </w:p>
    <w:p w14:paraId="0551DB28">
      <w:pPr>
        <w:rPr>
          <w:rFonts w:hint="eastAsia" w:ascii="宋体" w:hAnsi="宋体" w:eastAsia="宋体" w:cs="宋体"/>
          <w:b/>
          <w:bCs/>
          <w:color w:val="auto"/>
          <w:sz w:val="24"/>
          <w:szCs w:val="24"/>
          <w:highlight w:val="none"/>
        </w:rPr>
      </w:pP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730"/>
        <w:gridCol w:w="6200"/>
        <w:gridCol w:w="947"/>
      </w:tblGrid>
      <w:tr w14:paraId="6B044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54" w:type="dxa"/>
            <w:noWrap w:val="0"/>
            <w:vAlign w:val="center"/>
          </w:tcPr>
          <w:p w14:paraId="5A664F19">
            <w:pPr>
              <w:pStyle w:val="53"/>
              <w:spacing w:before="0" w:after="0" w:line="240" w:lineRule="auto"/>
              <w:ind w:firstLine="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1730" w:type="dxa"/>
            <w:noWrap w:val="0"/>
            <w:vAlign w:val="center"/>
          </w:tcPr>
          <w:p w14:paraId="213110B9">
            <w:pPr>
              <w:pStyle w:val="53"/>
              <w:spacing w:before="0" w:after="0" w:line="240" w:lineRule="auto"/>
              <w:ind w:firstLine="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考核项目</w:t>
            </w:r>
          </w:p>
        </w:tc>
        <w:tc>
          <w:tcPr>
            <w:tcW w:w="6200" w:type="dxa"/>
            <w:noWrap w:val="0"/>
            <w:vAlign w:val="center"/>
          </w:tcPr>
          <w:p w14:paraId="083A9179">
            <w:pPr>
              <w:pStyle w:val="53"/>
              <w:spacing w:before="0" w:after="0" w:line="240" w:lineRule="auto"/>
              <w:ind w:firstLine="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评分标准（须作出评估具体依据和理由）</w:t>
            </w:r>
          </w:p>
        </w:tc>
        <w:tc>
          <w:tcPr>
            <w:tcW w:w="947" w:type="dxa"/>
            <w:noWrap w:val="0"/>
            <w:vAlign w:val="center"/>
          </w:tcPr>
          <w:p w14:paraId="434982B2">
            <w:pPr>
              <w:pStyle w:val="53"/>
              <w:spacing w:before="0" w:after="0" w:line="240" w:lineRule="auto"/>
              <w:ind w:firstLine="0"/>
              <w:jc w:val="center"/>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lang w:val="en-US" w:eastAsia="zh-CN"/>
              </w:rPr>
              <w:t>分值</w:t>
            </w:r>
          </w:p>
        </w:tc>
      </w:tr>
      <w:tr w14:paraId="437C3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631" w:type="dxa"/>
            <w:gridSpan w:val="4"/>
            <w:noWrap w:val="0"/>
            <w:vAlign w:val="center"/>
          </w:tcPr>
          <w:p w14:paraId="44F7FFF5">
            <w:pPr>
              <w:pStyle w:val="53"/>
              <w:tabs>
                <w:tab w:val="left" w:pos="478"/>
              </w:tabs>
              <w:spacing w:before="0" w:after="0" w:line="240" w:lineRule="auto"/>
              <w:ind w:firstLine="0"/>
              <w:jc w:val="center"/>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lang w:val="en-US" w:eastAsia="zh-CN"/>
              </w:rPr>
              <w:t>商务部分（10分）</w:t>
            </w:r>
          </w:p>
        </w:tc>
      </w:tr>
      <w:tr w14:paraId="6A5BE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54" w:type="dxa"/>
            <w:noWrap w:val="0"/>
            <w:vAlign w:val="center"/>
          </w:tcPr>
          <w:p w14:paraId="1F1F3529">
            <w:pPr>
              <w:pStyle w:val="53"/>
              <w:spacing w:before="0" w:after="0" w:line="240" w:lineRule="auto"/>
              <w:ind w:firstLine="0"/>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w:t>
            </w:r>
          </w:p>
        </w:tc>
        <w:tc>
          <w:tcPr>
            <w:tcW w:w="1730" w:type="dxa"/>
            <w:noWrap w:val="0"/>
            <w:vAlign w:val="center"/>
          </w:tcPr>
          <w:p w14:paraId="16008753">
            <w:pPr>
              <w:jc w:val="center"/>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类似业绩</w:t>
            </w:r>
          </w:p>
          <w:p w14:paraId="15FFB6AE">
            <w:pPr>
              <w:jc w:val="center"/>
              <w:rPr>
                <w:rFonts w:hint="eastAsia" w:ascii="宋体" w:hAnsi="宋体" w:eastAsia="宋体" w:cs="宋体"/>
                <w:bCs/>
                <w:color w:val="auto"/>
                <w:spacing w:val="0"/>
                <w:sz w:val="24"/>
                <w:szCs w:val="24"/>
                <w:highlight w:val="none"/>
                <w:lang w:val="en-US" w:eastAsia="zh-CN"/>
              </w:rPr>
            </w:pPr>
            <w:r>
              <w:rPr>
                <w:rFonts w:hint="eastAsia" w:asciiTheme="majorEastAsia" w:hAnsiTheme="majorEastAsia" w:eastAsiaTheme="majorEastAsia" w:cstheme="majorEastAsia"/>
                <w:color w:val="000000"/>
                <w:sz w:val="24"/>
                <w:szCs w:val="24"/>
                <w:lang w:val="en-US" w:eastAsia="zh-CN"/>
              </w:rPr>
              <w:t>（5分）</w:t>
            </w:r>
          </w:p>
        </w:tc>
        <w:tc>
          <w:tcPr>
            <w:tcW w:w="6200" w:type="dxa"/>
            <w:noWrap w:val="0"/>
            <w:vAlign w:val="center"/>
          </w:tcPr>
          <w:p w14:paraId="4BBED0AD">
            <w:pPr>
              <w:spacing w:line="360" w:lineRule="auto"/>
              <w:jc w:val="left"/>
              <w:rPr>
                <w:rFonts w:hint="eastAsia" w:asciiTheme="majorEastAsia" w:hAnsiTheme="majorEastAsia" w:eastAsiaTheme="majorEastAsia" w:cstheme="majorEastAsia"/>
                <w:color w:val="000000"/>
                <w:sz w:val="24"/>
                <w:szCs w:val="21"/>
                <w:lang w:val="en-US" w:eastAsia="zh-CN"/>
              </w:rPr>
            </w:pPr>
            <w:r>
              <w:rPr>
                <w:rFonts w:hint="eastAsia" w:asciiTheme="majorEastAsia" w:hAnsiTheme="majorEastAsia" w:eastAsiaTheme="majorEastAsia" w:cstheme="majorEastAsia"/>
                <w:color w:val="000000"/>
                <w:sz w:val="24"/>
                <w:szCs w:val="21"/>
                <w:lang w:val="en-US" w:eastAsia="zh-CN"/>
              </w:rPr>
              <w:t>2022年1月1日至今，投标人每有1个类似项目业绩得1分，最多得5分，无不得分。</w:t>
            </w:r>
          </w:p>
          <w:p w14:paraId="3DE9819C">
            <w:pPr>
              <w:spacing w:line="360" w:lineRule="auto"/>
              <w:jc w:val="left"/>
              <w:rPr>
                <w:rFonts w:hint="default"/>
                <w:lang w:val="en-US" w:eastAsia="zh-CN"/>
              </w:rPr>
            </w:pPr>
            <w:r>
              <w:rPr>
                <w:rFonts w:hint="eastAsia" w:asciiTheme="majorEastAsia" w:hAnsiTheme="majorEastAsia" w:eastAsiaTheme="majorEastAsia" w:cstheme="majorEastAsia"/>
                <w:color w:val="000000"/>
                <w:sz w:val="24"/>
                <w:szCs w:val="21"/>
                <w:lang w:val="en-US" w:eastAsia="zh-CN"/>
              </w:rPr>
              <w:t>注：需提供中标通知书或合同等证明材料，并加盖投标人公章，否则不得分。业绩资料原件留存，中标后审核原件。</w:t>
            </w:r>
          </w:p>
        </w:tc>
        <w:tc>
          <w:tcPr>
            <w:tcW w:w="947" w:type="dxa"/>
            <w:noWrap w:val="0"/>
            <w:vAlign w:val="center"/>
          </w:tcPr>
          <w:p w14:paraId="1EDBC294">
            <w:pPr>
              <w:pStyle w:val="53"/>
              <w:spacing w:before="0" w:after="0" w:line="240" w:lineRule="auto"/>
              <w:ind w:firstLine="0"/>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5分</w:t>
            </w:r>
          </w:p>
        </w:tc>
      </w:tr>
      <w:tr w14:paraId="73E2A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54" w:type="dxa"/>
            <w:noWrap w:val="0"/>
            <w:vAlign w:val="center"/>
          </w:tcPr>
          <w:p w14:paraId="55D610E8">
            <w:pPr>
              <w:pStyle w:val="53"/>
              <w:spacing w:before="0" w:after="0" w:line="240" w:lineRule="auto"/>
              <w:ind w:firstLine="0"/>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w:t>
            </w:r>
          </w:p>
        </w:tc>
        <w:tc>
          <w:tcPr>
            <w:tcW w:w="1730" w:type="dxa"/>
            <w:noWrap w:val="0"/>
            <w:vAlign w:val="center"/>
          </w:tcPr>
          <w:p w14:paraId="058ECA68">
            <w:pPr>
              <w:jc w:val="center"/>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体系认证</w:t>
            </w:r>
          </w:p>
          <w:p w14:paraId="34BC36A0">
            <w:pPr>
              <w:jc w:val="center"/>
              <w:rPr>
                <w:rFonts w:hint="eastAsia" w:ascii="宋体" w:hAnsi="宋体" w:eastAsia="宋体" w:cs="宋体"/>
                <w:bCs/>
                <w:color w:val="auto"/>
                <w:spacing w:val="0"/>
                <w:sz w:val="24"/>
                <w:szCs w:val="24"/>
                <w:highlight w:val="none"/>
                <w:lang w:val="en-US" w:eastAsia="zh-CN"/>
              </w:rPr>
            </w:pPr>
            <w:r>
              <w:rPr>
                <w:rFonts w:hint="eastAsia" w:asciiTheme="majorEastAsia" w:hAnsiTheme="majorEastAsia" w:eastAsiaTheme="majorEastAsia" w:cstheme="majorEastAsia"/>
                <w:color w:val="000000"/>
                <w:sz w:val="24"/>
                <w:szCs w:val="24"/>
                <w:lang w:val="en-US" w:eastAsia="zh-CN"/>
              </w:rPr>
              <w:t>（3分）</w:t>
            </w:r>
          </w:p>
        </w:tc>
        <w:tc>
          <w:tcPr>
            <w:tcW w:w="6200" w:type="dxa"/>
            <w:noWrap w:val="0"/>
            <w:vAlign w:val="center"/>
          </w:tcPr>
          <w:p w14:paraId="330330F3">
            <w:pPr>
              <w:keepNext w:val="0"/>
              <w:keepLines w:val="0"/>
              <w:pageBreakBefore w:val="0"/>
              <w:widowControl w:val="0"/>
              <w:numPr>
                <w:ilvl w:val="0"/>
                <w:numId w:val="0"/>
              </w:numPr>
              <w:kinsoku/>
              <w:wordWrap/>
              <w:overflowPunct/>
              <w:topLinePunct w:val="0"/>
              <w:autoSpaceDE/>
              <w:autoSpaceDN/>
              <w:bidi w:val="0"/>
              <w:spacing w:line="440" w:lineRule="exact"/>
              <w:ind w:leftChars="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提供质量体系认证证书得</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分</w:t>
            </w:r>
          </w:p>
          <w:p w14:paraId="2680A53C">
            <w:pPr>
              <w:keepNext w:val="0"/>
              <w:keepLines w:val="0"/>
              <w:pageBreakBefore w:val="0"/>
              <w:widowControl w:val="0"/>
              <w:numPr>
                <w:ilvl w:val="0"/>
                <w:numId w:val="0"/>
              </w:numPr>
              <w:kinsoku/>
              <w:wordWrap/>
              <w:overflowPunct/>
              <w:topLinePunct w:val="0"/>
              <w:autoSpaceDE/>
              <w:autoSpaceDN/>
              <w:bidi w:val="0"/>
              <w:spacing w:line="440" w:lineRule="exact"/>
              <w:ind w:leftChars="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提供环境管理体系认证证书得</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分</w:t>
            </w:r>
          </w:p>
          <w:p w14:paraId="3B1A87A3">
            <w:pPr>
              <w:keepNext w:val="0"/>
              <w:keepLines w:val="0"/>
              <w:pageBreakBefore w:val="0"/>
              <w:widowControl w:val="0"/>
              <w:numPr>
                <w:ilvl w:val="0"/>
                <w:numId w:val="0"/>
              </w:numPr>
              <w:kinsoku/>
              <w:wordWrap/>
              <w:overflowPunct/>
              <w:topLinePunct w:val="0"/>
              <w:autoSpaceDE/>
              <w:autoSpaceDN/>
              <w:bidi w:val="0"/>
              <w:spacing w:line="440" w:lineRule="exact"/>
              <w:ind w:leftChars="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提供职业健康安全管理体系认证证书得</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分</w:t>
            </w:r>
          </w:p>
          <w:p w14:paraId="165CF203">
            <w:pPr>
              <w:spacing w:line="360" w:lineRule="auto"/>
              <w:jc w:val="left"/>
              <w:rPr>
                <w:rFonts w:hint="eastAsia" w:asciiTheme="majorEastAsia" w:hAnsiTheme="majorEastAsia" w:eastAsiaTheme="majorEastAsia" w:cstheme="majorEastAsia"/>
                <w:color w:val="000000"/>
                <w:sz w:val="24"/>
                <w:szCs w:val="21"/>
                <w:lang w:val="en-US" w:eastAsia="zh-CN"/>
              </w:rPr>
            </w:pPr>
            <w:r>
              <w:rPr>
                <w:rFonts w:hint="default" w:ascii="宋体" w:hAnsi="宋体" w:eastAsia="宋体" w:cs="宋体"/>
                <w:color w:val="auto"/>
                <w:spacing w:val="0"/>
                <w:sz w:val="24"/>
                <w:szCs w:val="24"/>
                <w:highlight w:val="none"/>
                <w:lang w:val="en-US" w:eastAsia="zh-CN"/>
              </w:rPr>
              <w:t>提供证书扫描件及全国认证认可信息公共服务平台官网证书信息查询截图（http://cx.cnca.cn）</w:t>
            </w:r>
          </w:p>
        </w:tc>
        <w:tc>
          <w:tcPr>
            <w:tcW w:w="947" w:type="dxa"/>
            <w:noWrap w:val="0"/>
            <w:vAlign w:val="center"/>
          </w:tcPr>
          <w:p w14:paraId="1B473B29">
            <w:pPr>
              <w:pStyle w:val="53"/>
              <w:spacing w:before="0" w:after="0" w:line="240" w:lineRule="auto"/>
              <w:ind w:firstLine="0"/>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3分</w:t>
            </w:r>
          </w:p>
        </w:tc>
      </w:tr>
      <w:tr w14:paraId="67DA7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54" w:type="dxa"/>
            <w:noWrap w:val="0"/>
            <w:vAlign w:val="center"/>
          </w:tcPr>
          <w:p w14:paraId="2D920EDE">
            <w:pPr>
              <w:pStyle w:val="53"/>
              <w:spacing w:before="0" w:after="0" w:line="240" w:lineRule="auto"/>
              <w:ind w:firstLine="0"/>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3</w:t>
            </w:r>
          </w:p>
        </w:tc>
        <w:tc>
          <w:tcPr>
            <w:tcW w:w="1730" w:type="dxa"/>
            <w:noWrap w:val="0"/>
            <w:vAlign w:val="center"/>
          </w:tcPr>
          <w:p w14:paraId="381C93C7">
            <w:pPr>
              <w:jc w:val="center"/>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质保承诺</w:t>
            </w:r>
          </w:p>
          <w:p w14:paraId="2C7B71C7">
            <w:pPr>
              <w:jc w:val="center"/>
              <w:rPr>
                <w:rFonts w:hint="eastAsia" w:ascii="宋体" w:hAnsi="宋体" w:eastAsia="宋体" w:cs="宋体"/>
                <w:bCs/>
                <w:color w:val="auto"/>
                <w:spacing w:val="0"/>
                <w:sz w:val="24"/>
                <w:szCs w:val="24"/>
                <w:highlight w:val="none"/>
                <w:lang w:val="en-US" w:eastAsia="zh-CN"/>
              </w:rPr>
            </w:pPr>
            <w:r>
              <w:rPr>
                <w:rFonts w:hint="eastAsia" w:asciiTheme="majorEastAsia" w:hAnsiTheme="majorEastAsia" w:eastAsiaTheme="majorEastAsia" w:cstheme="majorEastAsia"/>
                <w:color w:val="000000"/>
                <w:sz w:val="24"/>
                <w:szCs w:val="24"/>
                <w:lang w:val="en-US" w:eastAsia="zh-CN"/>
              </w:rPr>
              <w:t>（2分）</w:t>
            </w:r>
          </w:p>
        </w:tc>
        <w:tc>
          <w:tcPr>
            <w:tcW w:w="6200" w:type="dxa"/>
            <w:noWrap w:val="0"/>
            <w:vAlign w:val="center"/>
          </w:tcPr>
          <w:p w14:paraId="3ADFD6E6">
            <w:pPr>
              <w:spacing w:line="360" w:lineRule="auto"/>
              <w:jc w:val="left"/>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免费质保期满足招标文件要求的基础上，所有产品每增加 1年免费质保，加 1分,最高得 2分。 </w:t>
            </w:r>
          </w:p>
          <w:p w14:paraId="6038B331">
            <w:pPr>
              <w:spacing w:line="360" w:lineRule="auto"/>
              <w:jc w:val="left"/>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注：以书面承诺作为评审依据。</w:t>
            </w:r>
          </w:p>
        </w:tc>
        <w:tc>
          <w:tcPr>
            <w:tcW w:w="947" w:type="dxa"/>
            <w:noWrap w:val="0"/>
            <w:vAlign w:val="center"/>
          </w:tcPr>
          <w:p w14:paraId="20A896A7">
            <w:pPr>
              <w:pStyle w:val="53"/>
              <w:spacing w:before="0" w:after="0" w:line="240" w:lineRule="auto"/>
              <w:ind w:firstLine="0"/>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2分</w:t>
            </w:r>
          </w:p>
        </w:tc>
      </w:tr>
      <w:tr w14:paraId="48055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631" w:type="dxa"/>
            <w:gridSpan w:val="4"/>
            <w:noWrap w:val="0"/>
            <w:vAlign w:val="center"/>
          </w:tcPr>
          <w:p w14:paraId="022DABF8">
            <w:pPr>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b/>
                <w:sz w:val="24"/>
                <w:szCs w:val="24"/>
                <w:lang w:val="en-US" w:eastAsia="zh-CN"/>
              </w:rPr>
              <w:t>技术部分（60分）</w:t>
            </w:r>
          </w:p>
        </w:tc>
      </w:tr>
      <w:tr w14:paraId="39F4A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41" w:hRule="atLeast"/>
          <w:jc w:val="center"/>
        </w:trPr>
        <w:tc>
          <w:tcPr>
            <w:tcW w:w="754" w:type="dxa"/>
            <w:noWrap w:val="0"/>
            <w:vAlign w:val="center"/>
          </w:tcPr>
          <w:p w14:paraId="520714A9">
            <w:pPr>
              <w:pStyle w:val="53"/>
              <w:spacing w:before="0" w:after="0" w:line="240" w:lineRule="auto"/>
              <w:ind w:firstLine="0"/>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w:t>
            </w:r>
          </w:p>
        </w:tc>
        <w:tc>
          <w:tcPr>
            <w:tcW w:w="1730" w:type="dxa"/>
            <w:noWrap w:val="0"/>
            <w:vAlign w:val="center"/>
          </w:tcPr>
          <w:p w14:paraId="712885A9">
            <w:pPr>
              <w:jc w:val="center"/>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技术要求</w:t>
            </w:r>
          </w:p>
          <w:p w14:paraId="203915AF">
            <w:pPr>
              <w:jc w:val="center"/>
              <w:rPr>
                <w:rFonts w:hint="eastAsia" w:ascii="宋体" w:hAnsi="宋体" w:eastAsia="宋体" w:cs="宋体"/>
                <w:bCs/>
                <w:color w:val="auto"/>
                <w:spacing w:val="0"/>
                <w:sz w:val="24"/>
                <w:szCs w:val="24"/>
                <w:highlight w:val="none"/>
                <w:lang w:val="en-US" w:eastAsia="zh-CN"/>
              </w:rPr>
            </w:pPr>
            <w:r>
              <w:rPr>
                <w:rFonts w:hint="eastAsia" w:asciiTheme="majorEastAsia" w:hAnsiTheme="majorEastAsia" w:eastAsiaTheme="majorEastAsia" w:cstheme="majorEastAsia"/>
                <w:color w:val="000000"/>
                <w:sz w:val="24"/>
                <w:szCs w:val="24"/>
                <w:lang w:val="en-US" w:eastAsia="zh-CN"/>
              </w:rPr>
              <w:t>（20分）</w:t>
            </w:r>
          </w:p>
          <w:p w14:paraId="29CCDDF3">
            <w:pPr>
              <w:jc w:val="center"/>
              <w:rPr>
                <w:rFonts w:hint="eastAsia" w:ascii="宋体" w:hAnsi="宋体" w:eastAsia="宋体" w:cs="宋体"/>
                <w:bCs/>
                <w:color w:val="auto"/>
                <w:spacing w:val="0"/>
                <w:sz w:val="24"/>
                <w:szCs w:val="24"/>
                <w:highlight w:val="none"/>
                <w:lang w:val="en-US" w:eastAsia="zh-CN"/>
              </w:rPr>
            </w:pPr>
          </w:p>
        </w:tc>
        <w:tc>
          <w:tcPr>
            <w:tcW w:w="6200" w:type="dxa"/>
            <w:noWrap w:val="0"/>
            <w:vAlign w:val="top"/>
          </w:tcPr>
          <w:p w14:paraId="53D39D73">
            <w:pPr>
              <w:keepNext w:val="0"/>
              <w:keepLines w:val="0"/>
              <w:pageBreakBefore w:val="0"/>
              <w:widowControl w:val="0"/>
              <w:numPr>
                <w:ilvl w:val="0"/>
                <w:numId w:val="0"/>
              </w:numPr>
              <w:kinsoku/>
              <w:wordWrap/>
              <w:overflowPunct/>
              <w:topLinePunct w:val="0"/>
              <w:autoSpaceDE/>
              <w:autoSpaceDN/>
              <w:bidi w:val="0"/>
              <w:spacing w:line="440" w:lineRule="exact"/>
              <w:ind w:leftChars="0"/>
              <w:rPr>
                <w:rFonts w:hint="eastAsia" w:asciiTheme="majorEastAsia" w:hAnsiTheme="majorEastAsia" w:eastAsiaTheme="majorEastAsia" w:cstheme="majorEastAsia"/>
                <w:color w:val="000000"/>
                <w:sz w:val="24"/>
                <w:szCs w:val="21"/>
              </w:rPr>
            </w:pPr>
            <w:r>
              <w:rPr>
                <w:rFonts w:hint="eastAsia" w:ascii="宋体" w:hAnsi="宋体" w:eastAsia="宋体" w:cs="宋体"/>
                <w:color w:val="auto"/>
                <w:spacing w:val="0"/>
                <w:sz w:val="24"/>
                <w:szCs w:val="24"/>
                <w:highlight w:val="none"/>
                <w:lang w:val="en-US" w:eastAsia="zh-CN"/>
              </w:rPr>
              <w:t>根据投标人对所有设备技术参数的响应程度进行打分，全部满足采购文件要求的得</w:t>
            </w:r>
            <w:r>
              <w:rPr>
                <w:rFonts w:hint="eastAsia" w:ascii="宋体" w:hAnsi="宋体" w:cs="宋体"/>
                <w:color w:val="auto"/>
                <w:spacing w:val="0"/>
                <w:sz w:val="24"/>
                <w:szCs w:val="24"/>
                <w:highlight w:val="none"/>
                <w:lang w:val="en-US" w:eastAsia="zh-CN"/>
              </w:rPr>
              <w:t>18</w:t>
            </w:r>
            <w:r>
              <w:rPr>
                <w:rFonts w:hint="eastAsia" w:ascii="宋体" w:hAnsi="宋体" w:eastAsia="宋体" w:cs="宋体"/>
                <w:color w:val="auto"/>
                <w:spacing w:val="0"/>
                <w:sz w:val="24"/>
                <w:szCs w:val="24"/>
                <w:highlight w:val="none"/>
                <w:lang w:val="en-US" w:eastAsia="zh-CN"/>
              </w:rPr>
              <w:t>分，标“★”号项参数</w:t>
            </w:r>
            <w:r>
              <w:rPr>
                <w:rFonts w:hint="eastAsia" w:ascii="宋体" w:hAnsi="宋体" w:cs="宋体"/>
                <w:color w:val="auto"/>
                <w:spacing w:val="0"/>
                <w:sz w:val="24"/>
                <w:szCs w:val="24"/>
                <w:highlight w:val="none"/>
                <w:lang w:val="en-US" w:eastAsia="zh-CN"/>
              </w:rPr>
              <w:t>为必须满足项；在满足基础下，每有一项正偏离加0.5分；最高加2分；不能出现负偏离</w:t>
            </w:r>
            <w:r>
              <w:rPr>
                <w:rFonts w:hint="eastAsia" w:ascii="宋体" w:hAnsi="宋体" w:eastAsia="宋体" w:cs="宋体"/>
                <w:color w:val="auto"/>
                <w:spacing w:val="0"/>
                <w:sz w:val="24"/>
                <w:szCs w:val="24"/>
                <w:highlight w:val="none"/>
                <w:lang w:val="en-US" w:eastAsia="zh-CN"/>
              </w:rPr>
              <w:t>。</w:t>
            </w:r>
          </w:p>
        </w:tc>
        <w:tc>
          <w:tcPr>
            <w:tcW w:w="947" w:type="dxa"/>
            <w:noWrap w:val="0"/>
            <w:vAlign w:val="center"/>
          </w:tcPr>
          <w:p w14:paraId="233B827F">
            <w:pPr>
              <w:numPr>
                <w:ilvl w:val="0"/>
                <w:numId w:val="0"/>
              </w:numPr>
              <w:tabs>
                <w:tab w:val="left" w:pos="0"/>
              </w:tabs>
              <w:spacing w:line="360" w:lineRule="exact"/>
              <w:ind w:leftChars="0"/>
              <w:jc w:val="center"/>
              <w:rPr>
                <w:rFonts w:hint="default"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20分</w:t>
            </w:r>
          </w:p>
        </w:tc>
      </w:tr>
      <w:tr w14:paraId="65D30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54" w:type="dxa"/>
            <w:noWrap w:val="0"/>
            <w:vAlign w:val="center"/>
          </w:tcPr>
          <w:p w14:paraId="58769753">
            <w:pPr>
              <w:pStyle w:val="53"/>
              <w:spacing w:before="0" w:after="0" w:line="240" w:lineRule="auto"/>
              <w:ind w:firstLine="0"/>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w:t>
            </w:r>
          </w:p>
        </w:tc>
        <w:tc>
          <w:tcPr>
            <w:tcW w:w="1730" w:type="dxa"/>
            <w:noWrap w:val="0"/>
            <w:vAlign w:val="center"/>
          </w:tcPr>
          <w:p w14:paraId="71060BD6">
            <w:pPr>
              <w:jc w:val="center"/>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实施方案</w:t>
            </w:r>
          </w:p>
          <w:p w14:paraId="285E3322">
            <w:pPr>
              <w:jc w:val="center"/>
              <w:rPr>
                <w:rFonts w:hint="eastAsia" w:ascii="宋体" w:hAnsi="宋体" w:eastAsia="宋体" w:cs="宋体"/>
                <w:bCs/>
                <w:color w:val="auto"/>
                <w:spacing w:val="0"/>
                <w:sz w:val="24"/>
                <w:szCs w:val="24"/>
                <w:highlight w:val="none"/>
                <w:lang w:val="en-US" w:eastAsia="zh-CN"/>
              </w:rPr>
            </w:pPr>
            <w:r>
              <w:rPr>
                <w:rFonts w:hint="eastAsia" w:asciiTheme="majorEastAsia" w:hAnsiTheme="majorEastAsia" w:eastAsiaTheme="majorEastAsia" w:cstheme="majorEastAsia"/>
                <w:color w:val="000000"/>
                <w:sz w:val="24"/>
                <w:szCs w:val="24"/>
                <w:lang w:val="en-US" w:eastAsia="zh-CN"/>
              </w:rPr>
              <w:t>（10分）</w:t>
            </w:r>
          </w:p>
        </w:tc>
        <w:tc>
          <w:tcPr>
            <w:tcW w:w="6200" w:type="dxa"/>
            <w:noWrap w:val="0"/>
            <w:vAlign w:val="center"/>
          </w:tcPr>
          <w:p w14:paraId="6AD2BEB2">
            <w:pPr>
              <w:keepNext w:val="0"/>
              <w:keepLines w:val="0"/>
              <w:pageBreakBefore w:val="0"/>
              <w:widowControl w:val="0"/>
              <w:numPr>
                <w:ilvl w:val="0"/>
                <w:numId w:val="0"/>
              </w:numPr>
              <w:kinsoku/>
              <w:wordWrap/>
              <w:overflowPunct/>
              <w:topLinePunct w:val="0"/>
              <w:autoSpaceDE/>
              <w:autoSpaceDN/>
              <w:bidi w:val="0"/>
              <w:spacing w:line="440" w:lineRule="exact"/>
              <w:ind w:leftChars="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投标人提供本项目的实施方案，包含但不限于:①项目实施目标明确，② 项目资源合理规划，③项目组织方案完整详实，④对项目有合理化建议，⑤项目实施准备计划、工期安排计划明确，提供专项的工期保证措施和体系，⑥关键阶段时间节点安排合理，⑦提供专项的安全保证措施和体系，⑧提供专项的质量保证措施和体系，⑨产品测试和验收有详细说明，明确验收标准及流程，⑩设备安装、调试、包装、装卸、运输等方案有详细说明，有响应保护措施；以上内容满足且优于项目需求，方案内容完整的得 </w:t>
            </w:r>
          </w:p>
          <w:p w14:paraId="00127C72">
            <w:pPr>
              <w:keepNext w:val="0"/>
              <w:keepLines w:val="0"/>
              <w:pageBreakBefore w:val="0"/>
              <w:widowControl w:val="0"/>
              <w:numPr>
                <w:ilvl w:val="0"/>
                <w:numId w:val="0"/>
              </w:numPr>
              <w:kinsoku/>
              <w:wordWrap/>
              <w:overflowPunct/>
              <w:topLinePunct w:val="0"/>
              <w:autoSpaceDE/>
              <w:autoSpaceDN/>
              <w:bidi w:val="0"/>
              <w:spacing w:line="440" w:lineRule="exact"/>
              <w:ind w:leftChars="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10 分。 </w:t>
            </w:r>
          </w:p>
          <w:p w14:paraId="4DB2B626">
            <w:pPr>
              <w:keepNext w:val="0"/>
              <w:keepLines w:val="0"/>
              <w:widowControl/>
              <w:suppressLineNumbers w:val="0"/>
              <w:jc w:val="left"/>
              <w:rPr>
                <w:rFonts w:hint="eastAsia" w:asciiTheme="majorEastAsia" w:hAnsiTheme="majorEastAsia" w:eastAsiaTheme="majorEastAsia" w:cstheme="majorEastAsia"/>
                <w:color w:val="000000"/>
                <w:sz w:val="24"/>
                <w:szCs w:val="21"/>
              </w:rPr>
            </w:pPr>
            <w:r>
              <w:rPr>
                <w:rFonts w:hint="eastAsia" w:ascii="宋体" w:hAnsi="宋体" w:eastAsia="宋体" w:cs="宋体"/>
                <w:b/>
                <w:bCs/>
                <w:color w:val="000000"/>
                <w:kern w:val="0"/>
                <w:sz w:val="21"/>
                <w:szCs w:val="21"/>
                <w:lang w:val="en-US" w:eastAsia="zh-CN" w:bidi="ar"/>
              </w:rPr>
              <w:t>注：投标单位所提供的实施方案有“瑕疵或缺陷”的，每有一处扣 0.5 分，扣完为止，如未提供或不满足要求的不得分</w:t>
            </w:r>
          </w:p>
        </w:tc>
        <w:tc>
          <w:tcPr>
            <w:tcW w:w="947" w:type="dxa"/>
            <w:noWrap w:val="0"/>
            <w:vAlign w:val="center"/>
          </w:tcPr>
          <w:p w14:paraId="599CFC03">
            <w:pPr>
              <w:numPr>
                <w:ilvl w:val="0"/>
                <w:numId w:val="0"/>
              </w:numPr>
              <w:tabs>
                <w:tab w:val="left" w:pos="0"/>
              </w:tabs>
              <w:spacing w:line="360" w:lineRule="exact"/>
              <w:ind w:leftChars="0"/>
              <w:jc w:val="center"/>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10分</w:t>
            </w:r>
          </w:p>
          <w:p w14:paraId="2D800CB7">
            <w:pPr>
              <w:spacing w:line="360" w:lineRule="auto"/>
              <w:ind w:firstLine="0" w:firstLineChars="0"/>
              <w:jc w:val="center"/>
              <w:textAlignment w:val="center"/>
              <w:rPr>
                <w:rFonts w:hint="default" w:asciiTheme="majorEastAsia" w:hAnsiTheme="majorEastAsia" w:eastAsiaTheme="majorEastAsia" w:cstheme="majorEastAsia"/>
                <w:color w:val="000000"/>
                <w:kern w:val="2"/>
                <w:sz w:val="24"/>
                <w:szCs w:val="24"/>
                <w:lang w:val="en-US" w:eastAsia="zh-CN" w:bidi="ar-SA"/>
              </w:rPr>
            </w:pPr>
          </w:p>
        </w:tc>
      </w:tr>
      <w:tr w14:paraId="19899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2" w:hRule="atLeast"/>
          <w:jc w:val="center"/>
        </w:trPr>
        <w:tc>
          <w:tcPr>
            <w:tcW w:w="754" w:type="dxa"/>
            <w:tcBorders>
              <w:top w:val="single" w:color="auto" w:sz="4" w:space="0"/>
              <w:bottom w:val="single" w:color="auto" w:sz="4" w:space="0"/>
            </w:tcBorders>
            <w:noWrap w:val="0"/>
            <w:vAlign w:val="center"/>
          </w:tcPr>
          <w:p w14:paraId="104D6911">
            <w:pPr>
              <w:pStyle w:val="53"/>
              <w:ind w:firstLine="72"/>
              <w:jc w:val="center"/>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val="en-US" w:eastAsia="zh-CN"/>
              </w:rPr>
              <w:t>3</w:t>
            </w:r>
          </w:p>
        </w:tc>
        <w:tc>
          <w:tcPr>
            <w:tcW w:w="1730" w:type="dxa"/>
            <w:tcBorders>
              <w:top w:val="single" w:color="auto" w:sz="4" w:space="0"/>
              <w:bottom w:val="single" w:color="auto" w:sz="4" w:space="0"/>
            </w:tcBorders>
            <w:noWrap w:val="0"/>
            <w:vAlign w:val="center"/>
          </w:tcPr>
          <w:p w14:paraId="0DA50E2B">
            <w:pPr>
              <w:jc w:val="center"/>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技术实力</w:t>
            </w:r>
          </w:p>
          <w:p w14:paraId="56623283">
            <w:pPr>
              <w:jc w:val="center"/>
              <w:rPr>
                <w:rFonts w:hint="eastAsia" w:ascii="宋体" w:hAnsi="宋体" w:eastAsia="宋体" w:cs="宋体"/>
                <w:bCs/>
                <w:color w:val="auto"/>
                <w:spacing w:val="0"/>
                <w:sz w:val="24"/>
                <w:szCs w:val="24"/>
                <w:highlight w:val="none"/>
                <w:lang w:val="en-US" w:eastAsia="zh-CN"/>
              </w:rPr>
            </w:pPr>
            <w:r>
              <w:rPr>
                <w:rFonts w:hint="eastAsia" w:asciiTheme="majorEastAsia" w:hAnsiTheme="majorEastAsia" w:eastAsiaTheme="majorEastAsia" w:cstheme="majorEastAsia"/>
                <w:color w:val="000000"/>
                <w:sz w:val="24"/>
                <w:szCs w:val="24"/>
                <w:lang w:val="en-US" w:eastAsia="zh-CN"/>
              </w:rPr>
              <w:t>（15分）</w:t>
            </w:r>
          </w:p>
        </w:tc>
        <w:tc>
          <w:tcPr>
            <w:tcW w:w="6200" w:type="dxa"/>
            <w:tcBorders>
              <w:top w:val="single" w:color="auto" w:sz="4" w:space="0"/>
              <w:bottom w:val="single" w:color="auto" w:sz="4" w:space="0"/>
            </w:tcBorders>
            <w:noWrap w:val="0"/>
            <w:vAlign w:val="center"/>
          </w:tcPr>
          <w:p w14:paraId="43BA0A32">
            <w:pPr>
              <w:keepNext w:val="0"/>
              <w:keepLines w:val="0"/>
              <w:pageBreakBefore w:val="0"/>
              <w:widowControl w:val="0"/>
              <w:numPr>
                <w:ilvl w:val="0"/>
                <w:numId w:val="0"/>
              </w:numPr>
              <w:kinsoku/>
              <w:wordWrap/>
              <w:overflowPunct/>
              <w:topLinePunct w:val="0"/>
              <w:autoSpaceDE/>
              <w:autoSpaceDN/>
              <w:bidi w:val="0"/>
              <w:spacing w:line="440" w:lineRule="exact"/>
              <w:ind w:leftChars="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根据投标人的技术实力进性综合评审。 </w:t>
            </w:r>
          </w:p>
          <w:p w14:paraId="1CFA2235">
            <w:pPr>
              <w:keepNext w:val="0"/>
              <w:keepLines w:val="0"/>
              <w:pageBreakBefore w:val="0"/>
              <w:widowControl w:val="0"/>
              <w:numPr>
                <w:ilvl w:val="0"/>
                <w:numId w:val="0"/>
              </w:numPr>
              <w:kinsoku/>
              <w:wordWrap/>
              <w:overflowPunct/>
              <w:topLinePunct w:val="0"/>
              <w:autoSpaceDE/>
              <w:autoSpaceDN/>
              <w:bidi w:val="0"/>
              <w:spacing w:line="440" w:lineRule="exact"/>
              <w:ind w:leftChars="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1、投标人提供投标产品近一年的省级以上法定计量检定机构出具的校准证书，每提供一项得 1 分，最高得 3分。 </w:t>
            </w:r>
          </w:p>
          <w:p w14:paraId="2977381C">
            <w:pPr>
              <w:keepNext w:val="0"/>
              <w:keepLines w:val="0"/>
              <w:pageBreakBefore w:val="0"/>
              <w:widowControl w:val="0"/>
              <w:numPr>
                <w:ilvl w:val="0"/>
                <w:numId w:val="0"/>
              </w:numPr>
              <w:kinsoku/>
              <w:wordWrap/>
              <w:overflowPunct/>
              <w:topLinePunct w:val="0"/>
              <w:autoSpaceDE/>
              <w:autoSpaceDN/>
              <w:bidi w:val="0"/>
              <w:spacing w:line="440" w:lineRule="exact"/>
              <w:ind w:leftChars="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2、投标人投标产品的生产厂家：①参与投标产品充电桩校验仪国家计量检定规程起草并署名的；②参与充电设备现场检验的能源行业标准起草并署名的；提供相关证明材料（所提供的证明资料须生产厂家盖章确认），每提供一项加 2 分，最高得 4 分。 </w:t>
            </w:r>
          </w:p>
          <w:p w14:paraId="2BF39FE9">
            <w:pPr>
              <w:keepNext w:val="0"/>
              <w:keepLines w:val="0"/>
              <w:pageBreakBefore w:val="0"/>
              <w:widowControl w:val="0"/>
              <w:numPr>
                <w:ilvl w:val="0"/>
                <w:numId w:val="0"/>
              </w:numPr>
              <w:kinsoku/>
              <w:wordWrap/>
              <w:overflowPunct/>
              <w:topLinePunct w:val="0"/>
              <w:autoSpaceDE/>
              <w:autoSpaceDN/>
              <w:bidi w:val="0"/>
              <w:spacing w:line="440" w:lineRule="exact"/>
              <w:ind w:leftChars="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3、投标人投标产品的生产厂家或其子公司：具备资质申请技术支持的能力，可为采购方出具实验室比对报告，提供 CMA 资质或 CNAS 资质证书复印件（须生产厂家盖章确认），每提供一项加 2 分，最高得 4 分。 </w:t>
            </w:r>
          </w:p>
          <w:p w14:paraId="58825559">
            <w:pPr>
              <w:keepNext w:val="0"/>
              <w:keepLines w:val="0"/>
              <w:pageBreakBefore w:val="0"/>
              <w:widowControl w:val="0"/>
              <w:numPr>
                <w:ilvl w:val="0"/>
                <w:numId w:val="0"/>
              </w:numPr>
              <w:kinsoku/>
              <w:wordWrap/>
              <w:overflowPunct/>
              <w:topLinePunct w:val="0"/>
              <w:autoSpaceDE/>
              <w:autoSpaceDN/>
              <w:bidi w:val="0"/>
              <w:spacing w:line="440" w:lineRule="exact"/>
              <w:ind w:leftChars="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投标人投标产品的生产厂家具备满足国家鼓励推行创新的检定方式的基于图像识别的充电桩误差检定方式的功能要求，从而实现充电桩的快速检定，提供基于图像识别的充电桩误差检定装置或方法的相关专利证明（所提供的证明资料须生产厂家盖章确认），每提供一项得 2 分，最高得4 分。</w:t>
            </w:r>
          </w:p>
        </w:tc>
        <w:tc>
          <w:tcPr>
            <w:tcW w:w="947" w:type="dxa"/>
            <w:tcBorders>
              <w:top w:val="single" w:color="auto" w:sz="4" w:space="0"/>
              <w:bottom w:val="single" w:color="auto" w:sz="4" w:space="0"/>
            </w:tcBorders>
            <w:noWrap w:val="0"/>
            <w:vAlign w:val="center"/>
          </w:tcPr>
          <w:p w14:paraId="5C38CC71">
            <w:pPr>
              <w:numPr>
                <w:ilvl w:val="0"/>
                <w:numId w:val="0"/>
              </w:numPr>
              <w:tabs>
                <w:tab w:val="left" w:pos="0"/>
              </w:tabs>
              <w:spacing w:line="360" w:lineRule="exact"/>
              <w:ind w:leftChars="0"/>
              <w:jc w:val="center"/>
              <w:rPr>
                <w:rFonts w:hint="default"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15分</w:t>
            </w:r>
          </w:p>
          <w:p w14:paraId="63058B15">
            <w:pPr>
              <w:widowControl/>
              <w:spacing w:line="360" w:lineRule="auto"/>
              <w:ind w:firstLine="0" w:firstLineChars="0"/>
              <w:jc w:val="center"/>
              <w:rPr>
                <w:rFonts w:hint="default" w:asciiTheme="majorEastAsia" w:hAnsiTheme="majorEastAsia" w:eastAsiaTheme="majorEastAsia" w:cstheme="majorEastAsia"/>
                <w:color w:val="000000"/>
                <w:kern w:val="2"/>
                <w:sz w:val="24"/>
                <w:szCs w:val="24"/>
                <w:lang w:val="en-US" w:eastAsia="zh-CN" w:bidi="ar-SA"/>
              </w:rPr>
            </w:pPr>
          </w:p>
        </w:tc>
      </w:tr>
      <w:tr w14:paraId="077A0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Merge w:val="restart"/>
            <w:tcBorders>
              <w:top w:val="single" w:color="auto" w:sz="4" w:space="0"/>
            </w:tcBorders>
            <w:noWrap w:val="0"/>
            <w:vAlign w:val="center"/>
          </w:tcPr>
          <w:p w14:paraId="0B5D1D86">
            <w:pPr>
              <w:pStyle w:val="53"/>
              <w:ind w:firstLine="72"/>
              <w:jc w:val="center"/>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val="en-US" w:eastAsia="zh-CN"/>
              </w:rPr>
              <w:t>4</w:t>
            </w:r>
          </w:p>
        </w:tc>
        <w:tc>
          <w:tcPr>
            <w:tcW w:w="1730" w:type="dxa"/>
            <w:vMerge w:val="restart"/>
            <w:tcBorders>
              <w:top w:val="single" w:color="auto" w:sz="4" w:space="0"/>
            </w:tcBorders>
            <w:noWrap w:val="0"/>
            <w:vAlign w:val="center"/>
          </w:tcPr>
          <w:p w14:paraId="3AB8BDC7">
            <w:pPr>
              <w:jc w:val="center"/>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售后服务方案</w:t>
            </w:r>
          </w:p>
          <w:p w14:paraId="06E8C210">
            <w:pPr>
              <w:jc w:val="center"/>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 xml:space="preserve">（15分） </w:t>
            </w:r>
          </w:p>
        </w:tc>
        <w:tc>
          <w:tcPr>
            <w:tcW w:w="6200" w:type="dxa"/>
            <w:tcBorders>
              <w:top w:val="single" w:color="auto" w:sz="4" w:space="0"/>
              <w:bottom w:val="single" w:color="auto" w:sz="4" w:space="0"/>
            </w:tcBorders>
            <w:noWrap w:val="0"/>
            <w:vAlign w:val="center"/>
          </w:tcPr>
          <w:p w14:paraId="1B5B56A5">
            <w:pPr>
              <w:keepNext w:val="0"/>
              <w:keepLines w:val="0"/>
              <w:pageBreakBefore w:val="0"/>
              <w:widowControl w:val="0"/>
              <w:numPr>
                <w:ilvl w:val="0"/>
                <w:numId w:val="0"/>
              </w:numPr>
              <w:kinsoku/>
              <w:wordWrap/>
              <w:overflowPunct/>
              <w:topLinePunct w:val="0"/>
              <w:autoSpaceDE/>
              <w:autoSpaceDN/>
              <w:bidi w:val="0"/>
              <w:spacing w:line="440" w:lineRule="exact"/>
              <w:ind w:leftChars="0"/>
              <w:rPr>
                <w:rFonts w:hint="eastAsia" w:asciiTheme="majorEastAsia" w:hAnsiTheme="majorEastAsia" w:eastAsiaTheme="majorEastAsia" w:cstheme="majorEastAsia"/>
                <w:color w:val="000000"/>
                <w:sz w:val="24"/>
                <w:szCs w:val="21"/>
                <w:lang w:val="en-US" w:eastAsia="zh-CN"/>
              </w:rPr>
            </w:pPr>
            <w:r>
              <w:rPr>
                <w:rFonts w:hint="eastAsia" w:ascii="宋体" w:hAnsi="宋体" w:eastAsia="宋体" w:cs="宋体"/>
                <w:color w:val="auto"/>
                <w:spacing w:val="0"/>
                <w:sz w:val="24"/>
                <w:szCs w:val="24"/>
                <w:highlight w:val="none"/>
                <w:lang w:val="en-US" w:eastAsia="zh-CN"/>
              </w:rPr>
              <w:t>1、投标人针对本项目需求编写售后服务方案和管理措施：能提供全年 365 天 24 小时的电话响应售后服务（包括故障处理、上门维护、紧急维护、 重要服务、电话维护、主动巡检等），出现故障，接到维修通知后，在48 小时内响应，在 5 个工作日内赶赴现场进行维修，售后响应快，并能提供优质服务的得 3 分；不满足或不响应的不得分。提供有关售后服务响应的承诺及有关证明文件并加盖投标单位公章。</w:t>
            </w:r>
          </w:p>
        </w:tc>
        <w:tc>
          <w:tcPr>
            <w:tcW w:w="947" w:type="dxa"/>
            <w:tcBorders>
              <w:top w:val="single" w:color="auto" w:sz="4" w:space="0"/>
              <w:bottom w:val="single" w:color="auto" w:sz="4" w:space="0"/>
            </w:tcBorders>
            <w:noWrap w:val="0"/>
            <w:vAlign w:val="center"/>
          </w:tcPr>
          <w:p w14:paraId="641A5C43">
            <w:pPr>
              <w:widowControl/>
              <w:spacing w:line="360" w:lineRule="auto"/>
              <w:ind w:firstLine="0" w:firstLineChars="0"/>
              <w:jc w:val="center"/>
              <w:rPr>
                <w:rFonts w:hint="default" w:asciiTheme="majorEastAsia" w:hAnsiTheme="majorEastAsia" w:eastAsiaTheme="majorEastAsia" w:cstheme="majorEastAsia"/>
                <w:color w:val="000000"/>
                <w:kern w:val="2"/>
                <w:sz w:val="24"/>
                <w:szCs w:val="24"/>
                <w:lang w:val="en-US" w:eastAsia="zh-CN" w:bidi="ar-SA"/>
              </w:rPr>
            </w:pPr>
            <w:r>
              <w:rPr>
                <w:rFonts w:hint="eastAsia" w:ascii="宋体" w:hAnsi="宋体" w:cs="宋体"/>
                <w:color w:val="auto"/>
                <w:kern w:val="0"/>
                <w:sz w:val="24"/>
                <w:szCs w:val="24"/>
                <w:lang w:val="en-US" w:eastAsia="zh-CN"/>
              </w:rPr>
              <w:t>3分</w:t>
            </w:r>
          </w:p>
        </w:tc>
      </w:tr>
      <w:tr w14:paraId="6FD6D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54" w:type="dxa"/>
            <w:vMerge w:val="continue"/>
            <w:noWrap w:val="0"/>
            <w:vAlign w:val="center"/>
          </w:tcPr>
          <w:p w14:paraId="1CE8A7E1">
            <w:pPr>
              <w:pStyle w:val="53"/>
              <w:ind w:firstLine="72"/>
              <w:jc w:val="center"/>
              <w:rPr>
                <w:rFonts w:hint="eastAsia" w:asciiTheme="majorEastAsia" w:hAnsiTheme="majorEastAsia" w:eastAsiaTheme="majorEastAsia" w:cstheme="majorEastAsia"/>
                <w:bCs/>
                <w:color w:val="000000"/>
                <w:sz w:val="24"/>
                <w:szCs w:val="24"/>
                <w:lang w:val="en-US" w:eastAsia="zh-CN"/>
              </w:rPr>
            </w:pPr>
          </w:p>
        </w:tc>
        <w:tc>
          <w:tcPr>
            <w:tcW w:w="1730" w:type="dxa"/>
            <w:vMerge w:val="continue"/>
            <w:noWrap w:val="0"/>
            <w:vAlign w:val="center"/>
          </w:tcPr>
          <w:p w14:paraId="429EABF3">
            <w:pPr>
              <w:jc w:val="center"/>
              <w:rPr>
                <w:rFonts w:hint="eastAsia" w:ascii="宋体" w:hAnsi="宋体" w:eastAsia="宋体" w:cs="宋体"/>
                <w:bCs/>
                <w:color w:val="auto"/>
                <w:spacing w:val="0"/>
                <w:sz w:val="24"/>
                <w:szCs w:val="24"/>
                <w:highlight w:val="none"/>
                <w:lang w:val="en-US" w:eastAsia="zh-CN"/>
              </w:rPr>
            </w:pPr>
          </w:p>
        </w:tc>
        <w:tc>
          <w:tcPr>
            <w:tcW w:w="6200" w:type="dxa"/>
            <w:tcBorders>
              <w:top w:val="single" w:color="auto" w:sz="4" w:space="0"/>
              <w:bottom w:val="single" w:color="auto" w:sz="4" w:space="0"/>
            </w:tcBorders>
            <w:noWrap w:val="0"/>
            <w:vAlign w:val="center"/>
          </w:tcPr>
          <w:p w14:paraId="1DF384F8">
            <w:pPr>
              <w:keepNext w:val="0"/>
              <w:keepLines w:val="0"/>
              <w:pageBreakBefore w:val="0"/>
              <w:widowControl w:val="0"/>
              <w:numPr>
                <w:ilvl w:val="0"/>
                <w:numId w:val="0"/>
              </w:numPr>
              <w:kinsoku/>
              <w:wordWrap/>
              <w:overflowPunct/>
              <w:topLinePunct w:val="0"/>
              <w:autoSpaceDE/>
              <w:autoSpaceDN/>
              <w:bidi w:val="0"/>
              <w:spacing w:line="440" w:lineRule="exact"/>
              <w:ind w:leftChars="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2、制定售后服务保障方案，保障内容明确详尽，保障方案科学合理，内容包括但不限于：定期回访计划（提供客户服务报告、客户服务质量考核评估、服务满意度调查单电话回访记录单等），有专门服务人员进行跟踪服务，在服务期间有明确服务措施，制定详细的供应管理方案及维修方案，制定日常保养计划、明确备品备件的使用明细及措施等，以上内容满足且优于项目需求，方案内容完整的得 5 分。 </w:t>
            </w:r>
          </w:p>
          <w:p w14:paraId="24CA8C73">
            <w:pPr>
              <w:keepNext w:val="0"/>
              <w:keepLines w:val="0"/>
              <w:widowControl/>
              <w:suppressLineNumbers w:val="0"/>
              <w:jc w:val="left"/>
              <w:rPr>
                <w:rFonts w:hint="eastAsia" w:asciiTheme="majorEastAsia" w:hAnsiTheme="majorEastAsia" w:eastAsiaTheme="majorEastAsia" w:cstheme="majorEastAsia"/>
                <w:color w:val="000000"/>
                <w:sz w:val="24"/>
                <w:szCs w:val="21"/>
                <w:lang w:val="en-US" w:eastAsia="zh-CN"/>
              </w:rPr>
            </w:pPr>
            <w:r>
              <w:rPr>
                <w:rFonts w:hint="eastAsia" w:ascii="宋体" w:hAnsi="宋体" w:eastAsia="宋体" w:cs="宋体"/>
                <w:b/>
                <w:bCs/>
                <w:color w:val="000000"/>
                <w:kern w:val="0"/>
                <w:sz w:val="21"/>
                <w:szCs w:val="21"/>
                <w:lang w:val="en-US" w:eastAsia="zh-CN" w:bidi="ar"/>
              </w:rPr>
              <w:t>注：投标单位所制定售后服务保障方案有“瑕疵或缺陷”的，每有一处扣 0.5 分，扣完为止，如未提供或不满足要求的不得分。</w:t>
            </w:r>
          </w:p>
        </w:tc>
        <w:tc>
          <w:tcPr>
            <w:tcW w:w="947" w:type="dxa"/>
            <w:tcBorders>
              <w:top w:val="single" w:color="auto" w:sz="4" w:space="0"/>
              <w:bottom w:val="single" w:color="auto" w:sz="4" w:space="0"/>
            </w:tcBorders>
            <w:noWrap w:val="0"/>
            <w:vAlign w:val="center"/>
          </w:tcPr>
          <w:p w14:paraId="780C5CF0">
            <w:pPr>
              <w:widowControl/>
              <w:spacing w:line="360" w:lineRule="auto"/>
              <w:ind w:firstLine="0" w:firstLine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 分</w:t>
            </w:r>
          </w:p>
          <w:p w14:paraId="07AC1443">
            <w:pPr>
              <w:widowControl/>
              <w:spacing w:line="360" w:lineRule="auto"/>
              <w:ind w:firstLine="0" w:firstLineChars="0"/>
              <w:jc w:val="center"/>
              <w:rPr>
                <w:rFonts w:hint="eastAsia" w:ascii="宋体" w:hAnsi="宋体" w:eastAsia="宋体" w:cs="宋体"/>
                <w:color w:val="auto"/>
                <w:kern w:val="0"/>
                <w:sz w:val="24"/>
                <w:szCs w:val="24"/>
                <w:lang w:val="en-US" w:eastAsia="zh-CN"/>
              </w:rPr>
            </w:pPr>
          </w:p>
        </w:tc>
      </w:tr>
      <w:tr w14:paraId="65200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54" w:type="dxa"/>
            <w:vMerge w:val="continue"/>
            <w:noWrap w:val="0"/>
            <w:vAlign w:val="center"/>
          </w:tcPr>
          <w:p w14:paraId="4730CD2A">
            <w:pPr>
              <w:pStyle w:val="53"/>
              <w:ind w:firstLine="72"/>
              <w:jc w:val="center"/>
              <w:rPr>
                <w:rFonts w:hint="eastAsia" w:asciiTheme="majorEastAsia" w:hAnsiTheme="majorEastAsia" w:eastAsiaTheme="majorEastAsia" w:cstheme="majorEastAsia"/>
                <w:bCs/>
                <w:color w:val="000000"/>
                <w:sz w:val="24"/>
                <w:szCs w:val="24"/>
                <w:lang w:val="en-US" w:eastAsia="zh-CN"/>
              </w:rPr>
            </w:pPr>
          </w:p>
        </w:tc>
        <w:tc>
          <w:tcPr>
            <w:tcW w:w="1730" w:type="dxa"/>
            <w:vMerge w:val="continue"/>
            <w:noWrap w:val="0"/>
            <w:vAlign w:val="center"/>
          </w:tcPr>
          <w:p w14:paraId="6FAEABD6">
            <w:pPr>
              <w:jc w:val="center"/>
              <w:rPr>
                <w:rFonts w:hint="eastAsia" w:ascii="宋体" w:hAnsi="宋体" w:eastAsia="宋体" w:cs="宋体"/>
                <w:bCs/>
                <w:color w:val="auto"/>
                <w:spacing w:val="0"/>
                <w:sz w:val="24"/>
                <w:szCs w:val="24"/>
                <w:highlight w:val="none"/>
                <w:lang w:val="en-US" w:eastAsia="zh-CN"/>
              </w:rPr>
            </w:pPr>
          </w:p>
        </w:tc>
        <w:tc>
          <w:tcPr>
            <w:tcW w:w="6200" w:type="dxa"/>
            <w:tcBorders>
              <w:top w:val="single" w:color="auto" w:sz="4" w:space="0"/>
              <w:bottom w:val="single" w:color="auto" w:sz="4" w:space="0"/>
            </w:tcBorders>
            <w:noWrap w:val="0"/>
            <w:vAlign w:val="center"/>
          </w:tcPr>
          <w:p w14:paraId="68B5A96D">
            <w:pPr>
              <w:keepNext w:val="0"/>
              <w:keepLines w:val="0"/>
              <w:pageBreakBefore w:val="0"/>
              <w:widowControl w:val="0"/>
              <w:numPr>
                <w:ilvl w:val="0"/>
                <w:numId w:val="0"/>
              </w:numPr>
              <w:kinsoku/>
              <w:wordWrap/>
              <w:overflowPunct/>
              <w:topLinePunct w:val="0"/>
              <w:autoSpaceDE/>
              <w:autoSpaceDN/>
              <w:bidi w:val="0"/>
              <w:spacing w:line="440" w:lineRule="exact"/>
              <w:ind w:leftChars="0"/>
              <w:rPr>
                <w:rFonts w:hint="eastAsia" w:asciiTheme="majorEastAsia" w:hAnsiTheme="majorEastAsia" w:eastAsiaTheme="majorEastAsia" w:cstheme="majorEastAsia"/>
                <w:color w:val="000000"/>
                <w:sz w:val="24"/>
                <w:szCs w:val="21"/>
                <w:lang w:val="en-US" w:eastAsia="zh-CN"/>
              </w:rPr>
            </w:pPr>
            <w:r>
              <w:rPr>
                <w:rFonts w:hint="eastAsia" w:ascii="宋体" w:hAnsi="宋体" w:eastAsia="宋体" w:cs="宋体"/>
                <w:color w:val="auto"/>
                <w:spacing w:val="0"/>
                <w:sz w:val="24"/>
                <w:szCs w:val="24"/>
                <w:highlight w:val="none"/>
                <w:lang w:val="en-US" w:eastAsia="zh-CN"/>
              </w:rPr>
              <w:t>3、配备 1 名项目负责人，须具备有效的二级及以上注册计量师证书，随时解答解决采购人问题，负责与采购人对接，对接处理技术及其他售后问题，以保证采购人的正常使用，项目负责人须具有相关工作经验，且在本单位缴纳社保，提供社保缴纳证明；满足要求的得 3 分，不满足或不响应的不得分。</w:t>
            </w:r>
          </w:p>
        </w:tc>
        <w:tc>
          <w:tcPr>
            <w:tcW w:w="947" w:type="dxa"/>
            <w:tcBorders>
              <w:top w:val="single" w:color="auto" w:sz="4" w:space="0"/>
              <w:bottom w:val="single" w:color="auto" w:sz="4" w:space="0"/>
            </w:tcBorders>
            <w:noWrap w:val="0"/>
            <w:vAlign w:val="center"/>
          </w:tcPr>
          <w:p w14:paraId="3C41FA90">
            <w:pPr>
              <w:widowControl/>
              <w:spacing w:line="360" w:lineRule="auto"/>
              <w:ind w:firstLine="0" w:firstLine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 分</w:t>
            </w:r>
          </w:p>
          <w:p w14:paraId="4449F830">
            <w:pPr>
              <w:widowControl/>
              <w:spacing w:line="360" w:lineRule="auto"/>
              <w:ind w:firstLine="0" w:firstLineChars="0"/>
              <w:jc w:val="center"/>
              <w:rPr>
                <w:rFonts w:hint="eastAsia" w:ascii="宋体" w:hAnsi="宋体" w:eastAsia="宋体" w:cs="宋体"/>
                <w:color w:val="auto"/>
                <w:kern w:val="0"/>
                <w:sz w:val="24"/>
                <w:szCs w:val="24"/>
                <w:lang w:val="en-US" w:eastAsia="zh-CN"/>
              </w:rPr>
            </w:pPr>
          </w:p>
        </w:tc>
      </w:tr>
      <w:tr w14:paraId="11D9A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54" w:type="dxa"/>
            <w:vMerge w:val="continue"/>
            <w:noWrap w:val="0"/>
            <w:vAlign w:val="center"/>
          </w:tcPr>
          <w:p w14:paraId="54467151">
            <w:pPr>
              <w:pStyle w:val="53"/>
              <w:ind w:firstLine="72"/>
              <w:jc w:val="center"/>
              <w:rPr>
                <w:rFonts w:hint="eastAsia" w:asciiTheme="majorEastAsia" w:hAnsiTheme="majorEastAsia" w:eastAsiaTheme="majorEastAsia" w:cstheme="majorEastAsia"/>
                <w:bCs/>
                <w:color w:val="000000"/>
                <w:sz w:val="24"/>
                <w:szCs w:val="24"/>
                <w:lang w:val="en-US" w:eastAsia="zh-CN"/>
              </w:rPr>
            </w:pPr>
          </w:p>
        </w:tc>
        <w:tc>
          <w:tcPr>
            <w:tcW w:w="1730" w:type="dxa"/>
            <w:vMerge w:val="continue"/>
            <w:noWrap w:val="0"/>
            <w:vAlign w:val="center"/>
          </w:tcPr>
          <w:p w14:paraId="5E0C2C20">
            <w:pPr>
              <w:jc w:val="center"/>
              <w:rPr>
                <w:rFonts w:hint="eastAsia" w:ascii="宋体" w:hAnsi="宋体" w:eastAsia="宋体" w:cs="宋体"/>
                <w:bCs/>
                <w:color w:val="auto"/>
                <w:spacing w:val="0"/>
                <w:sz w:val="24"/>
                <w:szCs w:val="24"/>
                <w:highlight w:val="none"/>
                <w:lang w:val="en-US" w:eastAsia="zh-CN"/>
              </w:rPr>
            </w:pPr>
          </w:p>
        </w:tc>
        <w:tc>
          <w:tcPr>
            <w:tcW w:w="6200" w:type="dxa"/>
            <w:tcBorders>
              <w:top w:val="single" w:color="auto" w:sz="4" w:space="0"/>
              <w:bottom w:val="single" w:color="auto" w:sz="4" w:space="0"/>
            </w:tcBorders>
            <w:noWrap w:val="0"/>
            <w:vAlign w:val="center"/>
          </w:tcPr>
          <w:p w14:paraId="4B8148BD">
            <w:pPr>
              <w:keepNext w:val="0"/>
              <w:keepLines w:val="0"/>
              <w:pageBreakBefore w:val="0"/>
              <w:widowControl w:val="0"/>
              <w:numPr>
                <w:ilvl w:val="0"/>
                <w:numId w:val="0"/>
              </w:numPr>
              <w:kinsoku/>
              <w:wordWrap/>
              <w:overflowPunct/>
              <w:topLinePunct w:val="0"/>
              <w:autoSpaceDE/>
              <w:autoSpaceDN/>
              <w:bidi w:val="0"/>
              <w:spacing w:line="440" w:lineRule="exact"/>
              <w:ind w:leftChars="0"/>
              <w:rPr>
                <w:rFonts w:hint="eastAsia" w:asciiTheme="majorEastAsia" w:hAnsiTheme="majorEastAsia" w:eastAsiaTheme="majorEastAsia" w:cstheme="majorEastAsia"/>
                <w:color w:val="000000"/>
                <w:sz w:val="24"/>
                <w:szCs w:val="21"/>
                <w:lang w:val="en-US" w:eastAsia="zh-CN"/>
              </w:rPr>
            </w:pPr>
            <w:r>
              <w:rPr>
                <w:rFonts w:hint="eastAsia" w:ascii="宋体" w:hAnsi="宋体" w:eastAsia="宋体" w:cs="宋体"/>
                <w:color w:val="auto"/>
                <w:spacing w:val="0"/>
                <w:sz w:val="24"/>
                <w:szCs w:val="24"/>
                <w:highlight w:val="none"/>
                <w:lang w:val="en-US" w:eastAsia="zh-CN"/>
              </w:rPr>
              <w:t>4、拥有专业的售后服务团队，维修及现场作业人员具备专业的技术能力， 提供售后维修人员配置情况表，能保证提供优质的售后维修及保养服务，人员配备专业合理、岗位职责明确；满足要求的得 2 分，不满足或不响应的不得分。</w:t>
            </w:r>
          </w:p>
        </w:tc>
        <w:tc>
          <w:tcPr>
            <w:tcW w:w="947" w:type="dxa"/>
            <w:tcBorders>
              <w:top w:val="single" w:color="auto" w:sz="4" w:space="0"/>
              <w:bottom w:val="single" w:color="auto" w:sz="4" w:space="0"/>
            </w:tcBorders>
            <w:noWrap w:val="0"/>
            <w:vAlign w:val="center"/>
          </w:tcPr>
          <w:p w14:paraId="1CA4B924">
            <w:pPr>
              <w:widowControl/>
              <w:spacing w:line="360" w:lineRule="auto"/>
              <w:ind w:firstLine="0" w:firstLine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 分</w:t>
            </w:r>
          </w:p>
          <w:p w14:paraId="2C4AE93C">
            <w:pPr>
              <w:widowControl/>
              <w:spacing w:line="360" w:lineRule="auto"/>
              <w:ind w:firstLine="0" w:firstLineChars="0"/>
              <w:jc w:val="center"/>
              <w:rPr>
                <w:rFonts w:hint="eastAsia" w:ascii="宋体" w:hAnsi="宋体" w:eastAsia="宋体" w:cs="宋体"/>
                <w:color w:val="auto"/>
                <w:kern w:val="0"/>
                <w:sz w:val="24"/>
                <w:szCs w:val="24"/>
                <w:lang w:val="en-US" w:eastAsia="zh-CN"/>
              </w:rPr>
            </w:pPr>
          </w:p>
        </w:tc>
      </w:tr>
      <w:tr w14:paraId="68AFC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42" w:hRule="atLeast"/>
          <w:jc w:val="center"/>
        </w:trPr>
        <w:tc>
          <w:tcPr>
            <w:tcW w:w="754" w:type="dxa"/>
            <w:vMerge w:val="continue"/>
            <w:noWrap w:val="0"/>
            <w:vAlign w:val="center"/>
          </w:tcPr>
          <w:p w14:paraId="64614288">
            <w:pPr>
              <w:pStyle w:val="53"/>
              <w:ind w:firstLine="72"/>
              <w:jc w:val="center"/>
              <w:rPr>
                <w:rFonts w:hint="eastAsia" w:asciiTheme="majorEastAsia" w:hAnsiTheme="majorEastAsia" w:eastAsiaTheme="majorEastAsia" w:cstheme="majorEastAsia"/>
                <w:bCs/>
                <w:color w:val="000000"/>
                <w:sz w:val="24"/>
                <w:szCs w:val="24"/>
                <w:lang w:val="en-US" w:eastAsia="zh-CN"/>
              </w:rPr>
            </w:pPr>
          </w:p>
        </w:tc>
        <w:tc>
          <w:tcPr>
            <w:tcW w:w="1730" w:type="dxa"/>
            <w:vMerge w:val="continue"/>
            <w:noWrap w:val="0"/>
            <w:vAlign w:val="center"/>
          </w:tcPr>
          <w:p w14:paraId="071341EA">
            <w:pPr>
              <w:jc w:val="center"/>
              <w:rPr>
                <w:rFonts w:hint="eastAsia" w:ascii="宋体" w:hAnsi="宋体" w:eastAsia="宋体" w:cs="宋体"/>
                <w:bCs/>
                <w:color w:val="auto"/>
                <w:spacing w:val="0"/>
                <w:sz w:val="24"/>
                <w:szCs w:val="24"/>
                <w:highlight w:val="none"/>
                <w:lang w:val="en-US" w:eastAsia="zh-CN"/>
              </w:rPr>
            </w:pPr>
          </w:p>
        </w:tc>
        <w:tc>
          <w:tcPr>
            <w:tcW w:w="6200" w:type="dxa"/>
            <w:tcBorders>
              <w:top w:val="single" w:color="auto" w:sz="4" w:space="0"/>
            </w:tcBorders>
            <w:noWrap w:val="0"/>
            <w:vAlign w:val="center"/>
          </w:tcPr>
          <w:p w14:paraId="11B0D7CA">
            <w:pPr>
              <w:keepNext w:val="0"/>
              <w:keepLines w:val="0"/>
              <w:pageBreakBefore w:val="0"/>
              <w:widowControl w:val="0"/>
              <w:numPr>
                <w:ilvl w:val="0"/>
                <w:numId w:val="0"/>
              </w:numPr>
              <w:kinsoku/>
              <w:wordWrap/>
              <w:overflowPunct/>
              <w:topLinePunct w:val="0"/>
              <w:autoSpaceDE/>
              <w:autoSpaceDN/>
              <w:bidi w:val="0"/>
              <w:spacing w:line="440" w:lineRule="exact"/>
              <w:ind w:leftChars="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5、①建立服务保障应急预案，方案对可能遇到的问题及其应对措施的考虑情况考虑周全的得 1分；②在服务期间巡检、故障处理的组织合理，联系机制完善的得 1 分。 </w:t>
            </w:r>
          </w:p>
          <w:p w14:paraId="1F588D51">
            <w:pPr>
              <w:keepNext w:val="0"/>
              <w:keepLines w:val="0"/>
              <w:widowControl/>
              <w:suppressLineNumbers w:val="0"/>
              <w:jc w:val="left"/>
              <w:rPr>
                <w:rFonts w:hint="eastAsia" w:asciiTheme="majorEastAsia" w:hAnsiTheme="majorEastAsia" w:eastAsiaTheme="majorEastAsia" w:cstheme="majorEastAsia"/>
                <w:color w:val="000000"/>
                <w:sz w:val="24"/>
                <w:szCs w:val="21"/>
                <w:lang w:val="en-US" w:eastAsia="zh-CN"/>
              </w:rPr>
            </w:pPr>
            <w:r>
              <w:rPr>
                <w:rFonts w:hint="eastAsia" w:ascii="宋体" w:hAnsi="宋体" w:eastAsia="宋体" w:cs="宋体"/>
                <w:b/>
                <w:bCs/>
                <w:color w:val="000000"/>
                <w:kern w:val="0"/>
                <w:sz w:val="21"/>
                <w:szCs w:val="21"/>
                <w:lang w:val="en-US" w:eastAsia="zh-CN" w:bidi="ar"/>
              </w:rPr>
              <w:t>以上内容未提供或不响应的，本项不得分。</w:t>
            </w:r>
          </w:p>
        </w:tc>
        <w:tc>
          <w:tcPr>
            <w:tcW w:w="947" w:type="dxa"/>
            <w:tcBorders>
              <w:top w:val="single" w:color="auto" w:sz="4" w:space="0"/>
              <w:bottom w:val="single" w:color="auto" w:sz="4" w:space="0"/>
            </w:tcBorders>
            <w:noWrap w:val="0"/>
            <w:vAlign w:val="center"/>
          </w:tcPr>
          <w:p w14:paraId="38E61804">
            <w:pPr>
              <w:widowControl/>
              <w:spacing w:line="360" w:lineRule="auto"/>
              <w:ind w:firstLine="0" w:firstLine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 分</w:t>
            </w:r>
          </w:p>
          <w:p w14:paraId="014AF69B">
            <w:pPr>
              <w:widowControl/>
              <w:spacing w:line="360" w:lineRule="auto"/>
              <w:ind w:firstLine="0" w:firstLineChars="0"/>
              <w:jc w:val="center"/>
              <w:rPr>
                <w:rFonts w:hint="eastAsia" w:ascii="宋体" w:hAnsi="宋体" w:eastAsia="宋体" w:cs="宋体"/>
                <w:color w:val="auto"/>
                <w:kern w:val="0"/>
                <w:sz w:val="24"/>
                <w:szCs w:val="24"/>
                <w:lang w:val="en-US" w:eastAsia="zh-CN"/>
              </w:rPr>
            </w:pPr>
          </w:p>
        </w:tc>
      </w:tr>
      <w:tr w14:paraId="46F2B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631" w:type="dxa"/>
            <w:gridSpan w:val="4"/>
            <w:tcBorders>
              <w:top w:val="single" w:color="auto" w:sz="4" w:space="0"/>
              <w:bottom w:val="single" w:color="auto" w:sz="4" w:space="0"/>
            </w:tcBorders>
            <w:noWrap w:val="0"/>
            <w:vAlign w:val="center"/>
          </w:tcPr>
          <w:p w14:paraId="3FD03509">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注：本项所称“瑕疵或缺陷”是指方案非专门针对本项目或不适用本项目特性、实际情况不符或不适用； </w:t>
            </w:r>
          </w:p>
          <w:p w14:paraId="3447D430">
            <w:pPr>
              <w:keepNext w:val="0"/>
              <w:keepLines w:val="0"/>
              <w:widowControl/>
              <w:suppressLineNumbers w:val="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宋体" w:hAnsi="宋体" w:eastAsia="宋体" w:cs="宋体"/>
                <w:b/>
                <w:bCs/>
                <w:color w:val="000000"/>
                <w:kern w:val="0"/>
                <w:sz w:val="21"/>
                <w:szCs w:val="21"/>
                <w:lang w:val="en-US" w:eastAsia="zh-CN" w:bidi="ar"/>
              </w:rPr>
              <w:t>存在与项目无关的文字内容、内容原理错误、对采购需求理解缺位混乱、套用其他项目内容；对同一问题前后表述矛盾；存在逻辑漏洞、科学原理或常识错误；引用的规定、规范错误；内容描述不符合国家相关法律法规、政策文件、规范标准要求；不利于本项目目标的实现、现有技术条件下不可能出现的情形等任意一种情形。</w:t>
            </w:r>
          </w:p>
        </w:tc>
      </w:tr>
    </w:tbl>
    <w:p w14:paraId="779C3B21">
      <w:pPr>
        <w:rPr>
          <w:rFonts w:hint="eastAsia" w:ascii="宋体" w:hAnsi="宋体" w:eastAsia="宋体" w:cs="宋体"/>
          <w:b/>
          <w:bCs/>
          <w:color w:val="auto"/>
          <w:sz w:val="24"/>
          <w:szCs w:val="24"/>
          <w:highlight w:val="none"/>
        </w:rPr>
      </w:pPr>
    </w:p>
    <w:p w14:paraId="7DDF87FE">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E44AE94">
      <w:pPr>
        <w:pStyle w:val="11"/>
        <w:tabs>
          <w:tab w:val="left" w:pos="600"/>
        </w:tabs>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报价部分评分标准（</w:t>
      </w:r>
      <w:r>
        <w:rPr>
          <w:rFonts w:hint="eastAsia" w:ascii="宋体" w:hAnsi="宋体" w:eastAsia="宋体" w:cs="宋体"/>
          <w:b/>
          <w:color w:val="auto"/>
          <w:spacing w:val="-2"/>
          <w:sz w:val="24"/>
          <w:szCs w:val="24"/>
          <w:highlight w:val="none"/>
          <w:lang w:val="en-US" w:eastAsia="zh-CN"/>
        </w:rPr>
        <w:t>30分</w:t>
      </w:r>
      <w:r>
        <w:rPr>
          <w:rFonts w:hint="eastAsia" w:ascii="宋体" w:hAnsi="宋体" w:eastAsia="宋体" w:cs="宋体"/>
          <w:b/>
          <w:bCs/>
          <w:color w:val="auto"/>
          <w:sz w:val="24"/>
          <w:szCs w:val="24"/>
          <w:highlight w:val="none"/>
        </w:rPr>
        <w:t>）</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250"/>
        <w:gridCol w:w="6698"/>
      </w:tblGrid>
      <w:tr w14:paraId="14A5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4" w:type="dxa"/>
            <w:noWrap w:val="0"/>
            <w:vAlign w:val="center"/>
          </w:tcPr>
          <w:p w14:paraId="63F8305A">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1250" w:type="dxa"/>
            <w:noWrap w:val="0"/>
            <w:vAlign w:val="center"/>
          </w:tcPr>
          <w:p w14:paraId="15862229">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评审项目</w:t>
            </w:r>
          </w:p>
        </w:tc>
        <w:tc>
          <w:tcPr>
            <w:tcW w:w="6698" w:type="dxa"/>
            <w:noWrap w:val="0"/>
            <w:vAlign w:val="center"/>
          </w:tcPr>
          <w:p w14:paraId="6FE7748C">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评分标准</w:t>
            </w:r>
          </w:p>
        </w:tc>
      </w:tr>
      <w:tr w14:paraId="3C74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74" w:type="dxa"/>
            <w:noWrap w:val="0"/>
            <w:vAlign w:val="center"/>
          </w:tcPr>
          <w:p w14:paraId="0BAA27C9">
            <w:pPr>
              <w:autoSpaceDE w:val="0"/>
              <w:autoSpaceDN w:val="0"/>
              <w:adjustRightInd w:val="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250" w:type="dxa"/>
            <w:noWrap w:val="0"/>
            <w:vAlign w:val="center"/>
          </w:tcPr>
          <w:p w14:paraId="2AEFA9C9">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w:t>
            </w:r>
          </w:p>
        </w:tc>
        <w:tc>
          <w:tcPr>
            <w:tcW w:w="6698" w:type="dxa"/>
            <w:noWrap w:val="0"/>
            <w:vAlign w:val="center"/>
          </w:tcPr>
          <w:p w14:paraId="7575FFA8">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评标基准价即满足</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val="zh-CN"/>
              </w:rPr>
              <w:t>文件要求且投标价格最低的投标报价。</w:t>
            </w:r>
          </w:p>
          <w:p w14:paraId="43E9365D">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×100</w:t>
            </w:r>
          </w:p>
        </w:tc>
      </w:tr>
    </w:tbl>
    <w:p w14:paraId="71215EA6">
      <w:pPr>
        <w:pStyle w:val="11"/>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4.5.3供应商总分=报价部分得分+技术部分+商务部分得分，所有评审专家评分的算术平均值作为供应商的最终得分（精确到小数点后二位）。</w:t>
      </w:r>
    </w:p>
    <w:p w14:paraId="34414789">
      <w:pPr>
        <w:pStyle w:val="3"/>
        <w:spacing w:before="0" w:after="0" w:line="360" w:lineRule="auto"/>
        <w:ind w:firstLine="482" w:firstLineChars="200"/>
        <w:rPr>
          <w:rFonts w:hint="eastAsia" w:ascii="宋体" w:hAnsi="宋体" w:eastAsia="宋体" w:cs="宋体"/>
          <w:color w:val="auto"/>
          <w:sz w:val="24"/>
          <w:szCs w:val="24"/>
          <w:highlight w:val="none"/>
        </w:rPr>
      </w:pPr>
      <w:bookmarkStart w:id="268" w:name="_Toc29991"/>
      <w:bookmarkStart w:id="269" w:name="_Toc17330"/>
      <w:bookmarkStart w:id="270" w:name="_Toc217446060"/>
      <w:r>
        <w:rPr>
          <w:rFonts w:hint="eastAsia" w:ascii="宋体" w:hAnsi="宋体" w:eastAsia="宋体" w:cs="宋体"/>
          <w:color w:val="auto"/>
          <w:sz w:val="24"/>
          <w:szCs w:val="24"/>
          <w:highlight w:val="none"/>
        </w:rPr>
        <w:t>5. 废标</w:t>
      </w:r>
      <w:bookmarkEnd w:id="268"/>
      <w:bookmarkEnd w:id="269"/>
    </w:p>
    <w:p w14:paraId="37976C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本次政府采购活动中，出现下列情形之一的，予以废标：</w:t>
      </w:r>
    </w:p>
    <w:p w14:paraId="67A44B1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（1）符合专业条件的供应商或者对采购文件作实质响应的供应商不足三家的；</w:t>
      </w:r>
    </w:p>
    <w:p w14:paraId="45E260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686218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（3）供应商的报价均超过了采购预算，采购人不能支付的；</w:t>
      </w:r>
    </w:p>
    <w:p w14:paraId="45C529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（4）因重大变故，采购任务取消的。</w:t>
      </w:r>
    </w:p>
    <w:p w14:paraId="49E983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废标后，采购代理机构应在发布采购公告的媒体上发布废标公告，并公告废标的详细理由。</w:t>
      </w:r>
    </w:p>
    <w:p w14:paraId="0BEB9D8D">
      <w:pPr>
        <w:pStyle w:val="3"/>
        <w:spacing w:before="0" w:after="0" w:line="360" w:lineRule="auto"/>
        <w:ind w:firstLine="482" w:firstLineChars="200"/>
        <w:rPr>
          <w:rFonts w:hint="eastAsia" w:ascii="宋体" w:hAnsi="宋体" w:eastAsia="宋体" w:cs="宋体"/>
          <w:color w:val="auto"/>
          <w:sz w:val="24"/>
          <w:szCs w:val="24"/>
          <w:highlight w:val="none"/>
        </w:rPr>
      </w:pPr>
      <w:bookmarkStart w:id="271" w:name="_Toc14732"/>
      <w:bookmarkStart w:id="272" w:name="_Toc17704"/>
      <w:r>
        <w:rPr>
          <w:rFonts w:hint="eastAsia" w:ascii="宋体" w:hAnsi="宋体" w:eastAsia="宋体" w:cs="宋体"/>
          <w:color w:val="auto"/>
          <w:sz w:val="24"/>
          <w:szCs w:val="24"/>
          <w:highlight w:val="none"/>
        </w:rPr>
        <w:t>6. 定标</w:t>
      </w:r>
      <w:bookmarkEnd w:id="270"/>
      <w:bookmarkEnd w:id="271"/>
      <w:bookmarkEnd w:id="272"/>
      <w:bookmarkStart w:id="273" w:name="_Toc217446061"/>
    </w:p>
    <w:p w14:paraId="3734C4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定标原则</w:t>
      </w:r>
      <w:bookmarkEnd w:id="273"/>
      <w:r>
        <w:rPr>
          <w:rFonts w:hint="eastAsia" w:ascii="宋体" w:hAnsi="宋体" w:eastAsia="宋体" w:cs="宋体"/>
          <w:color w:val="auto"/>
          <w:sz w:val="24"/>
          <w:szCs w:val="24"/>
          <w:highlight w:val="none"/>
        </w:rPr>
        <w:t>：本项目根据评委会推荐的</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候选人名单，按顺序确定</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w:t>
      </w:r>
    </w:p>
    <w:p w14:paraId="2332EA13">
      <w:pPr>
        <w:spacing w:line="360" w:lineRule="auto"/>
        <w:ind w:firstLine="480" w:firstLineChars="200"/>
        <w:rPr>
          <w:rFonts w:hint="eastAsia" w:ascii="宋体" w:hAnsi="宋体" w:eastAsia="宋体" w:cs="宋体"/>
          <w:color w:val="auto"/>
          <w:sz w:val="24"/>
          <w:szCs w:val="24"/>
          <w:highlight w:val="none"/>
        </w:rPr>
      </w:pPr>
      <w:bookmarkStart w:id="274" w:name="_Toc217446062"/>
      <w:r>
        <w:rPr>
          <w:rFonts w:hint="eastAsia" w:ascii="宋体" w:hAnsi="宋体" w:eastAsia="宋体" w:cs="宋体"/>
          <w:color w:val="auto"/>
          <w:sz w:val="24"/>
          <w:szCs w:val="24"/>
          <w:highlight w:val="none"/>
        </w:rPr>
        <w:t>6.2. 定标程序</w:t>
      </w:r>
      <w:bookmarkEnd w:id="274"/>
    </w:p>
    <w:p w14:paraId="1FDBF5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评委会将评标情况写出书面报告，推荐</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候选人，并按照综合得分高低标明排列顺序。本项目采用综合评分法，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评标结果按评审后得分由高到低顺序排列。得分相同的，按投标报价由低到高顺序排列。得分且投标报价相同的排序并列。</w:t>
      </w:r>
    </w:p>
    <w:p w14:paraId="11B728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采购代理机构在评标结束后两个工作日内将评标报告送至采购人。</w:t>
      </w:r>
    </w:p>
    <w:p w14:paraId="6211D7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 采购人应当自收到评审报告之日起5个工作日内在评审报告推荐的</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候选人中按顺序确定</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供应商。</w:t>
      </w:r>
    </w:p>
    <w:p w14:paraId="0F434E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 根据采购人确定的</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人，采购人在采购公告发布的媒体上发布</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公告，同时向</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人发出</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通知书。</w:t>
      </w:r>
    </w:p>
    <w:p w14:paraId="36C913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 采购单位不退回响应文件和其他投标资料。</w:t>
      </w:r>
    </w:p>
    <w:bookmarkEnd w:id="261"/>
    <w:p w14:paraId="27545DD4">
      <w:pPr>
        <w:pStyle w:val="3"/>
        <w:spacing w:before="0" w:after="0" w:line="360" w:lineRule="auto"/>
        <w:ind w:firstLine="482" w:firstLineChars="200"/>
        <w:rPr>
          <w:rFonts w:hint="eastAsia" w:ascii="宋体" w:hAnsi="宋体" w:eastAsia="宋体" w:cs="宋体"/>
          <w:bCs w:val="0"/>
          <w:color w:val="auto"/>
          <w:sz w:val="24"/>
          <w:szCs w:val="24"/>
          <w:highlight w:val="none"/>
        </w:rPr>
      </w:pPr>
      <w:bookmarkStart w:id="275" w:name="_Toc183582297"/>
      <w:bookmarkStart w:id="276" w:name="_Toc183682432"/>
      <w:bookmarkStart w:id="277" w:name="_Toc217446105"/>
      <w:bookmarkStart w:id="278" w:name="_Toc208849022"/>
      <w:bookmarkStart w:id="279" w:name="_Toc3749"/>
      <w:bookmarkStart w:id="280" w:name="_Toc14003"/>
      <w:r>
        <w:rPr>
          <w:rFonts w:hint="eastAsia" w:ascii="宋体" w:hAnsi="宋体" w:eastAsia="宋体" w:cs="宋体"/>
          <w:bCs w:val="0"/>
          <w:color w:val="auto"/>
          <w:sz w:val="24"/>
          <w:szCs w:val="24"/>
          <w:highlight w:val="none"/>
        </w:rPr>
        <w:t xml:space="preserve">7. </w:t>
      </w:r>
      <w:bookmarkEnd w:id="275"/>
      <w:bookmarkEnd w:id="276"/>
      <w:bookmarkEnd w:id="277"/>
      <w:bookmarkEnd w:id="278"/>
      <w:r>
        <w:rPr>
          <w:rFonts w:hint="eastAsia" w:ascii="宋体" w:hAnsi="宋体" w:eastAsia="宋体" w:cs="宋体"/>
          <w:color w:val="auto"/>
          <w:sz w:val="24"/>
          <w:szCs w:val="24"/>
          <w:highlight w:val="none"/>
        </w:rPr>
        <w:t>评标专家在政府采购活动中承担以下义务：</w:t>
      </w:r>
      <w:bookmarkEnd w:id="279"/>
      <w:bookmarkEnd w:id="280"/>
    </w:p>
    <w:p w14:paraId="1E62DE61">
      <w:pPr>
        <w:widowControl/>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遵纪守法，客观、公正、廉洁地履行职责。</w:t>
      </w:r>
    </w:p>
    <w:p w14:paraId="4BC9F20B">
      <w:pPr>
        <w:widowControl/>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按照政府采购法律法规和采购文件的规定要求对供应商的资格条件和供应商提供的产品价格、技术、服务等方面严格进行评判，提供科学合理、公平公正的评审意见，参与起草评审报告，并予签字确认。</w:t>
      </w:r>
    </w:p>
    <w:p w14:paraId="03E1BEBC">
      <w:pPr>
        <w:widowControl/>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保守秘密。不得透露采购文件咨询情况，不得泄漏供应商的响应文件及知悉的商业秘密，不得向供应商透露评审情况。</w:t>
      </w:r>
    </w:p>
    <w:p w14:paraId="47D16A02">
      <w:pPr>
        <w:widowControl/>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发现供应商在政府采购活动中有不正当竞争或恶意串通等违规行为，及时向政府采购评审工作的组织者或财政部门报告并加以制止。</w:t>
      </w:r>
    </w:p>
    <w:p w14:paraId="4B3C5EB9">
      <w:pPr>
        <w:widowControl/>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发现采购人、政府采购代理机构及其工作人员在政府采购活动中有干预评审、发表倾向性和歧视性言论、受贿或者接受供应商的其他好处及其他违法违规行为，及时向财政部门报告。</w:t>
      </w:r>
    </w:p>
    <w:p w14:paraId="4CBE0610">
      <w:pPr>
        <w:widowControl/>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解答有关方面对政府采购评审工作中有关问题的询问，配合采购人或者政府采购代理机构答复供应商质疑，配合财政部门的投诉处理工作等事宜。</w:t>
      </w:r>
    </w:p>
    <w:p w14:paraId="7167A9F4">
      <w:pPr>
        <w:widowControl/>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法律、法规和规章规定的其他义务。</w:t>
      </w:r>
    </w:p>
    <w:p w14:paraId="0629ADE1">
      <w:pPr>
        <w:widowControl/>
        <w:autoSpaceDE w:val="0"/>
        <w:autoSpaceDN w:val="0"/>
        <w:spacing w:line="360" w:lineRule="auto"/>
        <w:ind w:firstLine="482" w:firstLineChars="200"/>
        <w:textAlignment w:val="bottom"/>
        <w:outlineLvl w:val="1"/>
        <w:rPr>
          <w:rFonts w:hint="eastAsia" w:ascii="宋体" w:hAnsi="宋体" w:eastAsia="宋体" w:cs="宋体"/>
          <w:b/>
          <w:color w:val="auto"/>
          <w:sz w:val="24"/>
          <w:szCs w:val="24"/>
          <w:highlight w:val="none"/>
        </w:rPr>
      </w:pPr>
      <w:bookmarkStart w:id="281" w:name="_Toc13187"/>
      <w:bookmarkStart w:id="282" w:name="_Toc19755"/>
      <w:r>
        <w:rPr>
          <w:rFonts w:hint="eastAsia" w:ascii="宋体" w:hAnsi="宋体" w:eastAsia="宋体" w:cs="宋体"/>
          <w:b/>
          <w:color w:val="auto"/>
          <w:sz w:val="24"/>
          <w:szCs w:val="24"/>
          <w:highlight w:val="none"/>
        </w:rPr>
        <w:t>8</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评审专家在政府采购活动中应当遵守以下工作纪律：</w:t>
      </w:r>
      <w:bookmarkEnd w:id="281"/>
      <w:bookmarkEnd w:id="282"/>
    </w:p>
    <w:p w14:paraId="165BABC8">
      <w:pPr>
        <w:widowControl/>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应邀按时参加评审和咨询活动。遇特殊情况不能出席或途中遇阻不能按时参加评审或咨询的，应及时告知财政部门或者采购人或者政府采购代理机构，不得私自转托他人。</w:t>
      </w:r>
    </w:p>
    <w:p w14:paraId="13BFFD24">
      <w:pPr>
        <w:widowControl/>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不得参加与自己有利害关系的政府采购项目的评审活动。对与自己有利害关系的评审项目，如受到邀请，应主动提出回避。财政部门、采购人或政府采购代理机构也可要求该评审专家回避。</w:t>
      </w:r>
    </w:p>
    <w:p w14:paraId="4CD43C5A">
      <w:pPr>
        <w:widowControl/>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4BF50F79">
      <w:pPr>
        <w:widowControl/>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评审或咨询过程中关闭通讯设备，不得与外界联系。因发生不可预见情况，确实需要与外界联系的，应当有在场工作人员陪同。</w:t>
      </w:r>
    </w:p>
    <w:p w14:paraId="2E80C176">
      <w:pPr>
        <w:widowControl/>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评审过程中，不得发表影响评审公正的倾向性、歧视性言论；不得征询或者接受采购人的倾向性意见；不得以任何明示或暗示的方式要求参加该采购项目的供应商以澄清、说明或补正为借口，表达与其原响应文件原意不同的新意见；不得以采购文件没有规定的方法和标准作为评审的依据；不得违反规定的评审格式评分和撰写评审意见；不得拒绝对自己的评审意见签字确认。</w:t>
      </w:r>
    </w:p>
    <w:p w14:paraId="2E009EFF">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8.5 在咨询工作中，严格执行国家产业政策和产品标准，认真听取咨询方的合理要求，提出科学合理的、无倾向性和歧视性的咨询方案，并对所提出的意见和建议承担个人责任。</w:t>
      </w:r>
    </w:p>
    <w:p w14:paraId="2D021C7F">
      <w:pPr>
        <w:pStyle w:val="2"/>
        <w:spacing w:before="0" w:after="340" w:line="579" w:lineRule="auto"/>
        <w:jc w:val="center"/>
        <w:rPr>
          <w:rFonts w:hint="eastAsia" w:ascii="宋体" w:hAnsi="宋体" w:eastAsia="宋体" w:cs="宋体"/>
          <w:color w:val="auto"/>
          <w:sz w:val="30"/>
          <w:szCs w:val="30"/>
          <w:highlight w:val="none"/>
        </w:rPr>
      </w:pPr>
      <w:r>
        <w:rPr>
          <w:rFonts w:hint="eastAsia" w:ascii="宋体" w:hAnsi="宋体" w:eastAsia="宋体" w:cs="宋体"/>
          <w:b w:val="0"/>
          <w:bCs w:val="0"/>
          <w:color w:val="auto"/>
          <w:sz w:val="24"/>
          <w:highlight w:val="none"/>
        </w:rPr>
        <w:br w:type="page"/>
      </w:r>
      <w:bookmarkStart w:id="283" w:name="_Toc433"/>
      <w:bookmarkStart w:id="284" w:name="_Toc22827"/>
      <w:bookmarkStart w:id="285" w:name="_Toc16407"/>
      <w:bookmarkStart w:id="286" w:name="_Toc20328_WPSOffice_Level1"/>
      <w:bookmarkStart w:id="287" w:name="_Toc6554"/>
      <w:bookmarkStart w:id="288" w:name="_Toc19236"/>
      <w:r>
        <w:rPr>
          <w:rFonts w:hint="eastAsia" w:ascii="宋体" w:hAnsi="宋体" w:eastAsia="宋体" w:cs="宋体"/>
          <w:color w:val="auto"/>
          <w:sz w:val="30"/>
          <w:szCs w:val="30"/>
          <w:highlight w:val="none"/>
        </w:rPr>
        <w:t>第</w:t>
      </w:r>
      <w:r>
        <w:rPr>
          <w:rFonts w:hint="eastAsia" w:ascii="宋体" w:hAnsi="宋体" w:cs="宋体"/>
          <w:color w:val="auto"/>
          <w:sz w:val="30"/>
          <w:szCs w:val="30"/>
          <w:highlight w:val="none"/>
          <w:lang w:val="en-US" w:eastAsia="zh-CN"/>
        </w:rPr>
        <w:t>六</w:t>
      </w:r>
      <w:r>
        <w:rPr>
          <w:rFonts w:hint="eastAsia" w:ascii="宋体" w:hAnsi="宋体" w:eastAsia="宋体" w:cs="宋体"/>
          <w:color w:val="auto"/>
          <w:sz w:val="30"/>
          <w:szCs w:val="30"/>
          <w:highlight w:val="none"/>
        </w:rPr>
        <w:t>章  合同主要条款</w:t>
      </w:r>
      <w:bookmarkEnd w:id="283"/>
      <w:bookmarkEnd w:id="284"/>
      <w:bookmarkEnd w:id="285"/>
      <w:bookmarkEnd w:id="286"/>
      <w:bookmarkEnd w:id="287"/>
      <w:bookmarkEnd w:id="288"/>
    </w:p>
    <w:p w14:paraId="20F9ED6D">
      <w:pPr>
        <w:keepLines/>
        <w:numPr>
          <w:ilvl w:val="0"/>
          <w:numId w:val="0"/>
        </w:numPr>
        <w:tabs>
          <w:tab w:val="left" w:pos="330"/>
          <w:tab w:val="left" w:pos="420"/>
        </w:tabs>
        <w:spacing w:before="260" w:after="260" w:line="416" w:lineRule="auto"/>
        <w:ind w:leftChars="0"/>
        <w:jc w:val="center"/>
        <w:outlineLvl w:val="9"/>
        <w:rPr>
          <w:rFonts w:hint="eastAsia" w:asciiTheme="majorEastAsia" w:hAnsiTheme="majorEastAsia" w:eastAsiaTheme="majorEastAsia" w:cstheme="majorEastAsia"/>
          <w:color w:val="auto"/>
          <w:sz w:val="24"/>
          <w:highlight w:val="none"/>
        </w:rPr>
      </w:pPr>
      <w:bookmarkStart w:id="289" w:name="_Toc8902"/>
      <w:bookmarkStart w:id="290" w:name="_Toc27457"/>
      <w:bookmarkStart w:id="291" w:name="_Toc7004"/>
      <w:bookmarkStart w:id="292" w:name="_Toc28826"/>
      <w:r>
        <w:rPr>
          <w:rStyle w:val="48"/>
          <w:rFonts w:hint="eastAsia" w:asciiTheme="majorEastAsia" w:hAnsiTheme="majorEastAsia" w:eastAsiaTheme="majorEastAsia" w:cstheme="majorEastAsia"/>
          <w:b/>
          <w:bCs/>
          <w:kern w:val="2"/>
          <w:sz w:val="32"/>
          <w:szCs w:val="32"/>
          <w:lang w:val="zh-CN" w:eastAsia="zh-CN" w:bidi="ar-SA"/>
        </w:rPr>
        <w:t>（</w:t>
      </w:r>
      <w:r>
        <w:rPr>
          <w:rStyle w:val="48"/>
          <w:rFonts w:hint="eastAsia" w:asciiTheme="majorEastAsia" w:hAnsiTheme="majorEastAsia" w:eastAsiaTheme="majorEastAsia" w:cstheme="majorEastAsia"/>
          <w:b/>
          <w:bCs/>
          <w:kern w:val="2"/>
          <w:sz w:val="32"/>
          <w:szCs w:val="32"/>
          <w:lang w:val="en-US" w:eastAsia="zh-CN" w:bidi="ar-SA"/>
        </w:rPr>
        <w:t>此合同为通用模板，仅供参考，实际以最终签订合同为准</w:t>
      </w:r>
      <w:r>
        <w:rPr>
          <w:rStyle w:val="48"/>
          <w:rFonts w:hint="eastAsia" w:asciiTheme="majorEastAsia" w:hAnsiTheme="majorEastAsia" w:eastAsiaTheme="majorEastAsia" w:cstheme="majorEastAsia"/>
          <w:b/>
          <w:bCs/>
          <w:kern w:val="2"/>
          <w:sz w:val="32"/>
          <w:szCs w:val="32"/>
          <w:lang w:val="zh-CN" w:eastAsia="zh-CN" w:bidi="ar-SA"/>
        </w:rPr>
        <w:t>）</w:t>
      </w:r>
      <w:bookmarkEnd w:id="289"/>
      <w:bookmarkEnd w:id="290"/>
      <w:bookmarkEnd w:id="291"/>
      <w:bookmarkEnd w:id="292"/>
    </w:p>
    <w:p w14:paraId="063D2892">
      <w:pPr>
        <w:pStyle w:val="25"/>
        <w:rPr>
          <w:rFonts w:hint="eastAsia" w:asciiTheme="majorEastAsia" w:hAnsiTheme="majorEastAsia" w:eastAsiaTheme="majorEastAsia" w:cstheme="majorEastAsia"/>
          <w:color w:val="auto"/>
          <w:sz w:val="24"/>
          <w:highlight w:val="none"/>
        </w:rPr>
      </w:pPr>
    </w:p>
    <w:p w14:paraId="0647B91F">
      <w:pPr>
        <w:rPr>
          <w:rFonts w:hint="eastAsia" w:asciiTheme="majorEastAsia" w:hAnsiTheme="majorEastAsia" w:eastAsiaTheme="majorEastAsia" w:cstheme="majorEastAsia"/>
          <w:color w:val="auto"/>
          <w:sz w:val="24"/>
          <w:highlight w:val="none"/>
        </w:rPr>
      </w:pPr>
    </w:p>
    <w:p w14:paraId="3A11A9F1">
      <w:pPr>
        <w:pStyle w:val="26"/>
        <w:rPr>
          <w:rFonts w:hint="eastAsia" w:asciiTheme="majorEastAsia" w:hAnsiTheme="majorEastAsia" w:eastAsiaTheme="majorEastAsia" w:cstheme="majorEastAsia"/>
          <w:color w:val="auto"/>
          <w:sz w:val="24"/>
          <w:highlight w:val="none"/>
        </w:rPr>
      </w:pPr>
    </w:p>
    <w:p w14:paraId="3181BD1D">
      <w:pPr>
        <w:pStyle w:val="25"/>
        <w:rPr>
          <w:rFonts w:hint="eastAsia"/>
        </w:rPr>
      </w:pPr>
    </w:p>
    <w:p w14:paraId="796B7BA8">
      <w:pPr>
        <w:rPr>
          <w:rFonts w:hint="eastAsia" w:asciiTheme="majorEastAsia" w:hAnsiTheme="majorEastAsia" w:eastAsiaTheme="majorEastAsia" w:cstheme="majorEastAsia"/>
          <w:color w:val="auto"/>
          <w:sz w:val="24"/>
          <w:highlight w:val="none"/>
        </w:rPr>
      </w:pPr>
    </w:p>
    <w:p w14:paraId="3EF0A301">
      <w:pPr>
        <w:rPr>
          <w:rFonts w:hint="eastAsia" w:asciiTheme="majorEastAsia" w:hAnsiTheme="majorEastAsia" w:eastAsiaTheme="majorEastAsia" w:cstheme="majorEastAsia"/>
          <w:color w:val="auto"/>
          <w:sz w:val="24"/>
          <w:highlight w:val="none"/>
        </w:rPr>
      </w:pPr>
    </w:p>
    <w:p w14:paraId="1D68A317">
      <w:pPr>
        <w:rPr>
          <w:rFonts w:hint="eastAsia" w:asciiTheme="majorEastAsia" w:hAnsiTheme="majorEastAsia" w:eastAsiaTheme="majorEastAsia" w:cstheme="majorEastAsia"/>
          <w:color w:val="auto"/>
          <w:sz w:val="24"/>
          <w:highlight w:val="none"/>
        </w:rPr>
      </w:pPr>
    </w:p>
    <w:p w14:paraId="2A986358">
      <w:pPr>
        <w:rPr>
          <w:rFonts w:hint="eastAsia" w:asciiTheme="majorEastAsia" w:hAnsiTheme="majorEastAsia" w:eastAsiaTheme="majorEastAsia" w:cstheme="majorEastAsia"/>
          <w:color w:val="auto"/>
          <w:sz w:val="24"/>
          <w:highlight w:val="none"/>
        </w:rPr>
      </w:pPr>
    </w:p>
    <w:p w14:paraId="4B376076">
      <w:pPr>
        <w:rPr>
          <w:rFonts w:hint="eastAsia" w:asciiTheme="majorEastAsia" w:hAnsiTheme="majorEastAsia" w:eastAsiaTheme="majorEastAsia" w:cstheme="majorEastAsia"/>
          <w:color w:val="auto"/>
          <w:sz w:val="24"/>
          <w:highlight w:val="none"/>
        </w:rPr>
      </w:pPr>
    </w:p>
    <w:p w14:paraId="2E533790">
      <w:pPr>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14:paraId="502E6A57">
      <w:pPr>
        <w:rPr>
          <w:rFonts w:hint="eastAsia" w:asciiTheme="majorEastAsia" w:hAnsiTheme="majorEastAsia" w:eastAsiaTheme="majorEastAsia" w:cstheme="majorEastAsia"/>
          <w:color w:val="auto"/>
          <w:sz w:val="24"/>
          <w:highlight w:val="none"/>
        </w:rPr>
      </w:pPr>
    </w:p>
    <w:p w14:paraId="2ACE19EF">
      <w:pPr>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color w:val="auto"/>
          <w:sz w:val="24"/>
          <w:highlight w:val="none"/>
        </w:rPr>
        <w:t>“政采云”平台合同编号：</w:t>
      </w:r>
    </w:p>
    <w:p w14:paraId="3EF44FAA">
      <w:pPr>
        <w:pStyle w:val="11"/>
        <w:tabs>
          <w:tab w:val="left" w:pos="0"/>
        </w:tabs>
        <w:spacing w:line="360" w:lineRule="auto"/>
        <w:ind w:firstLine="0" w:firstLineChars="0"/>
        <w:jc w:val="center"/>
        <w:outlineLvl w:val="9"/>
        <w:rPr>
          <w:rFonts w:hint="eastAsia" w:asciiTheme="majorEastAsia" w:hAnsiTheme="majorEastAsia" w:eastAsiaTheme="majorEastAsia" w:cstheme="majorEastAsia"/>
          <w:b/>
          <w:color w:val="auto"/>
          <w:kern w:val="2"/>
          <w:sz w:val="40"/>
          <w:szCs w:val="30"/>
          <w:highlight w:val="none"/>
          <w:lang w:val="en"/>
        </w:rPr>
      </w:pPr>
      <w:bookmarkStart w:id="293" w:name="_Toc103813474"/>
      <w:bookmarkStart w:id="294" w:name="_Toc112868874"/>
      <w:r>
        <w:rPr>
          <w:rFonts w:hint="eastAsia" w:asciiTheme="majorEastAsia" w:hAnsiTheme="majorEastAsia" w:eastAsiaTheme="majorEastAsia" w:cstheme="majorEastAsia"/>
          <w:b/>
          <w:color w:val="auto"/>
          <w:kern w:val="2"/>
          <w:sz w:val="40"/>
          <w:szCs w:val="30"/>
          <w:highlight w:val="none"/>
          <w:lang w:val="en"/>
        </w:rPr>
        <w:t>政府采购合同</w:t>
      </w:r>
      <w:bookmarkEnd w:id="293"/>
      <w:bookmarkEnd w:id="294"/>
    </w:p>
    <w:p w14:paraId="48FE3B83">
      <w:pPr>
        <w:rPr>
          <w:rFonts w:hint="eastAsia" w:asciiTheme="majorEastAsia" w:hAnsiTheme="majorEastAsia" w:eastAsiaTheme="majorEastAsia" w:cstheme="majorEastAsia"/>
          <w:color w:val="auto"/>
          <w:sz w:val="30"/>
          <w:szCs w:val="30"/>
          <w:highlight w:val="none"/>
          <w:lang w:val="en"/>
        </w:rPr>
      </w:pPr>
      <w:bookmarkStart w:id="295" w:name="EB835308aa585640bcbdb7859c5d572516"/>
    </w:p>
    <w:p w14:paraId="6961AE1A">
      <w:pPr>
        <w:pStyle w:val="54"/>
        <w:rPr>
          <w:rFonts w:hint="default" w:asciiTheme="majorEastAsia" w:hAnsiTheme="majorEastAsia" w:eastAsiaTheme="majorEastAsia" w:cstheme="majorEastAsia"/>
          <w:b/>
          <w:color w:val="auto"/>
          <w:sz w:val="32"/>
          <w:szCs w:val="30"/>
          <w:highlight w:val="none"/>
          <w:lang w:val="en-US" w:eastAsia="zh-CN"/>
        </w:rPr>
      </w:pPr>
      <w:r>
        <w:rPr>
          <w:rFonts w:hint="eastAsia" w:asciiTheme="majorEastAsia" w:hAnsiTheme="majorEastAsia" w:eastAsiaTheme="majorEastAsia" w:cstheme="majorEastAsia"/>
          <w:b/>
          <w:color w:val="auto"/>
          <w:sz w:val="32"/>
          <w:szCs w:val="30"/>
          <w:highlight w:val="none"/>
          <w:lang w:val="en"/>
        </w:rPr>
        <w:t>一、合同格式：</w:t>
      </w:r>
    </w:p>
    <w:p w14:paraId="1D8340DD">
      <w:pPr>
        <w:pStyle w:val="54"/>
        <w:jc w:val="center"/>
        <w:rPr>
          <w:rFonts w:hint="eastAsia" w:asciiTheme="majorEastAsia" w:hAnsiTheme="majorEastAsia" w:eastAsiaTheme="majorEastAsia" w:cstheme="majorEastAsia"/>
          <w:color w:val="auto"/>
          <w:sz w:val="30"/>
          <w:szCs w:val="30"/>
          <w:highlight w:val="none"/>
          <w:lang w:val="en"/>
        </w:rPr>
      </w:pPr>
    </w:p>
    <w:p w14:paraId="1BDDB1EE">
      <w:pPr>
        <w:pStyle w:val="54"/>
        <w:jc w:val="center"/>
        <w:rPr>
          <w:rFonts w:hint="eastAsia" w:asciiTheme="majorEastAsia" w:hAnsiTheme="majorEastAsia" w:eastAsiaTheme="majorEastAsia" w:cstheme="majorEastAsia"/>
          <w:color w:val="auto"/>
          <w:sz w:val="30"/>
          <w:szCs w:val="30"/>
          <w:highlight w:val="none"/>
          <w:lang w:val="en"/>
        </w:rPr>
      </w:pPr>
    </w:p>
    <w:p w14:paraId="571ECD96">
      <w:pPr>
        <w:pStyle w:val="54"/>
        <w:jc w:val="center"/>
        <w:rPr>
          <w:rFonts w:hint="eastAsia" w:asciiTheme="majorEastAsia" w:hAnsiTheme="majorEastAsia" w:eastAsiaTheme="majorEastAsia" w:cstheme="majorEastAsia"/>
          <w:color w:val="auto"/>
          <w:sz w:val="30"/>
          <w:szCs w:val="30"/>
          <w:highlight w:val="none"/>
          <w:lang w:val="en"/>
        </w:rPr>
      </w:pPr>
    </w:p>
    <w:p w14:paraId="2ED204E5">
      <w:pPr>
        <w:pStyle w:val="54"/>
        <w:jc w:val="center"/>
        <w:rPr>
          <w:rFonts w:hint="eastAsia" w:asciiTheme="majorEastAsia" w:hAnsiTheme="majorEastAsia" w:eastAsiaTheme="majorEastAsia" w:cstheme="majorEastAsia"/>
          <w:color w:val="auto"/>
          <w:sz w:val="30"/>
          <w:szCs w:val="30"/>
          <w:highlight w:val="none"/>
          <w:lang w:val="en"/>
        </w:rPr>
      </w:pPr>
    </w:p>
    <w:p w14:paraId="18CBF05E">
      <w:pPr>
        <w:pStyle w:val="54"/>
        <w:jc w:val="center"/>
        <w:rPr>
          <w:rFonts w:hint="eastAsia" w:asciiTheme="majorEastAsia" w:hAnsiTheme="majorEastAsia" w:eastAsiaTheme="majorEastAsia" w:cstheme="majorEastAsia"/>
          <w:b/>
          <w:color w:val="auto"/>
          <w:sz w:val="36"/>
          <w:szCs w:val="30"/>
          <w:highlight w:val="none"/>
          <w:lang w:val="en"/>
        </w:rPr>
      </w:pPr>
      <w:r>
        <w:rPr>
          <w:rFonts w:hint="eastAsia" w:asciiTheme="majorEastAsia" w:hAnsiTheme="majorEastAsia" w:eastAsiaTheme="majorEastAsia" w:cstheme="majorEastAsia"/>
          <w:b/>
          <w:color w:val="auto"/>
          <w:sz w:val="36"/>
          <w:szCs w:val="30"/>
          <w:highlight w:val="none"/>
          <w:lang w:val="en"/>
        </w:rPr>
        <w:t>政府采购合同</w:t>
      </w:r>
    </w:p>
    <w:p w14:paraId="607E00C0">
      <w:pPr>
        <w:pStyle w:val="54"/>
        <w:rPr>
          <w:rFonts w:hint="eastAsia" w:asciiTheme="majorEastAsia" w:hAnsiTheme="majorEastAsia" w:eastAsiaTheme="majorEastAsia" w:cstheme="majorEastAsia"/>
          <w:color w:val="auto"/>
          <w:sz w:val="30"/>
          <w:szCs w:val="30"/>
          <w:highlight w:val="none"/>
          <w:lang w:val="en"/>
        </w:rPr>
      </w:pPr>
    </w:p>
    <w:p w14:paraId="36A63125">
      <w:pPr>
        <w:pStyle w:val="54"/>
        <w:jc w:val="center"/>
        <w:rPr>
          <w:rFonts w:hint="eastAsia" w:asciiTheme="majorEastAsia" w:hAnsiTheme="majorEastAsia" w:eastAsiaTheme="majorEastAsia" w:cstheme="majorEastAsia"/>
          <w:color w:val="auto"/>
          <w:sz w:val="30"/>
          <w:szCs w:val="30"/>
          <w:highlight w:val="none"/>
          <w:lang w:val="en"/>
        </w:rPr>
      </w:pPr>
    </w:p>
    <w:p w14:paraId="11A49521">
      <w:pPr>
        <w:pStyle w:val="54"/>
        <w:jc w:val="center"/>
        <w:rPr>
          <w:rFonts w:hint="eastAsia" w:asciiTheme="majorEastAsia" w:hAnsiTheme="majorEastAsia" w:eastAsiaTheme="majorEastAsia" w:cstheme="majorEastAsia"/>
          <w:color w:val="auto"/>
          <w:sz w:val="30"/>
          <w:szCs w:val="30"/>
          <w:highlight w:val="none"/>
          <w:lang w:val="en"/>
        </w:rPr>
      </w:pPr>
    </w:p>
    <w:p w14:paraId="108CF01D">
      <w:pPr>
        <w:pStyle w:val="54"/>
        <w:ind w:firstLine="1497" w:firstLineChars="497"/>
        <w:rPr>
          <w:rFonts w:hint="eastAsia" w:asciiTheme="majorEastAsia" w:hAnsiTheme="majorEastAsia" w:eastAsiaTheme="majorEastAsia" w:cstheme="majorEastAsia"/>
          <w:color w:val="auto"/>
          <w:sz w:val="30"/>
          <w:szCs w:val="30"/>
          <w:highlight w:val="none"/>
          <w:u w:val="single"/>
          <w:lang w:val="en"/>
        </w:rPr>
      </w:pPr>
      <w:r>
        <w:rPr>
          <w:rFonts w:hint="eastAsia" w:asciiTheme="majorEastAsia" w:hAnsiTheme="majorEastAsia" w:eastAsiaTheme="majorEastAsia" w:cstheme="majorEastAsia"/>
          <w:color w:val="auto"/>
          <w:sz w:val="30"/>
          <w:szCs w:val="30"/>
          <w:highlight w:val="none"/>
          <w:lang w:val="en"/>
        </w:rPr>
        <w:t xml:space="preserve">项目名称: </w:t>
      </w:r>
      <w:r>
        <w:rPr>
          <w:rFonts w:hint="eastAsia" w:asciiTheme="majorEastAsia" w:hAnsiTheme="majorEastAsia" w:eastAsiaTheme="majorEastAsia" w:cstheme="majorEastAsia"/>
          <w:color w:val="auto"/>
          <w:sz w:val="30"/>
          <w:szCs w:val="30"/>
          <w:highlight w:val="none"/>
          <w:u w:val="single"/>
          <w:lang w:val="en"/>
        </w:rPr>
        <w:t xml:space="preserve">                   </w:t>
      </w:r>
    </w:p>
    <w:p w14:paraId="7F31A3FF">
      <w:pPr>
        <w:pStyle w:val="54"/>
        <w:spacing w:before="240" w:beforeLines="100"/>
        <w:ind w:firstLine="1497" w:firstLineChars="497"/>
        <w:rPr>
          <w:rFonts w:hint="eastAsia" w:asciiTheme="majorEastAsia" w:hAnsiTheme="majorEastAsia" w:eastAsiaTheme="majorEastAsia" w:cstheme="majorEastAsia"/>
          <w:color w:val="auto"/>
          <w:sz w:val="30"/>
          <w:szCs w:val="30"/>
          <w:highlight w:val="none"/>
          <w:lang w:val="en"/>
        </w:rPr>
      </w:pPr>
      <w:r>
        <w:rPr>
          <w:rFonts w:hint="eastAsia" w:asciiTheme="majorEastAsia" w:hAnsiTheme="majorEastAsia" w:eastAsiaTheme="majorEastAsia" w:cstheme="majorEastAsia"/>
          <w:color w:val="auto"/>
          <w:sz w:val="30"/>
          <w:szCs w:val="30"/>
          <w:highlight w:val="none"/>
          <w:lang w:val="en"/>
        </w:rPr>
        <w:t>项目编号:</w:t>
      </w:r>
      <w:r>
        <w:rPr>
          <w:rFonts w:hint="eastAsia" w:asciiTheme="majorEastAsia" w:hAnsiTheme="majorEastAsia" w:eastAsiaTheme="majorEastAsia" w:cstheme="majorEastAsia"/>
          <w:color w:val="auto"/>
          <w:sz w:val="30"/>
          <w:szCs w:val="30"/>
          <w:highlight w:val="none"/>
          <w:u w:val="single"/>
          <w:lang w:val="en"/>
        </w:rPr>
        <w:t xml:space="preserve">                    </w:t>
      </w:r>
    </w:p>
    <w:p w14:paraId="644FCACE">
      <w:pPr>
        <w:pStyle w:val="54"/>
        <w:spacing w:before="240" w:beforeLines="100"/>
        <w:ind w:firstLine="1497" w:firstLineChars="497"/>
        <w:rPr>
          <w:rFonts w:hint="eastAsia" w:asciiTheme="majorEastAsia" w:hAnsiTheme="majorEastAsia" w:eastAsiaTheme="majorEastAsia" w:cstheme="majorEastAsia"/>
          <w:color w:val="auto"/>
          <w:sz w:val="30"/>
          <w:szCs w:val="30"/>
          <w:highlight w:val="none"/>
          <w:u w:val="single"/>
          <w:lang w:val="en"/>
        </w:rPr>
      </w:pPr>
      <w:r>
        <w:rPr>
          <w:rFonts w:hint="eastAsia" w:asciiTheme="majorEastAsia" w:hAnsiTheme="majorEastAsia" w:eastAsiaTheme="majorEastAsia" w:cstheme="majorEastAsia"/>
          <w:color w:val="auto"/>
          <w:sz w:val="30"/>
          <w:szCs w:val="30"/>
          <w:highlight w:val="none"/>
          <w:lang w:val="en"/>
        </w:rPr>
        <w:t xml:space="preserve">合同编号: </w:t>
      </w:r>
      <w:r>
        <w:rPr>
          <w:rFonts w:hint="eastAsia" w:asciiTheme="majorEastAsia" w:hAnsiTheme="majorEastAsia" w:eastAsiaTheme="majorEastAsia" w:cstheme="majorEastAsia"/>
          <w:color w:val="auto"/>
          <w:sz w:val="30"/>
          <w:szCs w:val="30"/>
          <w:highlight w:val="none"/>
          <w:u w:val="single"/>
          <w:lang w:val="en"/>
        </w:rPr>
        <w:t xml:space="preserve">                   </w:t>
      </w:r>
    </w:p>
    <w:p w14:paraId="5C8B981A">
      <w:pPr>
        <w:pStyle w:val="54"/>
        <w:spacing w:before="240" w:beforeLines="100"/>
        <w:jc w:val="center"/>
        <w:rPr>
          <w:rFonts w:hint="eastAsia" w:asciiTheme="majorEastAsia" w:hAnsiTheme="majorEastAsia" w:eastAsiaTheme="majorEastAsia" w:cstheme="majorEastAsia"/>
          <w:color w:val="auto"/>
          <w:sz w:val="30"/>
          <w:szCs w:val="30"/>
          <w:highlight w:val="none"/>
          <w:lang w:val="en"/>
        </w:rPr>
      </w:pPr>
    </w:p>
    <w:p w14:paraId="605FFE84">
      <w:pPr>
        <w:pStyle w:val="54"/>
        <w:spacing w:before="240" w:beforeLines="100"/>
        <w:rPr>
          <w:rFonts w:hint="eastAsia" w:asciiTheme="majorEastAsia" w:hAnsiTheme="majorEastAsia" w:eastAsiaTheme="majorEastAsia" w:cstheme="majorEastAsia"/>
          <w:color w:val="auto"/>
          <w:sz w:val="30"/>
          <w:szCs w:val="30"/>
          <w:highlight w:val="none"/>
          <w:lang w:val="en"/>
        </w:rPr>
      </w:pPr>
    </w:p>
    <w:p w14:paraId="369F8DA1">
      <w:pPr>
        <w:pStyle w:val="54"/>
        <w:ind w:firstLine="1506" w:firstLineChars="500"/>
        <w:rPr>
          <w:rFonts w:hint="eastAsia" w:asciiTheme="majorEastAsia" w:hAnsiTheme="majorEastAsia" w:eastAsiaTheme="majorEastAsia" w:cstheme="majorEastAsia"/>
          <w:color w:val="auto"/>
          <w:sz w:val="30"/>
          <w:szCs w:val="30"/>
          <w:highlight w:val="none"/>
          <w:lang w:val="en"/>
        </w:rPr>
      </w:pPr>
      <w:r>
        <w:rPr>
          <w:rFonts w:hint="eastAsia" w:asciiTheme="majorEastAsia" w:hAnsiTheme="majorEastAsia" w:eastAsiaTheme="majorEastAsia" w:cstheme="majorEastAsia"/>
          <w:color w:val="auto"/>
          <w:sz w:val="30"/>
          <w:szCs w:val="30"/>
          <w:highlight w:val="none"/>
          <w:lang w:val="en"/>
        </w:rPr>
        <w:t xml:space="preserve">甲    方: </w:t>
      </w:r>
      <w:r>
        <w:rPr>
          <w:rFonts w:hint="eastAsia" w:asciiTheme="majorEastAsia" w:hAnsiTheme="majorEastAsia" w:eastAsiaTheme="majorEastAsia" w:cstheme="majorEastAsia"/>
          <w:color w:val="auto"/>
          <w:sz w:val="30"/>
          <w:szCs w:val="30"/>
          <w:highlight w:val="none"/>
          <w:u w:val="single"/>
          <w:lang w:val="en"/>
        </w:rPr>
        <w:t xml:space="preserve">                   </w:t>
      </w:r>
    </w:p>
    <w:p w14:paraId="1352865A">
      <w:pPr>
        <w:pStyle w:val="54"/>
        <w:spacing w:before="240" w:beforeLines="100"/>
        <w:ind w:firstLine="1506" w:firstLineChars="500"/>
        <w:rPr>
          <w:rFonts w:hint="eastAsia" w:asciiTheme="majorEastAsia" w:hAnsiTheme="majorEastAsia" w:eastAsiaTheme="majorEastAsia" w:cstheme="majorEastAsia"/>
          <w:color w:val="auto"/>
          <w:sz w:val="30"/>
          <w:szCs w:val="30"/>
          <w:highlight w:val="none"/>
          <w:u w:val="single"/>
          <w:lang w:val="en"/>
        </w:rPr>
      </w:pPr>
      <w:r>
        <w:rPr>
          <w:rFonts w:hint="eastAsia" w:asciiTheme="majorEastAsia" w:hAnsiTheme="majorEastAsia" w:eastAsiaTheme="majorEastAsia" w:cstheme="majorEastAsia"/>
          <w:color w:val="auto"/>
          <w:sz w:val="30"/>
          <w:szCs w:val="30"/>
          <w:highlight w:val="none"/>
          <w:lang w:val="en"/>
        </w:rPr>
        <w:t xml:space="preserve">乙    方: </w:t>
      </w:r>
      <w:r>
        <w:rPr>
          <w:rFonts w:hint="eastAsia" w:asciiTheme="majorEastAsia" w:hAnsiTheme="majorEastAsia" w:eastAsiaTheme="majorEastAsia" w:cstheme="majorEastAsia"/>
          <w:color w:val="auto"/>
          <w:sz w:val="30"/>
          <w:szCs w:val="30"/>
          <w:highlight w:val="none"/>
          <w:u w:val="single"/>
          <w:lang w:val="en"/>
        </w:rPr>
        <w:t xml:space="preserve">                   </w:t>
      </w:r>
    </w:p>
    <w:p w14:paraId="1232866D">
      <w:pPr>
        <w:keepNext w:val="0"/>
        <w:keepLines w:val="0"/>
        <w:pageBreakBefore w:val="0"/>
        <w:widowControl w:val="0"/>
        <w:kinsoku w:val="0"/>
        <w:wordWrap w:val="0"/>
        <w:overflowPunct w:val="0"/>
        <w:topLinePunct/>
        <w:autoSpaceDE w:val="0"/>
        <w:autoSpaceDN w:val="0"/>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8"/>
          <w:szCs w:val="28"/>
          <w:highlight w:val="none"/>
          <w:lang w:val="en"/>
        </w:rPr>
        <w:t xml:space="preserve"> </w:t>
      </w:r>
      <w:r>
        <w:rPr>
          <w:rFonts w:hint="eastAsia" w:asciiTheme="majorEastAsia" w:hAnsiTheme="majorEastAsia" w:eastAsiaTheme="majorEastAsia" w:cstheme="majorEastAsia"/>
          <w:color w:val="auto"/>
          <w:sz w:val="24"/>
          <w:szCs w:val="24"/>
          <w:highlight w:val="none"/>
          <w:lang w:val="en"/>
        </w:rPr>
        <w:t xml:space="preserve">  </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u w:val="single"/>
          <w:lang w:val="en"/>
        </w:rPr>
        <w:t xml:space="preserve">             </w:t>
      </w:r>
      <w:r>
        <w:rPr>
          <w:rFonts w:hint="eastAsia" w:asciiTheme="majorEastAsia" w:hAnsiTheme="majorEastAsia" w:eastAsiaTheme="majorEastAsia" w:cstheme="majorEastAsia"/>
          <w:color w:val="auto"/>
          <w:sz w:val="24"/>
          <w:szCs w:val="24"/>
          <w:highlight w:val="none"/>
          <w:lang w:val="en"/>
        </w:rPr>
        <w:t>（甲方）所需</w:t>
      </w:r>
      <w:r>
        <w:rPr>
          <w:rFonts w:hint="eastAsia" w:asciiTheme="majorEastAsia" w:hAnsiTheme="majorEastAsia" w:eastAsiaTheme="majorEastAsia" w:cstheme="majorEastAsia"/>
          <w:color w:val="auto"/>
          <w:sz w:val="24"/>
          <w:szCs w:val="24"/>
          <w:highlight w:val="none"/>
          <w:u w:val="single"/>
          <w:lang w:val="en"/>
        </w:rPr>
        <w:t>       </w:t>
      </w:r>
      <w:r>
        <w:rPr>
          <w:rFonts w:hint="eastAsia" w:asciiTheme="majorEastAsia" w:hAnsiTheme="majorEastAsia" w:eastAsiaTheme="majorEastAsia" w:cstheme="majorEastAsia"/>
          <w:color w:val="auto"/>
          <w:sz w:val="24"/>
          <w:szCs w:val="24"/>
          <w:highlight w:val="none"/>
          <w:lang w:val="en"/>
        </w:rPr>
        <w:t xml:space="preserve"> (项目名称)经</w:t>
      </w:r>
      <w:r>
        <w:rPr>
          <w:rFonts w:hint="eastAsia" w:asciiTheme="majorEastAsia" w:hAnsiTheme="majorEastAsia" w:eastAsiaTheme="majorEastAsia" w:cstheme="majorEastAsia"/>
          <w:color w:val="auto"/>
          <w:sz w:val="24"/>
          <w:szCs w:val="24"/>
          <w:highlight w:val="none"/>
          <w:u w:val="single"/>
          <w:lang w:val="en"/>
        </w:rPr>
        <w:t xml:space="preserve">                </w:t>
      </w:r>
      <w:r>
        <w:rPr>
          <w:rFonts w:hint="eastAsia" w:asciiTheme="majorEastAsia" w:hAnsiTheme="majorEastAsia" w:eastAsiaTheme="majorEastAsia" w:cstheme="majorEastAsia"/>
          <w:color w:val="auto"/>
          <w:sz w:val="24"/>
          <w:szCs w:val="24"/>
          <w:highlight w:val="none"/>
          <w:lang w:val="en"/>
        </w:rPr>
        <w:t xml:space="preserve"> 以</w:t>
      </w:r>
      <w:r>
        <w:rPr>
          <w:rFonts w:hint="eastAsia" w:asciiTheme="majorEastAsia" w:hAnsiTheme="majorEastAsia" w:eastAsiaTheme="majorEastAsia" w:cstheme="majorEastAsia"/>
          <w:color w:val="auto"/>
          <w:sz w:val="24"/>
          <w:szCs w:val="24"/>
          <w:highlight w:val="none"/>
          <w:u w:val="single"/>
          <w:lang w:val="en"/>
        </w:rPr>
        <w:t xml:space="preserve">                 （项目编号）</w:t>
      </w:r>
      <w:r>
        <w:rPr>
          <w:rFonts w:hint="eastAsia" w:asciiTheme="majorEastAsia" w:hAnsiTheme="majorEastAsia" w:eastAsiaTheme="majorEastAsia" w:cstheme="majorEastAsia"/>
          <w:color w:val="auto"/>
          <w:sz w:val="24"/>
          <w:szCs w:val="24"/>
          <w:highlight w:val="none"/>
          <w:lang w:val="en"/>
        </w:rPr>
        <w:t>招标文件在国内以</w:t>
      </w:r>
      <w:r>
        <w:rPr>
          <w:rFonts w:hint="eastAsia" w:asciiTheme="majorEastAsia" w:hAnsiTheme="majorEastAsia" w:eastAsiaTheme="majorEastAsia" w:cstheme="majorEastAsia"/>
          <w:color w:val="auto"/>
          <w:sz w:val="24"/>
          <w:szCs w:val="24"/>
          <w:highlight w:val="none"/>
          <w:lang w:val="en-US" w:eastAsia="zh-CN"/>
        </w:rPr>
        <w:t>公开招标</w:t>
      </w:r>
      <w:r>
        <w:rPr>
          <w:rFonts w:hint="eastAsia" w:asciiTheme="majorEastAsia" w:hAnsiTheme="majorEastAsia" w:eastAsiaTheme="majorEastAsia" w:cstheme="majorEastAsia"/>
          <w:color w:val="auto"/>
          <w:sz w:val="24"/>
          <w:szCs w:val="24"/>
          <w:highlight w:val="none"/>
          <w:lang w:val="en"/>
        </w:rPr>
        <w:t>方式进行采购。经评标委员会确定</w:t>
      </w:r>
      <w:r>
        <w:rPr>
          <w:rFonts w:hint="eastAsia" w:asciiTheme="majorEastAsia" w:hAnsiTheme="majorEastAsia" w:eastAsiaTheme="majorEastAsia" w:cstheme="majorEastAsia"/>
          <w:color w:val="auto"/>
          <w:sz w:val="24"/>
          <w:szCs w:val="24"/>
          <w:highlight w:val="none"/>
          <w:u w:val="single"/>
          <w:lang w:val="en"/>
        </w:rPr>
        <w:t>        </w:t>
      </w:r>
      <w:r>
        <w:rPr>
          <w:rFonts w:hint="eastAsia" w:asciiTheme="majorEastAsia" w:hAnsiTheme="majorEastAsia" w:eastAsiaTheme="majorEastAsia" w:cstheme="majorEastAsia"/>
          <w:color w:val="auto"/>
          <w:sz w:val="24"/>
          <w:szCs w:val="24"/>
          <w:highlight w:val="none"/>
          <w:lang w:val="en"/>
        </w:rPr>
        <w:t xml:space="preserve"> （乙方）为中标人。甲、乙双方根据《中华人民共和国政府采购法》、《中华人民共和国</w:t>
      </w:r>
      <w:r>
        <w:rPr>
          <w:rFonts w:hint="eastAsia" w:asciiTheme="majorEastAsia" w:hAnsiTheme="majorEastAsia" w:eastAsiaTheme="majorEastAsia" w:cstheme="majorEastAsia"/>
          <w:color w:val="auto"/>
          <w:sz w:val="24"/>
          <w:szCs w:val="24"/>
          <w:highlight w:val="none"/>
          <w:lang w:val="en-US" w:eastAsia="zh-CN"/>
        </w:rPr>
        <w:t>民典法</w:t>
      </w:r>
      <w:r>
        <w:rPr>
          <w:rFonts w:hint="eastAsia" w:asciiTheme="majorEastAsia" w:hAnsiTheme="majorEastAsia" w:eastAsiaTheme="majorEastAsia" w:cstheme="majorEastAsia"/>
          <w:color w:val="auto"/>
          <w:sz w:val="24"/>
          <w:szCs w:val="24"/>
          <w:highlight w:val="none"/>
          <w:lang w:val="en"/>
        </w:rPr>
        <w:t>》等相关法律以及本项目招标文件的规定，经平等协商达成合同如下：</w:t>
      </w:r>
    </w:p>
    <w:p w14:paraId="0DA8C19C">
      <w:pPr>
        <w:pStyle w:val="54"/>
        <w:widowControl/>
        <w:snapToGrid w:val="0"/>
        <w:spacing w:line="360" w:lineRule="auto"/>
        <w:ind w:firstLine="482" w:firstLineChars="200"/>
        <w:jc w:val="left"/>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一、合同文件</w:t>
      </w:r>
    </w:p>
    <w:p w14:paraId="03875BE6">
      <w:pPr>
        <w:pStyle w:val="54"/>
        <w:widowControl/>
        <w:snapToGrid w:val="0"/>
        <w:spacing w:line="360" w:lineRule="auto"/>
        <w:ind w:firstLine="482" w:firstLineChars="200"/>
        <w:jc w:val="left"/>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本合同所附下列文件是构成本合同不可分割的部分：</w:t>
      </w:r>
    </w:p>
    <w:p w14:paraId="553F5216">
      <w:pPr>
        <w:pStyle w:val="54"/>
        <w:widowControl/>
        <w:snapToGrid w:val="0"/>
        <w:spacing w:line="360" w:lineRule="auto"/>
        <w:ind w:firstLine="482" w:firstLineChars="200"/>
        <w:jc w:val="left"/>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（一）本项目招标文件</w:t>
      </w:r>
    </w:p>
    <w:p w14:paraId="21CF5904">
      <w:pPr>
        <w:pStyle w:val="54"/>
        <w:widowControl/>
        <w:snapToGrid w:val="0"/>
        <w:spacing w:line="360" w:lineRule="auto"/>
        <w:ind w:firstLine="482" w:firstLineChars="200"/>
        <w:jc w:val="left"/>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（二）中标人投标文件</w:t>
      </w:r>
    </w:p>
    <w:p w14:paraId="4A6EA36C">
      <w:pPr>
        <w:pStyle w:val="54"/>
        <w:widowControl/>
        <w:snapToGrid w:val="0"/>
        <w:spacing w:line="360" w:lineRule="auto"/>
        <w:ind w:firstLine="482" w:firstLineChars="200"/>
        <w:jc w:val="left"/>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（三）合同格式、合同条款</w:t>
      </w:r>
    </w:p>
    <w:p w14:paraId="41D57D9C">
      <w:pPr>
        <w:pStyle w:val="54"/>
        <w:widowControl/>
        <w:snapToGrid w:val="0"/>
        <w:spacing w:line="360" w:lineRule="auto"/>
        <w:ind w:firstLine="482" w:firstLineChars="200"/>
        <w:jc w:val="left"/>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（四）中标人在评标过程中做出的有关澄清、说明或者补正文件</w:t>
      </w:r>
    </w:p>
    <w:p w14:paraId="123815EF">
      <w:pPr>
        <w:pStyle w:val="54"/>
        <w:widowControl/>
        <w:snapToGrid w:val="0"/>
        <w:spacing w:line="360" w:lineRule="auto"/>
        <w:ind w:firstLine="482" w:firstLineChars="200"/>
        <w:jc w:val="left"/>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（五）中标通知书</w:t>
      </w:r>
    </w:p>
    <w:p w14:paraId="525D181E">
      <w:pPr>
        <w:pStyle w:val="54"/>
        <w:widowControl/>
        <w:snapToGrid w:val="0"/>
        <w:spacing w:line="360" w:lineRule="auto"/>
        <w:ind w:firstLine="482" w:firstLineChars="200"/>
        <w:jc w:val="left"/>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（六）本合同附件</w:t>
      </w:r>
    </w:p>
    <w:p w14:paraId="35B6A9F9">
      <w:pPr>
        <w:pStyle w:val="54"/>
        <w:widowControl/>
        <w:snapToGrid w:val="0"/>
        <w:spacing w:line="360" w:lineRule="auto"/>
        <w:ind w:firstLine="482" w:firstLineChars="200"/>
        <w:jc w:val="left"/>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二、合同的范围和条件</w:t>
      </w:r>
    </w:p>
    <w:p w14:paraId="0496CC3D">
      <w:pPr>
        <w:pStyle w:val="54"/>
        <w:widowControl/>
        <w:snapToGrid w:val="0"/>
        <w:spacing w:line="360" w:lineRule="auto"/>
        <w:ind w:firstLine="482" w:firstLineChars="200"/>
        <w:jc w:val="left"/>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本合同的范围和条件应与上述合同文件的规定相一致。</w:t>
      </w:r>
    </w:p>
    <w:p w14:paraId="08443A4C">
      <w:pPr>
        <w:pStyle w:val="54"/>
        <w:widowControl/>
        <w:snapToGrid w:val="0"/>
        <w:spacing w:line="360" w:lineRule="auto"/>
        <w:ind w:firstLine="482" w:firstLineChars="200"/>
        <w:jc w:val="left"/>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三、货物、数量及规格</w:t>
      </w:r>
    </w:p>
    <w:p w14:paraId="3C41A66F">
      <w:pPr>
        <w:pStyle w:val="54"/>
        <w:widowControl/>
        <w:snapToGrid w:val="0"/>
        <w:spacing w:line="360" w:lineRule="auto"/>
        <w:ind w:firstLine="482" w:firstLineChars="200"/>
        <w:jc w:val="left"/>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本合同所提供的货物、数量及规格详见合同货物清单（附件一）（同投标文件中报价明细表，下同）。</w:t>
      </w:r>
    </w:p>
    <w:p w14:paraId="61428026">
      <w:pPr>
        <w:pStyle w:val="54"/>
        <w:widowControl/>
        <w:snapToGrid w:val="0"/>
        <w:spacing w:line="360" w:lineRule="auto"/>
        <w:ind w:firstLine="482" w:firstLineChars="200"/>
        <w:jc w:val="left"/>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四、合同金额</w:t>
      </w:r>
    </w:p>
    <w:p w14:paraId="3FFAA7C7">
      <w:pPr>
        <w:pStyle w:val="54"/>
        <w:widowControl/>
        <w:snapToGrid w:val="0"/>
        <w:spacing w:line="360" w:lineRule="auto"/>
        <w:ind w:firstLine="482" w:firstLineChars="200"/>
        <w:jc w:val="left"/>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 xml:space="preserve">根据上述合同文件要求，合同金额为人民币 </w:t>
      </w:r>
      <w:r>
        <w:rPr>
          <w:rFonts w:hint="eastAsia" w:asciiTheme="majorEastAsia" w:hAnsiTheme="majorEastAsia" w:eastAsiaTheme="majorEastAsia" w:cstheme="majorEastAsia"/>
          <w:color w:val="auto"/>
          <w:sz w:val="24"/>
          <w:szCs w:val="24"/>
          <w:highlight w:val="none"/>
          <w:u w:val="single"/>
          <w:lang w:val="en"/>
        </w:rPr>
        <w:t xml:space="preserve">       </w:t>
      </w:r>
      <w:r>
        <w:rPr>
          <w:rFonts w:hint="eastAsia" w:asciiTheme="majorEastAsia" w:hAnsiTheme="majorEastAsia" w:eastAsiaTheme="majorEastAsia" w:cstheme="majorEastAsia"/>
          <w:color w:val="auto"/>
          <w:sz w:val="24"/>
          <w:szCs w:val="24"/>
          <w:highlight w:val="none"/>
          <w:lang w:val="en"/>
        </w:rPr>
        <w:t xml:space="preserve"> 元，大写： </w:t>
      </w:r>
      <w:r>
        <w:rPr>
          <w:rFonts w:hint="eastAsia" w:asciiTheme="majorEastAsia" w:hAnsiTheme="majorEastAsia" w:eastAsiaTheme="majorEastAsia" w:cstheme="majorEastAsia"/>
          <w:color w:val="auto"/>
          <w:sz w:val="24"/>
          <w:szCs w:val="24"/>
          <w:highlight w:val="none"/>
          <w:u w:val="single"/>
          <w:lang w:val="en"/>
        </w:rPr>
        <w:t xml:space="preserve">       </w:t>
      </w:r>
      <w:r>
        <w:rPr>
          <w:rFonts w:hint="eastAsia" w:asciiTheme="majorEastAsia" w:hAnsiTheme="majorEastAsia" w:eastAsiaTheme="majorEastAsia" w:cstheme="majorEastAsia"/>
          <w:color w:val="auto"/>
          <w:sz w:val="24"/>
          <w:szCs w:val="24"/>
          <w:highlight w:val="none"/>
          <w:lang w:val="en"/>
        </w:rPr>
        <w:t xml:space="preserve"> 。（分项价格详见合同货物清单）。</w:t>
      </w:r>
    </w:p>
    <w:p w14:paraId="40BA2A1F">
      <w:pPr>
        <w:pStyle w:val="54"/>
        <w:widowControl/>
        <w:snapToGrid w:val="0"/>
        <w:spacing w:line="360" w:lineRule="auto"/>
        <w:ind w:firstLine="482" w:firstLineChars="200"/>
        <w:jc w:val="left"/>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乙方开户单位：</w:t>
      </w:r>
    </w:p>
    <w:p w14:paraId="5B4CFE46">
      <w:pPr>
        <w:pStyle w:val="54"/>
        <w:widowControl/>
        <w:snapToGrid w:val="0"/>
        <w:spacing w:line="360" w:lineRule="auto"/>
        <w:ind w:firstLine="482" w:firstLineChars="200"/>
        <w:jc w:val="left"/>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开户银行：                           帐号：</w:t>
      </w:r>
    </w:p>
    <w:p w14:paraId="51415DB7">
      <w:pPr>
        <w:pStyle w:val="54"/>
        <w:widowControl/>
        <w:snapToGrid w:val="0"/>
        <w:spacing w:line="360" w:lineRule="auto"/>
        <w:ind w:firstLine="482" w:firstLineChars="200"/>
        <w:jc w:val="left"/>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五、付款途径</w:t>
      </w:r>
    </w:p>
    <w:p w14:paraId="16056BBC">
      <w:pPr>
        <w:pStyle w:val="54"/>
        <w:widowControl/>
        <w:snapToGrid w:val="0"/>
        <w:spacing w:line="360" w:lineRule="auto"/>
        <w:ind w:firstLine="482" w:firstLineChars="200"/>
        <w:jc w:val="left"/>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 国库集中支付   □甲方支付    □ 国库与甲方共同支付</w:t>
      </w:r>
    </w:p>
    <w:p w14:paraId="76B081A7">
      <w:pPr>
        <w:pStyle w:val="54"/>
        <w:widowControl/>
        <w:snapToGrid w:val="0"/>
        <w:spacing w:line="360" w:lineRule="auto"/>
        <w:ind w:firstLine="482" w:firstLineChars="200"/>
        <w:jc w:val="left"/>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 财政性资金</w:t>
      </w:r>
      <w:r>
        <w:rPr>
          <w:rFonts w:hint="eastAsia" w:asciiTheme="majorEastAsia" w:hAnsiTheme="majorEastAsia" w:eastAsiaTheme="majorEastAsia" w:cstheme="majorEastAsia"/>
          <w:color w:val="auto"/>
          <w:sz w:val="24"/>
          <w:szCs w:val="24"/>
          <w:highlight w:val="none"/>
          <w:u w:val="single"/>
          <w:lang w:val="en"/>
        </w:rPr>
        <w:t xml:space="preserve">       </w:t>
      </w:r>
      <w:r>
        <w:rPr>
          <w:rFonts w:hint="eastAsia" w:asciiTheme="majorEastAsia" w:hAnsiTheme="majorEastAsia" w:eastAsiaTheme="majorEastAsia" w:cstheme="majorEastAsia"/>
          <w:color w:val="auto"/>
          <w:sz w:val="24"/>
          <w:szCs w:val="24"/>
          <w:highlight w:val="none"/>
          <w:lang w:val="en"/>
        </w:rPr>
        <w:t>元          □ 自筹性资金</w:t>
      </w:r>
      <w:r>
        <w:rPr>
          <w:rFonts w:hint="eastAsia" w:asciiTheme="majorEastAsia" w:hAnsiTheme="majorEastAsia" w:eastAsiaTheme="majorEastAsia" w:cstheme="majorEastAsia"/>
          <w:color w:val="auto"/>
          <w:sz w:val="24"/>
          <w:szCs w:val="24"/>
          <w:highlight w:val="none"/>
          <w:u w:val="single"/>
          <w:lang w:val="en"/>
        </w:rPr>
        <w:t xml:space="preserve">         </w:t>
      </w:r>
      <w:r>
        <w:rPr>
          <w:rFonts w:hint="eastAsia" w:asciiTheme="majorEastAsia" w:hAnsiTheme="majorEastAsia" w:eastAsiaTheme="majorEastAsia" w:cstheme="majorEastAsia"/>
          <w:color w:val="auto"/>
          <w:sz w:val="24"/>
          <w:szCs w:val="24"/>
          <w:highlight w:val="none"/>
          <w:lang w:val="en"/>
        </w:rPr>
        <w:t>元</w:t>
      </w:r>
    </w:p>
    <w:p w14:paraId="4BF30460">
      <w:pPr>
        <w:pStyle w:val="54"/>
        <w:widowControl/>
        <w:snapToGrid w:val="0"/>
        <w:spacing w:line="360" w:lineRule="auto"/>
        <w:ind w:firstLine="482" w:firstLineChars="200"/>
        <w:jc w:val="left"/>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属</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
        </w:rPr>
        <w:t>资金，甲方应按合同约定的付款期限，通过《新疆政府采购管理系统》及时向财政部门报送资金支付申请，财政部门对支付申请审核无误后，将货款直接支付至乙方账户。</w:t>
      </w:r>
    </w:p>
    <w:p w14:paraId="7EF97441">
      <w:pPr>
        <w:pStyle w:val="54"/>
        <w:widowControl/>
        <w:snapToGrid w:val="0"/>
        <w:spacing w:line="360" w:lineRule="auto"/>
        <w:ind w:firstLine="482" w:firstLineChars="200"/>
        <w:jc w:val="left"/>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六、付款方式</w:t>
      </w:r>
    </w:p>
    <w:p w14:paraId="0AAC15CB">
      <w:pPr>
        <w:pStyle w:val="54"/>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付款方式：</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
        </w:rPr>
        <w:t xml:space="preserve">                                               </w:t>
      </w:r>
    </w:p>
    <w:p w14:paraId="126D3492">
      <w:pPr>
        <w:pStyle w:val="54"/>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七、交付日期、地点</w:t>
      </w:r>
    </w:p>
    <w:p w14:paraId="6C619CC3">
      <w:pPr>
        <w:pStyle w:val="54"/>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1、交付日期：合同生效之日起</w:t>
      </w:r>
      <w:r>
        <w:rPr>
          <w:rFonts w:hint="eastAsia" w:asciiTheme="majorEastAsia" w:hAnsiTheme="majorEastAsia" w:eastAsiaTheme="majorEastAsia" w:cstheme="majorEastAsia"/>
          <w:color w:val="auto"/>
          <w:sz w:val="24"/>
          <w:szCs w:val="24"/>
          <w:highlight w:val="none"/>
          <w:u w:val="single"/>
          <w:lang w:val="en"/>
        </w:rPr>
        <w:t xml:space="preserve">        </w:t>
      </w:r>
      <w:r>
        <w:rPr>
          <w:rFonts w:hint="eastAsia" w:asciiTheme="majorEastAsia" w:hAnsiTheme="majorEastAsia" w:eastAsiaTheme="majorEastAsia" w:cstheme="majorEastAsia"/>
          <w:color w:val="auto"/>
          <w:sz w:val="24"/>
          <w:szCs w:val="24"/>
          <w:highlight w:val="none"/>
          <w:lang w:val="en"/>
        </w:rPr>
        <w:t>日内交付。</w:t>
      </w:r>
    </w:p>
    <w:p w14:paraId="145A7DDE">
      <w:pPr>
        <w:pStyle w:val="54"/>
        <w:tabs>
          <w:tab w:val="left" w:pos="955"/>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2、交付地点：</w:t>
      </w:r>
      <w:r>
        <w:rPr>
          <w:rFonts w:hint="eastAsia" w:asciiTheme="majorEastAsia" w:hAnsiTheme="majorEastAsia" w:eastAsiaTheme="majorEastAsia" w:cstheme="majorEastAsia"/>
          <w:color w:val="auto"/>
          <w:sz w:val="24"/>
          <w:szCs w:val="24"/>
          <w:highlight w:val="none"/>
          <w:u w:val="single"/>
          <w:lang w:val="en"/>
        </w:rPr>
        <w:t xml:space="preserve">                 </w:t>
      </w:r>
      <w:r>
        <w:rPr>
          <w:rFonts w:hint="eastAsia" w:asciiTheme="majorEastAsia" w:hAnsiTheme="majorEastAsia" w:eastAsiaTheme="majorEastAsia" w:cstheme="majorEastAsia"/>
          <w:color w:val="auto"/>
          <w:sz w:val="24"/>
          <w:szCs w:val="24"/>
          <w:highlight w:val="none"/>
          <w:lang w:val="en"/>
        </w:rPr>
        <w:t xml:space="preserve">                                </w:t>
      </w:r>
    </w:p>
    <w:p w14:paraId="589BC399">
      <w:pPr>
        <w:pStyle w:val="54"/>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八、履约保证金</w:t>
      </w:r>
    </w:p>
    <w:p w14:paraId="26E84695">
      <w:pPr>
        <w:pStyle w:val="54"/>
        <w:spacing w:line="360" w:lineRule="auto"/>
        <w:ind w:firstLine="482" w:firstLineChars="200"/>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履约保证金以履约银行保函形式为准，以中标合同金额的3%计取。</w:t>
      </w:r>
    </w:p>
    <w:p w14:paraId="051680EA">
      <w:pPr>
        <w:pStyle w:val="54"/>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履约保证金在项目交付验收合格无质量问题后，填写《履约保证金退付表》、《政府采购项目验收单》和资金往来收款收据交招标人后20个工作日内退还。</w:t>
      </w:r>
    </w:p>
    <w:p w14:paraId="47E7FC64">
      <w:pPr>
        <w:pStyle w:val="54"/>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九、合同生效</w:t>
      </w:r>
    </w:p>
    <w:p w14:paraId="41447971">
      <w:pPr>
        <w:pStyle w:val="54"/>
        <w:spacing w:line="360" w:lineRule="auto"/>
        <w:ind w:firstLine="482" w:firstLineChars="200"/>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
        </w:rPr>
        <w:t>本合同经甲乙双方签字盖章，乙方提交履约保证金备案后生效。</w:t>
      </w:r>
    </w:p>
    <w:p w14:paraId="1A16A5C7">
      <w:pPr>
        <w:pStyle w:val="54"/>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十、合同保存</w:t>
      </w:r>
    </w:p>
    <w:p w14:paraId="5007A736">
      <w:pPr>
        <w:pStyle w:val="54"/>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本合同一式五份，甲方三份，乙方两份。</w:t>
      </w:r>
    </w:p>
    <w:p w14:paraId="48B11B41">
      <w:pPr>
        <w:pStyle w:val="54"/>
        <w:spacing w:line="360" w:lineRule="auto"/>
        <w:rPr>
          <w:rFonts w:hint="eastAsia" w:asciiTheme="majorEastAsia" w:hAnsiTheme="majorEastAsia" w:eastAsiaTheme="majorEastAsia" w:cstheme="majorEastAsia"/>
          <w:b/>
          <w:bCs/>
          <w:color w:val="auto"/>
          <w:sz w:val="24"/>
          <w:szCs w:val="24"/>
          <w:highlight w:val="none"/>
          <w:lang w:val="en"/>
        </w:rPr>
      </w:pPr>
    </w:p>
    <w:p w14:paraId="4D62C045">
      <w:pPr>
        <w:pStyle w:val="54"/>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甲    方：</w:t>
      </w:r>
      <w:r>
        <w:rPr>
          <w:rFonts w:hint="eastAsia" w:asciiTheme="majorEastAsia" w:hAnsiTheme="majorEastAsia" w:eastAsiaTheme="majorEastAsia" w:cstheme="majorEastAsia"/>
          <w:color w:val="auto"/>
          <w:sz w:val="24"/>
          <w:szCs w:val="24"/>
          <w:highlight w:val="none"/>
          <w:lang w:val="en"/>
        </w:rPr>
        <w:t xml:space="preserve">                            </w:t>
      </w:r>
      <w:r>
        <w:rPr>
          <w:rFonts w:hint="eastAsia" w:asciiTheme="majorEastAsia" w:hAnsiTheme="majorEastAsia" w:eastAsiaTheme="majorEastAsia" w:cstheme="majorEastAsia"/>
          <w:b/>
          <w:bCs/>
          <w:color w:val="auto"/>
          <w:sz w:val="24"/>
          <w:szCs w:val="24"/>
          <w:highlight w:val="none"/>
          <w:lang w:val="en"/>
        </w:rPr>
        <w:t>乙    方：</w:t>
      </w:r>
    </w:p>
    <w:p w14:paraId="2412FDC7">
      <w:pPr>
        <w:pStyle w:val="54"/>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p>
    <w:p w14:paraId="22C1C765">
      <w:pPr>
        <w:pStyle w:val="54"/>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单位名称(公章)：                      单位名称(公章)：</w:t>
      </w:r>
    </w:p>
    <w:p w14:paraId="7E37661E">
      <w:pPr>
        <w:pStyle w:val="54"/>
        <w:spacing w:line="360" w:lineRule="auto"/>
        <w:rPr>
          <w:rFonts w:hint="eastAsia" w:asciiTheme="majorEastAsia" w:hAnsiTheme="majorEastAsia" w:eastAsiaTheme="majorEastAsia" w:cstheme="majorEastAsia"/>
          <w:color w:val="auto"/>
          <w:sz w:val="24"/>
          <w:szCs w:val="24"/>
          <w:highlight w:val="none"/>
          <w:lang w:val="en"/>
        </w:rPr>
      </w:pPr>
    </w:p>
    <w:p w14:paraId="7D4FA360">
      <w:pPr>
        <w:pStyle w:val="54"/>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法定代表人或授权代理人：（签字）       法定代表人或授权代理人：（签字）</w:t>
      </w:r>
    </w:p>
    <w:p w14:paraId="1839512D">
      <w:pPr>
        <w:pStyle w:val="54"/>
        <w:spacing w:line="360" w:lineRule="auto"/>
        <w:rPr>
          <w:rFonts w:hint="eastAsia" w:asciiTheme="majorEastAsia" w:hAnsiTheme="majorEastAsia" w:eastAsiaTheme="majorEastAsia" w:cstheme="majorEastAsia"/>
          <w:color w:val="auto"/>
          <w:sz w:val="24"/>
          <w:szCs w:val="24"/>
          <w:highlight w:val="none"/>
          <w:lang w:val="en"/>
        </w:rPr>
      </w:pPr>
    </w:p>
    <w:p w14:paraId="6DD49895">
      <w:pPr>
        <w:pStyle w:val="54"/>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电    话：                            电    话：</w:t>
      </w:r>
    </w:p>
    <w:p w14:paraId="1A01CFAD">
      <w:pPr>
        <w:pStyle w:val="54"/>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p>
    <w:p w14:paraId="18124A0D">
      <w:pPr>
        <w:pStyle w:val="54"/>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签订日期：                            签订日期：</w:t>
      </w:r>
    </w:p>
    <w:p w14:paraId="0189542C">
      <w:pPr>
        <w:pStyle w:val="54"/>
        <w:spacing w:line="300" w:lineRule="exact"/>
        <w:rPr>
          <w:rFonts w:hint="eastAsia" w:asciiTheme="majorEastAsia" w:hAnsiTheme="majorEastAsia" w:eastAsiaTheme="majorEastAsia" w:cstheme="majorEastAsia"/>
          <w:color w:val="auto"/>
          <w:sz w:val="24"/>
          <w:szCs w:val="24"/>
          <w:highlight w:val="none"/>
          <w:lang w:val="en"/>
        </w:rPr>
      </w:pPr>
    </w:p>
    <w:p w14:paraId="1E728927">
      <w:pPr>
        <w:pStyle w:val="49"/>
        <w:autoSpaceDE w:val="0"/>
        <w:autoSpaceDN w:val="0"/>
        <w:adjustRightInd w:val="0"/>
        <w:spacing w:line="440" w:lineRule="exact"/>
        <w:ind w:firstLine="240" w:firstLineChars="100"/>
        <w:jc w:val="left"/>
        <w:rPr>
          <w:rFonts w:hint="eastAsia" w:asciiTheme="majorEastAsia" w:hAnsiTheme="majorEastAsia" w:eastAsiaTheme="majorEastAsia" w:cstheme="majorEastAsia"/>
          <w:color w:val="auto"/>
          <w:sz w:val="28"/>
          <w:szCs w:val="28"/>
          <w:highlight w:val="none"/>
          <w:lang w:val="en"/>
        </w:rPr>
      </w:pPr>
      <w:r>
        <w:rPr>
          <w:rFonts w:hint="eastAsia" w:asciiTheme="majorEastAsia" w:hAnsiTheme="majorEastAsia" w:eastAsiaTheme="majorEastAsia" w:cstheme="majorEastAsia"/>
          <w:color w:val="auto"/>
          <w:sz w:val="24"/>
          <w:szCs w:val="24"/>
          <w:highlight w:val="none"/>
          <w:lang w:val="en"/>
        </w:rPr>
        <w:t>（注：本协议书仅为参考文本，签订双方可根据项目的具体要求进行修订。）</w:t>
      </w:r>
    </w:p>
    <w:p w14:paraId="690CA9A3">
      <w:pPr>
        <w:pStyle w:val="54"/>
        <w:spacing w:line="360" w:lineRule="auto"/>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30"/>
          <w:szCs w:val="30"/>
          <w:highlight w:val="none"/>
          <w:lang w:val="en"/>
        </w:rPr>
        <w:br w:type="page"/>
      </w:r>
      <w:r>
        <w:rPr>
          <w:rFonts w:hint="eastAsia" w:asciiTheme="majorEastAsia" w:hAnsiTheme="majorEastAsia" w:eastAsiaTheme="majorEastAsia" w:cstheme="majorEastAsia"/>
          <w:b/>
          <w:bCs/>
          <w:color w:val="auto"/>
          <w:sz w:val="24"/>
          <w:szCs w:val="24"/>
          <w:highlight w:val="none"/>
          <w:lang w:val="en"/>
        </w:rPr>
        <w:t>二、合同条款</w:t>
      </w:r>
    </w:p>
    <w:p w14:paraId="60CC85F4">
      <w:pPr>
        <w:pStyle w:val="54"/>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甲方在本项目中所需货物和服务由</w:t>
      </w:r>
      <w:r>
        <w:rPr>
          <w:rFonts w:hint="eastAsia" w:asciiTheme="majorEastAsia" w:hAnsiTheme="majorEastAsia" w:eastAsiaTheme="majorEastAsia" w:cstheme="majorEastAsia"/>
          <w:color w:val="auto"/>
          <w:sz w:val="24"/>
          <w:szCs w:val="24"/>
          <w:highlight w:val="none"/>
          <w:u w:val="thick"/>
          <w:lang w:val="en"/>
        </w:rPr>
        <w:t xml:space="preserve">                    </w:t>
      </w:r>
      <w:r>
        <w:rPr>
          <w:rFonts w:hint="eastAsia" w:asciiTheme="majorEastAsia" w:hAnsiTheme="majorEastAsia" w:eastAsiaTheme="majorEastAsia" w:cstheme="majorEastAsia"/>
          <w:color w:val="auto"/>
          <w:sz w:val="24"/>
          <w:szCs w:val="24"/>
          <w:highlight w:val="none"/>
          <w:lang w:val="en"/>
        </w:rPr>
        <w:t>在国内进行公开招标，经评标委员会评定，确定乙方为中标人。甲乙双方根据《中华人民共和国政府采购法》、《中华人民共和国</w:t>
      </w:r>
      <w:r>
        <w:rPr>
          <w:rFonts w:hint="eastAsia" w:asciiTheme="majorEastAsia" w:hAnsiTheme="majorEastAsia" w:eastAsiaTheme="majorEastAsia" w:cstheme="majorEastAsia"/>
          <w:color w:val="auto"/>
          <w:sz w:val="24"/>
          <w:szCs w:val="24"/>
          <w:highlight w:val="none"/>
          <w:lang w:val="en-US" w:eastAsia="zh-CN"/>
        </w:rPr>
        <w:t>民典法</w:t>
      </w:r>
      <w:r>
        <w:rPr>
          <w:rFonts w:hint="eastAsia" w:asciiTheme="majorEastAsia" w:hAnsiTheme="majorEastAsia" w:eastAsiaTheme="majorEastAsia" w:cstheme="majorEastAsia"/>
          <w:color w:val="auto"/>
          <w:sz w:val="24"/>
          <w:szCs w:val="24"/>
          <w:highlight w:val="none"/>
          <w:lang w:val="en"/>
        </w:rPr>
        <w:t xml:space="preserve">》等相关法律法规以及本项目招标文件的规定，经平等协商达成合同如下： </w:t>
      </w:r>
      <w:bookmarkStart w:id="296" w:name="_Toc86202594"/>
      <w:bookmarkStart w:id="297" w:name="_Toc175644041"/>
    </w:p>
    <w:p w14:paraId="756BF82C">
      <w:pPr>
        <w:pStyle w:val="54"/>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一、定义</w:t>
      </w:r>
      <w:bookmarkEnd w:id="296"/>
      <w:bookmarkEnd w:id="297"/>
    </w:p>
    <w:p w14:paraId="7A20FCF7">
      <w:pPr>
        <w:pStyle w:val="54"/>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除非另有特别解释或说明，在本合同及与本合同相关的，双方另行签署的其他文件（包括但不限于本合同的附件）中，下述词语均依如下定义进行解释：</w:t>
      </w:r>
    </w:p>
    <w:p w14:paraId="5478D112">
      <w:pPr>
        <w:pStyle w:val="54"/>
        <w:tabs>
          <w:tab w:val="left" w:pos="360"/>
          <w:tab w:val="left" w:pos="2011"/>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1、“合同”指甲乙双方签署的，与本项目相关的协议、附件、附录和其他一切文件，还包括招标文件、投标文件中的相关内容及其有效补充文件。</w:t>
      </w:r>
    </w:p>
    <w:p w14:paraId="09BFC8B8">
      <w:pPr>
        <w:pStyle w:val="54"/>
        <w:tabs>
          <w:tab w:val="left" w:pos="360"/>
          <w:tab w:val="left" w:pos="2011"/>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2、“附件”是指与本合同的订立、履行有关的，经甲乙双方认可的，对本合同约定的内容进行细化、补充、修改、变更的文件、图纸、音像制品等资料。</w:t>
      </w:r>
    </w:p>
    <w:p w14:paraId="18F29FC6">
      <w:pPr>
        <w:pStyle w:val="54"/>
        <w:tabs>
          <w:tab w:val="left" w:pos="360"/>
          <w:tab w:val="left" w:pos="2011"/>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3、“货物”指合同货物清单（附件1）（同投标文件中货物明细表，下同）中所规定的硬件、软件、安装材料、备件及专用器具、文件资料等内容。</w:t>
      </w:r>
    </w:p>
    <w:p w14:paraId="38459840">
      <w:pPr>
        <w:pStyle w:val="54"/>
        <w:tabs>
          <w:tab w:val="left" w:pos="360"/>
          <w:tab w:val="left" w:pos="2011"/>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4CBA4E81">
      <w:pPr>
        <w:pStyle w:val="54"/>
        <w:tabs>
          <w:tab w:val="left" w:pos="360"/>
          <w:tab w:val="left" w:pos="2011"/>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5、“检验”指按照本合同约定的标准对合同货物进行的检测与查验。</w:t>
      </w:r>
    </w:p>
    <w:p w14:paraId="34E01032">
      <w:pPr>
        <w:pStyle w:val="54"/>
        <w:tabs>
          <w:tab w:val="left" w:pos="360"/>
          <w:tab w:val="left" w:pos="2011"/>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6、“政府采购项目验收单”指甲、乙双方验收完成后由合同双方签署的最终验收确认书。</w:t>
      </w:r>
    </w:p>
    <w:p w14:paraId="7DCC5106">
      <w:pPr>
        <w:pStyle w:val="54"/>
        <w:tabs>
          <w:tab w:val="left" w:pos="360"/>
          <w:tab w:val="left" w:pos="2011"/>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7、“技术资料”指安装、调试、使用、维修合同货物所应具备的产品使用说明书和／或使用指南、操作手册、维修指南、服务手册、电路图、产品演示等文件。</w:t>
      </w:r>
    </w:p>
    <w:p w14:paraId="35D31384">
      <w:pPr>
        <w:pStyle w:val="54"/>
        <w:tabs>
          <w:tab w:val="left" w:pos="36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8、“保修期”指自验收单签署之日起，乙方免费对所卖给甲方货物更换整件或零部件，维修、保养及技术支持、产品升级并以自担费用方式保证项目正常运行的时期。</w:t>
      </w:r>
    </w:p>
    <w:p w14:paraId="3FE4CF62">
      <w:pPr>
        <w:pStyle w:val="54"/>
        <w:tabs>
          <w:tab w:val="left" w:pos="360"/>
          <w:tab w:val="left" w:pos="2011"/>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9、“第三人”是指本合同双方以外的任何中国境内、外的自然人、法人或其他经济组织。</w:t>
      </w:r>
    </w:p>
    <w:p w14:paraId="65D0D629">
      <w:pPr>
        <w:pStyle w:val="54"/>
        <w:tabs>
          <w:tab w:val="left" w:pos="480"/>
          <w:tab w:val="left" w:pos="2011"/>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10、“法律、法规”是指由中国有关部门制定的法律、行政法规、地方性法规、规章及其他规范性文件以及经全国人民代表大会常务委员会批准的中国缔结、参加的国际条（公）约的有关规定。</w:t>
      </w:r>
    </w:p>
    <w:p w14:paraId="5C06F21E">
      <w:pPr>
        <w:pStyle w:val="54"/>
        <w:tabs>
          <w:tab w:val="left" w:pos="480"/>
          <w:tab w:val="left" w:pos="2011"/>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11、“招标文件”指采购代理机构发布的本项目招标文件。</w:t>
      </w:r>
    </w:p>
    <w:p w14:paraId="4D1EBBA4">
      <w:pPr>
        <w:pStyle w:val="54"/>
        <w:tabs>
          <w:tab w:val="left" w:pos="480"/>
          <w:tab w:val="left" w:pos="2011"/>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12、“投标文件”指乙方按照本项目招标文件的要求编制和投递，并最终经采购代理机构接收的投标文件。</w:t>
      </w:r>
    </w:p>
    <w:p w14:paraId="29B83176">
      <w:pPr>
        <w:pStyle w:val="54"/>
        <w:spacing w:line="360" w:lineRule="auto"/>
        <w:ind w:firstLine="501" w:firstLineChars="208"/>
        <w:rPr>
          <w:rFonts w:hint="eastAsia" w:asciiTheme="majorEastAsia" w:hAnsiTheme="majorEastAsia" w:eastAsiaTheme="majorEastAsia" w:cstheme="majorEastAsia"/>
          <w:b/>
          <w:bCs/>
          <w:color w:val="auto"/>
          <w:sz w:val="24"/>
          <w:szCs w:val="24"/>
          <w:highlight w:val="none"/>
          <w:lang w:val="en"/>
        </w:rPr>
      </w:pPr>
      <w:bookmarkStart w:id="298" w:name="_Toc86202595"/>
      <w:bookmarkStart w:id="299" w:name="_Toc175644043"/>
      <w:r>
        <w:rPr>
          <w:rFonts w:hint="eastAsia" w:asciiTheme="majorEastAsia" w:hAnsiTheme="majorEastAsia" w:eastAsiaTheme="majorEastAsia" w:cstheme="majorEastAsia"/>
          <w:b/>
          <w:bCs/>
          <w:color w:val="auto"/>
          <w:sz w:val="24"/>
          <w:szCs w:val="24"/>
          <w:highlight w:val="none"/>
          <w:lang w:val="en"/>
        </w:rPr>
        <w:t>二、货物、数量及规格</w:t>
      </w:r>
    </w:p>
    <w:p w14:paraId="1468BFC9">
      <w:pPr>
        <w:pStyle w:val="54"/>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本合同所提供的货物、数量及规格详见合同货物清单（附件一）（同投标文件中报价明细表）。</w:t>
      </w:r>
    </w:p>
    <w:p w14:paraId="17F600BD">
      <w:pPr>
        <w:pStyle w:val="54"/>
        <w:tabs>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三、合同价格</w:t>
      </w:r>
      <w:bookmarkEnd w:id="298"/>
      <w:bookmarkEnd w:id="299"/>
    </w:p>
    <w:p w14:paraId="31A7EEFE">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1、合同金额详见合同格式。</w:t>
      </w:r>
    </w:p>
    <w:p w14:paraId="039AC6B3">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2E1739AF">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3、合同货物详细目录及销售价格详见合同格式附件1合同货物清单（同投标文件中报价明细表）。</w:t>
      </w:r>
      <w:bookmarkStart w:id="300" w:name="_Toc86202596"/>
      <w:bookmarkStart w:id="301" w:name="_Toc175644044"/>
    </w:p>
    <w:p w14:paraId="48E8B659">
      <w:pPr>
        <w:pStyle w:val="54"/>
        <w:tabs>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四、</w:t>
      </w:r>
      <w:bookmarkEnd w:id="300"/>
      <w:bookmarkEnd w:id="301"/>
      <w:r>
        <w:rPr>
          <w:rFonts w:hint="eastAsia" w:asciiTheme="majorEastAsia" w:hAnsiTheme="majorEastAsia" w:eastAsiaTheme="majorEastAsia" w:cstheme="majorEastAsia"/>
          <w:b/>
          <w:bCs/>
          <w:color w:val="auto"/>
          <w:sz w:val="24"/>
          <w:szCs w:val="24"/>
          <w:highlight w:val="none"/>
          <w:lang w:val="en"/>
        </w:rPr>
        <w:t>付款</w:t>
      </w:r>
    </w:p>
    <w:p w14:paraId="4C05A19B">
      <w:pPr>
        <w:pStyle w:val="54"/>
        <w:tabs>
          <w:tab w:val="left" w:pos="360"/>
          <w:tab w:val="left" w:pos="480"/>
          <w:tab w:val="left" w:pos="84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1、双方因本合同发生的一切费用均以人民币结算及支付。</w:t>
      </w:r>
    </w:p>
    <w:p w14:paraId="30387AD7">
      <w:pPr>
        <w:pStyle w:val="54"/>
        <w:tabs>
          <w:tab w:val="left" w:pos="360"/>
          <w:tab w:val="left" w:pos="480"/>
          <w:tab w:val="left" w:pos="84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u w:val="single"/>
          <w:lang w:val="en"/>
        </w:rPr>
      </w:pPr>
      <w:r>
        <w:rPr>
          <w:rFonts w:hint="eastAsia" w:asciiTheme="majorEastAsia" w:hAnsiTheme="majorEastAsia" w:eastAsiaTheme="majorEastAsia" w:cstheme="majorEastAsia"/>
          <w:color w:val="auto"/>
          <w:sz w:val="24"/>
          <w:szCs w:val="24"/>
          <w:highlight w:val="none"/>
          <w:lang w:val="en"/>
        </w:rPr>
        <w:t>2、双方的帐户名称、开户银行及帐号以本合同提供的为准。</w:t>
      </w:r>
    </w:p>
    <w:p w14:paraId="01C2E03B">
      <w:pPr>
        <w:pStyle w:val="55"/>
        <w:spacing w:after="0" w:line="360" w:lineRule="auto"/>
        <w:ind w:firstLine="480" w:firstLineChars="200"/>
        <w:rPr>
          <w:rFonts w:hint="eastAsia" w:asciiTheme="majorEastAsia" w:hAnsiTheme="majorEastAsia" w:eastAsiaTheme="majorEastAsia" w:cstheme="majorEastAsia"/>
          <w:color w:val="auto"/>
          <w:kern w:val="2"/>
          <w:sz w:val="24"/>
          <w:szCs w:val="24"/>
          <w:highlight w:val="none"/>
          <w:u w:val="none"/>
          <w:lang w:val="en-US" w:eastAsia="zh-CN"/>
        </w:rPr>
      </w:pPr>
      <w:r>
        <w:rPr>
          <w:rFonts w:hint="eastAsia" w:asciiTheme="majorEastAsia" w:hAnsiTheme="majorEastAsia" w:eastAsiaTheme="majorEastAsia" w:cstheme="majorEastAsia"/>
          <w:color w:val="auto"/>
          <w:kern w:val="2"/>
          <w:sz w:val="24"/>
          <w:szCs w:val="24"/>
          <w:highlight w:val="none"/>
          <w:lang w:val="en"/>
        </w:rPr>
        <w:t>3、付款方式：</w:t>
      </w:r>
      <w:bookmarkStart w:id="302" w:name="_Toc86202597"/>
      <w:r>
        <w:rPr>
          <w:rFonts w:hint="eastAsia" w:asciiTheme="majorEastAsia" w:hAnsiTheme="majorEastAsia" w:eastAsiaTheme="majorEastAsia" w:cstheme="majorEastAsia"/>
          <w:color w:val="auto"/>
          <w:kern w:val="2"/>
          <w:sz w:val="24"/>
          <w:szCs w:val="24"/>
          <w:highlight w:val="none"/>
          <w:u w:val="none"/>
          <w:lang w:val="en-US" w:eastAsia="zh-CN"/>
        </w:rPr>
        <w:t xml:space="preserve">                                       </w:t>
      </w:r>
    </w:p>
    <w:p w14:paraId="176A015C">
      <w:pPr>
        <w:pStyle w:val="55"/>
        <w:spacing w:after="0" w:line="360" w:lineRule="auto"/>
        <w:ind w:firstLine="480"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4、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1B1C72B9">
      <w:pPr>
        <w:pStyle w:val="54"/>
        <w:tabs>
          <w:tab w:val="left" w:pos="360"/>
          <w:tab w:val="left" w:pos="480"/>
          <w:tab w:val="left" w:pos="84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5、甲方直接与乙方付款结算，采购代理机构不对其付款承担连带责任或任何其它责任，在任何情形下乙方亦只能直接向甲方追索而不应当向采购代理机构追索。</w:t>
      </w:r>
    </w:p>
    <w:p w14:paraId="5C5C6A64">
      <w:pPr>
        <w:pStyle w:val="54"/>
        <w:tabs>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bookmarkStart w:id="303" w:name="_Toc175644045"/>
      <w:r>
        <w:rPr>
          <w:rFonts w:hint="eastAsia" w:asciiTheme="majorEastAsia" w:hAnsiTheme="majorEastAsia" w:eastAsiaTheme="majorEastAsia" w:cstheme="majorEastAsia"/>
          <w:b/>
          <w:bCs/>
          <w:color w:val="auto"/>
          <w:sz w:val="24"/>
          <w:szCs w:val="24"/>
          <w:highlight w:val="none"/>
          <w:lang w:val="en"/>
        </w:rPr>
        <w:t>五、</w:t>
      </w:r>
      <w:bookmarkEnd w:id="302"/>
      <w:bookmarkEnd w:id="303"/>
      <w:r>
        <w:rPr>
          <w:rFonts w:hint="eastAsia" w:asciiTheme="majorEastAsia" w:hAnsiTheme="majorEastAsia" w:eastAsiaTheme="majorEastAsia" w:cstheme="majorEastAsia"/>
          <w:b/>
          <w:bCs/>
          <w:color w:val="auto"/>
          <w:sz w:val="24"/>
          <w:szCs w:val="24"/>
          <w:highlight w:val="none"/>
          <w:lang w:val="en"/>
        </w:rPr>
        <w:t>交付</w:t>
      </w:r>
    </w:p>
    <w:p w14:paraId="5112D1EE">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1、乙方负责办理运输和保险，将货物运抵交货地点。有关运输、保险和装卸等一切相关的费用由乙方承担。</w:t>
      </w:r>
    </w:p>
    <w:p w14:paraId="069CFAB8">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2、货物应运至甲方指定地点，并卸至甲方指定位置，开箱清点及初步检验时双方应派人员参加。</w:t>
      </w:r>
    </w:p>
    <w:p w14:paraId="7E878B8A">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3、所有货物运抵现场并且安装完毕经检验合格交付甲方，该日期为交付日期。双方签署交付收货单后为交付完毕。交付完毕货物所有权发生转移，此前货物毁坏的风险由乙方承担。</w:t>
      </w:r>
    </w:p>
    <w:p w14:paraId="38B23005">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4、交付日期：</w:t>
      </w:r>
    </w:p>
    <w:p w14:paraId="4B3FB95C">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5、交付地点</w:t>
      </w:r>
      <w:bookmarkStart w:id="304" w:name="_Toc175644046"/>
      <w:bookmarkStart w:id="305" w:name="_Toc86202598"/>
      <w:r>
        <w:rPr>
          <w:rFonts w:hint="eastAsia" w:asciiTheme="majorEastAsia" w:hAnsiTheme="majorEastAsia" w:eastAsiaTheme="majorEastAsia" w:cstheme="majorEastAsia"/>
          <w:color w:val="auto"/>
          <w:sz w:val="24"/>
          <w:szCs w:val="24"/>
          <w:highlight w:val="none"/>
          <w:lang w:val="en"/>
        </w:rPr>
        <w:t>：</w:t>
      </w:r>
    </w:p>
    <w:p w14:paraId="2303D87F">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六、包装和标记</w:t>
      </w:r>
      <w:bookmarkEnd w:id="304"/>
      <w:bookmarkEnd w:id="305"/>
    </w:p>
    <w:p w14:paraId="5153F0C9">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1、乙方交付的所有合同货物应具有适于运输的坚固包装，并且乙方应根据合同货物的不同特性和要求采取防潮、防雨、防锈、防震、防腐等保护措施，以确保合同货物安全无损地送达交货地点。</w:t>
      </w:r>
    </w:p>
    <w:p w14:paraId="6227A08C">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2、凡由于乙方对合同货物包装不善、标记不明、防护措施不当或在合同货物装箱前保管不良，致使合同货物遭到损坏或丢失，乙方应负责免费修理或更换，并承担由此给甲方造成的一切损失。</w:t>
      </w:r>
      <w:bookmarkStart w:id="306" w:name="_Toc86202599"/>
      <w:bookmarkStart w:id="307" w:name="_Toc175644047"/>
    </w:p>
    <w:p w14:paraId="38C312C2">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七、质量标准和检验</w:t>
      </w:r>
      <w:bookmarkEnd w:id="306"/>
      <w:r>
        <w:rPr>
          <w:rFonts w:hint="eastAsia" w:asciiTheme="majorEastAsia" w:hAnsiTheme="majorEastAsia" w:eastAsiaTheme="majorEastAsia" w:cstheme="majorEastAsia"/>
          <w:b/>
          <w:bCs/>
          <w:color w:val="auto"/>
          <w:sz w:val="24"/>
          <w:szCs w:val="24"/>
          <w:highlight w:val="none"/>
          <w:lang w:val="en"/>
        </w:rPr>
        <w:t>方式</w:t>
      </w:r>
      <w:bookmarkEnd w:id="307"/>
    </w:p>
    <w:p w14:paraId="35E90A26">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1、乙方应保证提供给甲方的合同货物是货物生产厂商原造的，全新、未使用过的，是用一流的工艺和优质材料制造而成的，并完全符合本项目招标文件规定的质量、性能和规格的要求。</w:t>
      </w:r>
    </w:p>
    <w:p w14:paraId="604190BE">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采购人接受) 相一致，同时，乙方提供的货物质量应符合中华人民共和国相关标准及相应的技术规范、本次采购相关文件中的全部相关要求及相关标准及相应的技术规范中之较高者。</w:t>
      </w:r>
    </w:p>
    <w:p w14:paraId="505B148D">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7CDF9A32">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4、乙方应保证所提供的货物经正确安装、合理操作和维护保养在其使用寿命期内具有令甲方满意的性能，并对由于合同货物的设计、工艺或材料的缺陷而发生的任何故障负责。</w:t>
      </w:r>
    </w:p>
    <w:p w14:paraId="1CA5F293">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14:paraId="6C651853">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6、甲方对合同货物的数量、规格和质量的检验，应依据本项目招标文件中的有关规定进行。</w:t>
      </w:r>
    </w:p>
    <w:p w14:paraId="637905BB">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7、若检验时发现货物数量不足、规格与合同要求不符或开箱时虽然货物外包装完好无损，但箱内货物短缺或损伤，双方应签署书面形式证明，乙方应根据该证明及时补足或更换。</w:t>
      </w:r>
    </w:p>
    <w:p w14:paraId="7E18940F">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041F5EEF">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bookmarkStart w:id="308" w:name="_Toc175644048"/>
      <w:bookmarkStart w:id="309" w:name="_Toc86202601"/>
      <w:r>
        <w:rPr>
          <w:rFonts w:hint="eastAsia" w:asciiTheme="majorEastAsia" w:hAnsiTheme="majorEastAsia" w:eastAsiaTheme="majorEastAsia" w:cstheme="majorEastAsia"/>
          <w:b/>
          <w:bCs/>
          <w:color w:val="auto"/>
          <w:sz w:val="24"/>
          <w:szCs w:val="24"/>
          <w:highlight w:val="none"/>
          <w:lang w:val="en"/>
        </w:rPr>
        <w:t>八、技术服务和保修责任</w:t>
      </w:r>
      <w:bookmarkEnd w:id="308"/>
      <w:bookmarkEnd w:id="309"/>
    </w:p>
    <w:p w14:paraId="107C2D2E">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乙方对合同货物、服务的保修期按照招标文件第二部分“投标人须知前附表”第25项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30647F66">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5D37951D">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579053B9">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4、在免费保修期内，如果由于乙方更换、修理和续补货物或更换服务，而造成本合同不得不停止运行，保修期应依照停止运行的实际时间加以延长，如因此给甲方造成损失，乙方应负责赔偿。</w:t>
      </w:r>
    </w:p>
    <w:p w14:paraId="04596F77">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0A597879">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03B4D17A">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7、若由于甲方提出增加并不涉及安全性的新功能而引起的软件升级，相关成本费由甲方承担，乙方不得赚取利润或拒绝、拖延。</w:t>
      </w:r>
    </w:p>
    <w:p w14:paraId="6DAFE4D2">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8、若由于乙方增加并不涉及安全性的新功能引起软件升级，而且甲方愿意增加该新功能时，由双方协商解决。</w:t>
      </w:r>
    </w:p>
    <w:p w14:paraId="4977321E">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bookmarkStart w:id="310" w:name="_Toc86202602"/>
      <w:bookmarkStart w:id="311" w:name="_Toc175644049"/>
    </w:p>
    <w:p w14:paraId="576F0035">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九、违约责任</w:t>
      </w:r>
      <w:bookmarkEnd w:id="310"/>
      <w:bookmarkEnd w:id="311"/>
    </w:p>
    <w:p w14:paraId="180F7928">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54403433">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405E952D">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1）在甲方同意延长的期限内交付全部货物、提供服务并承担由此给甲方造成的直接损失及甲方因此产生的对第三方的责任。</w:t>
      </w:r>
    </w:p>
    <w:p w14:paraId="1EA29A70">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31936664">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3）根据货物、服务低劣程度、损坏程度以及使甲方所遭受的损失及甲方因此产生的对第三方的责任，经双方商定降低货物、服务的价格或赔偿甲方所遭受的损失及甲方因此产生的对第三方的责任。</w:t>
      </w:r>
    </w:p>
    <w:p w14:paraId="7929B107">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4）按合同规定的同种货币将甲方所退货物已支付的货款全部退还给甲方，并承担由此发生的直接损失和相关费用及甲方因此产生的对第三方的责任。</w:t>
      </w:r>
    </w:p>
    <w:p w14:paraId="4C3637E7">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5）甲方有权部分或全部解除合同并要求乙方赔偿由此造成的损失及甲方因此产生的对第三方的责任。此时甲方可采取必要的补救措施，相关费用由乙方承担。</w:t>
      </w:r>
    </w:p>
    <w:p w14:paraId="11CC706B">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6）此外，上述情形下甲方为采取必要的补救措施或因防止损失扩大而支出的合理费用应由乙方承担。</w:t>
      </w:r>
    </w:p>
    <w:p w14:paraId="2155C498">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0087A957">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eastAsia="zh-CN"/>
        </w:rPr>
      </w:pPr>
      <w:r>
        <w:rPr>
          <w:rFonts w:hint="eastAsia" w:asciiTheme="majorEastAsia" w:hAnsiTheme="majorEastAsia" w:eastAsiaTheme="majorEastAsia" w:cstheme="majorEastAsia"/>
          <w:color w:val="auto"/>
          <w:sz w:val="24"/>
          <w:szCs w:val="24"/>
          <w:highlight w:val="none"/>
          <w:lang w:val="en"/>
        </w:rPr>
        <w:t>4、</w:t>
      </w:r>
      <w:bookmarkStart w:id="312" w:name="_Toc86202603"/>
      <w:r>
        <w:rPr>
          <w:rFonts w:hint="eastAsia" w:asciiTheme="majorEastAsia" w:hAnsiTheme="majorEastAsia" w:eastAsiaTheme="majorEastAsia" w:cstheme="majorEastAsia"/>
          <w:color w:val="auto"/>
          <w:sz w:val="24"/>
          <w:szCs w:val="24"/>
          <w:highlight w:val="none"/>
          <w:lang w:val="en"/>
        </w:rPr>
        <w:t>除有另行约定外，甲方如延期付款，每逾期1日，按应付金额0.1‰支付违约金；乙方如延期交付，每延迟1日，按应交付货物总额0.3%支付违约金。乙方逾期交付   日的，甲方有权解除本合同并要求乙方退款、承担合同总价20%的违约金及甲方主张权利产生的律师费、保全费、保函费</w:t>
      </w:r>
      <w:r>
        <w:rPr>
          <w:rFonts w:hint="eastAsia" w:asciiTheme="majorEastAsia" w:hAnsiTheme="majorEastAsia" w:eastAsiaTheme="majorEastAsia" w:cstheme="majorEastAsia"/>
          <w:color w:val="auto"/>
          <w:sz w:val="24"/>
          <w:szCs w:val="24"/>
          <w:highlight w:val="none"/>
          <w:lang w:val="en" w:eastAsia="zh-CN"/>
        </w:rPr>
        <w:t>。</w:t>
      </w:r>
    </w:p>
    <w:p w14:paraId="1CC1A74C">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75F6BB75">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lang w:val="en"/>
        </w:rPr>
        <w:t>、以上各项交付的违约金并不影响违约方履行合同的各项义务。</w:t>
      </w:r>
    </w:p>
    <w:p w14:paraId="4AE0E615">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bookmarkStart w:id="313" w:name="_Toc175644050"/>
      <w:r>
        <w:rPr>
          <w:rFonts w:hint="eastAsia" w:asciiTheme="majorEastAsia" w:hAnsiTheme="majorEastAsia" w:eastAsiaTheme="majorEastAsia" w:cstheme="majorEastAsia"/>
          <w:b/>
          <w:bCs/>
          <w:color w:val="auto"/>
          <w:sz w:val="24"/>
          <w:szCs w:val="24"/>
          <w:highlight w:val="none"/>
          <w:lang w:val="en"/>
        </w:rPr>
        <w:t>十、不可抗力</w:t>
      </w:r>
      <w:bookmarkEnd w:id="312"/>
      <w:bookmarkEnd w:id="313"/>
    </w:p>
    <w:p w14:paraId="02203676">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1、不可抗力指下列事件：战争、动乱、瘟疫、严重火灾、洪水、地震、风暴或其他自然灾害，以及本合同各方不可预见、不可防止并不能避免或克服的一切其他因素及事件。</w:t>
      </w:r>
    </w:p>
    <w:p w14:paraId="3E97A36C">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1CCF6830">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481E44E1">
      <w:pPr>
        <w:pStyle w:val="54"/>
        <w:tabs>
          <w:tab w:val="left" w:pos="360"/>
          <w:tab w:val="left" w:pos="480"/>
          <w:tab w:val="left" w:pos="1413"/>
          <w:tab w:val="left" w:pos="1531"/>
          <w:tab w:val="left" w:pos="1951"/>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4、合同各方应根据不可抗力对本合同履行的影响程度，协商确定是否终止本合同，或是继续履行本合同。</w:t>
      </w:r>
      <w:bookmarkStart w:id="314" w:name="_Toc175644051"/>
      <w:bookmarkStart w:id="315" w:name="_Toc86202604"/>
    </w:p>
    <w:p w14:paraId="620245B7">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十一、联系方式</w:t>
      </w:r>
      <w:bookmarkEnd w:id="314"/>
      <w:bookmarkEnd w:id="315"/>
    </w:p>
    <w:p w14:paraId="624B327A">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0031FFC9">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14:paraId="2AEA0496">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3、上述发出通知、回复的费用由发出一方承担。</w:t>
      </w:r>
    </w:p>
    <w:p w14:paraId="1EF5B8F8">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bookmarkStart w:id="316" w:name="_Toc86202605"/>
      <w:bookmarkStart w:id="317" w:name="_Toc175644052"/>
      <w:r>
        <w:rPr>
          <w:rFonts w:hint="eastAsia" w:asciiTheme="majorEastAsia" w:hAnsiTheme="majorEastAsia" w:eastAsiaTheme="majorEastAsia" w:cstheme="majorEastAsia"/>
          <w:b/>
          <w:bCs/>
          <w:color w:val="auto"/>
          <w:sz w:val="24"/>
          <w:szCs w:val="24"/>
          <w:highlight w:val="none"/>
          <w:lang w:val="en"/>
        </w:rPr>
        <w:t>十二、保密条款</w:t>
      </w:r>
      <w:bookmarkEnd w:id="316"/>
      <w:bookmarkEnd w:id="317"/>
    </w:p>
    <w:p w14:paraId="7EA04F41">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1、任何一方对其获知的本合同及附件中其他各方的商业秘密和国家秘密负有保密义务。</w:t>
      </w:r>
    </w:p>
    <w:p w14:paraId="4A93012B">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bookmarkStart w:id="318" w:name="_Toc86202606"/>
      <w:r>
        <w:rPr>
          <w:rFonts w:hint="eastAsia" w:asciiTheme="majorEastAsia" w:hAnsiTheme="majorEastAsia" w:eastAsiaTheme="majorEastAsia" w:cstheme="majorEastAsia"/>
          <w:color w:val="auto"/>
          <w:sz w:val="24"/>
          <w:szCs w:val="24"/>
          <w:highlight w:val="none"/>
          <w:lang w:val="en"/>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01C132BC">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1722E108">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bookmarkStart w:id="319" w:name="_Toc175644053"/>
      <w:r>
        <w:rPr>
          <w:rFonts w:hint="eastAsia" w:asciiTheme="majorEastAsia" w:hAnsiTheme="majorEastAsia" w:eastAsiaTheme="majorEastAsia" w:cstheme="majorEastAsia"/>
          <w:b/>
          <w:bCs/>
          <w:color w:val="auto"/>
          <w:sz w:val="24"/>
          <w:szCs w:val="24"/>
          <w:highlight w:val="none"/>
          <w:lang w:val="en"/>
        </w:rPr>
        <w:t>十三、合同的解释</w:t>
      </w:r>
      <w:bookmarkEnd w:id="318"/>
      <w:bookmarkEnd w:id="319"/>
    </w:p>
    <w:p w14:paraId="28BBFF49">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1、任何一方对本合同及其附件的解释均应遵循诚实信用原则,依照本合同签订时有效的中国法律、法规以及通常的理解进行。</w:t>
      </w:r>
    </w:p>
    <w:p w14:paraId="2FC04065">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2、本合同标题仅供查阅方便，并非对本合同的诠释或解释；本合同中以日表述的时间期限均指自然日。</w:t>
      </w:r>
    </w:p>
    <w:p w14:paraId="4F597D8E">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3、对本合同的任何解释均应以书面做出。</w:t>
      </w:r>
    </w:p>
    <w:p w14:paraId="309BBEBA">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bookmarkStart w:id="320" w:name="_Toc86202607"/>
      <w:bookmarkStart w:id="321" w:name="_Toc175644054"/>
      <w:r>
        <w:rPr>
          <w:rFonts w:hint="eastAsia" w:asciiTheme="majorEastAsia" w:hAnsiTheme="majorEastAsia" w:eastAsiaTheme="majorEastAsia" w:cstheme="majorEastAsia"/>
          <w:b/>
          <w:bCs/>
          <w:color w:val="auto"/>
          <w:sz w:val="24"/>
          <w:szCs w:val="24"/>
          <w:highlight w:val="none"/>
          <w:lang w:val="en"/>
        </w:rPr>
        <w:t>十四、合同的终止</w:t>
      </w:r>
      <w:bookmarkEnd w:id="320"/>
      <w:bookmarkEnd w:id="321"/>
    </w:p>
    <w:p w14:paraId="0D0E846B">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1、本合同因下列原因而终止：</w:t>
      </w:r>
    </w:p>
    <w:p w14:paraId="072BC26E">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1）本合同正常履行完毕；</w:t>
      </w:r>
    </w:p>
    <w:p w14:paraId="36E734E4">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2）合同双方协议终止本合同的履行；</w:t>
      </w:r>
    </w:p>
    <w:p w14:paraId="193084DC">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3）不可抗力事件导致本合同无法履行或履行不必要；</w:t>
      </w:r>
    </w:p>
    <w:p w14:paraId="609D10AF">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4）任何一方行使解除权，解除本合同。</w:t>
      </w:r>
    </w:p>
    <w:p w14:paraId="7FECA357">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2、对本合同终止有过错的一方应赔偿另一方因合同终止而受到的损失。对合同终止双方均无过错的，则各自承担所受到的损失。</w:t>
      </w:r>
    </w:p>
    <w:p w14:paraId="4D785F19">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bookmarkStart w:id="322" w:name="_Toc175644055"/>
      <w:bookmarkStart w:id="323" w:name="_Toc86202608"/>
      <w:r>
        <w:rPr>
          <w:rFonts w:hint="eastAsia" w:asciiTheme="majorEastAsia" w:hAnsiTheme="majorEastAsia" w:eastAsiaTheme="majorEastAsia" w:cstheme="majorEastAsia"/>
          <w:b/>
          <w:bCs/>
          <w:color w:val="auto"/>
          <w:sz w:val="24"/>
          <w:szCs w:val="24"/>
          <w:highlight w:val="none"/>
          <w:lang w:val="en"/>
        </w:rPr>
        <w:t>十五、法律适用</w:t>
      </w:r>
      <w:bookmarkEnd w:id="322"/>
    </w:p>
    <w:p w14:paraId="44F814DD">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1、本合同及附件的订立、效力、解释、履行、争议的解决等适用本合同签订时有效的中华人民共和国法律、法规的有关规定。</w:t>
      </w:r>
    </w:p>
    <w:p w14:paraId="1DD5BD68">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12C103F2">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bookmarkStart w:id="324" w:name="_Toc175644056"/>
      <w:r>
        <w:rPr>
          <w:rFonts w:hint="eastAsia" w:asciiTheme="majorEastAsia" w:hAnsiTheme="majorEastAsia" w:eastAsiaTheme="majorEastAsia" w:cstheme="majorEastAsia"/>
          <w:b/>
          <w:bCs/>
          <w:color w:val="auto"/>
          <w:sz w:val="24"/>
          <w:szCs w:val="24"/>
          <w:highlight w:val="none"/>
          <w:lang w:val="en"/>
        </w:rPr>
        <w:t>十六、权利的保留</w:t>
      </w:r>
      <w:bookmarkEnd w:id="323"/>
      <w:bookmarkEnd w:id="324"/>
    </w:p>
    <w:p w14:paraId="07425975">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F843DA0">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96F7D53">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bookmarkStart w:id="325" w:name="_Toc175644057"/>
      <w:bookmarkStart w:id="326" w:name="_Toc86202609"/>
      <w:r>
        <w:rPr>
          <w:rFonts w:hint="eastAsia" w:asciiTheme="majorEastAsia" w:hAnsiTheme="majorEastAsia" w:eastAsiaTheme="majorEastAsia" w:cstheme="majorEastAsia"/>
          <w:b/>
          <w:bCs/>
          <w:color w:val="auto"/>
          <w:sz w:val="24"/>
          <w:szCs w:val="24"/>
          <w:highlight w:val="none"/>
          <w:lang w:val="en"/>
        </w:rPr>
        <w:t>十七、争议的解决</w:t>
      </w:r>
      <w:bookmarkEnd w:id="325"/>
      <w:bookmarkEnd w:id="326"/>
    </w:p>
    <w:p w14:paraId="31531613">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合同双方应通过友好协商解决因解释﹑执行本合同所发生的和本合同有关的一切争议。如果经协商不能达成协议，可以采用以下方式解决：（1）提交项目所在地仲裁委员会仲裁；（2）向甲方所在地人民法院起诉。</w:t>
      </w:r>
    </w:p>
    <w:p w14:paraId="4CEDDCDA">
      <w:pPr>
        <w:pStyle w:val="54"/>
        <w:tabs>
          <w:tab w:val="left" w:pos="360"/>
          <w:tab w:val="left" w:pos="480"/>
          <w:tab w:val="left" w:pos="1413"/>
        </w:tabs>
        <w:spacing w:line="360" w:lineRule="auto"/>
        <w:ind w:firstLine="361" w:firstLineChars="15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5A701038">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3、在争议解决期间，除了诉讼或仲裁进行过程中正在解决的那部分问题外，合同其余部分应继续履行。</w:t>
      </w:r>
    </w:p>
    <w:p w14:paraId="73F7B171">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bookmarkStart w:id="327" w:name="_Toc175644059"/>
      <w:bookmarkStart w:id="328" w:name="_Toc86202611"/>
      <w:r>
        <w:rPr>
          <w:rFonts w:hint="eastAsia" w:asciiTheme="majorEastAsia" w:hAnsiTheme="majorEastAsia" w:eastAsiaTheme="majorEastAsia" w:cstheme="majorEastAsia"/>
          <w:b/>
          <w:bCs/>
          <w:color w:val="auto"/>
          <w:sz w:val="24"/>
          <w:szCs w:val="24"/>
          <w:highlight w:val="none"/>
          <w:lang w:val="en"/>
        </w:rPr>
        <w:t>十八、合同的生效</w:t>
      </w:r>
      <w:bookmarkEnd w:id="327"/>
      <w:bookmarkEnd w:id="328"/>
    </w:p>
    <w:p w14:paraId="7C6A308C">
      <w:pPr>
        <w:pStyle w:val="54"/>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bookmarkStart w:id="329" w:name="_Toc175644060"/>
      <w:bookmarkStart w:id="330" w:name="_Toc86202612"/>
      <w:r>
        <w:rPr>
          <w:rFonts w:hint="eastAsia" w:asciiTheme="majorEastAsia" w:hAnsiTheme="majorEastAsia" w:eastAsiaTheme="majorEastAsia" w:cstheme="majorEastAsia"/>
          <w:color w:val="auto"/>
          <w:sz w:val="24"/>
          <w:szCs w:val="24"/>
          <w:highlight w:val="none"/>
          <w:lang w:val="en"/>
        </w:rPr>
        <w:t>本合同经甲乙双方法定代表人或授权代理人签字加盖单位公章，乙方按时、足额提交履约保证金备案后生效。</w:t>
      </w:r>
    </w:p>
    <w:p w14:paraId="3245CD03">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b/>
          <w:bCs/>
          <w:color w:val="auto"/>
          <w:sz w:val="24"/>
          <w:szCs w:val="24"/>
          <w:highlight w:val="none"/>
          <w:lang w:val="en"/>
        </w:rPr>
      </w:pPr>
      <w:r>
        <w:rPr>
          <w:rFonts w:hint="eastAsia" w:asciiTheme="majorEastAsia" w:hAnsiTheme="majorEastAsia" w:eastAsiaTheme="majorEastAsia" w:cstheme="majorEastAsia"/>
          <w:b/>
          <w:bCs/>
          <w:color w:val="auto"/>
          <w:sz w:val="24"/>
          <w:szCs w:val="24"/>
          <w:highlight w:val="none"/>
          <w:lang w:val="en"/>
        </w:rPr>
        <w:t>十九、其他事项</w:t>
      </w:r>
      <w:bookmarkEnd w:id="329"/>
      <w:bookmarkEnd w:id="330"/>
    </w:p>
    <w:p w14:paraId="544C5FF3">
      <w:pPr>
        <w:pStyle w:val="54"/>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1、本合同中的附件均为本合同不可分割的部分，与本合同具有相同的法律效力。</w:t>
      </w:r>
    </w:p>
    <w:p w14:paraId="19883176">
      <w:pPr>
        <w:pStyle w:val="54"/>
        <w:spacing w:line="360" w:lineRule="auto"/>
        <w:ind w:firstLine="482" w:firstLineChars="200"/>
        <w:rPr>
          <w:rFonts w:hint="eastAsia" w:asciiTheme="majorEastAsia" w:hAnsiTheme="majorEastAsia" w:eastAsiaTheme="majorEastAsia" w:cstheme="majorEastAsia"/>
          <w:color w:val="auto"/>
          <w:sz w:val="24"/>
          <w:szCs w:val="24"/>
          <w:highlight w:val="none"/>
          <w:lang w:val="en"/>
        </w:rPr>
      </w:pPr>
      <w:r>
        <w:rPr>
          <w:rFonts w:hint="eastAsia" w:asciiTheme="majorEastAsia" w:hAnsiTheme="majorEastAsia" w:eastAsiaTheme="majorEastAsia" w:cstheme="majorEastAsia"/>
          <w:color w:val="auto"/>
          <w:sz w:val="24"/>
          <w:szCs w:val="24"/>
          <w:highlight w:val="none"/>
          <w:lang w:val="en"/>
        </w:rPr>
        <w:t>2、不得将合同转让给第三人，有关分包事项或服务委托等须事先取得甲方和采购代理机构书面同意并且须遵守相关法律、法规；有关联合投标须在本次招标允许的情况下并须符合本次招标的全部规定。</w:t>
      </w:r>
    </w:p>
    <w:p w14:paraId="74F747B6">
      <w:pPr>
        <w:pStyle w:val="54"/>
        <w:tabs>
          <w:tab w:val="left" w:pos="360"/>
          <w:tab w:val="left" w:pos="480"/>
          <w:tab w:val="left" w:pos="1413"/>
        </w:tabs>
        <w:spacing w:line="360" w:lineRule="auto"/>
        <w:ind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lang w:val="en"/>
        </w:rPr>
        <w:t>3、本合同一式五份，与招标文件、补充协议（如有）具有同等法律效力。</w:t>
      </w:r>
      <w:bookmarkEnd w:id="295"/>
    </w:p>
    <w:p w14:paraId="6865126A">
      <w:pPr>
        <w:pStyle w:val="10"/>
        <w:spacing w:line="400" w:lineRule="exact"/>
        <w:rPr>
          <w:rFonts w:hint="eastAsia" w:asciiTheme="majorEastAsia" w:hAnsiTheme="majorEastAsia" w:eastAsiaTheme="majorEastAsia" w:cstheme="majorEastAsia"/>
          <w:b/>
          <w:color w:val="auto"/>
          <w:sz w:val="28"/>
          <w:szCs w:val="28"/>
          <w:highlight w:val="none"/>
          <w:u w:val="single"/>
        </w:rPr>
      </w:pPr>
    </w:p>
    <w:p w14:paraId="506F5352">
      <w:pPr>
        <w:spacing w:line="360" w:lineRule="auto"/>
        <w:ind w:firstLine="482" w:firstLineChars="20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注：合同签订双方可根据项目的具体要求进行修订，未尽事宜双方可协商进行补充。</w:t>
      </w:r>
    </w:p>
    <w:p w14:paraId="73FCC857">
      <w:pPr>
        <w:pStyle w:val="10"/>
        <w:rPr>
          <w:rStyle w:val="48"/>
          <w:rFonts w:hint="eastAsia" w:asciiTheme="majorEastAsia" w:hAnsiTheme="majorEastAsia" w:eastAsiaTheme="majorEastAsia" w:cstheme="majorEastAsia"/>
          <w:b/>
          <w:bCs/>
          <w:sz w:val="32"/>
          <w:szCs w:val="32"/>
        </w:rPr>
      </w:pPr>
    </w:p>
    <w:p w14:paraId="2BEB92BD">
      <w:pPr>
        <w:rPr>
          <w:rFonts w:hint="eastAsia" w:ascii="宋体" w:hAnsi="宋体" w:eastAsia="宋体" w:cs="宋体"/>
        </w:rPr>
      </w:pPr>
    </w:p>
    <w:sectPr>
      <w:pgSz w:w="11906" w:h="16838"/>
      <w:pgMar w:top="1440" w:right="1080" w:bottom="1440" w:left="108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FBB1E">
    <w:pPr>
      <w:pStyle w:val="15"/>
      <w:rPr>
        <w:rFonts w:hint="eastAsia" w:eastAsiaTheme="minorEastAsia"/>
        <w:lang w:eastAsia="zh-CN"/>
      </w:rPr>
    </w:pPr>
    <w:r>
      <w:rPr>
        <w:rFonts w:hint="eastAsia" w:eastAsiaTheme="minorEastAsia"/>
        <w:lang w:eastAsia="zh-CN"/>
      </w:rPr>
      <w:drawing>
        <wp:anchor distT="0" distB="0" distL="114300" distR="114300" simplePos="0" relativeHeight="251662336" behindDoc="1" locked="0" layoutInCell="1" allowOverlap="1">
          <wp:simplePos x="0" y="0"/>
          <wp:positionH relativeFrom="page">
            <wp:align>right</wp:align>
          </wp:positionH>
          <wp:positionV relativeFrom="page">
            <wp:align>bottom</wp:align>
          </wp:positionV>
          <wp:extent cx="5273675" cy="375285"/>
          <wp:effectExtent l="0" t="0" r="9525" b="5715"/>
          <wp:wrapTight wrapText="bothSides">
            <wp:wrapPolygon>
              <wp:start x="0" y="0"/>
              <wp:lineTo x="0" y="21600"/>
              <wp:lineTo x="21600" y="21600"/>
              <wp:lineTo x="21600" y="0"/>
              <wp:lineTo x="0" y="0"/>
            </wp:wrapPolygon>
          </wp:wrapTight>
          <wp:docPr id="30" name="图片 30" descr="灰色形状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灰色形状 (2)"/>
                  <pic:cNvPicPr>
                    <a:picLocks noChangeAspect="1"/>
                  </pic:cNvPicPr>
                </pic:nvPicPr>
                <pic:blipFill>
                  <a:blip r:embed="rId1"/>
                  <a:stretch>
                    <a:fillRect/>
                  </a:stretch>
                </pic:blipFill>
                <pic:spPr>
                  <a:xfrm>
                    <a:off x="0" y="0"/>
                    <a:ext cx="5273675" cy="375285"/>
                  </a:xfrm>
                  <a:prstGeom prst="rect">
                    <a:avLst/>
                  </a:prstGeom>
                </pic:spPr>
              </pic:pic>
            </a:graphicData>
          </a:graphic>
          <wp14:sizeRelH relativeFrom="page">
            <wp14:pctWidth>100000</wp14:pctWidth>
          </wp14:sizeRelH>
          <wp14:sizeRelV relativeFrom="page">
            <wp14:pctHeight>0</wp14:pctHeight>
          </wp14:sizeRelV>
        </wp:anchor>
      </w:drawing>
    </w:r>
  </w:p>
  <w:p w14:paraId="29E9271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0CB99">
    <w:pPr>
      <w:pStyle w:val="15"/>
      <w:rPr>
        <w:rFonts w:hint="eastAsia" w:eastAsiaTheme="minorEastAsia"/>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FEAB5">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6FEAB5">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Theme="minorEastAsia"/>
        <w:lang w:eastAsia="zh-CN"/>
      </w:rPr>
      <w:drawing>
        <wp:anchor distT="0" distB="0" distL="114300" distR="114300" simplePos="0" relativeHeight="251664384" behindDoc="1" locked="0" layoutInCell="1" allowOverlap="1">
          <wp:simplePos x="0" y="0"/>
          <wp:positionH relativeFrom="page">
            <wp:align>right</wp:align>
          </wp:positionH>
          <wp:positionV relativeFrom="page">
            <wp:align>bottom</wp:align>
          </wp:positionV>
          <wp:extent cx="5273675" cy="375285"/>
          <wp:effectExtent l="0" t="0" r="3175" b="5715"/>
          <wp:wrapTight wrapText="bothSides">
            <wp:wrapPolygon>
              <wp:start x="490" y="0"/>
              <wp:lineTo x="0" y="17543"/>
              <wp:lineTo x="0" y="20832"/>
              <wp:lineTo x="21562" y="20832"/>
              <wp:lineTo x="21562" y="14254"/>
              <wp:lineTo x="9256" y="0"/>
              <wp:lineTo x="490" y="0"/>
            </wp:wrapPolygon>
          </wp:wrapTight>
          <wp:docPr id="19" name="图片 19" descr="灰色形状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灰色形状 (2)"/>
                  <pic:cNvPicPr>
                    <a:picLocks noChangeAspect="1"/>
                  </pic:cNvPicPr>
                </pic:nvPicPr>
                <pic:blipFill>
                  <a:blip r:embed="rId1"/>
                  <a:stretch>
                    <a:fillRect/>
                  </a:stretch>
                </pic:blipFill>
                <pic:spPr>
                  <a:xfrm>
                    <a:off x="0" y="0"/>
                    <a:ext cx="5273675" cy="375285"/>
                  </a:xfrm>
                  <a:prstGeom prst="rect">
                    <a:avLst/>
                  </a:prstGeom>
                </pic:spPr>
              </pic:pic>
            </a:graphicData>
          </a:graphic>
          <wp14:sizeRelH relativeFrom="page">
            <wp14:pctWidth>100000</wp14:pctWidth>
          </wp14:sizeRelH>
          <wp14:sizeRelV relativeFrom="page">
            <wp14:pctHeight>0</wp14:pctHeight>
          </wp14:sizeRelV>
        </wp:anchor>
      </w:drawing>
    </w:r>
  </w:p>
  <w:p w14:paraId="27DD0481">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BB71F">
    <w:pPr>
      <w:pStyle w:val="15"/>
      <w:rPr>
        <w:rFonts w:eastAsia="仿宋_GB2312"/>
        <w:sz w:val="24"/>
      </w:rPr>
    </w:pPr>
    <w:r>
      <w:rPr>
        <w:rFonts w:hint="eastAsia" w:eastAsiaTheme="minorEastAsia"/>
        <w:lang w:eastAsia="zh-CN"/>
      </w:rPr>
      <w:drawing>
        <wp:anchor distT="0" distB="0" distL="114300" distR="114300" simplePos="0" relativeHeight="251673600" behindDoc="1" locked="0" layoutInCell="1" allowOverlap="1">
          <wp:simplePos x="0" y="0"/>
          <wp:positionH relativeFrom="page">
            <wp:align>right</wp:align>
          </wp:positionH>
          <wp:positionV relativeFrom="page">
            <wp:align>bottom</wp:align>
          </wp:positionV>
          <wp:extent cx="5273675" cy="375285"/>
          <wp:effectExtent l="0" t="0" r="3175" b="5715"/>
          <wp:wrapTight wrapText="bothSides">
            <wp:wrapPolygon>
              <wp:start x="495" y="0"/>
              <wp:lineTo x="0" y="17543"/>
              <wp:lineTo x="0" y="20832"/>
              <wp:lineTo x="21561" y="20832"/>
              <wp:lineTo x="21561" y="14254"/>
              <wp:lineTo x="9241" y="0"/>
              <wp:lineTo x="495" y="0"/>
            </wp:wrapPolygon>
          </wp:wrapTight>
          <wp:docPr id="10" name="图片 10" descr="灰色形状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灰色形状 (2)"/>
                  <pic:cNvPicPr>
                    <a:picLocks noChangeAspect="1"/>
                  </pic:cNvPicPr>
                </pic:nvPicPr>
                <pic:blipFill>
                  <a:blip r:embed="rId1"/>
                  <a:stretch>
                    <a:fillRect/>
                  </a:stretch>
                </pic:blipFill>
                <pic:spPr>
                  <a:xfrm>
                    <a:off x="0" y="0"/>
                    <a:ext cx="5273675" cy="375285"/>
                  </a:xfrm>
                  <a:prstGeom prst="rect">
                    <a:avLst/>
                  </a:prstGeom>
                </pic:spPr>
              </pic:pic>
            </a:graphicData>
          </a:graphic>
          <wp14:sizeRelH relativeFrom="page">
            <wp14:pctWidth>100000</wp14:pctWidth>
          </wp14:sizeRelH>
          <wp14:sizeRelV relativeFrom="page">
            <wp14:pctHeight>0</wp14:pctHeight>
          </wp14:sizeRelV>
        </wp:anchor>
      </w:drawing>
    </w: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66F75">
                          <w:pPr>
                            <w:pStyle w:val="1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5966F75">
                    <w:pPr>
                      <w:pStyle w:val="1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3C49">
    <w:pPr>
      <w:pStyle w:val="15"/>
      <w:rPr>
        <w:rFonts w:hint="eastAsia" w:eastAsiaTheme="minorEastAsia"/>
        <w:lang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14815">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714815">
                    <w:pPr>
                      <w:pStyle w:val="15"/>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eastAsiaTheme="minorEastAsia"/>
        <w:lang w:eastAsia="zh-CN"/>
      </w:rPr>
      <w:drawing>
        <wp:anchor distT="0" distB="0" distL="114300" distR="114300" simplePos="0" relativeHeight="251666432" behindDoc="1" locked="0" layoutInCell="1" allowOverlap="1">
          <wp:simplePos x="0" y="0"/>
          <wp:positionH relativeFrom="page">
            <wp:align>right</wp:align>
          </wp:positionH>
          <wp:positionV relativeFrom="page">
            <wp:align>bottom</wp:align>
          </wp:positionV>
          <wp:extent cx="5273675" cy="375285"/>
          <wp:effectExtent l="0" t="0" r="9525" b="5715"/>
          <wp:wrapTight wrapText="bothSides">
            <wp:wrapPolygon>
              <wp:start x="490" y="0"/>
              <wp:lineTo x="0" y="17543"/>
              <wp:lineTo x="0" y="20832"/>
              <wp:lineTo x="21524" y="20832"/>
              <wp:lineTo x="21524" y="14254"/>
              <wp:lineTo x="9263" y="0"/>
              <wp:lineTo x="490" y="0"/>
            </wp:wrapPolygon>
          </wp:wrapTight>
          <wp:docPr id="3" name="图片 3" descr="灰色形状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灰色形状 (2)"/>
                  <pic:cNvPicPr>
                    <a:picLocks noChangeAspect="1"/>
                  </pic:cNvPicPr>
                </pic:nvPicPr>
                <pic:blipFill>
                  <a:blip r:embed="rId1"/>
                  <a:stretch>
                    <a:fillRect/>
                  </a:stretch>
                </pic:blipFill>
                <pic:spPr>
                  <a:xfrm>
                    <a:off x="0" y="0"/>
                    <a:ext cx="5273675" cy="375285"/>
                  </a:xfrm>
                  <a:prstGeom prst="rect">
                    <a:avLst/>
                  </a:prstGeom>
                </pic:spPr>
              </pic:pic>
            </a:graphicData>
          </a:graphic>
          <wp14:sizeRelH relativeFrom="page">
            <wp14:pctWidth>100000</wp14:pctWidth>
          </wp14:sizeRelH>
          <wp14:sizeRelV relativeFrom="page">
            <wp14:pctHeight>0</wp14:pctHeight>
          </wp14:sizeRelV>
        </wp:anchor>
      </w:drawing>
    </w:r>
  </w:p>
  <w:p w14:paraId="6A3E255B">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DB1E7">
    <w:pPr>
      <w:pStyle w:val="15"/>
      <w:rPr>
        <w:rFonts w:hint="eastAsia" w:eastAsiaTheme="minorEastAsia"/>
        <w:lang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22F50">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0922F50">
                    <w:pPr>
                      <w:pStyle w:val="15"/>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eastAsiaTheme="minorEastAsia"/>
        <w:lang w:eastAsia="zh-CN"/>
      </w:rPr>
      <w:drawing>
        <wp:anchor distT="0" distB="0" distL="114300" distR="114300" simplePos="0" relativeHeight="251671552" behindDoc="1" locked="0" layoutInCell="1" allowOverlap="1">
          <wp:simplePos x="0" y="0"/>
          <wp:positionH relativeFrom="page">
            <wp:align>right</wp:align>
          </wp:positionH>
          <wp:positionV relativeFrom="page">
            <wp:align>bottom</wp:align>
          </wp:positionV>
          <wp:extent cx="5273675" cy="375285"/>
          <wp:effectExtent l="0" t="0" r="3175" b="5715"/>
          <wp:wrapTight wrapText="bothSides">
            <wp:wrapPolygon>
              <wp:start x="490" y="0"/>
              <wp:lineTo x="0" y="17543"/>
              <wp:lineTo x="0" y="20832"/>
              <wp:lineTo x="21560" y="20832"/>
              <wp:lineTo x="21560" y="14254"/>
              <wp:lineTo x="9256" y="0"/>
              <wp:lineTo x="490" y="0"/>
            </wp:wrapPolygon>
          </wp:wrapTight>
          <wp:docPr id="12" name="图片 12" descr="灰色形状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灰色形状 (2)"/>
                  <pic:cNvPicPr>
                    <a:picLocks noChangeAspect="1"/>
                  </pic:cNvPicPr>
                </pic:nvPicPr>
                <pic:blipFill>
                  <a:blip r:embed="rId1"/>
                  <a:stretch>
                    <a:fillRect/>
                  </a:stretch>
                </pic:blipFill>
                <pic:spPr>
                  <a:xfrm>
                    <a:off x="0" y="0"/>
                    <a:ext cx="5273675" cy="375285"/>
                  </a:xfrm>
                  <a:prstGeom prst="rect">
                    <a:avLst/>
                  </a:prstGeom>
                </pic:spPr>
              </pic:pic>
            </a:graphicData>
          </a:graphic>
          <wp14:sizeRelH relativeFrom="page">
            <wp14:pctWidth>100000</wp14:pctWidth>
          </wp14:sizeRelH>
          <wp14:sizeRelV relativeFrom="page">
            <wp14:pctHeight>0</wp14:pctHeight>
          </wp14:sizeRelV>
        </wp:anchor>
      </w:drawing>
    </w:r>
  </w:p>
  <w:p w14:paraId="4881BAC2">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9182B">
    <w:pPr>
      <w:pStyle w:val="15"/>
      <w:rPr>
        <w:rFonts w:hint="eastAsia" w:eastAsiaTheme="minorEastAsia"/>
        <w:lang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E5143">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75E5143">
                    <w:pPr>
                      <w:pStyle w:val="15"/>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eastAsiaTheme="minorEastAsia"/>
        <w:lang w:eastAsia="zh-CN"/>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5273675" cy="375285"/>
          <wp:effectExtent l="0" t="0" r="9525" b="5715"/>
          <wp:wrapTight wrapText="bothSides">
            <wp:wrapPolygon>
              <wp:start x="496" y="0"/>
              <wp:lineTo x="0" y="17543"/>
              <wp:lineTo x="0" y="20832"/>
              <wp:lineTo x="21561" y="20832"/>
              <wp:lineTo x="21561" y="14254"/>
              <wp:lineTo x="9264" y="0"/>
              <wp:lineTo x="496" y="0"/>
            </wp:wrapPolygon>
          </wp:wrapTight>
          <wp:docPr id="24" name="图片 24" descr="灰色形状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灰色形状 (2)"/>
                  <pic:cNvPicPr>
                    <a:picLocks noChangeAspect="1"/>
                  </pic:cNvPicPr>
                </pic:nvPicPr>
                <pic:blipFill>
                  <a:blip r:embed="rId1"/>
                  <a:stretch>
                    <a:fillRect/>
                  </a:stretch>
                </pic:blipFill>
                <pic:spPr>
                  <a:xfrm>
                    <a:off x="0" y="0"/>
                    <a:ext cx="5273675" cy="375285"/>
                  </a:xfrm>
                  <a:prstGeom prst="rect">
                    <a:avLst/>
                  </a:prstGeom>
                </pic:spPr>
              </pic:pic>
            </a:graphicData>
          </a:graphic>
          <wp14:sizeRelH relativeFrom="page">
            <wp14:pctWidth>100000</wp14:pctWidth>
          </wp14:sizeRelH>
          <wp14:sizeRelV relativeFrom="page">
            <wp14:pctHeight>0</wp14:pctHeight>
          </wp14:sizeRelV>
        </wp:anchor>
      </w:drawing>
    </w:r>
  </w:p>
  <w:p w14:paraId="7F9A80DB">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C2936">
    <w:pPr>
      <w:pStyle w:val="16"/>
      <w:pBdr>
        <w:bottom w:val="none" w:color="auto" w:sz="0" w:space="1"/>
      </w:pBdr>
      <w:rPr>
        <w:rFonts w:hint="eastAsia" w:eastAsiaTheme="minorEastAsia"/>
        <w:lang w:eastAsia="zh-CN"/>
      </w:rPr>
    </w:pPr>
    <w:r>
      <w:rPr>
        <w:rFonts w:hint="eastAsia" w:eastAsiaTheme="minorEastAsia"/>
        <w:lang w:eastAsia="zh-CN"/>
      </w:rPr>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5273675" cy="375285"/>
          <wp:effectExtent l="0" t="0" r="9525" b="5715"/>
          <wp:wrapTight wrapText="bothSides">
            <wp:wrapPolygon>
              <wp:start x="0" y="0"/>
              <wp:lineTo x="0" y="21600"/>
              <wp:lineTo x="21600" y="21600"/>
              <wp:lineTo x="21600" y="0"/>
              <wp:lineTo x="0" y="0"/>
            </wp:wrapPolygon>
          </wp:wrapTight>
          <wp:docPr id="29" name="图片 29" descr="灰色形状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灰色形状 (1)"/>
                  <pic:cNvPicPr>
                    <a:picLocks noChangeAspect="1"/>
                  </pic:cNvPicPr>
                </pic:nvPicPr>
                <pic:blipFill>
                  <a:blip r:embed="rId1"/>
                  <a:stretch>
                    <a:fillRect/>
                  </a:stretch>
                </pic:blipFill>
                <pic:spPr>
                  <a:xfrm>
                    <a:off x="0" y="0"/>
                    <a:ext cx="5273675" cy="375285"/>
                  </a:xfrm>
                  <a:prstGeom prst="rect">
                    <a:avLst/>
                  </a:prstGeom>
                </pic:spPr>
              </pic:pic>
            </a:graphicData>
          </a:graphic>
          <wp14:sizeRelH relativeFrom="page">
            <wp14:pctWidth>100000</wp14:pctWidth>
          </wp14:sizeRelH>
          <wp14:sizeRelV relativeFrom="page">
            <wp14:pctHeight>0</wp14:pctHeight>
          </wp14:sizeRelV>
        </wp:anchor>
      </w:drawing>
    </w:r>
  </w:p>
  <w:p w14:paraId="61E6AA8A">
    <w:pPr>
      <w:pStyle w:val="1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AFCE5">
    <w:pPr>
      <w:pStyle w:val="16"/>
      <w:pBdr>
        <w:bottom w:val="none" w:color="auto" w:sz="0" w:space="1"/>
      </w:pBdr>
      <w:rPr>
        <w:rFonts w:hint="eastAsia" w:eastAsiaTheme="minorEastAsia"/>
        <w:lang w:eastAsia="zh-CN"/>
      </w:rPr>
    </w:pPr>
    <w:r>
      <w:rPr>
        <w:rFonts w:hint="eastAsia" w:eastAsiaTheme="minorEastAsia"/>
        <w:lang w:eastAsia="zh-CN"/>
      </w:rPr>
      <w:drawing>
        <wp:anchor distT="0" distB="0" distL="114300" distR="114300" simplePos="0" relativeHeight="251665408" behindDoc="1" locked="0" layoutInCell="1" allowOverlap="1">
          <wp:simplePos x="0" y="0"/>
          <wp:positionH relativeFrom="page">
            <wp:align>left</wp:align>
          </wp:positionH>
          <wp:positionV relativeFrom="page">
            <wp:align>top</wp:align>
          </wp:positionV>
          <wp:extent cx="5273675" cy="375285"/>
          <wp:effectExtent l="0" t="0" r="9525" b="5715"/>
          <wp:wrapTight wrapText="bothSides">
            <wp:wrapPolygon>
              <wp:start x="490" y="0"/>
              <wp:lineTo x="0" y="17543"/>
              <wp:lineTo x="0" y="20832"/>
              <wp:lineTo x="21035" y="20832"/>
              <wp:lineTo x="21144" y="17543"/>
              <wp:lineTo x="21526" y="2193"/>
              <wp:lineTo x="21526" y="0"/>
              <wp:lineTo x="490" y="0"/>
            </wp:wrapPolygon>
          </wp:wrapTight>
          <wp:docPr id="1" name="图片 1" descr="灰色形状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灰色形状 (1)"/>
                  <pic:cNvPicPr>
                    <a:picLocks noChangeAspect="1"/>
                  </pic:cNvPicPr>
                </pic:nvPicPr>
                <pic:blipFill>
                  <a:blip r:embed="rId1"/>
                  <a:stretch>
                    <a:fillRect/>
                  </a:stretch>
                </pic:blipFill>
                <pic:spPr>
                  <a:xfrm>
                    <a:off x="0" y="0"/>
                    <a:ext cx="5273675" cy="375285"/>
                  </a:xfrm>
                  <a:prstGeom prst="rect">
                    <a:avLst/>
                  </a:prstGeom>
                </pic:spPr>
              </pic:pic>
            </a:graphicData>
          </a:graphic>
          <wp14:sizeRelH relativeFrom="page">
            <wp14:pctWidth>100000</wp14:pctWidth>
          </wp14:sizeRelH>
          <wp14:sizeRelV relativeFrom="page">
            <wp14:pctHeight>0</wp14:pctHeight>
          </wp14:sizeRelV>
        </wp:anchor>
      </w:drawing>
    </w:r>
  </w:p>
  <w:p w14:paraId="318B7D30">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34148"/>
    <w:multiLevelType w:val="singleLevel"/>
    <w:tmpl w:val="E5B34148"/>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D"/>
    <w:multiLevelType w:val="multilevel"/>
    <w:tmpl w:val="0000000D"/>
    <w:lvl w:ilvl="0" w:tentative="0">
      <w:start w:val="1"/>
      <w:numFmt w:val="upperLetter"/>
      <w:pStyle w:val="5"/>
      <w:lvlText w:val="%1."/>
      <w:lvlJc w:val="left"/>
      <w:pPr>
        <w:tabs>
          <w:tab w:val="left" w:pos="435"/>
        </w:tabs>
        <w:ind w:left="435" w:hanging="435"/>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C26C2"/>
    <w:rsid w:val="000F0002"/>
    <w:rsid w:val="002D1EDF"/>
    <w:rsid w:val="00303F39"/>
    <w:rsid w:val="00394C69"/>
    <w:rsid w:val="003C28DE"/>
    <w:rsid w:val="006B6D1F"/>
    <w:rsid w:val="0087167F"/>
    <w:rsid w:val="009C337D"/>
    <w:rsid w:val="009D74C8"/>
    <w:rsid w:val="00A04086"/>
    <w:rsid w:val="00BF706B"/>
    <w:rsid w:val="00D743B5"/>
    <w:rsid w:val="010D34A5"/>
    <w:rsid w:val="0147778C"/>
    <w:rsid w:val="01487061"/>
    <w:rsid w:val="01521C8D"/>
    <w:rsid w:val="01541EA9"/>
    <w:rsid w:val="015B4FE6"/>
    <w:rsid w:val="01695955"/>
    <w:rsid w:val="016D4D19"/>
    <w:rsid w:val="017240DE"/>
    <w:rsid w:val="0196650D"/>
    <w:rsid w:val="01995B0E"/>
    <w:rsid w:val="01B82438"/>
    <w:rsid w:val="01B85F94"/>
    <w:rsid w:val="01BD7A4F"/>
    <w:rsid w:val="01C40DDD"/>
    <w:rsid w:val="01CC5EE4"/>
    <w:rsid w:val="01D46B46"/>
    <w:rsid w:val="01E925F2"/>
    <w:rsid w:val="01F77A89"/>
    <w:rsid w:val="01FA65AD"/>
    <w:rsid w:val="01FD609D"/>
    <w:rsid w:val="020016E9"/>
    <w:rsid w:val="020236B3"/>
    <w:rsid w:val="02151639"/>
    <w:rsid w:val="023F2212"/>
    <w:rsid w:val="023F588A"/>
    <w:rsid w:val="02465427"/>
    <w:rsid w:val="024737BC"/>
    <w:rsid w:val="025008C3"/>
    <w:rsid w:val="025C5161"/>
    <w:rsid w:val="02750329"/>
    <w:rsid w:val="02781BC8"/>
    <w:rsid w:val="02922C89"/>
    <w:rsid w:val="02A4476B"/>
    <w:rsid w:val="02A54BA0"/>
    <w:rsid w:val="02AD1871"/>
    <w:rsid w:val="02C62933"/>
    <w:rsid w:val="02CE17E8"/>
    <w:rsid w:val="030E1627"/>
    <w:rsid w:val="03391357"/>
    <w:rsid w:val="03403813"/>
    <w:rsid w:val="035E4919"/>
    <w:rsid w:val="03611900"/>
    <w:rsid w:val="03791753"/>
    <w:rsid w:val="038C76D9"/>
    <w:rsid w:val="03A03184"/>
    <w:rsid w:val="03A74512"/>
    <w:rsid w:val="03AD58A1"/>
    <w:rsid w:val="03B60BF9"/>
    <w:rsid w:val="03CC21CB"/>
    <w:rsid w:val="03F82FC0"/>
    <w:rsid w:val="041A2F36"/>
    <w:rsid w:val="041C2AF4"/>
    <w:rsid w:val="041F054D"/>
    <w:rsid w:val="04367644"/>
    <w:rsid w:val="043D6C25"/>
    <w:rsid w:val="046046C1"/>
    <w:rsid w:val="049820AD"/>
    <w:rsid w:val="049D3B67"/>
    <w:rsid w:val="049D5915"/>
    <w:rsid w:val="04AC5B58"/>
    <w:rsid w:val="04C2712A"/>
    <w:rsid w:val="04C742A1"/>
    <w:rsid w:val="04E377CC"/>
    <w:rsid w:val="04EE6171"/>
    <w:rsid w:val="05036F0A"/>
    <w:rsid w:val="051120F4"/>
    <w:rsid w:val="05333BE5"/>
    <w:rsid w:val="0548762F"/>
    <w:rsid w:val="054F6C10"/>
    <w:rsid w:val="055661F0"/>
    <w:rsid w:val="05575AC4"/>
    <w:rsid w:val="055A55B4"/>
    <w:rsid w:val="057E74F5"/>
    <w:rsid w:val="05A86320"/>
    <w:rsid w:val="05AD3936"/>
    <w:rsid w:val="05B922DB"/>
    <w:rsid w:val="05B9677F"/>
    <w:rsid w:val="05CD3FD8"/>
    <w:rsid w:val="05DC421B"/>
    <w:rsid w:val="06055520"/>
    <w:rsid w:val="061340E1"/>
    <w:rsid w:val="06231E4A"/>
    <w:rsid w:val="06336531"/>
    <w:rsid w:val="063D4CBA"/>
    <w:rsid w:val="063E4C65"/>
    <w:rsid w:val="064249C6"/>
    <w:rsid w:val="065564A8"/>
    <w:rsid w:val="065B7836"/>
    <w:rsid w:val="065F10D4"/>
    <w:rsid w:val="067803E8"/>
    <w:rsid w:val="067B57E2"/>
    <w:rsid w:val="06804605"/>
    <w:rsid w:val="068F19C2"/>
    <w:rsid w:val="06A05249"/>
    <w:rsid w:val="06B036DE"/>
    <w:rsid w:val="06C43629"/>
    <w:rsid w:val="06CB0518"/>
    <w:rsid w:val="06F86967"/>
    <w:rsid w:val="0701218C"/>
    <w:rsid w:val="070752C8"/>
    <w:rsid w:val="0708176C"/>
    <w:rsid w:val="070954E4"/>
    <w:rsid w:val="07124399"/>
    <w:rsid w:val="07261BF2"/>
    <w:rsid w:val="07397B77"/>
    <w:rsid w:val="07462294"/>
    <w:rsid w:val="074D717F"/>
    <w:rsid w:val="07752619"/>
    <w:rsid w:val="07921036"/>
    <w:rsid w:val="079E79DA"/>
    <w:rsid w:val="07A60518"/>
    <w:rsid w:val="07AF1BE8"/>
    <w:rsid w:val="07B471FE"/>
    <w:rsid w:val="07BE62CF"/>
    <w:rsid w:val="07D21D7A"/>
    <w:rsid w:val="07D93108"/>
    <w:rsid w:val="07E6312F"/>
    <w:rsid w:val="07F13FAE"/>
    <w:rsid w:val="080F6B2A"/>
    <w:rsid w:val="081825F5"/>
    <w:rsid w:val="081877B3"/>
    <w:rsid w:val="08470072"/>
    <w:rsid w:val="084C5688"/>
    <w:rsid w:val="084F5179"/>
    <w:rsid w:val="08501325"/>
    <w:rsid w:val="085059B3"/>
    <w:rsid w:val="086A3D60"/>
    <w:rsid w:val="086C1887"/>
    <w:rsid w:val="08872B64"/>
    <w:rsid w:val="08A94889"/>
    <w:rsid w:val="08B11C3C"/>
    <w:rsid w:val="08C16BF5"/>
    <w:rsid w:val="08C571E9"/>
    <w:rsid w:val="08E52240"/>
    <w:rsid w:val="08E6788B"/>
    <w:rsid w:val="08F301FA"/>
    <w:rsid w:val="09077801"/>
    <w:rsid w:val="092108C3"/>
    <w:rsid w:val="094C3466"/>
    <w:rsid w:val="095011A8"/>
    <w:rsid w:val="0955056D"/>
    <w:rsid w:val="09572537"/>
    <w:rsid w:val="095962AF"/>
    <w:rsid w:val="09684744"/>
    <w:rsid w:val="096B7D90"/>
    <w:rsid w:val="09736C45"/>
    <w:rsid w:val="097A24AD"/>
    <w:rsid w:val="097C1F9D"/>
    <w:rsid w:val="09917C7F"/>
    <w:rsid w:val="099512B1"/>
    <w:rsid w:val="099E0166"/>
    <w:rsid w:val="09AD2157"/>
    <w:rsid w:val="09C851E3"/>
    <w:rsid w:val="09DD72C1"/>
    <w:rsid w:val="09DE0562"/>
    <w:rsid w:val="09F63AFE"/>
    <w:rsid w:val="09FE6E56"/>
    <w:rsid w:val="0A0E0220"/>
    <w:rsid w:val="0A173A74"/>
    <w:rsid w:val="0A2C39C3"/>
    <w:rsid w:val="0A2D5046"/>
    <w:rsid w:val="0A2F0DBE"/>
    <w:rsid w:val="0A5E16A3"/>
    <w:rsid w:val="0A6767AA"/>
    <w:rsid w:val="0A6F565E"/>
    <w:rsid w:val="0A81646E"/>
    <w:rsid w:val="0A8729A8"/>
    <w:rsid w:val="0A892BC4"/>
    <w:rsid w:val="0A894972"/>
    <w:rsid w:val="0A9B28F7"/>
    <w:rsid w:val="0A9E7CF1"/>
    <w:rsid w:val="0AA01CBB"/>
    <w:rsid w:val="0AA7304A"/>
    <w:rsid w:val="0ACC0D02"/>
    <w:rsid w:val="0AD025A1"/>
    <w:rsid w:val="0AF53DB5"/>
    <w:rsid w:val="0B016BFE"/>
    <w:rsid w:val="0B022976"/>
    <w:rsid w:val="0B1D50BA"/>
    <w:rsid w:val="0B41524D"/>
    <w:rsid w:val="0B623B93"/>
    <w:rsid w:val="0B68030A"/>
    <w:rsid w:val="0B85559E"/>
    <w:rsid w:val="0BA31A63"/>
    <w:rsid w:val="0BAE5446"/>
    <w:rsid w:val="0BEB51B8"/>
    <w:rsid w:val="0BF978D5"/>
    <w:rsid w:val="0C083FBC"/>
    <w:rsid w:val="0C0A4976"/>
    <w:rsid w:val="0C57284E"/>
    <w:rsid w:val="0C5B0590"/>
    <w:rsid w:val="0C7C4062"/>
    <w:rsid w:val="0C95241A"/>
    <w:rsid w:val="0C994C14"/>
    <w:rsid w:val="0CA37841"/>
    <w:rsid w:val="0CA737D5"/>
    <w:rsid w:val="0CAF268A"/>
    <w:rsid w:val="0CB33F28"/>
    <w:rsid w:val="0CC46135"/>
    <w:rsid w:val="0CCA3020"/>
    <w:rsid w:val="0CCD48BE"/>
    <w:rsid w:val="0CD619C5"/>
    <w:rsid w:val="0CD81BE1"/>
    <w:rsid w:val="0CE32C2D"/>
    <w:rsid w:val="0CE9794A"/>
    <w:rsid w:val="0D0522AA"/>
    <w:rsid w:val="0D2225D4"/>
    <w:rsid w:val="0D272220"/>
    <w:rsid w:val="0D362143"/>
    <w:rsid w:val="0D40647F"/>
    <w:rsid w:val="0D4234FE"/>
    <w:rsid w:val="0D49663A"/>
    <w:rsid w:val="0D4B27F4"/>
    <w:rsid w:val="0D672C03"/>
    <w:rsid w:val="0DAB000F"/>
    <w:rsid w:val="0DB5782C"/>
    <w:rsid w:val="0DB859E5"/>
    <w:rsid w:val="0DCD726B"/>
    <w:rsid w:val="0DD423A8"/>
    <w:rsid w:val="0DD95C10"/>
    <w:rsid w:val="0DE834A2"/>
    <w:rsid w:val="0DF77E44"/>
    <w:rsid w:val="0E034A3B"/>
    <w:rsid w:val="0E100F06"/>
    <w:rsid w:val="0E1529C0"/>
    <w:rsid w:val="0E1E3623"/>
    <w:rsid w:val="0E1F739B"/>
    <w:rsid w:val="0E2624D8"/>
    <w:rsid w:val="0E2F1D3A"/>
    <w:rsid w:val="0E3966AF"/>
    <w:rsid w:val="0E4312DC"/>
    <w:rsid w:val="0E440BB0"/>
    <w:rsid w:val="0E5E7EC3"/>
    <w:rsid w:val="0E770F85"/>
    <w:rsid w:val="0E837C69"/>
    <w:rsid w:val="0E9438E5"/>
    <w:rsid w:val="0E9E6512"/>
    <w:rsid w:val="0EBE0962"/>
    <w:rsid w:val="0EC75A69"/>
    <w:rsid w:val="0ECA7307"/>
    <w:rsid w:val="0ECD6DF7"/>
    <w:rsid w:val="0ED14B39"/>
    <w:rsid w:val="0EE4539F"/>
    <w:rsid w:val="0EE83C31"/>
    <w:rsid w:val="0EF10D38"/>
    <w:rsid w:val="0F380715"/>
    <w:rsid w:val="0F3D3F7D"/>
    <w:rsid w:val="0F661726"/>
    <w:rsid w:val="0F707EAE"/>
    <w:rsid w:val="0F87169C"/>
    <w:rsid w:val="0F8751F8"/>
    <w:rsid w:val="0F917E25"/>
    <w:rsid w:val="0FBC30F4"/>
    <w:rsid w:val="0FCD3553"/>
    <w:rsid w:val="0FD15742"/>
    <w:rsid w:val="0FED38B1"/>
    <w:rsid w:val="0FED59A3"/>
    <w:rsid w:val="0FEE1450"/>
    <w:rsid w:val="10090303"/>
    <w:rsid w:val="101A606C"/>
    <w:rsid w:val="101F3682"/>
    <w:rsid w:val="102A7A7A"/>
    <w:rsid w:val="103406D9"/>
    <w:rsid w:val="103709CC"/>
    <w:rsid w:val="103B4960"/>
    <w:rsid w:val="10463305"/>
    <w:rsid w:val="105C6685"/>
    <w:rsid w:val="106B68C8"/>
    <w:rsid w:val="10B77D5F"/>
    <w:rsid w:val="10E50428"/>
    <w:rsid w:val="10EC5C5A"/>
    <w:rsid w:val="10ED552F"/>
    <w:rsid w:val="110F7B9B"/>
    <w:rsid w:val="11160F29"/>
    <w:rsid w:val="112E6273"/>
    <w:rsid w:val="11434A33"/>
    <w:rsid w:val="11553800"/>
    <w:rsid w:val="115832F0"/>
    <w:rsid w:val="115E23ED"/>
    <w:rsid w:val="1178129C"/>
    <w:rsid w:val="118B7221"/>
    <w:rsid w:val="118E6D12"/>
    <w:rsid w:val="119368B4"/>
    <w:rsid w:val="11A356E0"/>
    <w:rsid w:val="11A42091"/>
    <w:rsid w:val="11A622AD"/>
    <w:rsid w:val="11B04EDA"/>
    <w:rsid w:val="11B524F0"/>
    <w:rsid w:val="11BD75F7"/>
    <w:rsid w:val="11C75D80"/>
    <w:rsid w:val="11CC783A"/>
    <w:rsid w:val="11CD0734"/>
    <w:rsid w:val="11DB356D"/>
    <w:rsid w:val="11EC3A38"/>
    <w:rsid w:val="11EE77B0"/>
    <w:rsid w:val="11F74238"/>
    <w:rsid w:val="121A67F7"/>
    <w:rsid w:val="123F000C"/>
    <w:rsid w:val="124B4C03"/>
    <w:rsid w:val="12665599"/>
    <w:rsid w:val="12771554"/>
    <w:rsid w:val="128D43FF"/>
    <w:rsid w:val="128D6FC9"/>
    <w:rsid w:val="129C0FBA"/>
    <w:rsid w:val="12A3059B"/>
    <w:rsid w:val="12B3481B"/>
    <w:rsid w:val="12B5207C"/>
    <w:rsid w:val="12B75DF4"/>
    <w:rsid w:val="12B77323"/>
    <w:rsid w:val="12BB3B36"/>
    <w:rsid w:val="12D1335A"/>
    <w:rsid w:val="12E60488"/>
    <w:rsid w:val="12EA7F78"/>
    <w:rsid w:val="13137D3E"/>
    <w:rsid w:val="132316DC"/>
    <w:rsid w:val="132E255A"/>
    <w:rsid w:val="132F1E2E"/>
    <w:rsid w:val="13315BA7"/>
    <w:rsid w:val="13347445"/>
    <w:rsid w:val="13503214"/>
    <w:rsid w:val="137F512B"/>
    <w:rsid w:val="13806B2E"/>
    <w:rsid w:val="138A3509"/>
    <w:rsid w:val="138E2FF9"/>
    <w:rsid w:val="13960100"/>
    <w:rsid w:val="139F6FB4"/>
    <w:rsid w:val="13AB3BAB"/>
    <w:rsid w:val="13C92283"/>
    <w:rsid w:val="13D50C28"/>
    <w:rsid w:val="13FB7F63"/>
    <w:rsid w:val="1437543F"/>
    <w:rsid w:val="145E6E6F"/>
    <w:rsid w:val="14634486"/>
    <w:rsid w:val="146975C2"/>
    <w:rsid w:val="146C1CBE"/>
    <w:rsid w:val="148368D6"/>
    <w:rsid w:val="148443FC"/>
    <w:rsid w:val="149074D4"/>
    <w:rsid w:val="149B1195"/>
    <w:rsid w:val="14AB407B"/>
    <w:rsid w:val="14B426E3"/>
    <w:rsid w:val="14F02343"/>
    <w:rsid w:val="14FF6F73"/>
    <w:rsid w:val="15103236"/>
    <w:rsid w:val="15173581"/>
    <w:rsid w:val="151C63E2"/>
    <w:rsid w:val="15267261"/>
    <w:rsid w:val="152C26C2"/>
    <w:rsid w:val="1537321C"/>
    <w:rsid w:val="157D0899"/>
    <w:rsid w:val="157E0E4B"/>
    <w:rsid w:val="159468C1"/>
    <w:rsid w:val="15A563D8"/>
    <w:rsid w:val="15AE1730"/>
    <w:rsid w:val="15C40F54"/>
    <w:rsid w:val="15C56A7A"/>
    <w:rsid w:val="15D32F45"/>
    <w:rsid w:val="15D60B26"/>
    <w:rsid w:val="15D60C87"/>
    <w:rsid w:val="15DA0777"/>
    <w:rsid w:val="15EA1460"/>
    <w:rsid w:val="15F5735F"/>
    <w:rsid w:val="15FA2BC8"/>
    <w:rsid w:val="15FD4466"/>
    <w:rsid w:val="161C2E01"/>
    <w:rsid w:val="162639BD"/>
    <w:rsid w:val="162722CA"/>
    <w:rsid w:val="16351E52"/>
    <w:rsid w:val="16646293"/>
    <w:rsid w:val="166B7621"/>
    <w:rsid w:val="1691323B"/>
    <w:rsid w:val="169A69BF"/>
    <w:rsid w:val="16AB2114"/>
    <w:rsid w:val="16BC60CF"/>
    <w:rsid w:val="16C32FBA"/>
    <w:rsid w:val="16D36F75"/>
    <w:rsid w:val="16DF3B6C"/>
    <w:rsid w:val="16F413C5"/>
    <w:rsid w:val="170A0BE8"/>
    <w:rsid w:val="17103D25"/>
    <w:rsid w:val="17215F32"/>
    <w:rsid w:val="17321EED"/>
    <w:rsid w:val="1745678C"/>
    <w:rsid w:val="175956CC"/>
    <w:rsid w:val="175B7696"/>
    <w:rsid w:val="1763654B"/>
    <w:rsid w:val="176D1177"/>
    <w:rsid w:val="17773DA4"/>
    <w:rsid w:val="17797B1C"/>
    <w:rsid w:val="17800EAB"/>
    <w:rsid w:val="1783099B"/>
    <w:rsid w:val="17884203"/>
    <w:rsid w:val="178F10EE"/>
    <w:rsid w:val="17B246DF"/>
    <w:rsid w:val="17C4348D"/>
    <w:rsid w:val="17CD1C16"/>
    <w:rsid w:val="17CE7E68"/>
    <w:rsid w:val="17D9680D"/>
    <w:rsid w:val="17DE1748"/>
    <w:rsid w:val="17F92A0B"/>
    <w:rsid w:val="181810E3"/>
    <w:rsid w:val="181D7DE8"/>
    <w:rsid w:val="182201B4"/>
    <w:rsid w:val="182932F0"/>
    <w:rsid w:val="1833416F"/>
    <w:rsid w:val="18356139"/>
    <w:rsid w:val="183B3024"/>
    <w:rsid w:val="18491BE4"/>
    <w:rsid w:val="18504D21"/>
    <w:rsid w:val="18784278"/>
    <w:rsid w:val="18787DD4"/>
    <w:rsid w:val="187F73B4"/>
    <w:rsid w:val="18AF5EEB"/>
    <w:rsid w:val="18D6514B"/>
    <w:rsid w:val="18E37F3C"/>
    <w:rsid w:val="18E92A80"/>
    <w:rsid w:val="18EC0018"/>
    <w:rsid w:val="18ED6A14"/>
    <w:rsid w:val="18F356AC"/>
    <w:rsid w:val="192B202A"/>
    <w:rsid w:val="192B4E46"/>
    <w:rsid w:val="19362169"/>
    <w:rsid w:val="19375EE1"/>
    <w:rsid w:val="19404DB1"/>
    <w:rsid w:val="19524AC9"/>
    <w:rsid w:val="195720DF"/>
    <w:rsid w:val="196D36B1"/>
    <w:rsid w:val="19706CFD"/>
    <w:rsid w:val="19834C82"/>
    <w:rsid w:val="198A7DBF"/>
    <w:rsid w:val="19A3296E"/>
    <w:rsid w:val="19D43730"/>
    <w:rsid w:val="19F94F44"/>
    <w:rsid w:val="1A03077F"/>
    <w:rsid w:val="1A126F7E"/>
    <w:rsid w:val="1A2C356C"/>
    <w:rsid w:val="1A385A6D"/>
    <w:rsid w:val="1A444411"/>
    <w:rsid w:val="1A46462D"/>
    <w:rsid w:val="1A55661F"/>
    <w:rsid w:val="1A5B175B"/>
    <w:rsid w:val="1A6A7BF0"/>
    <w:rsid w:val="1A772A39"/>
    <w:rsid w:val="1A7A7E33"/>
    <w:rsid w:val="1A89276C"/>
    <w:rsid w:val="1A8934E7"/>
    <w:rsid w:val="1A9A04D5"/>
    <w:rsid w:val="1A9D6217"/>
    <w:rsid w:val="1AA50C28"/>
    <w:rsid w:val="1AB86BAD"/>
    <w:rsid w:val="1ABC711A"/>
    <w:rsid w:val="1AC15A62"/>
    <w:rsid w:val="1AD42EC8"/>
    <w:rsid w:val="1AD82DAC"/>
    <w:rsid w:val="1B03607B"/>
    <w:rsid w:val="1B043BA1"/>
    <w:rsid w:val="1B087B35"/>
    <w:rsid w:val="1B0B13D3"/>
    <w:rsid w:val="1B3501FE"/>
    <w:rsid w:val="1B3C333B"/>
    <w:rsid w:val="1B530684"/>
    <w:rsid w:val="1B5A7C65"/>
    <w:rsid w:val="1B726EB7"/>
    <w:rsid w:val="1B8E5DF7"/>
    <w:rsid w:val="1BA64C58"/>
    <w:rsid w:val="1BB235FD"/>
    <w:rsid w:val="1BC67BC3"/>
    <w:rsid w:val="1BCA303C"/>
    <w:rsid w:val="1BCC2910"/>
    <w:rsid w:val="1C00080C"/>
    <w:rsid w:val="1C0A51E7"/>
    <w:rsid w:val="1C2362A8"/>
    <w:rsid w:val="1C393D1E"/>
    <w:rsid w:val="1C4F52EF"/>
    <w:rsid w:val="1C962F1E"/>
    <w:rsid w:val="1C9C0573"/>
    <w:rsid w:val="1C9F1DD3"/>
    <w:rsid w:val="1CA4563B"/>
    <w:rsid w:val="1CB02232"/>
    <w:rsid w:val="1CC17F9B"/>
    <w:rsid w:val="1CCA4039"/>
    <w:rsid w:val="1CED6FE2"/>
    <w:rsid w:val="1CF55512"/>
    <w:rsid w:val="1CF57C45"/>
    <w:rsid w:val="1D077978"/>
    <w:rsid w:val="1D101D18"/>
    <w:rsid w:val="1D183933"/>
    <w:rsid w:val="1D210A3A"/>
    <w:rsid w:val="1D2B3667"/>
    <w:rsid w:val="1D385D84"/>
    <w:rsid w:val="1D532BBD"/>
    <w:rsid w:val="1D5C5F16"/>
    <w:rsid w:val="1D6D1ED1"/>
    <w:rsid w:val="1D752B34"/>
    <w:rsid w:val="1D886D0B"/>
    <w:rsid w:val="1D954F84"/>
    <w:rsid w:val="1D992CC6"/>
    <w:rsid w:val="1D9A07EC"/>
    <w:rsid w:val="1DAA4ED3"/>
    <w:rsid w:val="1DAD49C3"/>
    <w:rsid w:val="1DCF0496"/>
    <w:rsid w:val="1DEA3522"/>
    <w:rsid w:val="1DED4DC0"/>
    <w:rsid w:val="1E0E4054"/>
    <w:rsid w:val="1E1C7453"/>
    <w:rsid w:val="1E340C41"/>
    <w:rsid w:val="1E3429EF"/>
    <w:rsid w:val="1E407896"/>
    <w:rsid w:val="1E4E3AB1"/>
    <w:rsid w:val="1E6A6411"/>
    <w:rsid w:val="1E9B2A6E"/>
    <w:rsid w:val="1EA21A8E"/>
    <w:rsid w:val="1EC75611"/>
    <w:rsid w:val="1EC975DB"/>
    <w:rsid w:val="1EDF295B"/>
    <w:rsid w:val="1EE73F05"/>
    <w:rsid w:val="1EE937D9"/>
    <w:rsid w:val="1EF43CB4"/>
    <w:rsid w:val="1F15637C"/>
    <w:rsid w:val="1F221709"/>
    <w:rsid w:val="1F3233D2"/>
    <w:rsid w:val="1F3E1D77"/>
    <w:rsid w:val="1F6317DE"/>
    <w:rsid w:val="1F680BA2"/>
    <w:rsid w:val="1F714618"/>
    <w:rsid w:val="1F75506D"/>
    <w:rsid w:val="1F814F1A"/>
    <w:rsid w:val="1F835D34"/>
    <w:rsid w:val="1F8F25D3"/>
    <w:rsid w:val="1F933745"/>
    <w:rsid w:val="1F9A4AD4"/>
    <w:rsid w:val="1FC41B50"/>
    <w:rsid w:val="1FDE70B6"/>
    <w:rsid w:val="1FF22B62"/>
    <w:rsid w:val="1FF57F5C"/>
    <w:rsid w:val="1FFE1506"/>
    <w:rsid w:val="20016901"/>
    <w:rsid w:val="200308CB"/>
    <w:rsid w:val="20147849"/>
    <w:rsid w:val="201E5705"/>
    <w:rsid w:val="20234AC9"/>
    <w:rsid w:val="2027280B"/>
    <w:rsid w:val="2029395F"/>
    <w:rsid w:val="2031368A"/>
    <w:rsid w:val="203E1903"/>
    <w:rsid w:val="205D622D"/>
    <w:rsid w:val="20717F2A"/>
    <w:rsid w:val="20735A50"/>
    <w:rsid w:val="2096173F"/>
    <w:rsid w:val="209B4FA7"/>
    <w:rsid w:val="209E23A2"/>
    <w:rsid w:val="20A200E4"/>
    <w:rsid w:val="20B16579"/>
    <w:rsid w:val="20C4351C"/>
    <w:rsid w:val="20CA79C8"/>
    <w:rsid w:val="20D34741"/>
    <w:rsid w:val="20E406FC"/>
    <w:rsid w:val="20EF2BFD"/>
    <w:rsid w:val="20FB5A46"/>
    <w:rsid w:val="20FF72E4"/>
    <w:rsid w:val="2102243B"/>
    <w:rsid w:val="210E39CB"/>
    <w:rsid w:val="213D1BBA"/>
    <w:rsid w:val="2146341B"/>
    <w:rsid w:val="21584C46"/>
    <w:rsid w:val="215A6C10"/>
    <w:rsid w:val="215F7D83"/>
    <w:rsid w:val="2164183D"/>
    <w:rsid w:val="217B2EA2"/>
    <w:rsid w:val="21823A71"/>
    <w:rsid w:val="218D2B42"/>
    <w:rsid w:val="2197576F"/>
    <w:rsid w:val="219A700D"/>
    <w:rsid w:val="21B005DE"/>
    <w:rsid w:val="21C5052E"/>
    <w:rsid w:val="21CD1190"/>
    <w:rsid w:val="21DC7625"/>
    <w:rsid w:val="21E558C5"/>
    <w:rsid w:val="21F42BC1"/>
    <w:rsid w:val="22067DEA"/>
    <w:rsid w:val="224156DA"/>
    <w:rsid w:val="22477195"/>
    <w:rsid w:val="22543660"/>
    <w:rsid w:val="226338A3"/>
    <w:rsid w:val="22730DD2"/>
    <w:rsid w:val="227B5090"/>
    <w:rsid w:val="22F4274D"/>
    <w:rsid w:val="231048B5"/>
    <w:rsid w:val="23290648"/>
    <w:rsid w:val="23356FED"/>
    <w:rsid w:val="23377209"/>
    <w:rsid w:val="23384D2F"/>
    <w:rsid w:val="23524747"/>
    <w:rsid w:val="2366189C"/>
    <w:rsid w:val="23897791"/>
    <w:rsid w:val="23AD74CB"/>
    <w:rsid w:val="23B02B18"/>
    <w:rsid w:val="23B70151"/>
    <w:rsid w:val="23C37192"/>
    <w:rsid w:val="23DA5DE6"/>
    <w:rsid w:val="23E751E5"/>
    <w:rsid w:val="23FA2E07"/>
    <w:rsid w:val="23FE3883"/>
    <w:rsid w:val="23FF6434"/>
    <w:rsid w:val="24127EF7"/>
    <w:rsid w:val="24150BCD"/>
    <w:rsid w:val="24165941"/>
    <w:rsid w:val="24253506"/>
    <w:rsid w:val="24480FA2"/>
    <w:rsid w:val="245E07C6"/>
    <w:rsid w:val="24661428"/>
    <w:rsid w:val="247D50F0"/>
    <w:rsid w:val="248144B4"/>
    <w:rsid w:val="24885842"/>
    <w:rsid w:val="248F6BD1"/>
    <w:rsid w:val="24971B7A"/>
    <w:rsid w:val="24975A86"/>
    <w:rsid w:val="24B14D99"/>
    <w:rsid w:val="24B77ED6"/>
    <w:rsid w:val="24C745BD"/>
    <w:rsid w:val="24CE594B"/>
    <w:rsid w:val="24D10F97"/>
    <w:rsid w:val="24D6035C"/>
    <w:rsid w:val="24F904EE"/>
    <w:rsid w:val="250273A3"/>
    <w:rsid w:val="2504136D"/>
    <w:rsid w:val="25145328"/>
    <w:rsid w:val="25237319"/>
    <w:rsid w:val="2524556B"/>
    <w:rsid w:val="252E0198"/>
    <w:rsid w:val="253432D4"/>
    <w:rsid w:val="254D1F1F"/>
    <w:rsid w:val="256C0CC0"/>
    <w:rsid w:val="2573204F"/>
    <w:rsid w:val="25864F42"/>
    <w:rsid w:val="258C1362"/>
    <w:rsid w:val="259A582D"/>
    <w:rsid w:val="25AD37B3"/>
    <w:rsid w:val="25C1100C"/>
    <w:rsid w:val="25C24D84"/>
    <w:rsid w:val="25CD5C03"/>
    <w:rsid w:val="25D32D3D"/>
    <w:rsid w:val="25DE1BBE"/>
    <w:rsid w:val="25F0544D"/>
    <w:rsid w:val="26025181"/>
    <w:rsid w:val="26296BB1"/>
    <w:rsid w:val="262B2929"/>
    <w:rsid w:val="26357304"/>
    <w:rsid w:val="264439EB"/>
    <w:rsid w:val="26461511"/>
    <w:rsid w:val="26571970"/>
    <w:rsid w:val="265A4FBD"/>
    <w:rsid w:val="266B541C"/>
    <w:rsid w:val="268A1547"/>
    <w:rsid w:val="268B161A"/>
    <w:rsid w:val="26926505"/>
    <w:rsid w:val="269458CC"/>
    <w:rsid w:val="26976211"/>
    <w:rsid w:val="26A526DC"/>
    <w:rsid w:val="26B66697"/>
    <w:rsid w:val="26CB6113"/>
    <w:rsid w:val="26D42FC1"/>
    <w:rsid w:val="26DB434F"/>
    <w:rsid w:val="26E33204"/>
    <w:rsid w:val="26F471BF"/>
    <w:rsid w:val="26F80B2F"/>
    <w:rsid w:val="26F96584"/>
    <w:rsid w:val="26FC7E22"/>
    <w:rsid w:val="27165388"/>
    <w:rsid w:val="27383550"/>
    <w:rsid w:val="277A3B68"/>
    <w:rsid w:val="277D5407"/>
    <w:rsid w:val="278C389C"/>
    <w:rsid w:val="278E13C2"/>
    <w:rsid w:val="27AB3D22"/>
    <w:rsid w:val="27AE3812"/>
    <w:rsid w:val="27C10036"/>
    <w:rsid w:val="27C46B92"/>
    <w:rsid w:val="27C60B5C"/>
    <w:rsid w:val="27C64C54"/>
    <w:rsid w:val="27C748D4"/>
    <w:rsid w:val="27F82CDF"/>
    <w:rsid w:val="2802590C"/>
    <w:rsid w:val="28302DCC"/>
    <w:rsid w:val="28355CE1"/>
    <w:rsid w:val="28445F24"/>
    <w:rsid w:val="28497097"/>
    <w:rsid w:val="284D302B"/>
    <w:rsid w:val="2852419D"/>
    <w:rsid w:val="286640ED"/>
    <w:rsid w:val="28814A83"/>
    <w:rsid w:val="289447B6"/>
    <w:rsid w:val="28B135BA"/>
    <w:rsid w:val="28DF5C9A"/>
    <w:rsid w:val="28E53263"/>
    <w:rsid w:val="28F1274F"/>
    <w:rsid w:val="29471828"/>
    <w:rsid w:val="294F692F"/>
    <w:rsid w:val="29564161"/>
    <w:rsid w:val="29626662"/>
    <w:rsid w:val="296625AD"/>
    <w:rsid w:val="296E3259"/>
    <w:rsid w:val="297A7E50"/>
    <w:rsid w:val="29944785"/>
    <w:rsid w:val="29946A38"/>
    <w:rsid w:val="29A16D89"/>
    <w:rsid w:val="29CA4207"/>
    <w:rsid w:val="29CE74E7"/>
    <w:rsid w:val="29FB2613"/>
    <w:rsid w:val="2A070FB7"/>
    <w:rsid w:val="2A190FDF"/>
    <w:rsid w:val="2A1A6F3D"/>
    <w:rsid w:val="2A1F09F7"/>
    <w:rsid w:val="2A824904"/>
    <w:rsid w:val="2A9767DF"/>
    <w:rsid w:val="2AA1140C"/>
    <w:rsid w:val="2AA42CAA"/>
    <w:rsid w:val="2AC22DB4"/>
    <w:rsid w:val="2ACB5A11"/>
    <w:rsid w:val="2ADE7F6A"/>
    <w:rsid w:val="2AEB2687"/>
    <w:rsid w:val="2AF43C32"/>
    <w:rsid w:val="2AF53506"/>
    <w:rsid w:val="2B204A27"/>
    <w:rsid w:val="2B373B1E"/>
    <w:rsid w:val="2B397896"/>
    <w:rsid w:val="2B4A3852"/>
    <w:rsid w:val="2B4F2C16"/>
    <w:rsid w:val="2B4F6DA7"/>
    <w:rsid w:val="2B5C5070"/>
    <w:rsid w:val="2B5D17D7"/>
    <w:rsid w:val="2B6C5576"/>
    <w:rsid w:val="2B757952"/>
    <w:rsid w:val="2BA72A52"/>
    <w:rsid w:val="2BB807BB"/>
    <w:rsid w:val="2BBB02AC"/>
    <w:rsid w:val="2BC96E6C"/>
    <w:rsid w:val="2BCF3D57"/>
    <w:rsid w:val="2BD355F5"/>
    <w:rsid w:val="2BDA141D"/>
    <w:rsid w:val="2C0C0B07"/>
    <w:rsid w:val="2C106849"/>
    <w:rsid w:val="2C22032B"/>
    <w:rsid w:val="2C324A12"/>
    <w:rsid w:val="2C475FE3"/>
    <w:rsid w:val="2C792640"/>
    <w:rsid w:val="2C7F577D"/>
    <w:rsid w:val="2C98683F"/>
    <w:rsid w:val="2CB847EB"/>
    <w:rsid w:val="2CC47634"/>
    <w:rsid w:val="2CC6515A"/>
    <w:rsid w:val="2CDE06F5"/>
    <w:rsid w:val="2CFF122C"/>
    <w:rsid w:val="2D122EB9"/>
    <w:rsid w:val="2D1C7470"/>
    <w:rsid w:val="2D2B1461"/>
    <w:rsid w:val="2D2F2CFF"/>
    <w:rsid w:val="2D31727E"/>
    <w:rsid w:val="2D404F0C"/>
    <w:rsid w:val="2D4744ED"/>
    <w:rsid w:val="2D8868B3"/>
    <w:rsid w:val="2D99461C"/>
    <w:rsid w:val="2D9D235F"/>
    <w:rsid w:val="2DA21723"/>
    <w:rsid w:val="2DAF1C18"/>
    <w:rsid w:val="2DBB0A37"/>
    <w:rsid w:val="2DC07DFB"/>
    <w:rsid w:val="2DC53663"/>
    <w:rsid w:val="2DD37B2E"/>
    <w:rsid w:val="2DED7FEE"/>
    <w:rsid w:val="2DFB7085"/>
    <w:rsid w:val="2E251021"/>
    <w:rsid w:val="2E2F6D2F"/>
    <w:rsid w:val="2E344345"/>
    <w:rsid w:val="2E3D31FA"/>
    <w:rsid w:val="2E76670C"/>
    <w:rsid w:val="2E7D3F3E"/>
    <w:rsid w:val="2E8B21B7"/>
    <w:rsid w:val="2EB55486"/>
    <w:rsid w:val="2EBF6305"/>
    <w:rsid w:val="2EC57334"/>
    <w:rsid w:val="2EE45D6B"/>
    <w:rsid w:val="2EFA558F"/>
    <w:rsid w:val="2F000DF7"/>
    <w:rsid w:val="2F05640D"/>
    <w:rsid w:val="2F0E4B96"/>
    <w:rsid w:val="2F134330"/>
    <w:rsid w:val="2F1C0726"/>
    <w:rsid w:val="2F3C7955"/>
    <w:rsid w:val="2F432A92"/>
    <w:rsid w:val="2F4628F1"/>
    <w:rsid w:val="2F566C69"/>
    <w:rsid w:val="2F67605F"/>
    <w:rsid w:val="2F745341"/>
    <w:rsid w:val="2F754C15"/>
    <w:rsid w:val="2F776BDF"/>
    <w:rsid w:val="2F7B66D0"/>
    <w:rsid w:val="2F866E22"/>
    <w:rsid w:val="2F874C33"/>
    <w:rsid w:val="2F875074"/>
    <w:rsid w:val="2F8B61E7"/>
    <w:rsid w:val="2F966F86"/>
    <w:rsid w:val="2FA572A9"/>
    <w:rsid w:val="2FA84FEB"/>
    <w:rsid w:val="2FA86D99"/>
    <w:rsid w:val="2FAA2B11"/>
    <w:rsid w:val="2FAF1ED5"/>
    <w:rsid w:val="2FCA31B3"/>
    <w:rsid w:val="2FCD67FF"/>
    <w:rsid w:val="2FCF4325"/>
    <w:rsid w:val="2FD302BA"/>
    <w:rsid w:val="2FD951A4"/>
    <w:rsid w:val="3050190A"/>
    <w:rsid w:val="305B02AF"/>
    <w:rsid w:val="30847806"/>
    <w:rsid w:val="309A4933"/>
    <w:rsid w:val="309B06AC"/>
    <w:rsid w:val="309F1F4A"/>
    <w:rsid w:val="309F63EE"/>
    <w:rsid w:val="30A112E4"/>
    <w:rsid w:val="30C85944"/>
    <w:rsid w:val="30D238C6"/>
    <w:rsid w:val="30E426C3"/>
    <w:rsid w:val="30E67B79"/>
    <w:rsid w:val="30ED53AB"/>
    <w:rsid w:val="31322DBE"/>
    <w:rsid w:val="314D19A6"/>
    <w:rsid w:val="316136A3"/>
    <w:rsid w:val="3164321B"/>
    <w:rsid w:val="316B62D0"/>
    <w:rsid w:val="31774A03"/>
    <w:rsid w:val="31807FCD"/>
    <w:rsid w:val="3186310A"/>
    <w:rsid w:val="318850D4"/>
    <w:rsid w:val="319770C5"/>
    <w:rsid w:val="31BD2FCF"/>
    <w:rsid w:val="31BE28A4"/>
    <w:rsid w:val="31C0661C"/>
    <w:rsid w:val="31C205E6"/>
    <w:rsid w:val="31D648C9"/>
    <w:rsid w:val="31E87920"/>
    <w:rsid w:val="320504D2"/>
    <w:rsid w:val="32110C25"/>
    <w:rsid w:val="3216448E"/>
    <w:rsid w:val="322A1CE7"/>
    <w:rsid w:val="3255145A"/>
    <w:rsid w:val="326A47D9"/>
    <w:rsid w:val="326C0551"/>
    <w:rsid w:val="326C67A3"/>
    <w:rsid w:val="3276317E"/>
    <w:rsid w:val="328C0BF4"/>
    <w:rsid w:val="329632C9"/>
    <w:rsid w:val="32B06690"/>
    <w:rsid w:val="32B36180"/>
    <w:rsid w:val="32D33B45"/>
    <w:rsid w:val="32E4633A"/>
    <w:rsid w:val="32F1304B"/>
    <w:rsid w:val="33095DA0"/>
    <w:rsid w:val="33150BE9"/>
    <w:rsid w:val="332E2F02"/>
    <w:rsid w:val="33354DE7"/>
    <w:rsid w:val="33707BCD"/>
    <w:rsid w:val="33A930DF"/>
    <w:rsid w:val="33AB6E58"/>
    <w:rsid w:val="33B03F3F"/>
    <w:rsid w:val="33C543BD"/>
    <w:rsid w:val="33DA05E8"/>
    <w:rsid w:val="33E16D1D"/>
    <w:rsid w:val="3403594C"/>
    <w:rsid w:val="340A1DD0"/>
    <w:rsid w:val="340B78F6"/>
    <w:rsid w:val="342235BE"/>
    <w:rsid w:val="34256C0A"/>
    <w:rsid w:val="34272982"/>
    <w:rsid w:val="345B262C"/>
    <w:rsid w:val="34603BC7"/>
    <w:rsid w:val="348778C5"/>
    <w:rsid w:val="349618B6"/>
    <w:rsid w:val="34A176C7"/>
    <w:rsid w:val="34B32468"/>
    <w:rsid w:val="34BA1A48"/>
    <w:rsid w:val="34BB756E"/>
    <w:rsid w:val="350607E9"/>
    <w:rsid w:val="353D61D5"/>
    <w:rsid w:val="35645510"/>
    <w:rsid w:val="3586192A"/>
    <w:rsid w:val="358838F4"/>
    <w:rsid w:val="359D0A22"/>
    <w:rsid w:val="35AF0E81"/>
    <w:rsid w:val="35B2308C"/>
    <w:rsid w:val="35C81F43"/>
    <w:rsid w:val="35EA010B"/>
    <w:rsid w:val="35EA1EB9"/>
    <w:rsid w:val="35EE2F41"/>
    <w:rsid w:val="35FC7E3E"/>
    <w:rsid w:val="36036C22"/>
    <w:rsid w:val="36080591"/>
    <w:rsid w:val="36201D7F"/>
    <w:rsid w:val="362353CB"/>
    <w:rsid w:val="363475D8"/>
    <w:rsid w:val="364C4922"/>
    <w:rsid w:val="364D069A"/>
    <w:rsid w:val="365612FD"/>
    <w:rsid w:val="36716136"/>
    <w:rsid w:val="36730100"/>
    <w:rsid w:val="36AF3103"/>
    <w:rsid w:val="36C1706E"/>
    <w:rsid w:val="36C721FA"/>
    <w:rsid w:val="36E42DAC"/>
    <w:rsid w:val="36E763F9"/>
    <w:rsid w:val="3701395E"/>
    <w:rsid w:val="37184804"/>
    <w:rsid w:val="37296A11"/>
    <w:rsid w:val="37335AE2"/>
    <w:rsid w:val="373A0C1E"/>
    <w:rsid w:val="373C4996"/>
    <w:rsid w:val="374455F9"/>
    <w:rsid w:val="37643EED"/>
    <w:rsid w:val="376B0DD8"/>
    <w:rsid w:val="37734130"/>
    <w:rsid w:val="37841E99"/>
    <w:rsid w:val="3790083E"/>
    <w:rsid w:val="37AE6F16"/>
    <w:rsid w:val="37B30825"/>
    <w:rsid w:val="37C624B2"/>
    <w:rsid w:val="37EB1F18"/>
    <w:rsid w:val="37EB3CC7"/>
    <w:rsid w:val="37F52D97"/>
    <w:rsid w:val="37FD7F7E"/>
    <w:rsid w:val="38035799"/>
    <w:rsid w:val="380D00E1"/>
    <w:rsid w:val="381551E7"/>
    <w:rsid w:val="38404012"/>
    <w:rsid w:val="38431D54"/>
    <w:rsid w:val="38514471"/>
    <w:rsid w:val="387737AC"/>
    <w:rsid w:val="38871C41"/>
    <w:rsid w:val="38A547BD"/>
    <w:rsid w:val="38A87E0A"/>
    <w:rsid w:val="38B60778"/>
    <w:rsid w:val="38CA7D80"/>
    <w:rsid w:val="38DC67E5"/>
    <w:rsid w:val="38E928FC"/>
    <w:rsid w:val="38EA21D0"/>
    <w:rsid w:val="38F65019"/>
    <w:rsid w:val="38FF3ECD"/>
    <w:rsid w:val="39180AEB"/>
    <w:rsid w:val="393D49F6"/>
    <w:rsid w:val="393F42CA"/>
    <w:rsid w:val="394418E0"/>
    <w:rsid w:val="394E09B1"/>
    <w:rsid w:val="39681ABA"/>
    <w:rsid w:val="397523E2"/>
    <w:rsid w:val="39761CB6"/>
    <w:rsid w:val="397C551E"/>
    <w:rsid w:val="3982065B"/>
    <w:rsid w:val="39861EF9"/>
    <w:rsid w:val="39893797"/>
    <w:rsid w:val="39904B26"/>
    <w:rsid w:val="39C574DD"/>
    <w:rsid w:val="39C80763"/>
    <w:rsid w:val="39CD3FCC"/>
    <w:rsid w:val="39D51FF5"/>
    <w:rsid w:val="3A231E3E"/>
    <w:rsid w:val="3A241712"/>
    <w:rsid w:val="3A2B2AA0"/>
    <w:rsid w:val="3A543DA5"/>
    <w:rsid w:val="3A5B15D7"/>
    <w:rsid w:val="3A5C0EAC"/>
    <w:rsid w:val="3A6D4E67"/>
    <w:rsid w:val="3A7C32FC"/>
    <w:rsid w:val="3A7D77A0"/>
    <w:rsid w:val="3A8A77C7"/>
    <w:rsid w:val="3AA97077"/>
    <w:rsid w:val="3ABE1B66"/>
    <w:rsid w:val="3AD13648"/>
    <w:rsid w:val="3AF17846"/>
    <w:rsid w:val="3AF86E26"/>
    <w:rsid w:val="3AFB6916"/>
    <w:rsid w:val="3B0A4DAB"/>
    <w:rsid w:val="3B183024"/>
    <w:rsid w:val="3B190B4B"/>
    <w:rsid w:val="3B20637D"/>
    <w:rsid w:val="3B255741"/>
    <w:rsid w:val="3B2E0A9A"/>
    <w:rsid w:val="3B2F65C0"/>
    <w:rsid w:val="3B4262F3"/>
    <w:rsid w:val="3B4734EC"/>
    <w:rsid w:val="3B4C0F20"/>
    <w:rsid w:val="3B5F6EA5"/>
    <w:rsid w:val="3B602C1D"/>
    <w:rsid w:val="3B7B1805"/>
    <w:rsid w:val="3B8308D2"/>
    <w:rsid w:val="3BBA232E"/>
    <w:rsid w:val="3BF82E56"/>
    <w:rsid w:val="3C0417FB"/>
    <w:rsid w:val="3C110570"/>
    <w:rsid w:val="3C2105FF"/>
    <w:rsid w:val="3C241E9D"/>
    <w:rsid w:val="3C291261"/>
    <w:rsid w:val="3C3D2CFC"/>
    <w:rsid w:val="3C485B8B"/>
    <w:rsid w:val="3C4D6CFE"/>
    <w:rsid w:val="3C504A40"/>
    <w:rsid w:val="3C567B76"/>
    <w:rsid w:val="3C5C33E5"/>
    <w:rsid w:val="3C5C5193"/>
    <w:rsid w:val="3C5E715D"/>
    <w:rsid w:val="3C795D45"/>
    <w:rsid w:val="3C862FBA"/>
    <w:rsid w:val="3C8B5A78"/>
    <w:rsid w:val="3C964B49"/>
    <w:rsid w:val="3CB13731"/>
    <w:rsid w:val="3CC1149A"/>
    <w:rsid w:val="3CCB40C7"/>
    <w:rsid w:val="3CD4741F"/>
    <w:rsid w:val="3CDE204C"/>
    <w:rsid w:val="3D17730C"/>
    <w:rsid w:val="3D361E88"/>
    <w:rsid w:val="3D4520CB"/>
    <w:rsid w:val="3D510A70"/>
    <w:rsid w:val="3D6222EE"/>
    <w:rsid w:val="3D7F55DD"/>
    <w:rsid w:val="3D8726E3"/>
    <w:rsid w:val="3D8E5820"/>
    <w:rsid w:val="3D9F5C7F"/>
    <w:rsid w:val="3DA64AF7"/>
    <w:rsid w:val="3DB01C3A"/>
    <w:rsid w:val="3DBB413B"/>
    <w:rsid w:val="3DBF1E7D"/>
    <w:rsid w:val="3E216FD9"/>
    <w:rsid w:val="3E5A7DF8"/>
    <w:rsid w:val="3E5D51F2"/>
    <w:rsid w:val="3E5F114C"/>
    <w:rsid w:val="3E611186"/>
    <w:rsid w:val="3E740EBA"/>
    <w:rsid w:val="3EA846BF"/>
    <w:rsid w:val="3EC86B10"/>
    <w:rsid w:val="3ECB6600"/>
    <w:rsid w:val="3ED74FA5"/>
    <w:rsid w:val="3EEB27FE"/>
    <w:rsid w:val="3F033FEC"/>
    <w:rsid w:val="3F0C10F2"/>
    <w:rsid w:val="3F220916"/>
    <w:rsid w:val="3F402B4A"/>
    <w:rsid w:val="3F5F2988"/>
    <w:rsid w:val="3FCA68B7"/>
    <w:rsid w:val="3FCB2D5B"/>
    <w:rsid w:val="3FDC6315"/>
    <w:rsid w:val="3FE77469"/>
    <w:rsid w:val="3FEC4A80"/>
    <w:rsid w:val="3FEE25A6"/>
    <w:rsid w:val="3FFC3E52"/>
    <w:rsid w:val="40175FA1"/>
    <w:rsid w:val="403A3A3D"/>
    <w:rsid w:val="403C5A07"/>
    <w:rsid w:val="40445977"/>
    <w:rsid w:val="404E1296"/>
    <w:rsid w:val="40512B35"/>
    <w:rsid w:val="405C7FDC"/>
    <w:rsid w:val="406B0837"/>
    <w:rsid w:val="407D24E7"/>
    <w:rsid w:val="408353E4"/>
    <w:rsid w:val="40A23390"/>
    <w:rsid w:val="40A4535A"/>
    <w:rsid w:val="40B437EF"/>
    <w:rsid w:val="40B557B9"/>
    <w:rsid w:val="40BC4452"/>
    <w:rsid w:val="40C1415E"/>
    <w:rsid w:val="40CA3013"/>
    <w:rsid w:val="40D73786"/>
    <w:rsid w:val="40DB5220"/>
    <w:rsid w:val="40DE6ABE"/>
    <w:rsid w:val="40F407F7"/>
    <w:rsid w:val="40FC5196"/>
    <w:rsid w:val="40FD4AD7"/>
    <w:rsid w:val="41166258"/>
    <w:rsid w:val="41202C33"/>
    <w:rsid w:val="412B2DDE"/>
    <w:rsid w:val="412B74C3"/>
    <w:rsid w:val="414F176A"/>
    <w:rsid w:val="41540B2E"/>
    <w:rsid w:val="41736037"/>
    <w:rsid w:val="417967E7"/>
    <w:rsid w:val="418C2076"/>
    <w:rsid w:val="419E7FFC"/>
    <w:rsid w:val="41A25D3E"/>
    <w:rsid w:val="41B33AA7"/>
    <w:rsid w:val="41B4781F"/>
    <w:rsid w:val="41C04416"/>
    <w:rsid w:val="41EE4ADF"/>
    <w:rsid w:val="41FB181F"/>
    <w:rsid w:val="420724F0"/>
    <w:rsid w:val="421B164C"/>
    <w:rsid w:val="42204EB5"/>
    <w:rsid w:val="4221370C"/>
    <w:rsid w:val="42446DF5"/>
    <w:rsid w:val="425C5EED"/>
    <w:rsid w:val="425D3A13"/>
    <w:rsid w:val="425F778B"/>
    <w:rsid w:val="42660B19"/>
    <w:rsid w:val="426F77BC"/>
    <w:rsid w:val="427F7E2D"/>
    <w:rsid w:val="4283791D"/>
    <w:rsid w:val="42927B60"/>
    <w:rsid w:val="429733C9"/>
    <w:rsid w:val="42A33B1C"/>
    <w:rsid w:val="42DD6902"/>
    <w:rsid w:val="42ED4D97"/>
    <w:rsid w:val="42FE6FA4"/>
    <w:rsid w:val="430F7403"/>
    <w:rsid w:val="431542ED"/>
    <w:rsid w:val="432F1853"/>
    <w:rsid w:val="43374264"/>
    <w:rsid w:val="433E55F2"/>
    <w:rsid w:val="436112E1"/>
    <w:rsid w:val="436239D7"/>
    <w:rsid w:val="436C6603"/>
    <w:rsid w:val="438020AF"/>
    <w:rsid w:val="438356FB"/>
    <w:rsid w:val="439671DC"/>
    <w:rsid w:val="43AC2EA4"/>
    <w:rsid w:val="43CF0940"/>
    <w:rsid w:val="43DD305D"/>
    <w:rsid w:val="43DF0B09"/>
    <w:rsid w:val="43FF4895"/>
    <w:rsid w:val="44022AC4"/>
    <w:rsid w:val="44112D07"/>
    <w:rsid w:val="44185E43"/>
    <w:rsid w:val="44315157"/>
    <w:rsid w:val="44366C11"/>
    <w:rsid w:val="443D287E"/>
    <w:rsid w:val="444A6219"/>
    <w:rsid w:val="445C6678"/>
    <w:rsid w:val="4463234E"/>
    <w:rsid w:val="446472DA"/>
    <w:rsid w:val="448C6831"/>
    <w:rsid w:val="449C6A74"/>
    <w:rsid w:val="44A21BB1"/>
    <w:rsid w:val="44B6565C"/>
    <w:rsid w:val="44B77E98"/>
    <w:rsid w:val="44CC6C2E"/>
    <w:rsid w:val="44CF74E2"/>
    <w:rsid w:val="44DA57EF"/>
    <w:rsid w:val="44DD0E3B"/>
    <w:rsid w:val="44E64258"/>
    <w:rsid w:val="44F468B0"/>
    <w:rsid w:val="45252F0E"/>
    <w:rsid w:val="452627E2"/>
    <w:rsid w:val="45356EC9"/>
    <w:rsid w:val="45486BFC"/>
    <w:rsid w:val="455C6204"/>
    <w:rsid w:val="455D1D5C"/>
    <w:rsid w:val="455F7AA2"/>
    <w:rsid w:val="456740C6"/>
    <w:rsid w:val="457F1EF2"/>
    <w:rsid w:val="458319E2"/>
    <w:rsid w:val="458D460F"/>
    <w:rsid w:val="45B44292"/>
    <w:rsid w:val="45B93656"/>
    <w:rsid w:val="45BB73CE"/>
    <w:rsid w:val="45BC6CA2"/>
    <w:rsid w:val="45CF4C28"/>
    <w:rsid w:val="45E00BE3"/>
    <w:rsid w:val="46143D97"/>
    <w:rsid w:val="462E1DF2"/>
    <w:rsid w:val="464B69A4"/>
    <w:rsid w:val="46511AE0"/>
    <w:rsid w:val="46555136"/>
    <w:rsid w:val="46701BA1"/>
    <w:rsid w:val="46713F31"/>
    <w:rsid w:val="46761547"/>
    <w:rsid w:val="469D5D77"/>
    <w:rsid w:val="46BE611A"/>
    <w:rsid w:val="46E91D19"/>
    <w:rsid w:val="47060B1D"/>
    <w:rsid w:val="470D1EAB"/>
    <w:rsid w:val="4729195C"/>
    <w:rsid w:val="47354F5E"/>
    <w:rsid w:val="474D4056"/>
    <w:rsid w:val="478F0B12"/>
    <w:rsid w:val="479C322F"/>
    <w:rsid w:val="47A67C0A"/>
    <w:rsid w:val="47A67E4C"/>
    <w:rsid w:val="47C02A7A"/>
    <w:rsid w:val="47C50090"/>
    <w:rsid w:val="47CA1B4A"/>
    <w:rsid w:val="47D604EF"/>
    <w:rsid w:val="47EB2AF8"/>
    <w:rsid w:val="47FC4AB9"/>
    <w:rsid w:val="47FC782A"/>
    <w:rsid w:val="480037BE"/>
    <w:rsid w:val="481903DC"/>
    <w:rsid w:val="482A25E9"/>
    <w:rsid w:val="48455675"/>
    <w:rsid w:val="484F3DFE"/>
    <w:rsid w:val="485633DE"/>
    <w:rsid w:val="485E04E5"/>
    <w:rsid w:val="486024AF"/>
    <w:rsid w:val="487A1C66"/>
    <w:rsid w:val="48A95C04"/>
    <w:rsid w:val="48D16F09"/>
    <w:rsid w:val="48D3543B"/>
    <w:rsid w:val="48DD3AFF"/>
    <w:rsid w:val="48EB621C"/>
    <w:rsid w:val="490B241B"/>
    <w:rsid w:val="490C1CEF"/>
    <w:rsid w:val="49116026"/>
    <w:rsid w:val="491D5CAA"/>
    <w:rsid w:val="492139EC"/>
    <w:rsid w:val="492D05E3"/>
    <w:rsid w:val="49351245"/>
    <w:rsid w:val="493D00FA"/>
    <w:rsid w:val="493E26B7"/>
    <w:rsid w:val="495118AA"/>
    <w:rsid w:val="49550819"/>
    <w:rsid w:val="49557B3A"/>
    <w:rsid w:val="495D4AFD"/>
    <w:rsid w:val="49690EEF"/>
    <w:rsid w:val="497955D6"/>
    <w:rsid w:val="49861AA1"/>
    <w:rsid w:val="49997A26"/>
    <w:rsid w:val="499A379E"/>
    <w:rsid w:val="49A32653"/>
    <w:rsid w:val="49A81A17"/>
    <w:rsid w:val="49B74350"/>
    <w:rsid w:val="49C34AA3"/>
    <w:rsid w:val="49D942C7"/>
    <w:rsid w:val="49E67045"/>
    <w:rsid w:val="4A050C18"/>
    <w:rsid w:val="4A080708"/>
    <w:rsid w:val="4A0B1011"/>
    <w:rsid w:val="4A123335"/>
    <w:rsid w:val="4A1B48DF"/>
    <w:rsid w:val="4A1D7A4F"/>
    <w:rsid w:val="4A1E7F2C"/>
    <w:rsid w:val="4A2512BA"/>
    <w:rsid w:val="4A327B96"/>
    <w:rsid w:val="4A407EA2"/>
    <w:rsid w:val="4A5D6CA6"/>
    <w:rsid w:val="4A6E2C61"/>
    <w:rsid w:val="4A78588E"/>
    <w:rsid w:val="4A7D10F6"/>
    <w:rsid w:val="4A8C1339"/>
    <w:rsid w:val="4AA523FB"/>
    <w:rsid w:val="4AA90A6D"/>
    <w:rsid w:val="4AAA5C63"/>
    <w:rsid w:val="4AAC152E"/>
    <w:rsid w:val="4ABA40F8"/>
    <w:rsid w:val="4AC805F1"/>
    <w:rsid w:val="4AEC002A"/>
    <w:rsid w:val="4AEE78FE"/>
    <w:rsid w:val="4AFA44F5"/>
    <w:rsid w:val="4AFB486E"/>
    <w:rsid w:val="4B026900"/>
    <w:rsid w:val="4B1B446B"/>
    <w:rsid w:val="4B1D4687"/>
    <w:rsid w:val="4B4F58DA"/>
    <w:rsid w:val="4B5E0F27"/>
    <w:rsid w:val="4B897627"/>
    <w:rsid w:val="4B8C01F7"/>
    <w:rsid w:val="4B8E2E8F"/>
    <w:rsid w:val="4B906C07"/>
    <w:rsid w:val="4B9A1834"/>
    <w:rsid w:val="4BB23021"/>
    <w:rsid w:val="4BDE7972"/>
    <w:rsid w:val="4BEF7DD1"/>
    <w:rsid w:val="4BFE6267"/>
    <w:rsid w:val="4C0B44E0"/>
    <w:rsid w:val="4C0C2A3D"/>
    <w:rsid w:val="4C1C493F"/>
    <w:rsid w:val="4C2216EA"/>
    <w:rsid w:val="4C2555A1"/>
    <w:rsid w:val="4C307823"/>
    <w:rsid w:val="4C327CBE"/>
    <w:rsid w:val="4C333ECE"/>
    <w:rsid w:val="4C59349D"/>
    <w:rsid w:val="4C5B5467"/>
    <w:rsid w:val="4C765DFD"/>
    <w:rsid w:val="4C7702FD"/>
    <w:rsid w:val="4C7D362F"/>
    <w:rsid w:val="4C9444D5"/>
    <w:rsid w:val="4C982217"/>
    <w:rsid w:val="4C9E2268"/>
    <w:rsid w:val="4CAE1A3B"/>
    <w:rsid w:val="4CB42DC9"/>
    <w:rsid w:val="4CC052CA"/>
    <w:rsid w:val="4CC403EC"/>
    <w:rsid w:val="4CCC3C6F"/>
    <w:rsid w:val="4CD34FFD"/>
    <w:rsid w:val="4CD6689C"/>
    <w:rsid w:val="4CE30FB8"/>
    <w:rsid w:val="4CEC4311"/>
    <w:rsid w:val="4D155616"/>
    <w:rsid w:val="4D1F0243"/>
    <w:rsid w:val="4D2B308B"/>
    <w:rsid w:val="4D4203D5"/>
    <w:rsid w:val="4D461C73"/>
    <w:rsid w:val="4DA77D91"/>
    <w:rsid w:val="4DBD0F93"/>
    <w:rsid w:val="4DDD3C5A"/>
    <w:rsid w:val="4DF06083"/>
    <w:rsid w:val="4E067654"/>
    <w:rsid w:val="4E0F6A52"/>
    <w:rsid w:val="4E192EE4"/>
    <w:rsid w:val="4E200716"/>
    <w:rsid w:val="4E50267E"/>
    <w:rsid w:val="4E5A52AA"/>
    <w:rsid w:val="4E7740AE"/>
    <w:rsid w:val="4E775E5C"/>
    <w:rsid w:val="4E850579"/>
    <w:rsid w:val="4E8567CB"/>
    <w:rsid w:val="4E9D1D67"/>
    <w:rsid w:val="4EA12ED9"/>
    <w:rsid w:val="4EA529C9"/>
    <w:rsid w:val="4EAD187E"/>
    <w:rsid w:val="4EAD2E88"/>
    <w:rsid w:val="4EE47996"/>
    <w:rsid w:val="4EF70D4B"/>
    <w:rsid w:val="4EF77655"/>
    <w:rsid w:val="4EFD0A57"/>
    <w:rsid w:val="4EFD2805"/>
    <w:rsid w:val="4F196F13"/>
    <w:rsid w:val="4F2E0C11"/>
    <w:rsid w:val="4F7B372A"/>
    <w:rsid w:val="4F7E3941"/>
    <w:rsid w:val="4F895E47"/>
    <w:rsid w:val="4F9F566B"/>
    <w:rsid w:val="4FA03191"/>
    <w:rsid w:val="4FB07878"/>
    <w:rsid w:val="4FBA3BB3"/>
    <w:rsid w:val="4FD73056"/>
    <w:rsid w:val="4FE70DC0"/>
    <w:rsid w:val="4FEB6B02"/>
    <w:rsid w:val="4FEE214E"/>
    <w:rsid w:val="4FF546A4"/>
    <w:rsid w:val="4FF77255"/>
    <w:rsid w:val="500656EA"/>
    <w:rsid w:val="50153B7F"/>
    <w:rsid w:val="502838B2"/>
    <w:rsid w:val="50450E16"/>
    <w:rsid w:val="504F0E3F"/>
    <w:rsid w:val="5060304C"/>
    <w:rsid w:val="50722D7F"/>
    <w:rsid w:val="50AB003F"/>
    <w:rsid w:val="50BB0282"/>
    <w:rsid w:val="50C17863"/>
    <w:rsid w:val="50CD0815"/>
    <w:rsid w:val="50D94BAC"/>
    <w:rsid w:val="50E53551"/>
    <w:rsid w:val="50E84DEF"/>
    <w:rsid w:val="50ED2406"/>
    <w:rsid w:val="50FB2D75"/>
    <w:rsid w:val="51051E45"/>
    <w:rsid w:val="510E0CFA"/>
    <w:rsid w:val="51497F84"/>
    <w:rsid w:val="5153670D"/>
    <w:rsid w:val="516721B8"/>
    <w:rsid w:val="5167665C"/>
    <w:rsid w:val="517F7502"/>
    <w:rsid w:val="51844B18"/>
    <w:rsid w:val="51856AE2"/>
    <w:rsid w:val="518E1E3B"/>
    <w:rsid w:val="51A451BA"/>
    <w:rsid w:val="51A927D1"/>
    <w:rsid w:val="51AC406F"/>
    <w:rsid w:val="51AE428B"/>
    <w:rsid w:val="51BF0246"/>
    <w:rsid w:val="51D610EC"/>
    <w:rsid w:val="51DA5080"/>
    <w:rsid w:val="51E732F9"/>
    <w:rsid w:val="51ED6B61"/>
    <w:rsid w:val="51FF0643"/>
    <w:rsid w:val="5201085F"/>
    <w:rsid w:val="52075749"/>
    <w:rsid w:val="521265C8"/>
    <w:rsid w:val="52293911"/>
    <w:rsid w:val="522956BF"/>
    <w:rsid w:val="52383B54"/>
    <w:rsid w:val="523D1466"/>
    <w:rsid w:val="52416EAD"/>
    <w:rsid w:val="52614E59"/>
    <w:rsid w:val="526B3F2A"/>
    <w:rsid w:val="526D7CA2"/>
    <w:rsid w:val="529214B7"/>
    <w:rsid w:val="52946FDD"/>
    <w:rsid w:val="52AD4542"/>
    <w:rsid w:val="52BB6C5F"/>
    <w:rsid w:val="52CF44B9"/>
    <w:rsid w:val="52D47D21"/>
    <w:rsid w:val="52DB10B0"/>
    <w:rsid w:val="52F201A7"/>
    <w:rsid w:val="52F61A46"/>
    <w:rsid w:val="53000B16"/>
    <w:rsid w:val="530F6FAB"/>
    <w:rsid w:val="53155374"/>
    <w:rsid w:val="531E2D4A"/>
    <w:rsid w:val="53204D14"/>
    <w:rsid w:val="53213465"/>
    <w:rsid w:val="5322283B"/>
    <w:rsid w:val="5325057D"/>
    <w:rsid w:val="533662E6"/>
    <w:rsid w:val="53394028"/>
    <w:rsid w:val="534529CD"/>
    <w:rsid w:val="535B7AFB"/>
    <w:rsid w:val="53715570"/>
    <w:rsid w:val="537A2677"/>
    <w:rsid w:val="537B019D"/>
    <w:rsid w:val="53B05D81"/>
    <w:rsid w:val="53BF0089"/>
    <w:rsid w:val="53D53D51"/>
    <w:rsid w:val="53D855EF"/>
    <w:rsid w:val="53DC50DF"/>
    <w:rsid w:val="53E126F6"/>
    <w:rsid w:val="53E43F94"/>
    <w:rsid w:val="53FD0BB2"/>
    <w:rsid w:val="53FD5056"/>
    <w:rsid w:val="540006A2"/>
    <w:rsid w:val="54136627"/>
    <w:rsid w:val="541D1254"/>
    <w:rsid w:val="541D3002"/>
    <w:rsid w:val="54216F96"/>
    <w:rsid w:val="542E3461"/>
    <w:rsid w:val="542E370D"/>
    <w:rsid w:val="54382594"/>
    <w:rsid w:val="545A6004"/>
    <w:rsid w:val="54624EB9"/>
    <w:rsid w:val="547370C6"/>
    <w:rsid w:val="549F173E"/>
    <w:rsid w:val="54A84FC1"/>
    <w:rsid w:val="54B95421"/>
    <w:rsid w:val="54B971CF"/>
    <w:rsid w:val="54C3004D"/>
    <w:rsid w:val="54E65AEA"/>
    <w:rsid w:val="54EB1352"/>
    <w:rsid w:val="55077A2D"/>
    <w:rsid w:val="550A17D8"/>
    <w:rsid w:val="552A1E7A"/>
    <w:rsid w:val="55366A71"/>
    <w:rsid w:val="5537234F"/>
    <w:rsid w:val="55452810"/>
    <w:rsid w:val="554747DA"/>
    <w:rsid w:val="555313D1"/>
    <w:rsid w:val="555D2250"/>
    <w:rsid w:val="5563713A"/>
    <w:rsid w:val="55945546"/>
    <w:rsid w:val="55A51501"/>
    <w:rsid w:val="55B856D8"/>
    <w:rsid w:val="55BF6A67"/>
    <w:rsid w:val="55CC1183"/>
    <w:rsid w:val="55D41DE6"/>
    <w:rsid w:val="55D6790C"/>
    <w:rsid w:val="55E42029"/>
    <w:rsid w:val="55E45B06"/>
    <w:rsid w:val="55F304BE"/>
    <w:rsid w:val="55FA0B35"/>
    <w:rsid w:val="55FB7373"/>
    <w:rsid w:val="561F3061"/>
    <w:rsid w:val="564E7DEA"/>
    <w:rsid w:val="56503B63"/>
    <w:rsid w:val="565D514A"/>
    <w:rsid w:val="56755377"/>
    <w:rsid w:val="567D5FDA"/>
    <w:rsid w:val="568738A5"/>
    <w:rsid w:val="5689497F"/>
    <w:rsid w:val="569021B1"/>
    <w:rsid w:val="569A0CB6"/>
    <w:rsid w:val="56A143BE"/>
    <w:rsid w:val="56C449A6"/>
    <w:rsid w:val="56D5074D"/>
    <w:rsid w:val="56DB73D4"/>
    <w:rsid w:val="56EB0252"/>
    <w:rsid w:val="56EB5639"/>
    <w:rsid w:val="571406EC"/>
    <w:rsid w:val="57203535"/>
    <w:rsid w:val="572709FD"/>
    <w:rsid w:val="572A47DF"/>
    <w:rsid w:val="572E7D17"/>
    <w:rsid w:val="573214BA"/>
    <w:rsid w:val="57346FE0"/>
    <w:rsid w:val="57405985"/>
    <w:rsid w:val="574074B7"/>
    <w:rsid w:val="57430FD1"/>
    <w:rsid w:val="57633422"/>
    <w:rsid w:val="577D0987"/>
    <w:rsid w:val="57831D16"/>
    <w:rsid w:val="57882E88"/>
    <w:rsid w:val="578A30A4"/>
    <w:rsid w:val="57A2219C"/>
    <w:rsid w:val="57D460CD"/>
    <w:rsid w:val="580544D9"/>
    <w:rsid w:val="58155554"/>
    <w:rsid w:val="5818420C"/>
    <w:rsid w:val="581A4428"/>
    <w:rsid w:val="581A7F84"/>
    <w:rsid w:val="58201313"/>
    <w:rsid w:val="58214DBF"/>
    <w:rsid w:val="5822508B"/>
    <w:rsid w:val="585316E8"/>
    <w:rsid w:val="5853604F"/>
    <w:rsid w:val="585711D8"/>
    <w:rsid w:val="58576A7B"/>
    <w:rsid w:val="58584F50"/>
    <w:rsid w:val="58675193"/>
    <w:rsid w:val="58823D7B"/>
    <w:rsid w:val="589A10C5"/>
    <w:rsid w:val="58A261CC"/>
    <w:rsid w:val="58B008E9"/>
    <w:rsid w:val="58B8154B"/>
    <w:rsid w:val="58EF7663"/>
    <w:rsid w:val="59036C6A"/>
    <w:rsid w:val="590A624B"/>
    <w:rsid w:val="591744C4"/>
    <w:rsid w:val="59254E33"/>
    <w:rsid w:val="59303F5C"/>
    <w:rsid w:val="594A3E93"/>
    <w:rsid w:val="595E20F3"/>
    <w:rsid w:val="5966544B"/>
    <w:rsid w:val="59701E26"/>
    <w:rsid w:val="59872A4A"/>
    <w:rsid w:val="599E6993"/>
    <w:rsid w:val="59A321FB"/>
    <w:rsid w:val="59C12681"/>
    <w:rsid w:val="59DD570D"/>
    <w:rsid w:val="59E20F76"/>
    <w:rsid w:val="59F34F31"/>
    <w:rsid w:val="59F44805"/>
    <w:rsid w:val="5A04713E"/>
    <w:rsid w:val="5A0507C0"/>
    <w:rsid w:val="5A094754"/>
    <w:rsid w:val="5A144EA7"/>
    <w:rsid w:val="5A33532D"/>
    <w:rsid w:val="5A455061"/>
    <w:rsid w:val="5A513A05"/>
    <w:rsid w:val="5A557999"/>
    <w:rsid w:val="5A5654C0"/>
    <w:rsid w:val="5A6564F2"/>
    <w:rsid w:val="5A715E56"/>
    <w:rsid w:val="5A795559"/>
    <w:rsid w:val="5A8042EB"/>
    <w:rsid w:val="5A870261"/>
    <w:rsid w:val="5A9304C2"/>
    <w:rsid w:val="5A9474DA"/>
    <w:rsid w:val="5A9B2ED2"/>
    <w:rsid w:val="5A9F6E67"/>
    <w:rsid w:val="5AB04BD0"/>
    <w:rsid w:val="5AB346C0"/>
    <w:rsid w:val="5AC16DDD"/>
    <w:rsid w:val="5AC8016B"/>
    <w:rsid w:val="5B0171D9"/>
    <w:rsid w:val="5B0311A3"/>
    <w:rsid w:val="5B046CCA"/>
    <w:rsid w:val="5B2D6220"/>
    <w:rsid w:val="5B33135D"/>
    <w:rsid w:val="5B450D15"/>
    <w:rsid w:val="5B4D241F"/>
    <w:rsid w:val="5B4F30AB"/>
    <w:rsid w:val="5B5437AD"/>
    <w:rsid w:val="5B61411C"/>
    <w:rsid w:val="5B6B4F9B"/>
    <w:rsid w:val="5B791466"/>
    <w:rsid w:val="5B94004E"/>
    <w:rsid w:val="5B9B13DC"/>
    <w:rsid w:val="5B9B762E"/>
    <w:rsid w:val="5BBE156E"/>
    <w:rsid w:val="5BCD17B1"/>
    <w:rsid w:val="5BD3501A"/>
    <w:rsid w:val="5BEA2363"/>
    <w:rsid w:val="5C013209"/>
    <w:rsid w:val="5C4001D5"/>
    <w:rsid w:val="5C5679F9"/>
    <w:rsid w:val="5C657C3C"/>
    <w:rsid w:val="5C7D6D34"/>
    <w:rsid w:val="5C9D2F32"/>
    <w:rsid w:val="5CA16EC6"/>
    <w:rsid w:val="5CA83399"/>
    <w:rsid w:val="5CB52971"/>
    <w:rsid w:val="5CD34BA6"/>
    <w:rsid w:val="5CDC7EFE"/>
    <w:rsid w:val="5CDD6B6F"/>
    <w:rsid w:val="5CE24DE9"/>
    <w:rsid w:val="5CE943C9"/>
    <w:rsid w:val="5CF36FF6"/>
    <w:rsid w:val="5D192F00"/>
    <w:rsid w:val="5D303DA6"/>
    <w:rsid w:val="5D355860"/>
    <w:rsid w:val="5D3F223B"/>
    <w:rsid w:val="5D417D61"/>
    <w:rsid w:val="5D4715FE"/>
    <w:rsid w:val="5D63417B"/>
    <w:rsid w:val="5D6E48CE"/>
    <w:rsid w:val="5D8B0E43"/>
    <w:rsid w:val="5D9562FF"/>
    <w:rsid w:val="5D964551"/>
    <w:rsid w:val="5D972077"/>
    <w:rsid w:val="5D9A660C"/>
    <w:rsid w:val="5DA36C6E"/>
    <w:rsid w:val="5DA75703"/>
    <w:rsid w:val="5DAB5B22"/>
    <w:rsid w:val="5DB22A0D"/>
    <w:rsid w:val="5DB93D9B"/>
    <w:rsid w:val="5DCD7847"/>
    <w:rsid w:val="5DDB6408"/>
    <w:rsid w:val="5DE352BC"/>
    <w:rsid w:val="5DEA21A7"/>
    <w:rsid w:val="5DED613B"/>
    <w:rsid w:val="5E0771FD"/>
    <w:rsid w:val="5E162F9C"/>
    <w:rsid w:val="5E192A8C"/>
    <w:rsid w:val="5E1B6804"/>
    <w:rsid w:val="5E231B5D"/>
    <w:rsid w:val="5E361890"/>
    <w:rsid w:val="5E3E6996"/>
    <w:rsid w:val="5E714676"/>
    <w:rsid w:val="5E7423B8"/>
    <w:rsid w:val="5E744166"/>
    <w:rsid w:val="5E7F4FE5"/>
    <w:rsid w:val="5E9929A6"/>
    <w:rsid w:val="5E9F5687"/>
    <w:rsid w:val="5EAB402C"/>
    <w:rsid w:val="5EB66DB4"/>
    <w:rsid w:val="5EBD5B0D"/>
    <w:rsid w:val="5EC724E8"/>
    <w:rsid w:val="5ED05841"/>
    <w:rsid w:val="5EDB41E5"/>
    <w:rsid w:val="5EE70DDC"/>
    <w:rsid w:val="5EF17565"/>
    <w:rsid w:val="5EF57055"/>
    <w:rsid w:val="5F013C4C"/>
    <w:rsid w:val="5F2416E8"/>
    <w:rsid w:val="5F2B0CC9"/>
    <w:rsid w:val="5F337B7D"/>
    <w:rsid w:val="5F3F29C6"/>
    <w:rsid w:val="5F557AF4"/>
    <w:rsid w:val="5F773F0E"/>
    <w:rsid w:val="5FC133DB"/>
    <w:rsid w:val="5FC30F01"/>
    <w:rsid w:val="5FCA1E36"/>
    <w:rsid w:val="5FD439A1"/>
    <w:rsid w:val="5FD70E51"/>
    <w:rsid w:val="5FD8524E"/>
    <w:rsid w:val="5FE215E1"/>
    <w:rsid w:val="5FF91C7A"/>
    <w:rsid w:val="5FFC2665"/>
    <w:rsid w:val="60196D73"/>
    <w:rsid w:val="60200102"/>
    <w:rsid w:val="607E307A"/>
    <w:rsid w:val="6082700E"/>
    <w:rsid w:val="60883EF9"/>
    <w:rsid w:val="60912DAE"/>
    <w:rsid w:val="60976959"/>
    <w:rsid w:val="609805E0"/>
    <w:rsid w:val="60AD570E"/>
    <w:rsid w:val="60CC2038"/>
    <w:rsid w:val="60FD6695"/>
    <w:rsid w:val="60FF2C7D"/>
    <w:rsid w:val="610712C2"/>
    <w:rsid w:val="610B0DB2"/>
    <w:rsid w:val="610D086E"/>
    <w:rsid w:val="610F20E2"/>
    <w:rsid w:val="6118702B"/>
    <w:rsid w:val="612105D5"/>
    <w:rsid w:val="61243C22"/>
    <w:rsid w:val="615564D1"/>
    <w:rsid w:val="61734BA9"/>
    <w:rsid w:val="6175447D"/>
    <w:rsid w:val="6186668A"/>
    <w:rsid w:val="619F599E"/>
    <w:rsid w:val="61B2122D"/>
    <w:rsid w:val="61E830D4"/>
    <w:rsid w:val="61F45CEA"/>
    <w:rsid w:val="62157A0E"/>
    <w:rsid w:val="62233ED9"/>
    <w:rsid w:val="62373E29"/>
    <w:rsid w:val="623E6F65"/>
    <w:rsid w:val="6243457B"/>
    <w:rsid w:val="62571DD5"/>
    <w:rsid w:val="625B18C5"/>
    <w:rsid w:val="626F711E"/>
    <w:rsid w:val="629628FD"/>
    <w:rsid w:val="62A67FDA"/>
    <w:rsid w:val="62BB2364"/>
    <w:rsid w:val="630930CF"/>
    <w:rsid w:val="63141A74"/>
    <w:rsid w:val="63163A3E"/>
    <w:rsid w:val="631D6B7A"/>
    <w:rsid w:val="631F442B"/>
    <w:rsid w:val="632048BD"/>
    <w:rsid w:val="63260125"/>
    <w:rsid w:val="632779F9"/>
    <w:rsid w:val="63304B00"/>
    <w:rsid w:val="63316ACA"/>
    <w:rsid w:val="633F4EB4"/>
    <w:rsid w:val="63514A76"/>
    <w:rsid w:val="63732C3E"/>
    <w:rsid w:val="63911317"/>
    <w:rsid w:val="63B23767"/>
    <w:rsid w:val="63B75221"/>
    <w:rsid w:val="63C611A9"/>
    <w:rsid w:val="63CD05A1"/>
    <w:rsid w:val="63D27965"/>
    <w:rsid w:val="63D95197"/>
    <w:rsid w:val="63F7575D"/>
    <w:rsid w:val="63FC2C34"/>
    <w:rsid w:val="63FE3F4C"/>
    <w:rsid w:val="640970FF"/>
    <w:rsid w:val="640D4E41"/>
    <w:rsid w:val="64236413"/>
    <w:rsid w:val="6424218B"/>
    <w:rsid w:val="64464CDD"/>
    <w:rsid w:val="645111D2"/>
    <w:rsid w:val="64542A70"/>
    <w:rsid w:val="6454481E"/>
    <w:rsid w:val="64550596"/>
    <w:rsid w:val="645667E8"/>
    <w:rsid w:val="64572560"/>
    <w:rsid w:val="648D7D30"/>
    <w:rsid w:val="64A137DB"/>
    <w:rsid w:val="64AF7CA6"/>
    <w:rsid w:val="64EC4A56"/>
    <w:rsid w:val="64F1206D"/>
    <w:rsid w:val="64F2575D"/>
    <w:rsid w:val="64F63B27"/>
    <w:rsid w:val="64FE2B61"/>
    <w:rsid w:val="64FF0C2E"/>
    <w:rsid w:val="650224CC"/>
    <w:rsid w:val="65165F77"/>
    <w:rsid w:val="652F7039"/>
    <w:rsid w:val="65332685"/>
    <w:rsid w:val="65424FBE"/>
    <w:rsid w:val="654C7BEB"/>
    <w:rsid w:val="65562818"/>
    <w:rsid w:val="656974A9"/>
    <w:rsid w:val="657B5DDA"/>
    <w:rsid w:val="657C227E"/>
    <w:rsid w:val="657F58CB"/>
    <w:rsid w:val="6582360D"/>
    <w:rsid w:val="6589499B"/>
    <w:rsid w:val="65945451"/>
    <w:rsid w:val="659D4C79"/>
    <w:rsid w:val="65A2780B"/>
    <w:rsid w:val="65AC2438"/>
    <w:rsid w:val="65AE4402"/>
    <w:rsid w:val="65C37EAD"/>
    <w:rsid w:val="65C94D98"/>
    <w:rsid w:val="65D35C16"/>
    <w:rsid w:val="65DD0843"/>
    <w:rsid w:val="65DD6A95"/>
    <w:rsid w:val="65F00576"/>
    <w:rsid w:val="66187ACD"/>
    <w:rsid w:val="661F2C0A"/>
    <w:rsid w:val="662D17CA"/>
    <w:rsid w:val="662F5543"/>
    <w:rsid w:val="66303069"/>
    <w:rsid w:val="663A7A43"/>
    <w:rsid w:val="663E5786"/>
    <w:rsid w:val="66430FEE"/>
    <w:rsid w:val="66442670"/>
    <w:rsid w:val="665705F5"/>
    <w:rsid w:val="665925BF"/>
    <w:rsid w:val="66756CCD"/>
    <w:rsid w:val="667C4500"/>
    <w:rsid w:val="668313EA"/>
    <w:rsid w:val="66884C53"/>
    <w:rsid w:val="669D6BC7"/>
    <w:rsid w:val="66B772E6"/>
    <w:rsid w:val="66C17724"/>
    <w:rsid w:val="66C37A39"/>
    <w:rsid w:val="66C814F3"/>
    <w:rsid w:val="66CA0DC7"/>
    <w:rsid w:val="66E83943"/>
    <w:rsid w:val="66F67E0E"/>
    <w:rsid w:val="670D5158"/>
    <w:rsid w:val="671464E6"/>
    <w:rsid w:val="67273607"/>
    <w:rsid w:val="6736338C"/>
    <w:rsid w:val="674F4FFE"/>
    <w:rsid w:val="6764121C"/>
    <w:rsid w:val="6780592A"/>
    <w:rsid w:val="67874F0A"/>
    <w:rsid w:val="67BD6B7E"/>
    <w:rsid w:val="67E759A9"/>
    <w:rsid w:val="67F0485E"/>
    <w:rsid w:val="67F3434E"/>
    <w:rsid w:val="67F51E74"/>
    <w:rsid w:val="68012F0F"/>
    <w:rsid w:val="680622D3"/>
    <w:rsid w:val="681744E0"/>
    <w:rsid w:val="68210EBB"/>
    <w:rsid w:val="6828049B"/>
    <w:rsid w:val="683010FE"/>
    <w:rsid w:val="683D65D8"/>
    <w:rsid w:val="684E77D6"/>
    <w:rsid w:val="6850354E"/>
    <w:rsid w:val="685968A7"/>
    <w:rsid w:val="685F63E3"/>
    <w:rsid w:val="687234C5"/>
    <w:rsid w:val="687E00BB"/>
    <w:rsid w:val="68B60BB5"/>
    <w:rsid w:val="68CF0917"/>
    <w:rsid w:val="68FE2680"/>
    <w:rsid w:val="69004134"/>
    <w:rsid w:val="69126A56"/>
    <w:rsid w:val="69197DE4"/>
    <w:rsid w:val="69270753"/>
    <w:rsid w:val="692840D6"/>
    <w:rsid w:val="69366BE8"/>
    <w:rsid w:val="6942733B"/>
    <w:rsid w:val="69456E2B"/>
    <w:rsid w:val="695232F6"/>
    <w:rsid w:val="695A0B28"/>
    <w:rsid w:val="695E0233"/>
    <w:rsid w:val="69807E63"/>
    <w:rsid w:val="69855479"/>
    <w:rsid w:val="698A0CE2"/>
    <w:rsid w:val="69A55B1C"/>
    <w:rsid w:val="69AB1384"/>
    <w:rsid w:val="69C064B2"/>
    <w:rsid w:val="69D501AF"/>
    <w:rsid w:val="69DA7573"/>
    <w:rsid w:val="69EC72A7"/>
    <w:rsid w:val="6A222CC8"/>
    <w:rsid w:val="6A2922A9"/>
    <w:rsid w:val="6A301889"/>
    <w:rsid w:val="6A4F377E"/>
    <w:rsid w:val="6A617C95"/>
    <w:rsid w:val="6A6908F7"/>
    <w:rsid w:val="6A6D03E7"/>
    <w:rsid w:val="6AA95198"/>
    <w:rsid w:val="6AB778B5"/>
    <w:rsid w:val="6ABE50E7"/>
    <w:rsid w:val="6AD42215"/>
    <w:rsid w:val="6ADB7A47"/>
    <w:rsid w:val="6AF1726A"/>
    <w:rsid w:val="6AF428B7"/>
    <w:rsid w:val="6B2C2051"/>
    <w:rsid w:val="6B2F1B41"/>
    <w:rsid w:val="6B314CDA"/>
    <w:rsid w:val="6B4D0219"/>
    <w:rsid w:val="6B560E7C"/>
    <w:rsid w:val="6B721A2E"/>
    <w:rsid w:val="6B7E4876"/>
    <w:rsid w:val="6B851761"/>
    <w:rsid w:val="6BA53BB1"/>
    <w:rsid w:val="6BB362CE"/>
    <w:rsid w:val="6BCC3834"/>
    <w:rsid w:val="6BDA7CFF"/>
    <w:rsid w:val="6BE40B7D"/>
    <w:rsid w:val="6C046B2A"/>
    <w:rsid w:val="6C0E1756"/>
    <w:rsid w:val="6C117715"/>
    <w:rsid w:val="6C1A00FB"/>
    <w:rsid w:val="6C1B3E73"/>
    <w:rsid w:val="6C1C0317"/>
    <w:rsid w:val="6C272818"/>
    <w:rsid w:val="6C315445"/>
    <w:rsid w:val="6C376EFF"/>
    <w:rsid w:val="6C427652"/>
    <w:rsid w:val="6C4E4249"/>
    <w:rsid w:val="6C57134F"/>
    <w:rsid w:val="6C702411"/>
    <w:rsid w:val="6C7041BF"/>
    <w:rsid w:val="6C755C79"/>
    <w:rsid w:val="6C787517"/>
    <w:rsid w:val="6C7C2B64"/>
    <w:rsid w:val="6C891725"/>
    <w:rsid w:val="6C9500C9"/>
    <w:rsid w:val="6CA125CA"/>
    <w:rsid w:val="6CA83FFB"/>
    <w:rsid w:val="6CEC3C7D"/>
    <w:rsid w:val="6CF3094C"/>
    <w:rsid w:val="6CFC1EF7"/>
    <w:rsid w:val="6CFF5543"/>
    <w:rsid w:val="6D0503EF"/>
    <w:rsid w:val="6D14377B"/>
    <w:rsid w:val="6D3A1EC4"/>
    <w:rsid w:val="6D3E250F"/>
    <w:rsid w:val="6D450F23"/>
    <w:rsid w:val="6D527D69"/>
    <w:rsid w:val="6D54763D"/>
    <w:rsid w:val="6D6A50B2"/>
    <w:rsid w:val="6D716441"/>
    <w:rsid w:val="6D72197F"/>
    <w:rsid w:val="6D7B2E1B"/>
    <w:rsid w:val="6D8141AA"/>
    <w:rsid w:val="6D8A12B0"/>
    <w:rsid w:val="6D9914F3"/>
    <w:rsid w:val="6DA305C4"/>
    <w:rsid w:val="6DB02CF5"/>
    <w:rsid w:val="6DBC51E2"/>
    <w:rsid w:val="6DC20A4A"/>
    <w:rsid w:val="6DC347C2"/>
    <w:rsid w:val="6DD16EDF"/>
    <w:rsid w:val="6DD662A4"/>
    <w:rsid w:val="6DF2235C"/>
    <w:rsid w:val="6DF30550"/>
    <w:rsid w:val="6E070B53"/>
    <w:rsid w:val="6E0C43BB"/>
    <w:rsid w:val="6E2A65EF"/>
    <w:rsid w:val="6E2F3C06"/>
    <w:rsid w:val="6E303244"/>
    <w:rsid w:val="6E3B25AB"/>
    <w:rsid w:val="6E3F46CC"/>
    <w:rsid w:val="6E566D5B"/>
    <w:rsid w:val="6E5F273D"/>
    <w:rsid w:val="6E6B2E90"/>
    <w:rsid w:val="6EDF387E"/>
    <w:rsid w:val="6EE82732"/>
    <w:rsid w:val="6EF56BFD"/>
    <w:rsid w:val="6F282B2F"/>
    <w:rsid w:val="6F2B6AC3"/>
    <w:rsid w:val="6F614293"/>
    <w:rsid w:val="6F984159"/>
    <w:rsid w:val="6FA50623"/>
    <w:rsid w:val="6FCD36D6"/>
    <w:rsid w:val="6FD20CED"/>
    <w:rsid w:val="6FD40F09"/>
    <w:rsid w:val="6FDD600F"/>
    <w:rsid w:val="6FDE3B35"/>
    <w:rsid w:val="6FEF5D43"/>
    <w:rsid w:val="6FF921BA"/>
    <w:rsid w:val="700417EE"/>
    <w:rsid w:val="701B2694"/>
    <w:rsid w:val="702459EC"/>
    <w:rsid w:val="70567B70"/>
    <w:rsid w:val="70626515"/>
    <w:rsid w:val="70657DB3"/>
    <w:rsid w:val="70716758"/>
    <w:rsid w:val="707F0E75"/>
    <w:rsid w:val="70BD374B"/>
    <w:rsid w:val="70C525FF"/>
    <w:rsid w:val="70C66AA3"/>
    <w:rsid w:val="70CD6084"/>
    <w:rsid w:val="70E37655"/>
    <w:rsid w:val="70FD7FEB"/>
    <w:rsid w:val="7101188A"/>
    <w:rsid w:val="7104581E"/>
    <w:rsid w:val="71125845"/>
    <w:rsid w:val="71287D44"/>
    <w:rsid w:val="712E63F7"/>
    <w:rsid w:val="71494DE5"/>
    <w:rsid w:val="714A1482"/>
    <w:rsid w:val="714B7705"/>
    <w:rsid w:val="71593474"/>
    <w:rsid w:val="71614A1E"/>
    <w:rsid w:val="716F2C97"/>
    <w:rsid w:val="71D823D0"/>
    <w:rsid w:val="71EB6CAD"/>
    <w:rsid w:val="71F96A05"/>
    <w:rsid w:val="720158B9"/>
    <w:rsid w:val="72084DAB"/>
    <w:rsid w:val="7231619E"/>
    <w:rsid w:val="723176DF"/>
    <w:rsid w:val="723914F7"/>
    <w:rsid w:val="724C2FD8"/>
    <w:rsid w:val="72691DDC"/>
    <w:rsid w:val="72936E59"/>
    <w:rsid w:val="72A11576"/>
    <w:rsid w:val="72A7485F"/>
    <w:rsid w:val="72B312A9"/>
    <w:rsid w:val="72B70EF0"/>
    <w:rsid w:val="72D03C09"/>
    <w:rsid w:val="72D3337E"/>
    <w:rsid w:val="72E04F19"/>
    <w:rsid w:val="72FC1A3D"/>
    <w:rsid w:val="731F693F"/>
    <w:rsid w:val="73247AB1"/>
    <w:rsid w:val="73504555"/>
    <w:rsid w:val="73644352"/>
    <w:rsid w:val="736D1458"/>
    <w:rsid w:val="7372081D"/>
    <w:rsid w:val="73883037"/>
    <w:rsid w:val="738847C1"/>
    <w:rsid w:val="73932EDC"/>
    <w:rsid w:val="73943218"/>
    <w:rsid w:val="739906A5"/>
    <w:rsid w:val="739B4217"/>
    <w:rsid w:val="73A806E2"/>
    <w:rsid w:val="73B70925"/>
    <w:rsid w:val="73BA63A2"/>
    <w:rsid w:val="73BC1B73"/>
    <w:rsid w:val="73C60B68"/>
    <w:rsid w:val="73D43285"/>
    <w:rsid w:val="73EF4563"/>
    <w:rsid w:val="740A4EF9"/>
    <w:rsid w:val="741F07D7"/>
    <w:rsid w:val="74477EFB"/>
    <w:rsid w:val="744F5002"/>
    <w:rsid w:val="74546174"/>
    <w:rsid w:val="74597C2E"/>
    <w:rsid w:val="74654825"/>
    <w:rsid w:val="746C1710"/>
    <w:rsid w:val="746D7236"/>
    <w:rsid w:val="74786307"/>
    <w:rsid w:val="74801A48"/>
    <w:rsid w:val="74982505"/>
    <w:rsid w:val="74A25132"/>
    <w:rsid w:val="74A52E74"/>
    <w:rsid w:val="74B15375"/>
    <w:rsid w:val="74C74B98"/>
    <w:rsid w:val="74EB6AD9"/>
    <w:rsid w:val="75022074"/>
    <w:rsid w:val="75071439"/>
    <w:rsid w:val="75157FF9"/>
    <w:rsid w:val="7516167C"/>
    <w:rsid w:val="751853F4"/>
    <w:rsid w:val="751C3136"/>
    <w:rsid w:val="753F6E24"/>
    <w:rsid w:val="7546367B"/>
    <w:rsid w:val="754C708B"/>
    <w:rsid w:val="756C0B14"/>
    <w:rsid w:val="757C1E26"/>
    <w:rsid w:val="75812F99"/>
    <w:rsid w:val="75882579"/>
    <w:rsid w:val="759E3B4B"/>
    <w:rsid w:val="75B55AEB"/>
    <w:rsid w:val="75E672A0"/>
    <w:rsid w:val="75F06371"/>
    <w:rsid w:val="762F6E99"/>
    <w:rsid w:val="764010A6"/>
    <w:rsid w:val="764C612F"/>
    <w:rsid w:val="764D37C3"/>
    <w:rsid w:val="76533482"/>
    <w:rsid w:val="766052A4"/>
    <w:rsid w:val="76654669"/>
    <w:rsid w:val="76780840"/>
    <w:rsid w:val="767B0330"/>
    <w:rsid w:val="76A827A7"/>
    <w:rsid w:val="76CC293A"/>
    <w:rsid w:val="76D4359C"/>
    <w:rsid w:val="76E45ED5"/>
    <w:rsid w:val="76FB4FCD"/>
    <w:rsid w:val="76FD2AF3"/>
    <w:rsid w:val="77000835"/>
    <w:rsid w:val="77091498"/>
    <w:rsid w:val="7709593C"/>
    <w:rsid w:val="77112A42"/>
    <w:rsid w:val="77163BB5"/>
    <w:rsid w:val="771F1A59"/>
    <w:rsid w:val="7724443B"/>
    <w:rsid w:val="77334767"/>
    <w:rsid w:val="773C7ABF"/>
    <w:rsid w:val="77420E4E"/>
    <w:rsid w:val="775A1CF3"/>
    <w:rsid w:val="776668EA"/>
    <w:rsid w:val="77672662"/>
    <w:rsid w:val="776963DA"/>
    <w:rsid w:val="77752FD1"/>
    <w:rsid w:val="7791148D"/>
    <w:rsid w:val="7793320B"/>
    <w:rsid w:val="779969FD"/>
    <w:rsid w:val="779C230C"/>
    <w:rsid w:val="77B04009"/>
    <w:rsid w:val="77B43AFA"/>
    <w:rsid w:val="77B91110"/>
    <w:rsid w:val="77C17FC5"/>
    <w:rsid w:val="77C33D3D"/>
    <w:rsid w:val="77CB0E43"/>
    <w:rsid w:val="77F42148"/>
    <w:rsid w:val="77F959B0"/>
    <w:rsid w:val="783E7867"/>
    <w:rsid w:val="785030F6"/>
    <w:rsid w:val="78680440"/>
    <w:rsid w:val="78734A39"/>
    <w:rsid w:val="78764DC8"/>
    <w:rsid w:val="788F3C1F"/>
    <w:rsid w:val="7899684C"/>
    <w:rsid w:val="789D0DBD"/>
    <w:rsid w:val="78A51694"/>
    <w:rsid w:val="78CA10FB"/>
    <w:rsid w:val="78D41F79"/>
    <w:rsid w:val="78D930EC"/>
    <w:rsid w:val="78DD2BDC"/>
    <w:rsid w:val="78E73A5B"/>
    <w:rsid w:val="78F30652"/>
    <w:rsid w:val="78F9378E"/>
    <w:rsid w:val="79110842"/>
    <w:rsid w:val="79191277"/>
    <w:rsid w:val="79246A5D"/>
    <w:rsid w:val="792E168A"/>
    <w:rsid w:val="79305402"/>
    <w:rsid w:val="795D2169"/>
    <w:rsid w:val="796B643A"/>
    <w:rsid w:val="797F0137"/>
    <w:rsid w:val="79B24069"/>
    <w:rsid w:val="79DD6C0C"/>
    <w:rsid w:val="79E61F64"/>
    <w:rsid w:val="7A0A5C53"/>
    <w:rsid w:val="7A291E51"/>
    <w:rsid w:val="7A2A00A3"/>
    <w:rsid w:val="7A2B7977"/>
    <w:rsid w:val="7A3B22B0"/>
    <w:rsid w:val="7A435F89"/>
    <w:rsid w:val="7A4B1DC7"/>
    <w:rsid w:val="7A552C46"/>
    <w:rsid w:val="7A590988"/>
    <w:rsid w:val="7A682979"/>
    <w:rsid w:val="7A8C48BA"/>
    <w:rsid w:val="7A965738"/>
    <w:rsid w:val="7AC83418"/>
    <w:rsid w:val="7AC9394F"/>
    <w:rsid w:val="7AD7365B"/>
    <w:rsid w:val="7AE55D78"/>
    <w:rsid w:val="7AF83CFD"/>
    <w:rsid w:val="7AFD7566"/>
    <w:rsid w:val="7B095F0A"/>
    <w:rsid w:val="7B1D7C08"/>
    <w:rsid w:val="7B1E510C"/>
    <w:rsid w:val="7B5B24DE"/>
    <w:rsid w:val="7B5F3D7C"/>
    <w:rsid w:val="7B7517F2"/>
    <w:rsid w:val="7B7B048A"/>
    <w:rsid w:val="7BBF481B"/>
    <w:rsid w:val="7BE2675B"/>
    <w:rsid w:val="7BE44282"/>
    <w:rsid w:val="7BF85F7F"/>
    <w:rsid w:val="7BFC5A6F"/>
    <w:rsid w:val="7C0466D2"/>
    <w:rsid w:val="7C1A5EF5"/>
    <w:rsid w:val="7C246D74"/>
    <w:rsid w:val="7C3074C7"/>
    <w:rsid w:val="7C3E7D45"/>
    <w:rsid w:val="7C460A98"/>
    <w:rsid w:val="7C484810"/>
    <w:rsid w:val="7C594C70"/>
    <w:rsid w:val="7C694787"/>
    <w:rsid w:val="7C727ADF"/>
    <w:rsid w:val="7C920181"/>
    <w:rsid w:val="7C977546"/>
    <w:rsid w:val="7C9932BE"/>
    <w:rsid w:val="7CA554B7"/>
    <w:rsid w:val="7CD04806"/>
    <w:rsid w:val="7CD442F6"/>
    <w:rsid w:val="7CDE33C7"/>
    <w:rsid w:val="7CE309DD"/>
    <w:rsid w:val="7CE7227B"/>
    <w:rsid w:val="7D052701"/>
    <w:rsid w:val="7D142945"/>
    <w:rsid w:val="7D254B52"/>
    <w:rsid w:val="7D2A2168"/>
    <w:rsid w:val="7D3905FD"/>
    <w:rsid w:val="7D553689"/>
    <w:rsid w:val="7D562F5D"/>
    <w:rsid w:val="7D6E474B"/>
    <w:rsid w:val="7D821FA4"/>
    <w:rsid w:val="7D985324"/>
    <w:rsid w:val="7D9A72EE"/>
    <w:rsid w:val="7DB41730"/>
    <w:rsid w:val="7DBF0B02"/>
    <w:rsid w:val="7DC9372F"/>
    <w:rsid w:val="7DD64CD6"/>
    <w:rsid w:val="7DD80ECF"/>
    <w:rsid w:val="7DED1B13"/>
    <w:rsid w:val="7DFE756E"/>
    <w:rsid w:val="7E040C0B"/>
    <w:rsid w:val="7E215319"/>
    <w:rsid w:val="7E461224"/>
    <w:rsid w:val="7E505BFE"/>
    <w:rsid w:val="7E53749D"/>
    <w:rsid w:val="7E5C45A3"/>
    <w:rsid w:val="7E5F4093"/>
    <w:rsid w:val="7E6B6EDC"/>
    <w:rsid w:val="7E725B75"/>
    <w:rsid w:val="7E7318ED"/>
    <w:rsid w:val="7E760E0F"/>
    <w:rsid w:val="7E7713DD"/>
    <w:rsid w:val="7E851D4C"/>
    <w:rsid w:val="7EA85A3A"/>
    <w:rsid w:val="7EAF501B"/>
    <w:rsid w:val="7EB4618D"/>
    <w:rsid w:val="7EB937A4"/>
    <w:rsid w:val="7EBF4B32"/>
    <w:rsid w:val="7EC65EC0"/>
    <w:rsid w:val="7ED54355"/>
    <w:rsid w:val="7F0D1D41"/>
    <w:rsid w:val="7F1B620C"/>
    <w:rsid w:val="7F207CC7"/>
    <w:rsid w:val="7F315A30"/>
    <w:rsid w:val="7F4D0390"/>
    <w:rsid w:val="7F596D35"/>
    <w:rsid w:val="7F6776A3"/>
    <w:rsid w:val="7F731F22"/>
    <w:rsid w:val="7F765B38"/>
    <w:rsid w:val="7F7B6CAB"/>
    <w:rsid w:val="7F82628B"/>
    <w:rsid w:val="7F8709A9"/>
    <w:rsid w:val="7F871AF4"/>
    <w:rsid w:val="7F9D4E73"/>
    <w:rsid w:val="7FA36202"/>
    <w:rsid w:val="7FB87EFF"/>
    <w:rsid w:val="7FBF128D"/>
    <w:rsid w:val="7FC76394"/>
    <w:rsid w:val="7FC83E64"/>
    <w:rsid w:val="7FD34D39"/>
    <w:rsid w:val="7FE231CE"/>
    <w:rsid w:val="7FF151BF"/>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4"/>
    <w:next w:val="1"/>
    <w:qFormat/>
    <w:uiPriority w:val="0"/>
    <w:pPr>
      <w:keepNext/>
      <w:keepLines/>
      <w:spacing w:before="260" w:after="260" w:line="416" w:lineRule="auto"/>
      <w:outlineLvl w:val="1"/>
    </w:pPr>
    <w:rPr>
      <w:rFonts w:ascii="Arial" w:hAnsi="Arial" w:eastAsia="黑体" w:cs="Times New Roman"/>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qFormat/>
    <w:uiPriority w:val="0"/>
    <w:pPr>
      <w:keepNext/>
      <w:numPr>
        <w:ilvl w:val="0"/>
        <w:numId w:val="1"/>
      </w:numPr>
      <w:outlineLvl w:val="3"/>
    </w:pPr>
    <w:rPr>
      <w:b/>
      <w:color w:val="000000"/>
      <w:sz w:val="28"/>
      <w:szCs w:val="24"/>
      <w:u w:val="single"/>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rPr>
      <w:rFonts w:ascii="Calibri" w:hAnsi="Calibri" w:eastAsia="宋体" w:cs="Times New Roman"/>
    </w:rPr>
  </w:style>
  <w:style w:type="paragraph" w:styleId="7">
    <w:name w:val="index 5"/>
    <w:basedOn w:val="8"/>
    <w:next w:val="8"/>
    <w:qFormat/>
    <w:uiPriority w:val="0"/>
    <w:pPr>
      <w:ind w:left="800" w:leftChars="800"/>
    </w:pPr>
    <w:rPr>
      <w:szCs w:val="20"/>
      <w:lang w:bidi="he-IL"/>
    </w:rPr>
  </w:style>
  <w:style w:type="paragraph" w:customStyle="1" w:styleId="8">
    <w:name w:val="Normal"/>
    <w:qFormat/>
    <w:uiPriority w:val="0"/>
    <w:rPr>
      <w:rFonts w:ascii="Times New Roman" w:hAnsi="Times New Roman" w:eastAsia="Times New Roman" w:cs="Times New Roman"/>
      <w:sz w:val="24"/>
      <w:szCs w:val="24"/>
      <w:lang w:bidi="ar-SA"/>
    </w:rPr>
  </w:style>
  <w:style w:type="paragraph" w:styleId="9">
    <w:name w:val="annotation text"/>
    <w:basedOn w:val="1"/>
    <w:unhideWhenUsed/>
    <w:qFormat/>
    <w:uiPriority w:val="99"/>
    <w:pPr>
      <w:jc w:val="left"/>
    </w:pPr>
  </w:style>
  <w:style w:type="paragraph" w:styleId="10">
    <w:name w:val="Body Text"/>
    <w:basedOn w:val="1"/>
    <w:next w:val="1"/>
    <w:qFormat/>
    <w:uiPriority w:val="0"/>
    <w:pPr>
      <w:spacing w:after="120"/>
    </w:pPr>
    <w:rPr>
      <w:rFonts w:ascii="Calibri" w:hAnsi="Calibri" w:eastAsia="宋体" w:cs="Times New Roman"/>
    </w:rPr>
  </w:style>
  <w:style w:type="paragraph" w:styleId="11">
    <w:name w:val="Body Text Indent"/>
    <w:basedOn w:val="1"/>
    <w:next w:val="5"/>
    <w:qFormat/>
    <w:uiPriority w:val="0"/>
    <w:pPr>
      <w:ind w:firstLine="630"/>
    </w:pPr>
    <w:rPr>
      <w:rFonts w:ascii="Calibri" w:hAnsi="Calibri" w:eastAsia="宋体" w:cs="Times New Roman"/>
      <w:sz w:val="32"/>
      <w:szCs w:val="20"/>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eastAsia="宋体" w:cs="Times New Roman"/>
      <w:szCs w:val="20"/>
    </w:rPr>
  </w:style>
  <w:style w:type="paragraph" w:styleId="14">
    <w:name w:val="Body Text Indent 2"/>
    <w:basedOn w:val="1"/>
    <w:qFormat/>
    <w:uiPriority w:val="0"/>
    <w:pPr>
      <w:spacing w:after="120" w:line="480" w:lineRule="auto"/>
      <w:ind w:left="420" w:leftChars="200"/>
    </w:pPr>
    <w:rPr>
      <w:rFonts w:ascii="Calibri" w:hAnsi="Calibri" w:eastAsia="宋体" w:cs="Times New Roman"/>
    </w:rPr>
  </w:style>
  <w:style w:type="paragraph" w:styleId="15">
    <w:name w:val="footer"/>
    <w:basedOn w:val="1"/>
    <w:qFormat/>
    <w:uiPriority w:val="0"/>
    <w:pPr>
      <w:tabs>
        <w:tab w:val="center" w:pos="4153"/>
        <w:tab w:val="right" w:pos="8306"/>
      </w:tabs>
      <w:snapToGrid w:val="0"/>
      <w:jc w:val="left"/>
    </w:pPr>
    <w:rPr>
      <w:rFonts w:ascii="Calibri" w:hAnsi="Calibri" w:eastAsia="宋体" w:cs="Times New Roman"/>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pPr>
      <w:spacing w:line="480" w:lineRule="auto"/>
    </w:pPr>
    <w:rPr>
      <w:rFonts w:ascii="Times New Roman" w:hAnsi="Times New Roman" w:eastAsia="宋体" w:cs="Times New Roman"/>
      <w:sz w:val="30"/>
    </w:rPr>
  </w:style>
  <w:style w:type="paragraph" w:styleId="18">
    <w:name w:val="footnote text"/>
    <w:basedOn w:val="1"/>
    <w:next w:val="7"/>
    <w:qFormat/>
    <w:uiPriority w:val="0"/>
    <w:pPr>
      <w:snapToGrid w:val="0"/>
      <w:jc w:val="left"/>
    </w:pPr>
    <w:rPr>
      <w:rFonts w:eastAsia="楷体_GB2312"/>
      <w:sz w:val="18"/>
      <w:szCs w:val="18"/>
    </w:rPr>
  </w:style>
  <w:style w:type="paragraph" w:styleId="19">
    <w:name w:val="List 5"/>
    <w:basedOn w:val="1"/>
    <w:qFormat/>
    <w:uiPriority w:val="0"/>
    <w:pPr>
      <w:ind w:left="2100" w:hanging="420"/>
    </w:pPr>
    <w:rPr>
      <w:rFonts w:ascii="Calibri" w:hAnsi="Calibri" w:eastAsia="楷体_GB2312" w:cs="Times New Roman"/>
      <w:sz w:val="32"/>
      <w:szCs w:val="20"/>
    </w:rPr>
  </w:style>
  <w:style w:type="paragraph" w:styleId="20">
    <w:name w:val="toc 2"/>
    <w:basedOn w:val="1"/>
    <w:next w:val="1"/>
    <w:qFormat/>
    <w:uiPriority w:val="0"/>
    <w:pPr>
      <w:ind w:left="420" w:leftChars="200"/>
    </w:pPr>
  </w:style>
  <w:style w:type="paragraph" w:styleId="21">
    <w:name w:val="Body Text 2"/>
    <w:basedOn w:val="1"/>
    <w:qFormat/>
    <w:uiPriority w:val="0"/>
    <w:pPr>
      <w:spacing w:after="120" w:line="480" w:lineRule="auto"/>
    </w:pPr>
    <w:rPr>
      <w:rFonts w:ascii="Times New Roman" w:hAnsi="Times New Roman" w:eastAsia="宋体" w:cs="Times New Roman"/>
    </w:r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next w:val="24"/>
    <w:qFormat/>
    <w:uiPriority w:val="0"/>
    <w:pPr>
      <w:widowControl/>
      <w:spacing w:before="100" w:beforeAutospacing="1" w:after="100" w:afterAutospacing="1"/>
      <w:jc w:val="left"/>
    </w:pPr>
    <w:rPr>
      <w:rFonts w:ascii="宋体" w:hAnsi="宋体" w:eastAsia="宋体" w:cs="Times New Roman"/>
      <w:kern w:val="0"/>
      <w:sz w:val="18"/>
      <w:szCs w:val="18"/>
    </w:rPr>
  </w:style>
  <w:style w:type="paragraph" w:customStyle="1" w:styleId="24">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5">
    <w:name w:val="Body Text First Indent"/>
    <w:basedOn w:val="10"/>
    <w:next w:val="1"/>
    <w:qFormat/>
    <w:uiPriority w:val="0"/>
    <w:pPr>
      <w:spacing w:line="312" w:lineRule="auto"/>
      <w:ind w:firstLine="420"/>
    </w:pPr>
  </w:style>
  <w:style w:type="paragraph" w:styleId="26">
    <w:name w:val="Body Text First Indent 2"/>
    <w:basedOn w:val="11"/>
    <w:next w:val="25"/>
    <w:qFormat/>
    <w:uiPriority w:val="0"/>
    <w:pPr>
      <w:ind w:firstLine="420"/>
    </w:pPr>
    <w:rPr>
      <w:rFonts w:ascii="Calibri" w:hAnsi="Calibri" w:eastAsia="宋体" w:cs="Times New Roma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rFonts w:ascii="Calibri" w:hAnsi="Calibri" w:eastAsia="宋体" w:cs="Times New Roman"/>
      <w:b/>
    </w:rPr>
  </w:style>
  <w:style w:type="character" w:styleId="31">
    <w:name w:val="HTML Code"/>
    <w:basedOn w:val="29"/>
    <w:qFormat/>
    <w:uiPriority w:val="0"/>
    <w:rPr>
      <w:rFonts w:ascii="Courier New" w:hAnsi="Courier New"/>
      <w:sz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正文首行缩进 21"/>
    <w:basedOn w:val="34"/>
    <w:qFormat/>
    <w:uiPriority w:val="0"/>
    <w:pPr>
      <w:ind w:firstLine="420"/>
    </w:pPr>
  </w:style>
  <w:style w:type="paragraph" w:customStyle="1" w:styleId="34">
    <w:name w:val="正文文本缩进1"/>
    <w:basedOn w:val="1"/>
    <w:qFormat/>
    <w:uiPriority w:val="0"/>
    <w:pPr>
      <w:ind w:firstLine="630"/>
    </w:pPr>
    <w:rPr>
      <w:sz w:val="32"/>
      <w:szCs w:val="20"/>
    </w:rPr>
  </w:style>
  <w:style w:type="paragraph" w:customStyle="1" w:styleId="35">
    <w:name w:val="标题 31"/>
    <w:basedOn w:val="1"/>
    <w:qFormat/>
    <w:uiPriority w:val="0"/>
    <w:pPr>
      <w:keepNext/>
      <w:keepLines/>
      <w:spacing w:before="260" w:beforeAutospacing="0" w:after="260" w:afterAutospacing="0" w:line="416" w:lineRule="auto"/>
      <w:outlineLvl w:val="2"/>
    </w:pPr>
    <w:rPr>
      <w:b/>
      <w:bCs/>
      <w:sz w:val="32"/>
      <w:szCs w:val="32"/>
    </w:rPr>
  </w:style>
  <w:style w:type="paragraph" w:customStyle="1" w:styleId="36">
    <w:name w:val="表格"/>
    <w:basedOn w:val="1"/>
    <w:qFormat/>
    <w:uiPriority w:val="0"/>
    <w:pPr>
      <w:spacing w:line="400" w:lineRule="exact"/>
    </w:pPr>
    <w:rPr>
      <w:rFonts w:ascii="Calibri" w:hAnsi="Calibri" w:eastAsia="宋体" w:cs="Times New Roman"/>
      <w:sz w:val="24"/>
    </w:rPr>
  </w:style>
  <w:style w:type="character" w:customStyle="1" w:styleId="37">
    <w:name w:val="标题 1 Char"/>
    <w:link w:val="2"/>
    <w:qFormat/>
    <w:uiPriority w:val="0"/>
    <w:rPr>
      <w:rFonts w:ascii="Calibri" w:hAnsi="Calibri" w:eastAsia="宋体" w:cs="Times New Roman"/>
      <w:b/>
      <w:bCs/>
      <w:kern w:val="44"/>
      <w:sz w:val="44"/>
      <w:szCs w:val="44"/>
    </w:rPr>
  </w:style>
  <w:style w:type="paragraph" w:customStyle="1" w:styleId="38">
    <w:name w:val="首行缩进:  0.85 厘米"/>
    <w:basedOn w:val="1"/>
    <w:qFormat/>
    <w:uiPriority w:val="0"/>
    <w:pPr>
      <w:widowControl/>
      <w:spacing w:after="100" w:line="360" w:lineRule="auto"/>
      <w:ind w:firstLine="482"/>
      <w:jc w:val="left"/>
    </w:pPr>
    <w:rPr>
      <w:rFonts w:ascii="Calibri" w:hAnsi="Calibri" w:eastAsia="宋体" w:cs="Times New Roman"/>
      <w:kern w:val="0"/>
      <w:sz w:val="24"/>
      <w:lang w:eastAsia="en-US"/>
    </w:rPr>
  </w:style>
  <w:style w:type="paragraph" w:customStyle="1" w:styleId="39">
    <w:name w:val="WPS Plain"/>
    <w:basedOn w:val="1"/>
    <w:qFormat/>
    <w:uiPriority w:val="0"/>
    <w:pPr>
      <w:widowControl/>
      <w:adjustRightInd/>
      <w:spacing w:line="240" w:lineRule="auto"/>
      <w:jc w:val="left"/>
      <w:textAlignment w:val="auto"/>
    </w:pPr>
    <w:rPr>
      <w:rFonts w:ascii="Times New Roman" w:hAnsi="Calibri" w:eastAsia="宋体" w:cs="Times New Roman"/>
      <w:sz w:val="24"/>
      <w:szCs w:val="24"/>
    </w:rPr>
  </w:style>
  <w:style w:type="paragraph" w:customStyle="1" w:styleId="40">
    <w:name w:val="正文_1"/>
    <w:basedOn w:val="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
    <w:basedOn w:val="4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3"/>
    <w:basedOn w:val="43"/>
    <w:qFormat/>
    <w:uiPriority w:val="0"/>
    <w:pPr>
      <w:widowControl w:val="0"/>
      <w:jc w:val="both"/>
    </w:pPr>
    <w:rPr>
      <w:rFonts w:ascii="Calibri" w:hAnsi="Calibri"/>
      <w:kern w:val="2"/>
      <w:sz w:val="21"/>
      <w:szCs w:val="22"/>
      <w:lang w:val="en-US" w:eastAsia="zh-CN" w:bidi="ar-SA"/>
    </w:rPr>
  </w:style>
  <w:style w:type="paragraph" w:customStyle="1" w:styleId="43">
    <w:name w:val="Normal_0"/>
    <w:basedOn w:val="44"/>
    <w:next w:val="18"/>
    <w:qFormat/>
    <w:uiPriority w:val="0"/>
    <w:rPr>
      <w:rFonts w:ascii="黑体" w:hAnsi="黑体" w:eastAsia="黑体" w:cs="Times New Roman"/>
      <w:b/>
      <w:sz w:val="32"/>
      <w:szCs w:val="24"/>
      <w:lang w:bidi="ar-SA"/>
    </w:rPr>
  </w:style>
  <w:style w:type="paragraph" w:customStyle="1" w:styleId="44">
    <w:name w:val="正文1"/>
    <w:basedOn w:val="1"/>
    <w:qFormat/>
    <w:uiPriority w:val="0"/>
    <w:pPr>
      <w:adjustRightInd w:val="0"/>
      <w:spacing w:line="318" w:lineRule="atLeast"/>
      <w:ind w:left="369" w:firstLine="369"/>
      <w:textAlignment w:val="baseline"/>
    </w:pPr>
    <w:rPr>
      <w:rFonts w:ascii="宋体" w:hAnsi="Calibri" w:eastAsia="宋体" w:cs="Times New Roman"/>
      <w:szCs w:val="20"/>
    </w:rPr>
  </w:style>
  <w:style w:type="paragraph" w:customStyle="1" w:styleId="45">
    <w:name w:val="列表_0"/>
    <w:basedOn w:val="40"/>
    <w:semiHidden/>
    <w:qFormat/>
    <w:locked/>
    <w:uiPriority w:val="0"/>
    <w:pPr>
      <w:ind w:left="200" w:hanging="200" w:hangingChars="200"/>
    </w:pPr>
  </w:style>
  <w:style w:type="paragraph" w:customStyle="1" w:styleId="46">
    <w:name w:val="正"/>
    <w:basedOn w:val="40"/>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4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8">
    <w:name w:val="标题 1 字符"/>
    <w:link w:val="2"/>
    <w:qFormat/>
    <w:uiPriority w:val="0"/>
    <w:rPr>
      <w:rFonts w:ascii="仿宋_GB2312" w:eastAsia="仿宋_GB2312"/>
      <w:sz w:val="28"/>
    </w:rPr>
  </w:style>
  <w:style w:type="paragraph" w:customStyle="1" w:styleId="49">
    <w:name w:val="正文_4"/>
    <w:basedOn w:val="50"/>
    <w:next w:val="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0_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1_0"/>
    <w:basedOn w:val="52"/>
    <w:qFormat/>
    <w:uiPriority w:val="0"/>
    <w:pPr>
      <w:widowControl w:val="0"/>
      <w:jc w:val="both"/>
    </w:pPr>
    <w:rPr>
      <w:rFonts w:ascii="Calibri" w:hAnsi="Calibri"/>
      <w:kern w:val="2"/>
      <w:sz w:val="21"/>
      <w:szCs w:val="22"/>
      <w:lang w:val="en-US" w:eastAsia="zh-CN" w:bidi="ar-SA"/>
    </w:rPr>
  </w:style>
  <w:style w:type="paragraph" w:customStyle="1" w:styleId="52">
    <w:name w:val="正文_2_0"/>
    <w:basedOn w:val="4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样式 样式 样式 左侧:  2 字符1 + 首行缩进:  2 字符1 + 首行缩进:  2 字符"/>
    <w:basedOn w:val="1"/>
    <w:qFormat/>
    <w:uiPriority w:val="0"/>
    <w:pPr>
      <w:adjustRightInd w:val="0"/>
      <w:spacing w:before="60" w:after="120" w:line="440" w:lineRule="atLeast"/>
      <w:ind w:firstLine="480"/>
    </w:pPr>
    <w:rPr>
      <w:color w:val="auto"/>
      <w:sz w:val="24"/>
    </w:rPr>
  </w:style>
  <w:style w:type="paragraph" w:customStyle="1" w:styleId="54">
    <w:name w:val="正文_1_1"/>
    <w:basedOn w:val="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文本_0_0"/>
    <w:basedOn w:val="56"/>
    <w:qFormat/>
    <w:uiPriority w:val="0"/>
    <w:pPr>
      <w:spacing w:after="120"/>
    </w:pPr>
    <w:rPr>
      <w:rFonts w:ascii="Calibri" w:hAnsi="Calibri"/>
      <w:kern w:val="0"/>
      <w:sz w:val="20"/>
    </w:rPr>
  </w:style>
  <w:style w:type="paragraph" w:customStyle="1" w:styleId="56">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0_0_1"/>
    <w:qFormat/>
    <w:uiPriority w:val="0"/>
    <w:pPr>
      <w:spacing w:before="120" w:after="120" w:line="360" w:lineRule="auto"/>
      <w:ind w:left="1072" w:hanging="1072"/>
      <w:jc w:val="both"/>
    </w:pPr>
    <w:rPr>
      <w:rFonts w:ascii="Times New Roman" w:hAnsi="Times New Roman" w:eastAsia="宋体" w:cs="Times New Roman"/>
      <w:kern w:val="2"/>
      <w:sz w:val="28"/>
      <w:szCs w:val="22"/>
      <w:lang w:val="en-US" w:eastAsia="zh-CN" w:bidi="ar-SA"/>
    </w:rPr>
  </w:style>
  <w:style w:type="paragraph" w:customStyle="1" w:styleId="58">
    <w:name w:val="样式5"/>
    <w:basedOn w:val="1"/>
    <w:qFormat/>
    <w:uiPriority w:val="99"/>
    <w:pPr>
      <w:adjustRightInd w:val="0"/>
      <w:spacing w:line="440" w:lineRule="exact"/>
      <w:ind w:left="2" w:firstLine="480" w:firstLineChars="200"/>
    </w:pPr>
    <w:rPr>
      <w:rFonts w:ascii="仿宋_GB2312" w:hAnsi="仿宋" w:eastAsia="仿宋_GB2312"/>
      <w:sz w:val="24"/>
    </w:rPr>
  </w:style>
  <w:style w:type="character" w:customStyle="1" w:styleId="59">
    <w:name w:val="NormalCharacter"/>
    <w:link w:val="60"/>
    <w:qFormat/>
    <w:uiPriority w:val="0"/>
  </w:style>
  <w:style w:type="paragraph" w:customStyle="1" w:styleId="60">
    <w:name w:val="UserStyle_5"/>
    <w:basedOn w:val="1"/>
    <w:link w:val="59"/>
    <w:qFormat/>
    <w:uiPriority w:val="0"/>
    <w:pPr>
      <w:widowControl/>
      <w:spacing w:after="160" w:line="240" w:lineRule="exact"/>
      <w:jc w:val="left"/>
    </w:pPr>
  </w:style>
  <w:style w:type="paragraph" w:customStyle="1" w:styleId="61">
    <w:name w:val="UserStyle_66"/>
    <w:basedOn w:val="62"/>
    <w:qFormat/>
    <w:uiPriority w:val="0"/>
    <w:pPr>
      <w:jc w:val="both"/>
    </w:pPr>
    <w:rPr>
      <w:rFonts w:ascii="Calibri" w:hAnsi="Calibri" w:eastAsia="宋体"/>
      <w:kern w:val="2"/>
      <w:sz w:val="21"/>
      <w:szCs w:val="22"/>
      <w:lang w:val="en-US" w:eastAsia="zh-CN" w:bidi="ar-SA"/>
    </w:rPr>
  </w:style>
  <w:style w:type="paragraph" w:customStyle="1" w:styleId="62">
    <w:name w:val="UserStyle_67"/>
    <w:qFormat/>
    <w:uiPriority w:val="0"/>
    <w:pPr>
      <w:jc w:val="both"/>
    </w:pPr>
    <w:rPr>
      <w:rFonts w:ascii="Calibri" w:hAnsi="Calibri" w:eastAsia="宋体" w:cs="Times New Roman"/>
      <w:kern w:val="2"/>
      <w:sz w:val="21"/>
      <w:szCs w:val="22"/>
      <w:lang w:val="en-US" w:eastAsia="zh-CN" w:bidi="ar-SA"/>
    </w:rPr>
  </w:style>
  <w:style w:type="paragraph" w:customStyle="1" w:styleId="63">
    <w:name w:val="UserStyle_122"/>
    <w:basedOn w:val="62"/>
    <w:qFormat/>
    <w:uiPriority w:val="0"/>
    <w:pPr>
      <w:widowControl/>
      <w:jc w:val="left"/>
    </w:pPr>
    <w:rPr>
      <w:rFonts w:ascii="黑体" w:hAnsi="黑体" w:eastAsia="黑体" w:cs="宋体"/>
      <w:b/>
      <w:bCs/>
      <w:kern w:val="0"/>
      <w:sz w:val="32"/>
      <w:szCs w:val="32"/>
      <w:lang w:val="en-US" w:eastAsia="zh-CN" w:bidi="ar-SA"/>
    </w:rPr>
  </w:style>
  <w:style w:type="paragraph" w:customStyle="1" w:styleId="64">
    <w:name w:val="UserStyle_123"/>
    <w:basedOn w:val="62"/>
    <w:qFormat/>
    <w:uiPriority w:val="0"/>
    <w:pPr>
      <w:jc w:val="both"/>
    </w:pPr>
    <w:rPr>
      <w:rFonts w:ascii="Times New Roman" w:hAnsi="Times New Roman" w:eastAsia="宋体"/>
      <w:kern w:val="2"/>
      <w:sz w:val="21"/>
      <w:szCs w:val="21"/>
      <w:lang w:val="en-US" w:eastAsia="zh-CN" w:bidi="ar-SA"/>
    </w:rPr>
  </w:style>
  <w:style w:type="paragraph" w:customStyle="1" w:styleId="65">
    <w:name w:val="UserStyle_124"/>
    <w:basedOn w:val="64"/>
    <w:qFormat/>
    <w:uiPriority w:val="0"/>
    <w:pPr>
      <w:snapToGrid w:val="0"/>
      <w:jc w:val="left"/>
    </w:pPr>
    <w:rPr>
      <w:rFonts w:ascii="Calibri" w:hAnsi="Calibri" w:eastAsia="宋体"/>
      <w:kern w:val="2"/>
      <w:sz w:val="18"/>
      <w:szCs w:val="18"/>
      <w:lang w:val="en-US" w:eastAsia="zh-CN" w:bidi="ar-SA"/>
    </w:rPr>
  </w:style>
  <w:style w:type="paragraph" w:customStyle="1" w:styleId="66">
    <w:name w:val="UserStyle_100"/>
    <w:qFormat/>
    <w:uiPriority w:val="0"/>
    <w:pPr>
      <w:jc w:val="both"/>
    </w:pPr>
    <w:rPr>
      <w:rFonts w:ascii="Calibri" w:hAnsi="Calibri" w:eastAsia="宋体" w:cs="Times New Roman"/>
      <w:kern w:val="2"/>
      <w:sz w:val="21"/>
      <w:szCs w:val="22"/>
      <w:lang w:val="en-US" w:eastAsia="zh-CN" w:bidi="ar-SA"/>
    </w:rPr>
  </w:style>
  <w:style w:type="paragraph" w:customStyle="1" w:styleId="67">
    <w:name w:val="HtmlNormal"/>
    <w:basedOn w:val="1"/>
    <w:qFormat/>
    <w:uiPriority w:val="0"/>
    <w:pPr>
      <w:jc w:val="both"/>
    </w:pPr>
    <w:rPr>
      <w:rFonts w:ascii="Calibri" w:hAnsi="Calibri"/>
      <w:kern w:val="2"/>
      <w:sz w:val="24"/>
      <w:szCs w:val="22"/>
      <w:lang w:val="en-US" w:eastAsia="zh-CN" w:bidi="ar-SA"/>
    </w:rPr>
  </w:style>
  <w:style w:type="paragraph" w:customStyle="1" w:styleId="68">
    <w:name w:val="UserStyle_74"/>
    <w:qFormat/>
    <w:uiPriority w:val="0"/>
    <w:pPr>
      <w:widowControl/>
    </w:pPr>
    <w:rPr>
      <w:rFonts w:ascii="黑体" w:hAnsi="黑体" w:eastAsia="黑体" w:cs="Times New Roman"/>
      <w:b/>
      <w:sz w:val="32"/>
      <w:szCs w:val="24"/>
      <w:lang w:val="en-US" w:bidi="ar-SA"/>
    </w:rPr>
  </w:style>
  <w:style w:type="paragraph" w:customStyle="1" w:styleId="69">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0">
    <w:name w:val="正文_1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72">
    <w:name w:val="正文_0_0_4"/>
    <w:qFormat/>
    <w:uiPriority w:val="0"/>
    <w:pPr>
      <w:widowControl w:val="0"/>
      <w:jc w:val="both"/>
    </w:pPr>
    <w:rPr>
      <w:rFonts w:ascii="等线" w:hAnsi="等线" w:eastAsia="等线" w:cs="Times New Roman"/>
      <w:kern w:val="2"/>
      <w:sz w:val="21"/>
      <w:szCs w:val="22"/>
      <w:lang w:val="en-US" w:eastAsia="zh-CN" w:bidi="ar-SA"/>
    </w:rPr>
  </w:style>
  <w:style w:type="paragraph" w:customStyle="1" w:styleId="73">
    <w:name w:val="正文文本1"/>
    <w:basedOn w:val="1"/>
    <w:qFormat/>
    <w:uiPriority w:val="0"/>
    <w:rPr>
      <w:rFonts w:ascii="楷体_GB2312" w:hAnsi="Arial" w:eastAsia="楷体_GB2312"/>
      <w:sz w:val="28"/>
      <w:szCs w:val="28"/>
    </w:rPr>
  </w:style>
  <w:style w:type="paragraph" w:customStyle="1" w:styleId="74">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6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正文_0_0_0 Char"/>
    <w:link w:val="77"/>
    <w:qFormat/>
    <w:locked/>
    <w:uiPriority w:val="0"/>
    <w:rPr>
      <w:rFonts w:ascii="Calibri" w:hAnsi="Calibri" w:eastAsia="宋体" w:cs="Times New Roman"/>
      <w:kern w:val="2"/>
      <w:sz w:val="28"/>
      <w:szCs w:val="22"/>
      <w:lang w:bidi="ar-SA"/>
    </w:rPr>
  </w:style>
  <w:style w:type="paragraph" w:customStyle="1" w:styleId="77">
    <w:name w:val="正文_0_0_0_0_0"/>
    <w:link w:val="76"/>
    <w:qFormat/>
    <w:uiPriority w:val="0"/>
    <w:pPr>
      <w:spacing w:before="120" w:after="120" w:line="360" w:lineRule="auto"/>
      <w:ind w:left="1072" w:hanging="1072"/>
      <w:jc w:val="both"/>
    </w:pPr>
    <w:rPr>
      <w:rFonts w:ascii="Calibri" w:hAnsi="Calibri" w:eastAsia="宋体" w:cs="Times New Roman"/>
      <w:kern w:val="2"/>
      <w:sz w:val="28"/>
      <w:szCs w:val="22"/>
      <w:lang w:bidi="ar-SA"/>
    </w:rPr>
  </w:style>
  <w:style w:type="paragraph" w:customStyle="1" w:styleId="78">
    <w:name w:val="Table Paragraph_1"/>
    <w:basedOn w:val="79"/>
    <w:qFormat/>
    <w:uiPriority w:val="0"/>
    <w:pPr>
      <w:jc w:val="left"/>
    </w:pPr>
    <w:rPr>
      <w:kern w:val="0"/>
      <w:sz w:val="22"/>
      <w:lang w:eastAsia="en-US"/>
    </w:rPr>
  </w:style>
  <w:style w:type="paragraph" w:customStyle="1" w:styleId="79">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11187</Words>
  <Characters>12216</Characters>
  <Lines>0</Lines>
  <Paragraphs>0</Paragraphs>
  <TotalTime>72</TotalTime>
  <ScaleCrop>false</ScaleCrop>
  <LinksUpToDate>false</LinksUpToDate>
  <CharactersWithSpaces>12699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2025-03-11T11:53:00Z</dcterms:created>
  <dc:creator>JR.</dc:creator>
  <cp:lastModifiedBy>JR.</cp:lastModifiedBy>
  <cp:lastPrinted>2025-06-30T10:39:00Z</cp:lastPrinted>
  <dcterms:modified xsi:type="dcterms:W3CDTF">2025-07-03T02:52:41Z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D43F205936EB487FACD8D695F62B0589_13</vt:lpwstr>
  </property>
  <property fmtid="{D5CDD505-2E9C-101B-9397-08002B2CF9AE}" pid="4" name="KSOTemplateDocerSaveRecord">
    <vt:lpwstr>eyJoZGlkIjoiNTU2NGZlODlkMDY2ZGRlZjdhMWViNzMwMjA2Y2ZiZmQiLCJ1c2VySWQiOiI0NzMxMzg4NjcifQ==</vt:lpwstr>
  </property>
</Properties>
</file>