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highlight w:val="none"/>
        </w:rPr>
      </w:pPr>
      <w:r>
        <w:rPr>
          <w:rFonts w:hint="eastAsia" w:ascii="宋体"/>
          <w:b/>
          <w:spacing w:val="51"/>
          <w:kern w:val="0"/>
          <w:sz w:val="52"/>
          <w:szCs w:val="52"/>
          <w:highlight w:val="none"/>
          <w:lang w:val="en-US" w:eastAsia="zh-CN"/>
        </w:rPr>
        <w:t>三门县</w:t>
      </w:r>
      <w:r>
        <w:rPr>
          <w:rFonts w:hint="eastAsia" w:ascii="宋体"/>
          <w:b/>
          <w:spacing w:val="51"/>
          <w:kern w:val="0"/>
          <w:sz w:val="52"/>
          <w:szCs w:val="52"/>
          <w:highlight w:val="none"/>
        </w:rPr>
        <w:t>政府采购竞争性磋商文件</w:t>
      </w:r>
    </w:p>
    <w:p>
      <w:pPr>
        <w:pStyle w:val="40"/>
        <w:rPr>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szCs w:val="32"/>
          <w:highlight w:val="none"/>
        </w:rPr>
      </w:pPr>
    </w:p>
    <w:p>
      <w:pPr>
        <w:pStyle w:val="2"/>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hint="default" w:ascii="宋体" w:eastAsia="宋体"/>
          <w:b/>
          <w:kern w:val="0"/>
          <w:sz w:val="32"/>
          <w:highlight w:val="none"/>
          <w:lang w:val="en-US" w:eastAsia="zh-CN"/>
        </w:rPr>
      </w:pPr>
      <w:r>
        <w:rPr>
          <w:rFonts w:hint="eastAsia" w:ascii="宋体"/>
          <w:b/>
          <w:kern w:val="0"/>
          <w:sz w:val="32"/>
          <w:highlight w:val="none"/>
        </w:rPr>
        <w:t>项目编号：三招采-2024-CS029</w:t>
      </w:r>
    </w:p>
    <w:p>
      <w:pPr>
        <w:rPr>
          <w:rFonts w:hint="eastAsia"/>
          <w:highlight w:val="none"/>
          <w:lang w:val="en-US" w:eastAsia="zh-CN"/>
        </w:rPr>
      </w:pPr>
    </w:p>
    <w:p>
      <w:pPr>
        <w:autoSpaceDE w:val="0"/>
        <w:autoSpaceDN w:val="0"/>
        <w:adjustRightInd w:val="0"/>
        <w:spacing w:line="360" w:lineRule="auto"/>
        <w:jc w:val="center"/>
        <w:rPr>
          <w:rFonts w:ascii="宋体"/>
          <w:b/>
          <w:kern w:val="0"/>
          <w:sz w:val="30"/>
          <w:szCs w:val="30"/>
          <w:highlight w:val="none"/>
        </w:rPr>
      </w:pPr>
      <w:r>
        <w:rPr>
          <w:rFonts w:hint="eastAsia" w:ascii="宋体"/>
          <w:kern w:val="0"/>
          <w:sz w:val="30"/>
          <w:szCs w:val="30"/>
          <w:highlight w:val="none"/>
          <w:lang w:eastAsia="zh-CN"/>
        </w:rPr>
        <w:t>采购项目：三门县全域幸福河湖建设-蛇蟠乡农村水系治理项目（一期）</w:t>
      </w:r>
    </w:p>
    <w:p>
      <w:pPr>
        <w:pStyle w:val="19"/>
        <w:rPr>
          <w:highlight w:val="none"/>
        </w:rPr>
      </w:pPr>
    </w:p>
    <w:p>
      <w:pPr>
        <w:rPr>
          <w:highlight w:val="none"/>
        </w:rPr>
      </w:pPr>
    </w:p>
    <w:p>
      <w:pPr>
        <w:pStyle w:val="19"/>
        <w:rPr>
          <w:highlight w:val="none"/>
        </w:rPr>
      </w:pPr>
    </w:p>
    <w:p>
      <w:pPr>
        <w:rPr>
          <w:highlight w:val="none"/>
        </w:rPr>
      </w:pPr>
    </w:p>
    <w:p>
      <w:pPr>
        <w:pStyle w:val="19"/>
        <w:rPr>
          <w:highlight w:val="none"/>
        </w:rPr>
      </w:pPr>
    </w:p>
    <w:p>
      <w:pPr>
        <w:pStyle w:val="5"/>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rPr>
          <w:highlight w:val="none"/>
        </w:rPr>
      </w:pPr>
    </w:p>
    <w:p>
      <w:pPr>
        <w:pStyle w:val="2"/>
        <w:rPr>
          <w:highlight w:val="none"/>
        </w:rPr>
      </w:pPr>
    </w:p>
    <w:p>
      <w:pPr>
        <w:pStyle w:val="3"/>
        <w:rPr>
          <w:highlight w:val="none"/>
        </w:rPr>
      </w:pPr>
    </w:p>
    <w:p>
      <w:pPr>
        <w:autoSpaceDE w:val="0"/>
        <w:autoSpaceDN w:val="0"/>
        <w:adjustRightInd w:val="0"/>
        <w:spacing w:line="360" w:lineRule="auto"/>
        <w:jc w:val="both"/>
        <w:rPr>
          <w:rFonts w:ascii="宋体"/>
          <w:kern w:val="0"/>
          <w:sz w:val="32"/>
          <w:szCs w:val="32"/>
          <w:highlight w:val="none"/>
        </w:rPr>
      </w:pPr>
    </w:p>
    <w:p>
      <w:pPr>
        <w:pStyle w:val="2"/>
        <w:rPr>
          <w:highlight w:val="none"/>
        </w:rPr>
      </w:pPr>
    </w:p>
    <w:p>
      <w:pPr>
        <w:autoSpaceDE w:val="0"/>
        <w:autoSpaceDN w:val="0"/>
        <w:adjustRightInd w:val="0"/>
        <w:spacing w:line="360" w:lineRule="auto"/>
        <w:ind w:firstLine="1920" w:firstLineChars="600"/>
        <w:rPr>
          <w:rFonts w:hint="eastAsia" w:ascii="宋体"/>
          <w:kern w:val="0"/>
          <w:sz w:val="32"/>
          <w:szCs w:val="32"/>
          <w:highlight w:val="none"/>
          <w:lang w:eastAsia="zh-CN"/>
        </w:rPr>
      </w:pPr>
      <w:r>
        <w:rPr>
          <w:rFonts w:hint="eastAsia" w:ascii="宋体"/>
          <w:kern w:val="0"/>
          <w:sz w:val="32"/>
          <w:szCs w:val="32"/>
          <w:highlight w:val="none"/>
        </w:rPr>
        <w:t>采 购 人：</w:t>
      </w:r>
      <w:r>
        <w:rPr>
          <w:rFonts w:hint="eastAsia" w:ascii="宋体"/>
          <w:kern w:val="0"/>
          <w:sz w:val="32"/>
          <w:szCs w:val="32"/>
          <w:highlight w:val="none"/>
          <w:lang w:eastAsia="zh-CN"/>
        </w:rPr>
        <w:t xml:space="preserve">三门县蛇蟠乡人民政府    </w:t>
      </w:r>
    </w:p>
    <w:p>
      <w:pPr>
        <w:spacing w:line="360" w:lineRule="auto"/>
        <w:rPr>
          <w:rFonts w:hint="eastAsia"/>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1600" w:firstLineChars="500"/>
        <w:rPr>
          <w:rFonts w:hint="eastAsia" w:ascii="宋体" w:hAnsi="宋体" w:cs="宋体"/>
          <w:kern w:val="0"/>
          <w:sz w:val="32"/>
          <w:szCs w:val="32"/>
          <w:highlight w:val="none"/>
          <w:lang w:eastAsia="zh-CN"/>
        </w:rPr>
      </w:pPr>
      <w:r>
        <w:rPr>
          <w:rFonts w:hint="eastAsia" w:ascii="宋体" w:hAnsi="宋体" w:cs="宋体"/>
          <w:kern w:val="0"/>
          <w:sz w:val="32"/>
          <w:szCs w:val="32"/>
          <w:highlight w:val="none"/>
          <w:lang w:eastAsia="zh-CN"/>
        </w:rPr>
        <w:t>采购</w:t>
      </w:r>
      <w:r>
        <w:rPr>
          <w:rFonts w:hint="eastAsia" w:ascii="宋体" w:hAnsi="宋体" w:cs="宋体"/>
          <w:kern w:val="0"/>
          <w:sz w:val="32"/>
          <w:szCs w:val="32"/>
          <w:highlight w:val="none"/>
        </w:rPr>
        <w:t>代理机构：</w:t>
      </w:r>
      <w:r>
        <w:rPr>
          <w:rFonts w:hint="eastAsia" w:ascii="宋体" w:hAnsi="宋体" w:cs="宋体"/>
          <w:kern w:val="0"/>
          <w:sz w:val="32"/>
          <w:szCs w:val="32"/>
          <w:highlight w:val="none"/>
          <w:lang w:eastAsia="zh-CN"/>
        </w:rPr>
        <w:t xml:space="preserve"> 泾清项目管理有限公司</w:t>
      </w:r>
    </w:p>
    <w:p>
      <w:pPr>
        <w:spacing w:line="360" w:lineRule="auto"/>
        <w:rPr>
          <w:rFonts w:hint="eastAsia"/>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color w:val="auto"/>
          <w:sz w:val="32"/>
          <w:szCs w:val="32"/>
          <w:highlight w:val="none"/>
        </w:rPr>
      </w:pPr>
      <w:r>
        <w:rPr>
          <w:rFonts w:hint="eastAsia" w:ascii="宋体" w:hAnsi="宋体" w:cs="宋体"/>
          <w:color w:val="auto"/>
          <w:kern w:val="0"/>
          <w:sz w:val="32"/>
          <w:szCs w:val="32"/>
          <w:highlight w:val="none"/>
        </w:rPr>
        <w:t>20</w:t>
      </w:r>
      <w:r>
        <w:rPr>
          <w:rFonts w:hint="eastAsia" w:ascii="宋体" w:hAnsi="宋体" w:cs="宋体"/>
          <w:color w:val="auto"/>
          <w:kern w:val="0"/>
          <w:sz w:val="32"/>
          <w:szCs w:val="32"/>
          <w:highlight w:val="none"/>
          <w:lang w:val="en-US" w:eastAsia="zh-CN"/>
        </w:rPr>
        <w:t>24</w:t>
      </w:r>
      <w:r>
        <w:rPr>
          <w:rFonts w:hint="eastAsia" w:ascii="宋体" w:hAnsi="宋体" w:cs="宋体"/>
          <w:color w:val="auto"/>
          <w:kern w:val="0"/>
          <w:sz w:val="32"/>
          <w:szCs w:val="32"/>
          <w:highlight w:val="none"/>
        </w:rPr>
        <w:t>年</w:t>
      </w:r>
      <w:r>
        <w:rPr>
          <w:rFonts w:hint="eastAsia" w:ascii="宋体" w:hAnsi="宋体" w:cs="宋体"/>
          <w:color w:val="auto"/>
          <w:kern w:val="0"/>
          <w:sz w:val="32"/>
          <w:szCs w:val="32"/>
          <w:highlight w:val="none"/>
          <w:lang w:val="en-US" w:eastAsia="zh-CN"/>
        </w:rPr>
        <w:t>4</w:t>
      </w:r>
      <w:r>
        <w:rPr>
          <w:rFonts w:hint="eastAsia" w:ascii="宋体" w:hAnsi="宋体" w:cs="宋体"/>
          <w:color w:val="auto"/>
          <w:kern w:val="0"/>
          <w:sz w:val="32"/>
          <w:szCs w:val="32"/>
          <w:highlight w:val="none"/>
        </w:rPr>
        <w:t>月</w:t>
      </w:r>
    </w:p>
    <w:p>
      <w:pPr>
        <w:pStyle w:val="77"/>
        <w:spacing w:line="360" w:lineRule="auto"/>
        <w:rPr>
          <w:color w:val="auto"/>
          <w:highlight w:val="none"/>
        </w:rPr>
        <w:sectPr>
          <w:headerReference r:id="rId3" w:type="default"/>
          <w:footerReference r:id="rId4" w:type="default"/>
          <w:pgSz w:w="11906" w:h="16838"/>
          <w:pgMar w:top="1440" w:right="991" w:bottom="1440" w:left="1276" w:header="851" w:footer="850" w:gutter="0"/>
          <w:pgNumType w:start="1"/>
          <w:cols w:space="720" w:num="1"/>
          <w:docGrid w:type="lines" w:linePitch="312" w:charSpace="0"/>
        </w:sectPr>
      </w:pPr>
    </w:p>
    <w:sdt>
      <w:sdtPr>
        <w:rPr>
          <w:rFonts w:ascii="宋体" w:hAnsi="宋体"/>
          <w:sz w:val="52"/>
          <w:szCs w:val="52"/>
          <w:highlight w:val="none"/>
        </w:rPr>
        <w:id w:val="147457811"/>
        <w:docPartObj>
          <w:docPartGallery w:val="Table of Contents"/>
          <w:docPartUnique/>
        </w:docPartObj>
      </w:sdtPr>
      <w:sdtEndPr>
        <w:rPr>
          <w:rFonts w:ascii="Times New Roman" w:hAnsi="Times New Roman"/>
          <w:sz w:val="21"/>
          <w:szCs w:val="24"/>
          <w:highlight w:val="none"/>
        </w:rPr>
      </w:sdtEndPr>
      <w:sdtContent>
        <w:p>
          <w:pPr>
            <w:jc w:val="center"/>
            <w:rPr>
              <w:rFonts w:ascii="宋体" w:hAnsi="宋体" w:cs="宋体"/>
              <w:b/>
              <w:bCs/>
              <w:sz w:val="52"/>
              <w:szCs w:val="52"/>
              <w:highlight w:val="none"/>
            </w:rPr>
          </w:pPr>
          <w:r>
            <w:rPr>
              <w:rFonts w:hint="eastAsia" w:ascii="宋体" w:hAnsi="宋体" w:cs="宋体"/>
              <w:b/>
              <w:bCs/>
              <w:sz w:val="52"/>
              <w:szCs w:val="52"/>
              <w:highlight w:val="none"/>
            </w:rPr>
            <w:t>目 录</w:t>
          </w:r>
        </w:p>
        <w:p>
          <w:pPr>
            <w:pStyle w:val="19"/>
            <w:rPr>
              <w:highlight w:val="none"/>
            </w:rPr>
          </w:pPr>
        </w:p>
        <w:p>
          <w:pPr>
            <w:pStyle w:val="29"/>
            <w:tabs>
              <w:tab w:val="right" w:leader="dot" w:pos="8920"/>
            </w:tabs>
            <w:rPr>
              <w:rFonts w:asciiTheme="minorHAnsi" w:hAnsiTheme="minorHAnsi" w:eastAsiaTheme="minorEastAsia" w:cstheme="minorBidi"/>
              <w:sz w:val="21"/>
              <w:szCs w:val="22"/>
              <w:highlight w:val="none"/>
            </w:rPr>
          </w:pP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TOC \o "1-1" \h \u </w:instrText>
          </w:r>
          <w:r>
            <w:rPr>
              <w:rFonts w:hint="eastAsia" w:ascii="宋体" w:hAnsi="宋体" w:cs="宋体"/>
              <w:b/>
              <w:bCs/>
              <w:sz w:val="32"/>
              <w:szCs w:val="32"/>
              <w:highlight w:val="none"/>
            </w:rPr>
            <w:fldChar w:fldCharType="separate"/>
          </w:r>
          <w:r>
            <w:rPr>
              <w:highlight w:val="none"/>
            </w:rPr>
            <w:fldChar w:fldCharType="begin"/>
          </w:r>
          <w:r>
            <w:rPr>
              <w:highlight w:val="none"/>
            </w:rPr>
            <w:instrText xml:space="preserve"> HYPERLINK \l "_Toc93048451" </w:instrText>
          </w:r>
          <w:r>
            <w:rPr>
              <w:highlight w:val="none"/>
            </w:rPr>
            <w:fldChar w:fldCharType="separate"/>
          </w:r>
          <w:r>
            <w:rPr>
              <w:rStyle w:val="47"/>
              <w:rFonts w:hint="eastAsia" w:ascii="宋体" w:hAnsi="宋体" w:cs="宋体"/>
              <w:b/>
              <w:color w:val="auto"/>
              <w:highlight w:val="none"/>
            </w:rPr>
            <w:t>第一章</w:t>
          </w:r>
          <w:r>
            <w:rPr>
              <w:rStyle w:val="47"/>
              <w:rFonts w:hint="eastAsia" w:ascii="宋体" w:hAnsi="宋体" w:cs="宋体"/>
              <w:b/>
              <w:color w:val="auto"/>
              <w:kern w:val="0"/>
              <w:highlight w:val="none"/>
            </w:rPr>
            <w:t xml:space="preserve"> 磋商公告</w:t>
          </w:r>
          <w:r>
            <w:rPr>
              <w:highlight w:val="none"/>
            </w:rPr>
            <w:tab/>
          </w:r>
          <w:r>
            <w:rPr>
              <w:highlight w:val="none"/>
            </w:rPr>
            <w:fldChar w:fldCharType="begin"/>
          </w:r>
          <w:r>
            <w:rPr>
              <w:highlight w:val="none"/>
            </w:rPr>
            <w:instrText xml:space="preserve"> PAGEREF _Toc93048451 \h </w:instrText>
          </w:r>
          <w:r>
            <w:rPr>
              <w:highlight w:val="none"/>
            </w:rPr>
            <w:fldChar w:fldCharType="separate"/>
          </w:r>
          <w:r>
            <w:rPr>
              <w:highlight w:val="none"/>
            </w:rPr>
            <w:t>3</w:t>
          </w:r>
          <w:r>
            <w:rPr>
              <w:highlight w:val="none"/>
            </w:rPr>
            <w:fldChar w:fldCharType="end"/>
          </w:r>
          <w:r>
            <w:rPr>
              <w:highlight w:val="none"/>
            </w:rPr>
            <w:fldChar w:fldCharType="end"/>
          </w:r>
        </w:p>
        <w:p>
          <w:pPr>
            <w:pStyle w:val="29"/>
            <w:tabs>
              <w:tab w:val="right" w:leader="dot" w:pos="8920"/>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"_Toc93048452" </w:instrText>
          </w:r>
          <w:r>
            <w:rPr>
              <w:highlight w:val="none"/>
            </w:rPr>
            <w:fldChar w:fldCharType="separate"/>
          </w:r>
          <w:r>
            <w:rPr>
              <w:rStyle w:val="47"/>
              <w:rFonts w:hint="eastAsia"/>
              <w:b/>
              <w:color w:val="auto"/>
              <w:highlight w:val="none"/>
            </w:rPr>
            <w:t>第二章 供应商须知</w:t>
          </w:r>
          <w:r>
            <w:rPr>
              <w:highlight w:val="none"/>
            </w:rPr>
            <w:tab/>
          </w:r>
          <w:r>
            <w:rPr>
              <w:highlight w:val="none"/>
            </w:rPr>
            <w:fldChar w:fldCharType="begin"/>
          </w:r>
          <w:r>
            <w:rPr>
              <w:highlight w:val="none"/>
            </w:rPr>
            <w:instrText xml:space="preserve"> PAGEREF _Toc93048452 \h </w:instrText>
          </w:r>
          <w:r>
            <w:rPr>
              <w:highlight w:val="none"/>
            </w:rPr>
            <w:fldChar w:fldCharType="separate"/>
          </w:r>
          <w:r>
            <w:rPr>
              <w:highlight w:val="none"/>
            </w:rPr>
            <w:t>7</w:t>
          </w:r>
          <w:r>
            <w:rPr>
              <w:highlight w:val="none"/>
            </w:rPr>
            <w:fldChar w:fldCharType="end"/>
          </w:r>
          <w:r>
            <w:rPr>
              <w:highlight w:val="none"/>
            </w:rPr>
            <w:fldChar w:fldCharType="end"/>
          </w:r>
        </w:p>
        <w:p>
          <w:pPr>
            <w:pStyle w:val="29"/>
            <w:tabs>
              <w:tab w:val="right" w:leader="dot" w:pos="8920"/>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"_Toc93048453" </w:instrText>
          </w:r>
          <w:r>
            <w:rPr>
              <w:highlight w:val="none"/>
            </w:rPr>
            <w:fldChar w:fldCharType="separate"/>
          </w:r>
          <w:r>
            <w:rPr>
              <w:rStyle w:val="47"/>
              <w:rFonts w:hint="eastAsia"/>
              <w:b/>
              <w:color w:val="auto"/>
              <w:highlight w:val="none"/>
            </w:rPr>
            <w:t>第三章 项目需求</w:t>
          </w:r>
          <w:r>
            <w:rPr>
              <w:highlight w:val="none"/>
            </w:rPr>
            <w:tab/>
          </w:r>
          <w:r>
            <w:rPr>
              <w:highlight w:val="none"/>
            </w:rPr>
            <w:fldChar w:fldCharType="begin"/>
          </w:r>
          <w:r>
            <w:rPr>
              <w:highlight w:val="none"/>
            </w:rPr>
            <w:instrText xml:space="preserve"> PAGEREF _Toc93048453 \h </w:instrText>
          </w:r>
          <w:r>
            <w:rPr>
              <w:highlight w:val="none"/>
            </w:rPr>
            <w:fldChar w:fldCharType="separate"/>
          </w:r>
          <w:r>
            <w:rPr>
              <w:highlight w:val="none"/>
            </w:rPr>
            <w:t>17</w:t>
          </w:r>
          <w:r>
            <w:rPr>
              <w:highlight w:val="none"/>
            </w:rPr>
            <w:fldChar w:fldCharType="end"/>
          </w:r>
          <w:r>
            <w:rPr>
              <w:highlight w:val="none"/>
            </w:rPr>
            <w:fldChar w:fldCharType="end"/>
          </w:r>
        </w:p>
        <w:p>
          <w:pPr>
            <w:pStyle w:val="29"/>
            <w:tabs>
              <w:tab w:val="right" w:leader="dot" w:pos="8920"/>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"_Toc93048454" </w:instrText>
          </w:r>
          <w:r>
            <w:rPr>
              <w:highlight w:val="none"/>
            </w:rPr>
            <w:fldChar w:fldCharType="separate"/>
          </w:r>
          <w:r>
            <w:rPr>
              <w:rStyle w:val="47"/>
              <w:rFonts w:hint="eastAsia"/>
              <w:b/>
              <w:color w:val="auto"/>
              <w:highlight w:val="none"/>
            </w:rPr>
            <w:t>第四章 磋商</w:t>
          </w:r>
          <w:r>
            <w:rPr>
              <w:highlight w:val="none"/>
            </w:rPr>
            <w:tab/>
          </w:r>
          <w:r>
            <w:rPr>
              <w:highlight w:val="none"/>
            </w:rPr>
            <w:fldChar w:fldCharType="begin"/>
          </w:r>
          <w:r>
            <w:rPr>
              <w:highlight w:val="none"/>
            </w:rPr>
            <w:instrText xml:space="preserve"> PAGEREF _Toc93048454 \h </w:instrText>
          </w:r>
          <w:r>
            <w:rPr>
              <w:highlight w:val="none"/>
            </w:rPr>
            <w:fldChar w:fldCharType="separate"/>
          </w:r>
          <w:r>
            <w:rPr>
              <w:highlight w:val="none"/>
            </w:rPr>
            <w:t>19</w:t>
          </w:r>
          <w:r>
            <w:rPr>
              <w:highlight w:val="none"/>
            </w:rPr>
            <w:fldChar w:fldCharType="end"/>
          </w:r>
          <w:r>
            <w:rPr>
              <w:highlight w:val="none"/>
            </w:rPr>
            <w:fldChar w:fldCharType="end"/>
          </w:r>
        </w:p>
        <w:p>
          <w:pPr>
            <w:pStyle w:val="29"/>
            <w:tabs>
              <w:tab w:val="right" w:leader="dot" w:pos="8920"/>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"_Toc93048455" </w:instrText>
          </w:r>
          <w:r>
            <w:rPr>
              <w:highlight w:val="none"/>
            </w:rPr>
            <w:fldChar w:fldCharType="separate"/>
          </w:r>
          <w:r>
            <w:rPr>
              <w:rStyle w:val="47"/>
              <w:rFonts w:hint="eastAsia"/>
              <w:b/>
              <w:color w:val="auto"/>
              <w:highlight w:val="none"/>
            </w:rPr>
            <w:t>第五章</w:t>
          </w:r>
          <w:r>
            <w:rPr>
              <w:rStyle w:val="47"/>
              <w:b/>
              <w:color w:val="auto"/>
              <w:highlight w:val="none"/>
            </w:rPr>
            <w:t xml:space="preserve"> </w:t>
          </w:r>
          <w:r>
            <w:rPr>
              <w:rStyle w:val="47"/>
              <w:rFonts w:hint="eastAsia"/>
              <w:b/>
              <w:color w:val="auto"/>
              <w:highlight w:val="none"/>
            </w:rPr>
            <w:t>拟签订合同</w:t>
          </w:r>
          <w:r>
            <w:rPr>
              <w:highlight w:val="none"/>
            </w:rPr>
            <w:tab/>
          </w:r>
          <w:r>
            <w:rPr>
              <w:highlight w:val="none"/>
            </w:rPr>
            <w:fldChar w:fldCharType="end"/>
          </w:r>
          <w:r>
            <w:rPr>
              <w:highlight w:val="none"/>
            </w:rPr>
            <w:t>25</w:t>
          </w:r>
        </w:p>
        <w:p>
          <w:pPr>
            <w:pStyle w:val="29"/>
            <w:tabs>
              <w:tab w:val="right" w:leader="dot" w:pos="8920"/>
            </w:tabs>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"_Toc93048456" </w:instrText>
          </w:r>
          <w:r>
            <w:rPr>
              <w:highlight w:val="none"/>
            </w:rPr>
            <w:fldChar w:fldCharType="separate"/>
          </w:r>
          <w:r>
            <w:rPr>
              <w:rStyle w:val="47"/>
              <w:rFonts w:hint="eastAsia"/>
              <w:b/>
              <w:color w:val="auto"/>
              <w:highlight w:val="none"/>
            </w:rPr>
            <w:t>第六章</w:t>
          </w:r>
          <w:r>
            <w:rPr>
              <w:rStyle w:val="47"/>
              <w:b/>
              <w:color w:val="auto"/>
              <w:highlight w:val="none"/>
            </w:rPr>
            <w:t xml:space="preserve"> </w:t>
          </w:r>
          <w:r>
            <w:rPr>
              <w:rStyle w:val="47"/>
              <w:rFonts w:hint="eastAsia"/>
              <w:b/>
              <w:color w:val="auto"/>
              <w:highlight w:val="none"/>
            </w:rPr>
            <w:t>响应文件格式</w:t>
          </w:r>
          <w:r>
            <w:rPr>
              <w:highlight w:val="none"/>
            </w:rPr>
            <w:tab/>
          </w:r>
          <w:r>
            <w:rPr>
              <w:highlight w:val="none"/>
            </w:rPr>
            <w:fldChar w:fldCharType="begin"/>
          </w:r>
          <w:r>
            <w:rPr>
              <w:highlight w:val="none"/>
            </w:rPr>
            <w:instrText xml:space="preserve"> PAGEREF _Toc93048456 \h </w:instrText>
          </w:r>
          <w:r>
            <w:rPr>
              <w:highlight w:val="none"/>
            </w:rPr>
            <w:fldChar w:fldCharType="separate"/>
          </w:r>
          <w:r>
            <w:rPr>
              <w:highlight w:val="none"/>
            </w:rPr>
            <w:t>41</w:t>
          </w:r>
          <w:r>
            <w:rPr>
              <w:highlight w:val="none"/>
            </w:rPr>
            <w:fldChar w:fldCharType="end"/>
          </w:r>
          <w:r>
            <w:rPr>
              <w:highlight w:val="none"/>
            </w:rPr>
            <w:fldChar w:fldCharType="end"/>
          </w:r>
        </w:p>
        <w:p>
          <w:pPr>
            <w:pStyle w:val="29"/>
            <w:tabs>
              <w:tab w:val="right" w:leader="dot" w:pos="8920"/>
            </w:tabs>
            <w:rPr>
              <w:rFonts w:asciiTheme="minorHAnsi" w:hAnsiTheme="minorHAnsi" w:eastAsiaTheme="minorEastAsia" w:cstheme="minorBidi"/>
              <w:sz w:val="21"/>
              <w:szCs w:val="22"/>
              <w:highlight w:val="none"/>
            </w:rPr>
          </w:pPr>
        </w:p>
        <w:p>
          <w:pPr>
            <w:spacing w:line="360" w:lineRule="auto"/>
            <w:rPr>
              <w:highlight w:val="none"/>
            </w:rPr>
          </w:pPr>
          <w:r>
            <w:rPr>
              <w:rFonts w:hint="eastAsia" w:ascii="宋体" w:hAnsi="宋体" w:cs="宋体"/>
              <w:bCs/>
              <w:szCs w:val="32"/>
              <w:highlight w:val="none"/>
            </w:rPr>
            <w:fldChar w:fldCharType="end"/>
          </w:r>
        </w:p>
      </w:sdtContent>
    </w:sdt>
    <w:p>
      <w:pPr>
        <w:spacing w:line="360" w:lineRule="auto"/>
        <w:rPr>
          <w:highlight w:val="none"/>
        </w:rPr>
      </w:pPr>
    </w:p>
    <w:p>
      <w:pPr>
        <w:widowControl/>
        <w:jc w:val="left"/>
        <w:rPr>
          <w:highlight w:val="none"/>
        </w:rPr>
      </w:pPr>
      <w:r>
        <w:rPr>
          <w:highlight w:val="none"/>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0" w:name="_Toc93048451"/>
      <w:r>
        <w:rPr>
          <w:rFonts w:hint="eastAsia" w:ascii="宋体" w:hAnsi="宋体" w:cs="宋体"/>
          <w:b/>
          <w:kern w:val="0"/>
          <w:sz w:val="36"/>
          <w:szCs w:val="36"/>
          <w:highlight w:val="none"/>
        </w:rPr>
        <w:t>磋商公告</w:t>
      </w:r>
      <w:bookmarkEnd w:id="0"/>
    </w:p>
    <w:tbl>
      <w:tblPr>
        <w:tblStyle w:val="41"/>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right="0" w:firstLine="0"/>
              <w:textAlignment w:val="auto"/>
              <w:rPr>
                <w:rFonts w:hint="eastAsia" w:ascii="宋体" w:hAnsi="宋体" w:eastAsia="宋体" w:cs="宋体"/>
                <w:i w:val="0"/>
                <w:iCs w:val="0"/>
                <w:caps w:val="0"/>
                <w:color w:val="000000"/>
                <w:spacing w:val="0"/>
                <w:sz w:val="21"/>
                <w:szCs w:val="21"/>
                <w:highlight w:val="none"/>
              </w:rPr>
            </w:pPr>
            <w:bookmarkStart w:id="1" w:name="_Toc28359087"/>
            <w:bookmarkStart w:id="2" w:name="_Toc28359010"/>
            <w:r>
              <w:rPr>
                <w:rFonts w:hint="eastAsia" w:ascii="宋体" w:hAnsi="宋体" w:eastAsia="宋体" w:cs="宋体"/>
                <w:i w:val="0"/>
                <w:iCs w:val="0"/>
                <w:caps w:val="0"/>
                <w:color w:val="000000"/>
                <w:spacing w:val="0"/>
                <w:sz w:val="21"/>
                <w:szCs w:val="21"/>
                <w:highlight w:val="none"/>
              </w:rPr>
              <w:t>项目概况</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20" w:firstLineChars="200"/>
              <w:textAlignment w:val="auto"/>
              <w:rPr>
                <w:rFonts w:hint="eastAsia" w:ascii="宋体" w:hAnsi="宋体" w:eastAsia="宋体" w:cs="宋体"/>
                <w:color w:val="auto"/>
                <w:kern w:val="0"/>
                <w:szCs w:val="21"/>
                <w:highlight w:val="none"/>
                <w:lang w:eastAsia="zh-CN"/>
              </w:rPr>
            </w:pPr>
            <w:r>
              <w:rPr>
                <w:rFonts w:hint="eastAsia" w:cs="宋体"/>
                <w:i w:val="0"/>
                <w:iCs w:val="0"/>
                <w:caps w:val="0"/>
                <w:color w:val="000000"/>
                <w:spacing w:val="0"/>
                <w:sz w:val="21"/>
                <w:szCs w:val="21"/>
                <w:highlight w:val="none"/>
                <w:lang w:eastAsia="zh-CN"/>
              </w:rPr>
              <w:t>三门县全域幸福河湖建设-蛇蟠乡农村水系治理项目（一期）</w:t>
            </w:r>
            <w:r>
              <w:rPr>
                <w:rFonts w:hint="eastAsia" w:ascii="宋体" w:hAnsi="宋体" w:eastAsia="宋体" w:cs="宋体"/>
                <w:i w:val="0"/>
                <w:iCs w:val="0"/>
                <w:caps w:val="0"/>
                <w:color w:val="000000"/>
                <w:spacing w:val="0"/>
                <w:sz w:val="21"/>
                <w:szCs w:val="21"/>
                <w:highlight w:val="none"/>
              </w:rPr>
              <w:t>采购项目的潜在供应商应在政采云平台线上获取获取（下载）采购文件，并于20</w:t>
            </w:r>
            <w:r>
              <w:rPr>
                <w:rFonts w:hint="eastAsia" w:ascii="宋体" w:hAnsi="宋体" w:eastAsia="宋体" w:cs="宋体"/>
                <w:i w:val="0"/>
                <w:iCs w:val="0"/>
                <w:caps w:val="0"/>
                <w:color w:val="000000"/>
                <w:spacing w:val="0"/>
                <w:sz w:val="21"/>
                <w:szCs w:val="21"/>
                <w:highlight w:val="none"/>
              </w:rPr>
              <w:t>2</w:t>
            </w:r>
            <w:r>
              <w:rPr>
                <w:rFonts w:hint="eastAsia" w:cs="宋体"/>
                <w:i w:val="0"/>
                <w:iCs w:val="0"/>
                <w:caps w:val="0"/>
                <w:color w:val="000000"/>
                <w:spacing w:val="0"/>
                <w:sz w:val="21"/>
                <w:szCs w:val="21"/>
                <w:highlight w:val="none"/>
                <w:lang w:val="en-US" w:eastAsia="zh-CN"/>
              </w:rPr>
              <w:t>4</w:t>
            </w:r>
            <w:r>
              <w:rPr>
                <w:rFonts w:hint="eastAsia" w:ascii="宋体" w:hAnsi="宋体" w:eastAsia="宋体" w:cs="宋体"/>
                <w:i w:val="0"/>
                <w:iCs w:val="0"/>
                <w:caps w:val="0"/>
                <w:color w:val="000000"/>
                <w:spacing w:val="0"/>
                <w:sz w:val="21"/>
                <w:szCs w:val="21"/>
                <w:highlight w:val="none"/>
              </w:rPr>
              <w:t>年</w:t>
            </w:r>
            <w:r>
              <w:rPr>
                <w:rFonts w:hint="eastAsia" w:cs="宋体"/>
                <w:i w:val="0"/>
                <w:iCs w:val="0"/>
                <w:caps w:val="0"/>
                <w:color w:val="000000"/>
                <w:spacing w:val="0"/>
                <w:sz w:val="21"/>
                <w:szCs w:val="21"/>
                <w:highlight w:val="none"/>
                <w:lang w:val="en-US" w:eastAsia="zh-CN"/>
              </w:rPr>
              <w:t>04</w:t>
            </w:r>
            <w:r>
              <w:rPr>
                <w:rFonts w:hint="eastAsia" w:ascii="宋体" w:hAnsi="宋体" w:eastAsia="宋体" w:cs="宋体"/>
                <w:i w:val="0"/>
                <w:iCs w:val="0"/>
                <w:caps w:val="0"/>
                <w:color w:val="000000"/>
                <w:spacing w:val="0"/>
                <w:sz w:val="21"/>
                <w:szCs w:val="21"/>
                <w:highlight w:val="none"/>
              </w:rPr>
              <w:t>月</w:t>
            </w:r>
            <w:r>
              <w:rPr>
                <w:rFonts w:hint="eastAsia" w:cs="宋体"/>
                <w:i w:val="0"/>
                <w:iCs w:val="0"/>
                <w:caps w:val="0"/>
                <w:color w:val="000000"/>
                <w:spacing w:val="0"/>
                <w:sz w:val="21"/>
                <w:szCs w:val="21"/>
                <w:highlight w:val="none"/>
                <w:lang w:val="en-US" w:eastAsia="zh-CN"/>
              </w:rPr>
              <w:t>24</w:t>
            </w:r>
            <w:r>
              <w:rPr>
                <w:rFonts w:hint="eastAsia" w:ascii="宋体" w:hAnsi="宋体" w:eastAsia="宋体" w:cs="宋体"/>
                <w:i w:val="0"/>
                <w:iCs w:val="0"/>
                <w:caps w:val="0"/>
                <w:color w:val="000000"/>
                <w:spacing w:val="0"/>
                <w:sz w:val="21"/>
                <w:szCs w:val="21"/>
                <w:highlight w:val="none"/>
              </w:rPr>
              <w:t>日</w:t>
            </w:r>
            <w:r>
              <w:rPr>
                <w:rFonts w:hint="eastAsia" w:cs="宋体"/>
                <w:i w:val="0"/>
                <w:iCs w:val="0"/>
                <w:caps w:val="0"/>
                <w:color w:val="000000"/>
                <w:spacing w:val="0"/>
                <w:sz w:val="21"/>
                <w:szCs w:val="21"/>
                <w:highlight w:val="none"/>
                <w:lang w:val="en-US" w:eastAsia="zh-CN"/>
              </w:rPr>
              <w:t>09</w:t>
            </w:r>
            <w:r>
              <w:rPr>
                <w:rFonts w:hint="eastAsia" w:ascii="宋体" w:hAnsi="宋体" w:eastAsia="宋体" w:cs="宋体"/>
                <w:i w:val="0"/>
                <w:iCs w:val="0"/>
                <w:caps w:val="0"/>
                <w:color w:val="000000"/>
                <w:spacing w:val="0"/>
                <w:sz w:val="21"/>
                <w:szCs w:val="21"/>
                <w:highlight w:val="none"/>
              </w:rPr>
              <w:t>:00</w:t>
            </w:r>
            <w:r>
              <w:rPr>
                <w:rFonts w:hint="eastAsia" w:ascii="宋体" w:hAnsi="宋体" w:eastAsia="宋体" w:cs="宋体"/>
                <w:i w:val="0"/>
                <w:iCs w:val="0"/>
                <w:caps w:val="0"/>
                <w:color w:val="000000"/>
                <w:spacing w:val="0"/>
                <w:sz w:val="21"/>
                <w:szCs w:val="21"/>
                <w:highlight w:val="none"/>
              </w:rPr>
              <w:t>（北京时间）前提交（上传）响应文件。</w:t>
            </w:r>
          </w:p>
        </w:tc>
      </w:tr>
    </w:tbl>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rPr>
      </w:pPr>
      <w:r>
        <w:rPr>
          <w:rStyle w:val="44"/>
          <w:rFonts w:hint="eastAsia" w:ascii="宋体" w:hAnsi="宋体" w:eastAsia="宋体" w:cs="宋体"/>
          <w:i w:val="0"/>
          <w:iCs w:val="0"/>
          <w:caps w:val="0"/>
          <w:color w:val="000000"/>
          <w:spacing w:val="0"/>
          <w:sz w:val="21"/>
          <w:szCs w:val="21"/>
          <w:highlight w:val="none"/>
        </w:rPr>
        <w:t>一、项目基本情况</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项目编号：三招采-2024-CS029</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项目名称：</w:t>
      </w:r>
      <w:r>
        <w:rPr>
          <w:rFonts w:hint="eastAsia" w:cs="宋体"/>
          <w:i w:val="0"/>
          <w:iCs w:val="0"/>
          <w:caps w:val="0"/>
          <w:color w:val="000000"/>
          <w:spacing w:val="0"/>
          <w:sz w:val="21"/>
          <w:szCs w:val="21"/>
          <w:highlight w:val="none"/>
          <w:lang w:eastAsia="zh-CN"/>
        </w:rPr>
        <w:t>三门县全域幸福河湖建设-蛇蟠乡农村水系治理项目（一期）</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采购方式：竞争性磋商</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default"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预算金额（</w:t>
      </w:r>
      <w:r>
        <w:rPr>
          <w:rFonts w:hint="eastAsia" w:ascii="宋体" w:hAnsi="宋体" w:eastAsia="宋体" w:cs="宋体"/>
          <w:i w:val="0"/>
          <w:iCs w:val="0"/>
          <w:caps w:val="0"/>
          <w:color w:val="000000"/>
          <w:spacing w:val="0"/>
          <w:sz w:val="21"/>
          <w:szCs w:val="21"/>
          <w:highlight w:val="none"/>
        </w:rPr>
        <w:t>元）：</w:t>
      </w:r>
      <w:r>
        <w:rPr>
          <w:rFonts w:hint="eastAsia" w:cs="宋体"/>
          <w:i w:val="0"/>
          <w:iCs w:val="0"/>
          <w:caps w:val="0"/>
          <w:color w:val="000000"/>
          <w:spacing w:val="0"/>
          <w:sz w:val="21"/>
          <w:szCs w:val="21"/>
          <w:highlight w:val="none"/>
          <w:lang w:val="en-US" w:eastAsia="zh-CN"/>
        </w:rPr>
        <w:t>1400000</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最高限价（元）：</w:t>
      </w:r>
      <w:r>
        <w:rPr>
          <w:rFonts w:hint="eastAsia" w:cs="宋体"/>
          <w:i w:val="0"/>
          <w:iCs w:val="0"/>
          <w:caps w:val="0"/>
          <w:color w:val="000000"/>
          <w:spacing w:val="0"/>
          <w:sz w:val="21"/>
          <w:szCs w:val="21"/>
          <w:highlight w:val="none"/>
          <w:lang w:val="en-US" w:eastAsia="zh-CN"/>
        </w:rPr>
        <w:t>1377613</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采购需求：</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kern w:val="0"/>
          <w:sz w:val="21"/>
          <w:szCs w:val="21"/>
          <w:highlight w:val="none"/>
          <w:lang w:val="en-US" w:eastAsia="zh-CN" w:bidi="ar"/>
        </w:rPr>
      </w:pPr>
      <w:r>
        <w:rPr>
          <w:rFonts w:hint="eastAsia" w:ascii="宋体" w:hAnsi="宋体" w:eastAsia="宋体" w:cs="宋体"/>
          <w:i w:val="0"/>
          <w:iCs w:val="0"/>
          <w:caps w:val="0"/>
          <w:color w:val="000000"/>
          <w:spacing w:val="0"/>
          <w:kern w:val="0"/>
          <w:sz w:val="21"/>
          <w:szCs w:val="21"/>
          <w:highlight w:val="none"/>
          <w:lang w:val="en-US" w:eastAsia="zh-CN" w:bidi="ar"/>
        </w:rPr>
        <w:t>数量：不限</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预算金额（元）：</w:t>
      </w:r>
      <w:r>
        <w:rPr>
          <w:rFonts w:hint="eastAsia" w:cs="宋体"/>
          <w:i w:val="0"/>
          <w:iCs w:val="0"/>
          <w:caps w:val="0"/>
          <w:color w:val="000000"/>
          <w:spacing w:val="0"/>
          <w:sz w:val="21"/>
          <w:szCs w:val="21"/>
          <w:highlight w:val="none"/>
          <w:lang w:val="en-US" w:eastAsia="zh-CN"/>
        </w:rPr>
        <w:t>1400000</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单位：项</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简要规格描述：详见磋商文件</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备注：</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合同履约期限：标项 1，不超过</w:t>
      </w:r>
      <w:r>
        <w:rPr>
          <w:rFonts w:hint="eastAsia" w:cs="宋体"/>
          <w:i w:val="0"/>
          <w:iCs w:val="0"/>
          <w:caps w:val="0"/>
          <w:color w:val="000000"/>
          <w:spacing w:val="0"/>
          <w:sz w:val="21"/>
          <w:szCs w:val="21"/>
          <w:highlight w:val="none"/>
          <w:lang w:val="en-US" w:eastAsia="zh-CN"/>
        </w:rPr>
        <w:t>90</w:t>
      </w:r>
      <w:r>
        <w:rPr>
          <w:rFonts w:hint="eastAsia" w:ascii="宋体" w:hAnsi="宋体" w:eastAsia="宋体" w:cs="宋体"/>
          <w:i w:val="0"/>
          <w:iCs w:val="0"/>
          <w:caps w:val="0"/>
          <w:color w:val="000000"/>
          <w:spacing w:val="0"/>
          <w:sz w:val="21"/>
          <w:szCs w:val="21"/>
          <w:highlight w:val="none"/>
        </w:rPr>
        <w:t>日历</w:t>
      </w:r>
      <w:r>
        <w:rPr>
          <w:rFonts w:hint="eastAsia" w:ascii="宋体" w:hAnsi="宋体" w:eastAsia="宋体" w:cs="宋体"/>
          <w:i w:val="0"/>
          <w:iCs w:val="0"/>
          <w:caps w:val="0"/>
          <w:color w:val="000000"/>
          <w:spacing w:val="0"/>
          <w:sz w:val="21"/>
          <w:szCs w:val="21"/>
          <w:highlight w:val="none"/>
        </w:rPr>
        <w:t>天（投标人在投标文件中必须明确工期天数）</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本项目（否）接受联合体投标。</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rPr>
      </w:pPr>
      <w:r>
        <w:rPr>
          <w:rStyle w:val="44"/>
          <w:rFonts w:hint="eastAsia" w:ascii="宋体" w:hAnsi="宋体" w:eastAsia="宋体" w:cs="宋体"/>
          <w:i w:val="0"/>
          <w:iCs w:val="0"/>
          <w:caps w:val="0"/>
          <w:color w:val="000000"/>
          <w:spacing w:val="0"/>
          <w:sz w:val="21"/>
          <w:szCs w:val="21"/>
          <w:highlight w:val="none"/>
        </w:rPr>
        <w:t>二、申请人的资格要求：</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2.落实政府采购政策需满足的资格要求：标项1：供应商为中小企业/小微企业；</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3.本项目的特定资格要求：</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【标项1】</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（1）具有水利水电工程施工总承包三级及以上资质等级；</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（2）要求拟派项目负责人具有水利水电工程二级及以上注册建造师执业资格，无在建工程；</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（3）具有有效的企业《安全生产许可证》；</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（4）项目负责人的《项目负责人建造师注册证书》、《安全生产考核合格证》；</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（5）浙江省省外的投标人须提供有效的《省外企业进浙承接业务备案表》；</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rPr>
      </w:pPr>
      <w:r>
        <w:rPr>
          <w:rStyle w:val="44"/>
          <w:rFonts w:hint="eastAsia" w:ascii="宋体" w:hAnsi="宋体" w:eastAsia="宋体" w:cs="宋体"/>
          <w:i w:val="0"/>
          <w:iCs w:val="0"/>
          <w:caps w:val="0"/>
          <w:color w:val="000000"/>
          <w:spacing w:val="0"/>
          <w:sz w:val="21"/>
          <w:szCs w:val="21"/>
          <w:highlight w:val="none"/>
        </w:rPr>
        <w:t>三、获取（下载）采购文件</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 xml:space="preserve"> </w:t>
      </w:r>
      <w:r>
        <w:rPr>
          <w:rFonts w:hint="eastAsia" w:ascii="宋体" w:hAnsi="宋体" w:eastAsia="宋体" w:cs="宋体"/>
          <w:i w:val="0"/>
          <w:iCs w:val="0"/>
          <w:caps w:val="0"/>
          <w:color w:val="000000"/>
          <w:spacing w:val="0"/>
          <w:sz w:val="21"/>
          <w:szCs w:val="21"/>
          <w:highlight w:val="none"/>
          <w:u w:val="none"/>
        </w:rPr>
        <w:t>时间：/至20</w:t>
      </w:r>
      <w:r>
        <w:rPr>
          <w:rFonts w:hint="eastAsia" w:ascii="宋体" w:hAnsi="宋体" w:eastAsia="宋体" w:cs="宋体"/>
          <w:i w:val="0"/>
          <w:iCs w:val="0"/>
          <w:caps w:val="0"/>
          <w:color w:val="000000"/>
          <w:spacing w:val="0"/>
          <w:sz w:val="21"/>
          <w:szCs w:val="21"/>
          <w:highlight w:val="none"/>
          <w:u w:val="none"/>
        </w:rPr>
        <w:t>2</w:t>
      </w:r>
      <w:r>
        <w:rPr>
          <w:rFonts w:hint="eastAsia" w:cs="宋体"/>
          <w:i w:val="0"/>
          <w:iCs w:val="0"/>
          <w:caps w:val="0"/>
          <w:color w:val="000000"/>
          <w:spacing w:val="0"/>
          <w:sz w:val="21"/>
          <w:szCs w:val="21"/>
          <w:highlight w:val="none"/>
          <w:u w:val="none"/>
          <w:lang w:val="en-US" w:eastAsia="zh-CN"/>
        </w:rPr>
        <w:t>4</w:t>
      </w:r>
      <w:r>
        <w:rPr>
          <w:rFonts w:hint="eastAsia" w:ascii="宋体" w:hAnsi="宋体" w:eastAsia="宋体" w:cs="宋体"/>
          <w:i w:val="0"/>
          <w:iCs w:val="0"/>
          <w:caps w:val="0"/>
          <w:color w:val="000000"/>
          <w:spacing w:val="0"/>
          <w:sz w:val="21"/>
          <w:szCs w:val="21"/>
          <w:highlight w:val="none"/>
          <w:u w:val="none"/>
        </w:rPr>
        <w:t>年</w:t>
      </w:r>
      <w:r>
        <w:rPr>
          <w:rFonts w:hint="eastAsia" w:cs="宋体"/>
          <w:i w:val="0"/>
          <w:iCs w:val="0"/>
          <w:caps w:val="0"/>
          <w:color w:val="000000"/>
          <w:spacing w:val="0"/>
          <w:sz w:val="21"/>
          <w:szCs w:val="21"/>
          <w:highlight w:val="none"/>
          <w:u w:val="none"/>
          <w:lang w:val="en-US" w:eastAsia="zh-CN"/>
        </w:rPr>
        <w:t>04</w:t>
      </w:r>
      <w:r>
        <w:rPr>
          <w:rFonts w:hint="eastAsia" w:ascii="宋体" w:hAnsi="宋体" w:eastAsia="宋体" w:cs="宋体"/>
          <w:i w:val="0"/>
          <w:iCs w:val="0"/>
          <w:caps w:val="0"/>
          <w:color w:val="000000"/>
          <w:spacing w:val="0"/>
          <w:sz w:val="21"/>
          <w:szCs w:val="21"/>
          <w:highlight w:val="none"/>
          <w:u w:val="none"/>
        </w:rPr>
        <w:t>月</w:t>
      </w:r>
      <w:r>
        <w:rPr>
          <w:rFonts w:hint="eastAsia" w:cs="宋体"/>
          <w:i w:val="0"/>
          <w:iCs w:val="0"/>
          <w:caps w:val="0"/>
          <w:color w:val="000000"/>
          <w:spacing w:val="0"/>
          <w:sz w:val="21"/>
          <w:szCs w:val="21"/>
          <w:highlight w:val="none"/>
          <w:u w:val="none"/>
          <w:lang w:val="en-US" w:eastAsia="zh-CN"/>
        </w:rPr>
        <w:t>24</w:t>
      </w:r>
      <w:r>
        <w:rPr>
          <w:rFonts w:hint="eastAsia" w:ascii="宋体" w:hAnsi="宋体" w:eastAsia="宋体" w:cs="宋体"/>
          <w:i w:val="0"/>
          <w:iCs w:val="0"/>
          <w:caps w:val="0"/>
          <w:color w:val="000000"/>
          <w:spacing w:val="0"/>
          <w:sz w:val="21"/>
          <w:szCs w:val="21"/>
          <w:highlight w:val="none"/>
          <w:u w:val="none"/>
        </w:rPr>
        <w:t>日，</w:t>
      </w:r>
      <w:r>
        <w:rPr>
          <w:rFonts w:hint="eastAsia" w:ascii="宋体" w:hAnsi="宋体" w:eastAsia="宋体" w:cs="宋体"/>
          <w:i w:val="0"/>
          <w:iCs w:val="0"/>
          <w:caps w:val="0"/>
          <w:color w:val="000000"/>
          <w:spacing w:val="0"/>
          <w:sz w:val="21"/>
          <w:szCs w:val="21"/>
          <w:highlight w:val="none"/>
          <w:u w:val="none"/>
        </w:rPr>
        <w:t>每天上午00:00至12:00，下午12:00至23:59（北京时间，线上获取法定节假日均可，线下获取文件法定节假日除外）</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地点（网址）：政采云平台线上获取</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方式：供应商登录政采云平台https://www.zcygov.cn/在线申请获取采购文件（进入“项目采购”应用，在获取采购文件菜单中选择项目，申请获取采购文件）</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售价（元）：0</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lang w:eastAsia="zh-CN"/>
        </w:rPr>
      </w:pPr>
      <w:r>
        <w:rPr>
          <w:rStyle w:val="44"/>
          <w:rFonts w:hint="eastAsia" w:ascii="宋体" w:hAnsi="宋体" w:eastAsia="宋体" w:cs="宋体"/>
          <w:i w:val="0"/>
          <w:iCs w:val="0"/>
          <w:caps w:val="0"/>
          <w:color w:val="000000"/>
          <w:spacing w:val="0"/>
          <w:sz w:val="21"/>
          <w:szCs w:val="21"/>
          <w:highlight w:val="none"/>
        </w:rPr>
        <w:t>四、响应文件提交（上传）</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截止时间：20</w:t>
      </w:r>
      <w:r>
        <w:rPr>
          <w:rFonts w:hint="eastAsia" w:ascii="宋体" w:hAnsi="宋体" w:eastAsia="宋体" w:cs="宋体"/>
          <w:i w:val="0"/>
          <w:iCs w:val="0"/>
          <w:caps w:val="0"/>
          <w:color w:val="000000"/>
          <w:spacing w:val="0"/>
          <w:sz w:val="21"/>
          <w:szCs w:val="21"/>
          <w:highlight w:val="none"/>
        </w:rPr>
        <w:t>2</w:t>
      </w:r>
      <w:r>
        <w:rPr>
          <w:rFonts w:hint="eastAsia" w:cs="宋体"/>
          <w:i w:val="0"/>
          <w:iCs w:val="0"/>
          <w:caps w:val="0"/>
          <w:color w:val="000000"/>
          <w:spacing w:val="0"/>
          <w:sz w:val="21"/>
          <w:szCs w:val="21"/>
          <w:highlight w:val="none"/>
          <w:lang w:val="en-US" w:eastAsia="zh-CN"/>
        </w:rPr>
        <w:t>4</w:t>
      </w:r>
      <w:r>
        <w:rPr>
          <w:rFonts w:hint="eastAsia" w:ascii="宋体" w:hAnsi="宋体" w:eastAsia="宋体" w:cs="宋体"/>
          <w:i w:val="0"/>
          <w:iCs w:val="0"/>
          <w:caps w:val="0"/>
          <w:color w:val="000000"/>
          <w:spacing w:val="0"/>
          <w:sz w:val="21"/>
          <w:szCs w:val="21"/>
          <w:highlight w:val="none"/>
        </w:rPr>
        <w:t>年</w:t>
      </w:r>
      <w:r>
        <w:rPr>
          <w:rFonts w:hint="eastAsia" w:cs="宋体"/>
          <w:i w:val="0"/>
          <w:iCs w:val="0"/>
          <w:caps w:val="0"/>
          <w:color w:val="000000"/>
          <w:spacing w:val="0"/>
          <w:sz w:val="21"/>
          <w:szCs w:val="21"/>
          <w:highlight w:val="none"/>
          <w:lang w:val="en-US" w:eastAsia="zh-CN"/>
        </w:rPr>
        <w:t>04</w:t>
      </w:r>
      <w:r>
        <w:rPr>
          <w:rFonts w:hint="eastAsia" w:ascii="宋体" w:hAnsi="宋体" w:eastAsia="宋体" w:cs="宋体"/>
          <w:i w:val="0"/>
          <w:iCs w:val="0"/>
          <w:caps w:val="0"/>
          <w:color w:val="000000"/>
          <w:spacing w:val="0"/>
          <w:sz w:val="21"/>
          <w:szCs w:val="21"/>
          <w:highlight w:val="none"/>
        </w:rPr>
        <w:t>月</w:t>
      </w:r>
      <w:r>
        <w:rPr>
          <w:rFonts w:hint="eastAsia" w:cs="宋体"/>
          <w:i w:val="0"/>
          <w:iCs w:val="0"/>
          <w:caps w:val="0"/>
          <w:color w:val="000000"/>
          <w:spacing w:val="0"/>
          <w:sz w:val="21"/>
          <w:szCs w:val="21"/>
          <w:highlight w:val="none"/>
          <w:lang w:val="en-US" w:eastAsia="zh-CN"/>
        </w:rPr>
        <w:t>24</w:t>
      </w:r>
      <w:r>
        <w:rPr>
          <w:rFonts w:hint="eastAsia" w:ascii="宋体" w:hAnsi="宋体" w:eastAsia="宋体" w:cs="宋体"/>
          <w:i w:val="0"/>
          <w:iCs w:val="0"/>
          <w:caps w:val="0"/>
          <w:color w:val="000000"/>
          <w:spacing w:val="0"/>
          <w:sz w:val="21"/>
          <w:szCs w:val="21"/>
          <w:highlight w:val="none"/>
        </w:rPr>
        <w:t>日</w:t>
      </w:r>
      <w:r>
        <w:rPr>
          <w:rFonts w:hint="eastAsia" w:cs="宋体"/>
          <w:i w:val="0"/>
          <w:iCs w:val="0"/>
          <w:caps w:val="0"/>
          <w:color w:val="000000"/>
          <w:spacing w:val="0"/>
          <w:sz w:val="21"/>
          <w:szCs w:val="21"/>
          <w:highlight w:val="none"/>
          <w:lang w:val="en-US" w:eastAsia="zh-CN"/>
        </w:rPr>
        <w:t>09</w:t>
      </w:r>
      <w:r>
        <w:rPr>
          <w:rFonts w:hint="eastAsia" w:ascii="宋体" w:hAnsi="宋体" w:eastAsia="宋体" w:cs="宋体"/>
          <w:i w:val="0"/>
          <w:iCs w:val="0"/>
          <w:caps w:val="0"/>
          <w:color w:val="000000"/>
          <w:spacing w:val="0"/>
          <w:sz w:val="21"/>
          <w:szCs w:val="21"/>
          <w:highlight w:val="none"/>
        </w:rPr>
        <w:t>:00</w:t>
      </w:r>
      <w:r>
        <w:rPr>
          <w:rFonts w:hint="eastAsia" w:ascii="宋体" w:hAnsi="宋体" w:eastAsia="宋体" w:cs="宋体"/>
          <w:i w:val="0"/>
          <w:iCs w:val="0"/>
          <w:caps w:val="0"/>
          <w:color w:val="000000"/>
          <w:spacing w:val="0"/>
          <w:sz w:val="21"/>
          <w:szCs w:val="21"/>
          <w:highlight w:val="none"/>
        </w:rPr>
        <w:t>（北京时间）</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地点（网址）：请登录政采云投标客户端投标</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lang w:eastAsia="zh-CN"/>
        </w:rPr>
      </w:pPr>
      <w:r>
        <w:rPr>
          <w:rStyle w:val="44"/>
          <w:rFonts w:hint="eastAsia" w:ascii="宋体" w:hAnsi="宋体" w:eastAsia="宋体" w:cs="宋体"/>
          <w:i w:val="0"/>
          <w:iCs w:val="0"/>
          <w:caps w:val="0"/>
          <w:color w:val="000000"/>
          <w:spacing w:val="0"/>
          <w:sz w:val="21"/>
          <w:szCs w:val="21"/>
          <w:highlight w:val="none"/>
        </w:rPr>
        <w:t>五、响应文件开启</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开启时间：20</w:t>
      </w:r>
      <w:r>
        <w:rPr>
          <w:rFonts w:hint="eastAsia" w:ascii="宋体" w:hAnsi="宋体" w:eastAsia="宋体" w:cs="宋体"/>
          <w:i w:val="0"/>
          <w:iCs w:val="0"/>
          <w:caps w:val="0"/>
          <w:color w:val="000000"/>
          <w:spacing w:val="0"/>
          <w:sz w:val="21"/>
          <w:szCs w:val="21"/>
          <w:highlight w:val="none"/>
        </w:rPr>
        <w:t>2</w:t>
      </w:r>
      <w:r>
        <w:rPr>
          <w:rFonts w:hint="eastAsia" w:cs="宋体"/>
          <w:i w:val="0"/>
          <w:iCs w:val="0"/>
          <w:caps w:val="0"/>
          <w:color w:val="000000"/>
          <w:spacing w:val="0"/>
          <w:sz w:val="21"/>
          <w:szCs w:val="21"/>
          <w:highlight w:val="none"/>
          <w:lang w:val="en-US" w:eastAsia="zh-CN"/>
        </w:rPr>
        <w:t>4</w:t>
      </w:r>
      <w:r>
        <w:rPr>
          <w:rFonts w:hint="eastAsia" w:ascii="宋体" w:hAnsi="宋体" w:eastAsia="宋体" w:cs="宋体"/>
          <w:i w:val="0"/>
          <w:iCs w:val="0"/>
          <w:caps w:val="0"/>
          <w:color w:val="000000"/>
          <w:spacing w:val="0"/>
          <w:sz w:val="21"/>
          <w:szCs w:val="21"/>
          <w:highlight w:val="none"/>
        </w:rPr>
        <w:t>年</w:t>
      </w:r>
      <w:r>
        <w:rPr>
          <w:rFonts w:hint="eastAsia" w:cs="宋体"/>
          <w:i w:val="0"/>
          <w:iCs w:val="0"/>
          <w:caps w:val="0"/>
          <w:color w:val="000000"/>
          <w:spacing w:val="0"/>
          <w:sz w:val="21"/>
          <w:szCs w:val="21"/>
          <w:highlight w:val="none"/>
          <w:lang w:val="en-US" w:eastAsia="zh-CN"/>
        </w:rPr>
        <w:t>04</w:t>
      </w:r>
      <w:r>
        <w:rPr>
          <w:rFonts w:hint="eastAsia" w:ascii="宋体" w:hAnsi="宋体" w:eastAsia="宋体" w:cs="宋体"/>
          <w:i w:val="0"/>
          <w:iCs w:val="0"/>
          <w:caps w:val="0"/>
          <w:color w:val="000000"/>
          <w:spacing w:val="0"/>
          <w:sz w:val="21"/>
          <w:szCs w:val="21"/>
          <w:highlight w:val="none"/>
        </w:rPr>
        <w:t>月</w:t>
      </w:r>
      <w:r>
        <w:rPr>
          <w:rFonts w:hint="eastAsia" w:cs="宋体"/>
          <w:i w:val="0"/>
          <w:iCs w:val="0"/>
          <w:caps w:val="0"/>
          <w:color w:val="000000"/>
          <w:spacing w:val="0"/>
          <w:sz w:val="21"/>
          <w:szCs w:val="21"/>
          <w:highlight w:val="none"/>
          <w:lang w:val="en-US" w:eastAsia="zh-CN"/>
        </w:rPr>
        <w:t>24</w:t>
      </w:r>
      <w:r>
        <w:rPr>
          <w:rFonts w:hint="eastAsia" w:ascii="宋体" w:hAnsi="宋体" w:eastAsia="宋体" w:cs="宋体"/>
          <w:i w:val="0"/>
          <w:iCs w:val="0"/>
          <w:caps w:val="0"/>
          <w:color w:val="000000"/>
          <w:spacing w:val="0"/>
          <w:sz w:val="21"/>
          <w:szCs w:val="21"/>
          <w:highlight w:val="none"/>
        </w:rPr>
        <w:t>日</w:t>
      </w:r>
      <w:r>
        <w:rPr>
          <w:rFonts w:hint="eastAsia" w:cs="宋体"/>
          <w:i w:val="0"/>
          <w:iCs w:val="0"/>
          <w:caps w:val="0"/>
          <w:color w:val="000000"/>
          <w:spacing w:val="0"/>
          <w:sz w:val="21"/>
          <w:szCs w:val="21"/>
          <w:highlight w:val="none"/>
          <w:lang w:val="en-US" w:eastAsia="zh-CN"/>
        </w:rPr>
        <w:t>09</w:t>
      </w:r>
      <w:r>
        <w:rPr>
          <w:rFonts w:hint="eastAsia" w:ascii="宋体" w:hAnsi="宋体" w:eastAsia="宋体" w:cs="宋体"/>
          <w:i w:val="0"/>
          <w:iCs w:val="0"/>
          <w:caps w:val="0"/>
          <w:color w:val="000000"/>
          <w:spacing w:val="0"/>
          <w:sz w:val="21"/>
          <w:szCs w:val="21"/>
          <w:highlight w:val="none"/>
        </w:rPr>
        <w:t>:00</w:t>
      </w:r>
      <w:r>
        <w:rPr>
          <w:rFonts w:hint="eastAsia" w:ascii="宋体" w:hAnsi="宋体" w:eastAsia="宋体" w:cs="宋体"/>
          <w:i w:val="0"/>
          <w:iCs w:val="0"/>
          <w:caps w:val="0"/>
          <w:color w:val="000000"/>
          <w:spacing w:val="0"/>
          <w:sz w:val="21"/>
          <w:szCs w:val="21"/>
          <w:highlight w:val="none"/>
        </w:rPr>
        <w:t>（北京时间）</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地点（网址）：浙江省台州市三门县三门县海游街道广场路22号交通大楼四楼开标</w:t>
      </w:r>
      <w:r>
        <w:rPr>
          <w:rFonts w:hint="eastAsia" w:ascii="宋体" w:hAnsi="宋体" w:eastAsia="宋体" w:cs="宋体"/>
          <w:i w:val="0"/>
          <w:iCs w:val="0"/>
          <w:caps w:val="0"/>
          <w:color w:val="000000"/>
          <w:spacing w:val="0"/>
          <w:sz w:val="21"/>
          <w:szCs w:val="21"/>
          <w:highlight w:val="none"/>
        </w:rPr>
        <w:t>二</w:t>
      </w:r>
      <w:r>
        <w:rPr>
          <w:rFonts w:hint="eastAsia" w:ascii="宋体" w:hAnsi="宋体" w:eastAsia="宋体" w:cs="宋体"/>
          <w:i w:val="0"/>
          <w:iCs w:val="0"/>
          <w:caps w:val="0"/>
          <w:color w:val="000000"/>
          <w:spacing w:val="0"/>
          <w:sz w:val="21"/>
          <w:szCs w:val="21"/>
          <w:highlight w:val="none"/>
        </w:rPr>
        <w:t>室</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rPr>
      </w:pPr>
      <w:r>
        <w:rPr>
          <w:rStyle w:val="44"/>
          <w:rFonts w:hint="eastAsia" w:ascii="宋体" w:hAnsi="宋体" w:eastAsia="宋体" w:cs="宋体"/>
          <w:i w:val="0"/>
          <w:iCs w:val="0"/>
          <w:caps w:val="0"/>
          <w:color w:val="000000"/>
          <w:spacing w:val="0"/>
          <w:sz w:val="21"/>
          <w:szCs w:val="21"/>
          <w:highlight w:val="none"/>
        </w:rPr>
        <w:t>六、公告期限</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自本公告发布之日起3个工作日。</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lang w:eastAsia="zh-CN"/>
        </w:rPr>
      </w:pPr>
      <w:r>
        <w:rPr>
          <w:rStyle w:val="44"/>
          <w:rFonts w:hint="eastAsia" w:ascii="宋体" w:hAnsi="宋体" w:eastAsia="宋体" w:cs="宋体"/>
          <w:i w:val="0"/>
          <w:iCs w:val="0"/>
          <w:caps w:val="0"/>
          <w:color w:val="000000"/>
          <w:spacing w:val="0"/>
          <w:sz w:val="21"/>
          <w:szCs w:val="21"/>
          <w:highlight w:val="none"/>
        </w:rPr>
        <w:t>七、其他补充事宜</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right="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right="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4.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2.供应商对采购过程提出质疑的，应当在各采购程序环节结束之日起7个工作日内提出质疑；</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3.供应商对成交结果提出质疑的，应当在成交结果公告期限届满之日起7个工作日内提出质疑。</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4.在线投标响应（电子投标）相关说明：</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（3）为确保网上操作合法、有效和安全，投标供应商应当在投标截止时间前完成在“政府采购云平台”的身份认证，确保</w:t>
      </w:r>
      <w:r>
        <w:rPr>
          <w:rFonts w:hint="eastAsia" w:ascii="宋体" w:hAnsi="宋体" w:eastAsia="宋体" w:cs="宋体"/>
          <w:i w:val="0"/>
          <w:iCs w:val="0"/>
          <w:caps w:val="0"/>
          <w:color w:val="000000"/>
          <w:spacing w:val="0"/>
          <w:sz w:val="21"/>
          <w:szCs w:val="21"/>
          <w:highlight w:val="none"/>
        </w:rPr>
        <w:t>在电子投标过程中能够对相关数据电文进行加密和使用电子签章。使用“政采云电子交易客户端”需要提前申领 CA 数字证书，申领流程请自行前往“浙江政府采购网-下载专区-电子交易客户端-CA 驱动和申领流程”进行查阅。</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（4）供应商通过政府采购云平台电子投标工具制作投标响应文件，电子投标工具请供应商自行前往浙江省政府采购网下载并安装。</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（6）本项目需要供应商同时提供备份投标响应文件。备份投标响应文件发送至代理机构电子邮箱，逾期发送将被拒收。</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（8）本项目所有公告发布网站：“浙江省政府采购网”（http:// www.zjzfcg.gov.cn）和“三门县公共资源交易中心网”（http://www.sanmen.gov.cn/col/col1229610743/index.html）。</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注:▲未传输递交电子投标文件的，投标无效。未按规定提供相应的备份投标文件，造成项目开评标活动无法进行下去的，投标无效。</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both"/>
        <w:textAlignment w:val="auto"/>
        <w:rPr>
          <w:rFonts w:hint="eastAsia" w:ascii="宋体" w:hAnsi="宋体" w:eastAsia="宋体" w:cs="宋体"/>
          <w:i w:val="0"/>
          <w:iCs w:val="0"/>
          <w:caps w:val="0"/>
          <w:color w:val="000000"/>
          <w:spacing w:val="0"/>
          <w:sz w:val="21"/>
          <w:szCs w:val="21"/>
          <w:highlight w:val="none"/>
        </w:rPr>
      </w:pPr>
      <w:r>
        <w:rPr>
          <w:rStyle w:val="44"/>
          <w:rFonts w:hint="eastAsia" w:ascii="宋体" w:hAnsi="宋体" w:eastAsia="宋体" w:cs="宋体"/>
          <w:i w:val="0"/>
          <w:iCs w:val="0"/>
          <w:caps w:val="0"/>
          <w:color w:val="000000"/>
          <w:spacing w:val="0"/>
          <w:sz w:val="21"/>
          <w:szCs w:val="21"/>
          <w:highlight w:val="none"/>
        </w:rPr>
        <w:t>八、凡对本次招标提出询问、质疑、投诉，请按以下方式联系</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1.采购人信息</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名 称：</w:t>
      </w:r>
      <w:r>
        <w:rPr>
          <w:rFonts w:hint="eastAsia" w:cs="宋体"/>
          <w:i w:val="0"/>
          <w:iCs w:val="0"/>
          <w:caps w:val="0"/>
          <w:color w:val="000000"/>
          <w:spacing w:val="0"/>
          <w:sz w:val="21"/>
          <w:szCs w:val="21"/>
          <w:highlight w:val="none"/>
          <w:lang w:eastAsia="zh-CN"/>
        </w:rPr>
        <w:t xml:space="preserve">三门县蛇蟠乡人民政府  </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地 址：三门县</w:t>
      </w:r>
      <w:r>
        <w:rPr>
          <w:rFonts w:hint="eastAsia" w:cs="宋体"/>
          <w:i w:val="0"/>
          <w:iCs w:val="0"/>
          <w:caps w:val="0"/>
          <w:color w:val="000000"/>
          <w:spacing w:val="0"/>
          <w:sz w:val="21"/>
          <w:szCs w:val="21"/>
          <w:highlight w:val="none"/>
          <w:lang w:eastAsia="zh-CN"/>
        </w:rPr>
        <w:t>蛇蟠乡</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传真：</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项目联系人（询问）：</w:t>
      </w:r>
      <w:r>
        <w:rPr>
          <w:rFonts w:hint="eastAsia" w:cs="宋体"/>
          <w:i w:val="0"/>
          <w:iCs w:val="0"/>
          <w:caps w:val="0"/>
          <w:color w:val="000000"/>
          <w:spacing w:val="0"/>
          <w:sz w:val="21"/>
          <w:szCs w:val="21"/>
          <w:highlight w:val="none"/>
          <w:lang w:eastAsia="zh-CN"/>
        </w:rPr>
        <w:t>刘先涨</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项目联系方式（询问）：</w:t>
      </w:r>
      <w:r>
        <w:rPr>
          <w:rFonts w:hint="eastAsia" w:cs="宋体"/>
          <w:i w:val="0"/>
          <w:iCs w:val="0"/>
          <w:caps w:val="0"/>
          <w:color w:val="000000"/>
          <w:spacing w:val="0"/>
          <w:sz w:val="21"/>
          <w:szCs w:val="21"/>
          <w:highlight w:val="none"/>
          <w:lang w:eastAsia="zh-CN"/>
        </w:rPr>
        <w:t>13867608061</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质疑联系人：</w:t>
      </w:r>
      <w:r>
        <w:rPr>
          <w:rFonts w:hint="eastAsia" w:cs="宋体"/>
          <w:i w:val="0"/>
          <w:iCs w:val="0"/>
          <w:caps w:val="0"/>
          <w:color w:val="000000"/>
          <w:spacing w:val="0"/>
          <w:sz w:val="21"/>
          <w:szCs w:val="21"/>
          <w:highlight w:val="none"/>
          <w:lang w:eastAsia="zh-CN"/>
        </w:rPr>
        <w:t>刘先涨</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质疑联系方式：</w:t>
      </w:r>
      <w:r>
        <w:rPr>
          <w:rFonts w:hint="eastAsia" w:cs="宋体"/>
          <w:i w:val="0"/>
          <w:iCs w:val="0"/>
          <w:caps w:val="0"/>
          <w:color w:val="000000"/>
          <w:spacing w:val="0"/>
          <w:sz w:val="21"/>
          <w:szCs w:val="21"/>
          <w:highlight w:val="none"/>
          <w:lang w:eastAsia="zh-CN"/>
        </w:rPr>
        <w:t>13867608061</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2.采购代理机构信息</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名 称：泾清项目管理有限公司</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地 址：三门县海游街道朝晖路67号201室（城东惠泽苑小区内）</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传真：</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项目联系人（询问）：吴越</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项目联系方式（询问）：0576-83318599</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质疑联系人：谢银芳</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质疑联系方式：0576-83318599</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 xml:space="preserve"> </w:t>
      </w:r>
      <w:r>
        <w:rPr>
          <w:rFonts w:hint="eastAsia" w:ascii="宋体" w:hAnsi="宋体" w:eastAsia="宋体" w:cs="宋体"/>
          <w:i w:val="0"/>
          <w:iCs w:val="0"/>
          <w:caps w:val="0"/>
          <w:color w:val="000000"/>
          <w:spacing w:val="0"/>
          <w:sz w:val="21"/>
          <w:szCs w:val="21"/>
          <w:highlight w:val="none"/>
        </w:rPr>
        <w:br w:type="textWrapping"/>
      </w:r>
      <w:r>
        <w:rPr>
          <w:rFonts w:hint="eastAsia" w:ascii="宋体" w:hAnsi="宋体" w:eastAsia="宋体" w:cs="宋体"/>
          <w:i w:val="0"/>
          <w:iCs w:val="0"/>
          <w:caps w:val="0"/>
          <w:color w:val="000000"/>
          <w:spacing w:val="0"/>
          <w:sz w:val="21"/>
          <w:szCs w:val="21"/>
          <w:highlight w:val="none"/>
        </w:rPr>
        <w:t>3.</w:t>
      </w:r>
      <w:r>
        <w:rPr>
          <w:rStyle w:val="49"/>
          <w:rFonts w:hint="eastAsia" w:ascii="宋体" w:hAnsi="宋体" w:eastAsia="宋体" w:cs="宋体"/>
          <w:i w:val="0"/>
          <w:iCs w:val="0"/>
          <w:caps w:val="0"/>
          <w:color w:val="000000"/>
          <w:spacing w:val="0"/>
          <w:sz w:val="21"/>
          <w:szCs w:val="21"/>
          <w:highlight w:val="none"/>
        </w:rPr>
        <w:t>同级政府采购监督管理部门</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名称：三门县财政局</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地址：</w:t>
      </w:r>
      <w:bookmarkStart w:id="115" w:name="_GoBack"/>
      <w:bookmarkEnd w:id="115"/>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传真：</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联系人：/</w:t>
      </w:r>
    </w:p>
    <w:p>
      <w:pPr>
        <w:pStyle w:val="3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监督投诉电话：0576-83305830</w:t>
      </w:r>
    </w:p>
    <w:p>
      <w:pPr>
        <w:keepNext w:val="0"/>
        <w:keepLines w:val="0"/>
        <w:pageBreakBefore w:val="0"/>
        <w:widowControl/>
        <w:kinsoku/>
        <w:overflowPunct/>
        <w:topLinePunct w:val="0"/>
        <w:autoSpaceDE/>
        <w:autoSpaceDN/>
        <w:bidi w:val="0"/>
        <w:adjustRightInd/>
        <w:snapToGrid/>
        <w:spacing w:line="312" w:lineRule="auto"/>
        <w:ind w:firstLine="420" w:firstLineChars="200"/>
        <w:jc w:val="righ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 xml:space="preserve">三门县蛇蟠乡人民政府  </w:t>
      </w:r>
    </w:p>
    <w:p>
      <w:pPr>
        <w:keepNext w:val="0"/>
        <w:keepLines w:val="0"/>
        <w:pageBreakBefore w:val="0"/>
        <w:widowControl/>
        <w:kinsoku/>
        <w:overflowPunct/>
        <w:topLinePunct w:val="0"/>
        <w:autoSpaceDE/>
        <w:autoSpaceDN/>
        <w:bidi w:val="0"/>
        <w:adjustRightInd/>
        <w:snapToGrid/>
        <w:spacing w:line="312" w:lineRule="auto"/>
        <w:ind w:firstLine="630" w:firstLineChars="300"/>
        <w:jc w:val="righ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 xml:space="preserve"> 泾清项目管理有限公司</w:t>
      </w:r>
    </w:p>
    <w:p>
      <w:pPr>
        <w:keepNext w:val="0"/>
        <w:keepLines w:val="0"/>
        <w:pageBreakBefore w:val="0"/>
        <w:widowControl/>
        <w:kinsoku/>
        <w:wordWrap w:val="0"/>
        <w:overflowPunct/>
        <w:topLinePunct w:val="0"/>
        <w:autoSpaceDE/>
        <w:autoSpaceDN/>
        <w:bidi w:val="0"/>
        <w:adjustRightInd/>
        <w:snapToGrid/>
        <w:spacing w:line="312" w:lineRule="auto"/>
        <w:ind w:firstLine="630" w:firstLineChars="300"/>
        <w:jc w:val="right"/>
        <w:textAlignment w:val="auto"/>
        <w:rPr>
          <w:rFonts w:ascii="宋体" w:hAnsi="宋体" w:cs="宋体"/>
          <w:color w:val="auto"/>
          <w:kern w:val="0"/>
          <w:szCs w:val="21"/>
          <w:highlight w:val="none"/>
        </w:rPr>
      </w:pPr>
      <w:r>
        <w:rPr>
          <w:rFonts w:ascii="宋体" w:hAnsi="宋体" w:cs="宋体"/>
          <w:color w:val="auto"/>
          <w:kern w:val="0"/>
          <w:szCs w:val="21"/>
          <w:highlight w:val="none"/>
        </w:rPr>
        <w:t>202</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年</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月</w:t>
      </w:r>
      <w:r>
        <w:rPr>
          <w:rFonts w:hint="eastAsia" w:ascii="宋体" w:hAnsi="宋体" w:cs="宋体"/>
          <w:color w:val="auto"/>
          <w:kern w:val="0"/>
          <w:szCs w:val="21"/>
          <w:highlight w:val="none"/>
          <w:lang w:val="en-US" w:eastAsia="zh-CN"/>
        </w:rPr>
        <w:t>11</w:t>
      </w:r>
      <w:r>
        <w:rPr>
          <w:rFonts w:ascii="宋体" w:hAnsi="宋体" w:cs="宋体"/>
          <w:color w:val="auto"/>
          <w:kern w:val="0"/>
          <w:szCs w:val="21"/>
          <w:highlight w:val="none"/>
        </w:rPr>
        <w:t>日</w:t>
      </w:r>
    </w:p>
    <w:p>
      <w:pPr>
        <w:widowControl/>
        <w:jc w:val="left"/>
        <w:rPr>
          <w:rFonts w:ascii="宋体" w:hAnsi="宋体" w:cs="宋体"/>
          <w:b/>
          <w:bCs/>
          <w:color w:val="auto"/>
          <w:sz w:val="24"/>
          <w:highlight w:val="none"/>
        </w:rPr>
      </w:pPr>
      <w:r>
        <w:rPr>
          <w:rFonts w:ascii="宋体" w:hAnsi="宋体" w:cs="宋体"/>
          <w:b/>
          <w:bCs/>
          <w:color w:val="auto"/>
          <w:szCs w:val="21"/>
          <w:highlight w:val="none"/>
        </w:rPr>
        <w:br w:type="page"/>
      </w:r>
    </w:p>
    <w:bookmarkEnd w:id="1"/>
    <w:bookmarkEnd w:id="2"/>
    <w:p>
      <w:pPr>
        <w:numPr>
          <w:ilvl w:val="0"/>
          <w:numId w:val="5"/>
        </w:numPr>
        <w:spacing w:line="360" w:lineRule="auto"/>
        <w:jc w:val="center"/>
        <w:outlineLvl w:val="0"/>
        <w:rPr>
          <w:rFonts w:asciiTheme="minorEastAsia" w:hAnsiTheme="minorEastAsia" w:eastAsiaTheme="minorEastAsia"/>
          <w:b/>
          <w:color w:val="auto"/>
          <w:sz w:val="28"/>
          <w:szCs w:val="28"/>
          <w:highlight w:val="none"/>
        </w:rPr>
      </w:pPr>
      <w:bookmarkStart w:id="3" w:name="_Toc93048452"/>
      <w:r>
        <w:rPr>
          <w:rFonts w:hint="eastAsia" w:asciiTheme="minorEastAsia" w:hAnsiTheme="minorEastAsia" w:eastAsiaTheme="minorEastAsia"/>
          <w:b/>
          <w:color w:val="auto"/>
          <w:sz w:val="28"/>
          <w:szCs w:val="28"/>
          <w:highlight w:val="none"/>
        </w:rPr>
        <w:t>供应商须知</w:t>
      </w:r>
      <w:bookmarkEnd w:id="3"/>
    </w:p>
    <w:p>
      <w:pPr>
        <w:spacing w:line="360" w:lineRule="auto"/>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前附表</w:t>
      </w:r>
    </w:p>
    <w:tbl>
      <w:tblPr>
        <w:tblStyle w:val="41"/>
        <w:tblpPr w:leftFromText="181" w:rightFromText="181" w:bottomFromText="170" w:vertAnchor="text" w:tblpXSpec="center" w:tblpY="1"/>
        <w:tblOverlap w:val="never"/>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highlight w:val="none"/>
              </w:rPr>
            </w:pPr>
            <w:r>
              <w:rPr>
                <w:rFonts w:hint="eastAsia"/>
                <w:b/>
                <w:bCs/>
                <w:color w:val="auto"/>
                <w:highlight w:val="none"/>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highlight w:val="none"/>
              </w:rPr>
            </w:pPr>
            <w:r>
              <w:rPr>
                <w:rFonts w:hint="eastAsia"/>
                <w:b/>
                <w:bCs/>
                <w:color w:val="auto"/>
                <w:highlight w:val="none"/>
              </w:rPr>
              <w:t>事项</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highlight w:val="none"/>
              </w:rPr>
            </w:pPr>
            <w:r>
              <w:rPr>
                <w:rFonts w:hint="eastAsia"/>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是 /</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color w:val="auto"/>
                <w:highlight w:val="none"/>
              </w:rPr>
              <w:t>□是（但主体部分不得分包，详见招标需求内容）/</w:t>
            </w:r>
            <w:r>
              <w:rPr>
                <w:rFonts w:hint="eastAsia" w:ascii="宋体" w:hAnsi="宋体" w:cs="宋体"/>
                <w:color w:val="auto"/>
                <w:szCs w:val="21"/>
                <w:highlight w:val="none"/>
                <w:lang w:eastAsia="zh-CN"/>
              </w:rPr>
              <w:t>☑</w:t>
            </w:r>
            <w:r>
              <w:rPr>
                <w:rFonts w:hint="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是否包含政府强制采购节能产品</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□是 /</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否，具体清单见项目需求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kern w:val="0"/>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磋商响应文件的制作和递交</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请供应商仔细阅读“政府采购项目电子交易操作指南”。</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1.响应文件的制作：供应商按照本项目磋商文件和政采云平台的要求,通过“政采云电子交易客户端”编制、加密并递交响应文件（下载网址：https://zfcg.czt.zj.gov.cn/download/index.html）。</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2.递交响应文件：供应商应当在响应截止时间前（磋商当天北京时间</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lang w:eastAsia="zh-CN"/>
              </w:rPr>
              <w:t>时</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0分）完成响应文件的递交，逾期递交的响应文件恕不接受。补充或者修改响应文件的，应当先行撤回原文件，补充、修改后重新递交。响应截止时间前未完成递交的，视为撤回响应文件。</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3.响应文件解密：供应商应在开标当天北京时间</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:00至</w:t>
            </w:r>
            <w:r>
              <w:rPr>
                <w:rFonts w:hint="eastAsia" w:ascii="宋体" w:hAnsi="宋体" w:cs="宋体"/>
                <w:color w:val="auto"/>
                <w:kern w:val="0"/>
                <w:szCs w:val="21"/>
                <w:highlight w:val="none"/>
                <w:lang w:val="en-US" w:eastAsia="zh-CN"/>
              </w:rPr>
              <w:t>09</w:t>
            </w:r>
            <w:r>
              <w:rPr>
                <w:rFonts w:hint="eastAsia" w:ascii="宋体" w:hAnsi="宋体" w:cs="宋体"/>
                <w:color w:val="auto"/>
                <w:kern w:val="0"/>
                <w:szCs w:val="21"/>
                <w:highlight w:val="none"/>
              </w:rPr>
              <w:t>:30完成解密。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40"/>
              <w:keepNext w:val="0"/>
              <w:keepLines w:val="0"/>
              <w:pageBreakBefore w:val="0"/>
              <w:kinsoku/>
              <w:wordWrap/>
              <w:overflowPunct/>
              <w:topLinePunct w:val="0"/>
              <w:autoSpaceDE/>
              <w:autoSpaceDN/>
              <w:bidi w:val="0"/>
              <w:adjustRightInd/>
              <w:snapToGrid/>
              <w:spacing w:after="0" w:line="360" w:lineRule="exact"/>
              <w:ind w:left="0" w:leftChars="0" w:firstLine="0"/>
              <w:textAlignment w:val="auto"/>
              <w:rPr>
                <w:rFonts w:ascii="宋体" w:hAnsi="宋体" w:cs="宋体"/>
                <w:color w:val="auto"/>
                <w:szCs w:val="21"/>
                <w:highlight w:val="none"/>
              </w:rPr>
            </w:pPr>
            <w:r>
              <w:rPr>
                <w:rFonts w:hint="eastAsia" w:ascii="宋体" w:hAnsi="宋体" w:cs="宋体"/>
                <w:color w:val="auto"/>
                <w:szCs w:val="21"/>
                <w:highlight w:val="none"/>
              </w:rPr>
              <w:t>备份磋商响应文件的递交</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备份投标文件是通过政采云电子交易客户端制作投标文件产生的备份文件，请投标人自行妥善保管。</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1.使用前提：在解密截止时间前，投标人自行在线解密操作失败,又未能及时联系技术人员帮助解密，或者投标人寻求技术人员帮助仍无法完成解密。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2.递交截止时间：磋商当天</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highlight w:val="none"/>
              </w:rPr>
              <w:t>（北京时间）。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3.发送方式：</w:t>
            </w:r>
            <w:r>
              <w:rPr>
                <w:rFonts w:hint="eastAsia" w:ascii="宋体" w:hAnsi="宋体" w:cs="宋体"/>
                <w:kern w:val="0"/>
                <w:szCs w:val="21"/>
                <w:highlight w:val="none"/>
              </w:rPr>
              <w:t>开标当天公布的指定邮箱。</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pPr>
              <w:pStyle w:val="40"/>
              <w:keepNext w:val="0"/>
              <w:keepLines w:val="0"/>
              <w:pageBreakBefore w:val="0"/>
              <w:kinsoku/>
              <w:wordWrap/>
              <w:overflowPunct/>
              <w:topLinePunct w:val="0"/>
              <w:autoSpaceDE/>
              <w:autoSpaceDN/>
              <w:bidi w:val="0"/>
              <w:adjustRightInd/>
              <w:snapToGrid/>
              <w:spacing w:after="0" w:line="360" w:lineRule="exact"/>
              <w:ind w:left="0" w:leftChars="0" w:firstLine="0"/>
              <w:jc w:val="left"/>
              <w:textAlignment w:val="auto"/>
              <w:rPr>
                <w:rFonts w:ascii="宋体" w:hAnsi="宋体" w:cs="宋体"/>
                <w:color w:val="auto"/>
                <w:kern w:val="0"/>
                <w:szCs w:val="21"/>
                <w:highlight w:val="none"/>
              </w:rPr>
            </w:pPr>
            <w:r>
              <w:rPr>
                <w:rFonts w:hint="eastAsia" w:ascii="宋体" w:hAnsi="宋体" w:cs="宋体"/>
                <w:color w:val="auto"/>
                <w:highlight w:val="none"/>
              </w:rPr>
              <w:t xml:space="preserve">    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5"/>
              <w:keepNext w:val="0"/>
              <w:keepLines w:val="0"/>
              <w:pageBreakBefore w:val="0"/>
              <w:kinsoku/>
              <w:wordWrap/>
              <w:overflowPunct/>
              <w:topLinePunct w:val="0"/>
              <w:autoSpaceDE/>
              <w:autoSpaceDN/>
              <w:bidi w:val="0"/>
              <w:adjustRightInd/>
              <w:snapToGrid/>
              <w:spacing w:line="360" w:lineRule="exact"/>
              <w:ind w:firstLine="0"/>
              <w:jc w:val="center"/>
              <w:textAlignment w:val="auto"/>
              <w:rPr>
                <w:color w:val="auto"/>
                <w:highlight w:val="none"/>
              </w:rPr>
            </w:pPr>
            <w:r>
              <w:rPr>
                <w:rFonts w:hint="eastAsia" w:ascii="宋体" w:hAnsi="宋体" w:cs="宋体"/>
                <w:color w:val="auto"/>
                <w:szCs w:val="21"/>
                <w:highlight w:val="none"/>
              </w:rPr>
              <w:t>不见面</w:t>
            </w:r>
            <w:r>
              <w:rPr>
                <w:rFonts w:hint="eastAsia"/>
                <w:color w:val="auto"/>
                <w:highlight w:val="none"/>
              </w:rPr>
              <w:t>磋商</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cs="宋体"/>
                <w:color w:val="auto"/>
                <w:szCs w:val="21"/>
                <w:highlight w:val="none"/>
              </w:rPr>
            </w:pPr>
            <w:r>
              <w:rPr>
                <w:rFonts w:cs="宋体"/>
                <w:color w:val="auto"/>
                <w:sz w:val="21"/>
                <w:szCs w:val="21"/>
                <w:highlight w:val="none"/>
              </w:rPr>
              <w:t>采购组织机构按照磋商文件规定的时间通过“政采云平台”组织开启，如</w:t>
            </w:r>
            <w:r>
              <w:rPr>
                <w:rFonts w:cs="宋体"/>
                <w:bCs/>
                <w:color w:val="auto"/>
                <w:sz w:val="21"/>
                <w:szCs w:val="21"/>
                <w:highlight w:val="none"/>
              </w:rPr>
              <w:t>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磋商注意事项</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2"/>
              <w:keepNext w:val="0"/>
              <w:keepLines w:val="0"/>
              <w:pageBreakBefore w:val="0"/>
              <w:kinsoku/>
              <w:wordWrap/>
              <w:overflowPunct/>
              <w:topLinePunct w:val="0"/>
              <w:autoSpaceDE/>
              <w:autoSpaceDN/>
              <w:bidi w:val="0"/>
              <w:adjustRightInd/>
              <w:snapToGrid/>
              <w:spacing w:line="360" w:lineRule="exact"/>
              <w:textAlignment w:val="auto"/>
              <w:rPr>
                <w:rFonts w:hAnsi="宋体" w:cs="宋体"/>
                <w:bCs/>
                <w:color w:val="auto"/>
                <w:szCs w:val="21"/>
                <w:highlight w:val="none"/>
              </w:rPr>
            </w:pPr>
            <w:r>
              <w:rPr>
                <w:rFonts w:hint="eastAsia" w:hAnsi="宋体" w:cs="宋体"/>
                <w:bCs/>
                <w:color w:val="auto"/>
                <w:szCs w:val="21"/>
                <w:highlight w:val="none"/>
              </w:rPr>
              <w:t>1.本项目实行电子采购，采用电子响应文件。若供应商参与本项目，自行承担磋商活动一切费用。</w:t>
            </w:r>
          </w:p>
          <w:p>
            <w:pPr>
              <w:pStyle w:val="22"/>
              <w:keepNext w:val="0"/>
              <w:keepLines w:val="0"/>
              <w:pageBreakBefore w:val="0"/>
              <w:kinsoku/>
              <w:wordWrap/>
              <w:overflowPunct/>
              <w:topLinePunct w:val="0"/>
              <w:autoSpaceDE/>
              <w:autoSpaceDN/>
              <w:bidi w:val="0"/>
              <w:adjustRightInd/>
              <w:snapToGrid/>
              <w:spacing w:line="360" w:lineRule="exact"/>
              <w:textAlignment w:val="auto"/>
              <w:rPr>
                <w:rFonts w:hAnsi="宋体" w:cs="宋体"/>
                <w:color w:val="auto"/>
                <w:szCs w:val="21"/>
                <w:highlight w:val="none"/>
              </w:rPr>
            </w:pPr>
            <w:r>
              <w:rPr>
                <w:rFonts w:hint="eastAsia" w:hAnsi="宋体" w:cs="宋体"/>
                <w:bCs/>
                <w:color w:val="auto"/>
                <w:szCs w:val="21"/>
                <w:highlight w:val="none"/>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信用信息查询渠道</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highlight w:val="none"/>
              </w:rPr>
            </w:pPr>
            <w:r>
              <w:rPr>
                <w:rFonts w:hint="eastAsia"/>
                <w:highlight w:val="none"/>
              </w:rPr>
              <w:t>1.信用中国（网址：</w:t>
            </w:r>
            <w:r>
              <w:rPr>
                <w:highlight w:val="none"/>
              </w:rPr>
              <w:fldChar w:fldCharType="begin"/>
            </w:r>
            <w:r>
              <w:rPr>
                <w:highlight w:val="none"/>
              </w:rPr>
              <w:instrText xml:space="preserve"> HYPERLINK "http://www.creditchina.gov.cn" </w:instrText>
            </w:r>
            <w:r>
              <w:rPr>
                <w:highlight w:val="none"/>
              </w:rPr>
              <w:fldChar w:fldCharType="separate"/>
            </w:r>
            <w:r>
              <w:rPr>
                <w:highlight w:val="none"/>
              </w:rPr>
              <w:t>http://www.creditchina.gov.cn</w:t>
            </w:r>
            <w:r>
              <w:rPr>
                <w:highlight w:val="none"/>
              </w:rPr>
              <w:fldChar w:fldCharType="end"/>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highlight w:val="none"/>
              </w:rPr>
            </w:pPr>
            <w:r>
              <w:rPr>
                <w:rFonts w:hint="eastAsia"/>
                <w:highlight w:val="none"/>
              </w:rPr>
              <w:t>中国政府采购网（网址：</w:t>
            </w:r>
            <w:r>
              <w:rPr>
                <w:highlight w:val="none"/>
              </w:rPr>
              <w:fldChar w:fldCharType="begin"/>
            </w:r>
            <w:r>
              <w:rPr>
                <w:highlight w:val="none"/>
              </w:rPr>
              <w:instrText xml:space="preserve"> HYPERLINK "http://www.ccgp.gov.cn)" </w:instrText>
            </w:r>
            <w:r>
              <w:rPr>
                <w:highlight w:val="none"/>
              </w:rPr>
              <w:fldChar w:fldCharType="separate"/>
            </w:r>
            <w:r>
              <w:rPr>
                <w:rStyle w:val="47"/>
                <w:color w:val="auto"/>
                <w:highlight w:val="none"/>
                <w:u w:val="none"/>
              </w:rPr>
              <w:t>http://www.ccgp.gov.cn</w:t>
            </w:r>
            <w:r>
              <w:rPr>
                <w:rStyle w:val="47"/>
                <w:rFonts w:hint="eastAsia"/>
                <w:color w:val="auto"/>
                <w:highlight w:val="none"/>
                <w:u w:val="none"/>
              </w:rPr>
              <w:t>)</w:t>
            </w:r>
            <w:r>
              <w:rPr>
                <w:rStyle w:val="47"/>
                <w:rFonts w:hint="eastAsia"/>
                <w:color w:val="auto"/>
                <w:highlight w:val="none"/>
                <w:u w:val="none"/>
              </w:rPr>
              <w:fldChar w:fldCharType="end"/>
            </w:r>
          </w:p>
          <w:p>
            <w:pPr>
              <w:pStyle w:val="19"/>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highlight w:val="none"/>
              </w:rPr>
            </w:pPr>
            <w:r>
              <w:rPr>
                <w:rFonts w:hint="eastAsia"/>
                <w:highlight w:val="none"/>
              </w:rPr>
              <w:t>2.截止时点：开标后评标前。</w:t>
            </w:r>
          </w:p>
          <w:p>
            <w:pPr>
              <w:pStyle w:val="19"/>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highlight w:val="none"/>
              </w:rPr>
            </w:pPr>
            <w:r>
              <w:rPr>
                <w:rFonts w:hint="eastAsia"/>
                <w:highlight w:val="none"/>
              </w:rPr>
              <w:t>3.信用信息查询记录和证据留存的具体方式：由采购组织机构在规定查询时间内打印信用信息查询记录并归入项目档案。</w:t>
            </w:r>
          </w:p>
          <w:p>
            <w:pPr>
              <w:pStyle w:val="19"/>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highlight w:val="none"/>
              </w:rPr>
            </w:pPr>
            <w:r>
              <w:rPr>
                <w:rFonts w:hint="eastAsia"/>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highlight w:val="none"/>
              </w:rPr>
              <w:t>中小企业预留份额情况</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highlight w:val="none"/>
              </w:rPr>
            </w:pPr>
            <w:r>
              <w:rPr>
                <w:rFonts w:hint="eastAsia"/>
                <w:highlight w:val="none"/>
              </w:rPr>
              <w:t>根据《政府采购促进中小企业发展管理办法》财库〔2020〕46号文件的规定，本项目(</w:t>
            </w:r>
            <w:r>
              <w:rPr>
                <w:rFonts w:hint="eastAsia" w:ascii="宋体" w:hAnsi="宋体" w:cs="宋体"/>
                <w:szCs w:val="21"/>
                <w:highlight w:val="none"/>
                <w:lang w:eastAsia="zh-CN"/>
              </w:rPr>
              <w:t>☑</w:t>
            </w:r>
            <w:r>
              <w:rPr>
                <w:rFonts w:hint="eastAsia"/>
                <w:highlight w:val="none"/>
              </w:rPr>
              <w:t>是 /</w:t>
            </w:r>
            <w:r>
              <w:rPr>
                <w:rFonts w:hint="eastAsia"/>
                <w:highlight w:val="none"/>
                <w:lang w:eastAsia="zh-CN"/>
              </w:rPr>
              <w:t>□</w:t>
            </w:r>
            <w:r>
              <w:rPr>
                <w:rFonts w:hint="eastAsia"/>
                <w:highlight w:val="none"/>
              </w:rPr>
              <w:t>否)属于专门面向中小企业采购的项目。</w:t>
            </w:r>
          </w:p>
          <w:p>
            <w:pPr>
              <w:pStyle w:val="3"/>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sz w:val="21"/>
                <w:szCs w:val="21"/>
                <w:highlight w:val="none"/>
              </w:rPr>
            </w:pPr>
            <w:r>
              <w:rPr>
                <w:rFonts w:hint="eastAsia" w:ascii="宋体" w:hAnsi="宋体" w:cs="宋体"/>
                <w:sz w:val="21"/>
                <w:szCs w:val="21"/>
                <w:highlight w:val="none"/>
              </w:rPr>
              <w:t xml:space="preserve">在政府采购活动中，投标人提供的货物、工程或者服务符合下列情形的，享受《政府采购促进中小企业发展管理办法》【财库（2020）46号】的中小企业扶持政策： </w:t>
            </w:r>
          </w:p>
          <w:p>
            <w:pPr>
              <w:pStyle w:val="3"/>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宋体" w:hAnsi="宋体" w:cs="宋体"/>
                <w:sz w:val="21"/>
                <w:szCs w:val="21"/>
                <w:highlight w:val="none"/>
              </w:rPr>
            </w:pPr>
            <w:r>
              <w:rPr>
                <w:rFonts w:hint="eastAsia" w:ascii="宋体" w:hAnsi="宋体" w:cs="宋体"/>
                <w:sz w:val="21"/>
                <w:szCs w:val="21"/>
                <w:highlight w:val="none"/>
              </w:rPr>
              <w:t xml:space="preserve">1.在货物采购项目中，货物由中小企业制造，即货物由中小企业生产且使用该中小企业商号或者注册商标； </w:t>
            </w:r>
          </w:p>
          <w:p>
            <w:pPr>
              <w:pStyle w:val="3"/>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宋体" w:hAnsi="宋体" w:cs="宋体"/>
                <w:sz w:val="21"/>
                <w:szCs w:val="21"/>
                <w:highlight w:val="none"/>
              </w:rPr>
            </w:pPr>
            <w:r>
              <w:rPr>
                <w:rFonts w:hint="eastAsia" w:ascii="宋体" w:hAnsi="宋体" w:cs="宋体"/>
                <w:sz w:val="21"/>
                <w:szCs w:val="21"/>
                <w:highlight w:val="none"/>
              </w:rPr>
              <w:t xml:space="preserve">2.在工程采购项目中，工程由中小企业承建，即工程施工单位为中小企业； </w:t>
            </w:r>
          </w:p>
          <w:p>
            <w:pPr>
              <w:keepNext w:val="0"/>
              <w:keepLines w:val="0"/>
              <w:pageBreakBefore w:val="0"/>
              <w:kinsoku/>
              <w:wordWrap/>
              <w:overflowPunct/>
              <w:topLinePunct w:val="0"/>
              <w:autoSpaceDE/>
              <w:autoSpaceDN/>
              <w:bidi w:val="0"/>
              <w:adjustRightInd/>
              <w:snapToGrid/>
              <w:spacing w:line="360" w:lineRule="exact"/>
              <w:textAlignment w:val="auto"/>
              <w:rPr>
                <w:highlight w:val="none"/>
              </w:rPr>
            </w:pPr>
            <w:r>
              <w:rPr>
                <w:rFonts w:hint="eastAsia" w:ascii="宋体" w:hAnsi="宋体" w:cs="宋体"/>
                <w:szCs w:val="21"/>
                <w:highlight w:val="none"/>
              </w:rPr>
              <w:t>小微企业核查渠道：小微企业名录（网址：http://xwqy.gsxt.gov.cn）</w:t>
            </w:r>
          </w:p>
          <w:p>
            <w:pPr>
              <w:pStyle w:val="3"/>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宋体" w:hAnsi="宋体" w:cs="宋体"/>
                <w:sz w:val="21"/>
                <w:szCs w:val="21"/>
                <w:highlight w:val="none"/>
              </w:rPr>
            </w:pPr>
            <w:r>
              <w:rPr>
                <w:rFonts w:hint="eastAsia" w:ascii="宋体" w:hAnsi="宋体" w:cs="宋体"/>
                <w:sz w:val="21"/>
                <w:szCs w:val="21"/>
                <w:highlight w:val="none"/>
              </w:rPr>
              <w:t xml:space="preserve">3.在服务采购项目中，服务由中小企业承接，即提供服务的人员为中小企业依照《中华人民共和国劳动合同法》订立劳动合同的从业人员。 </w:t>
            </w:r>
          </w:p>
          <w:p>
            <w:pPr>
              <w:pStyle w:val="3"/>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宋体" w:hAnsi="宋体" w:cs="宋体"/>
                <w:sz w:val="21"/>
                <w:szCs w:val="21"/>
                <w:highlight w:val="none"/>
              </w:rPr>
            </w:pPr>
            <w:r>
              <w:rPr>
                <w:rFonts w:hint="eastAsia" w:ascii="宋体" w:hAnsi="宋体" w:cs="宋体"/>
                <w:sz w:val="21"/>
                <w:szCs w:val="21"/>
                <w:highlight w:val="none"/>
              </w:rPr>
              <w:t>在货物采购项目中，供应商提供的货物既有中小企业制造货物，也有大型企业制造货物的，不享受本办法规定的中 小企业扶持政策。</w:t>
            </w:r>
          </w:p>
          <w:p>
            <w:pPr>
              <w:pStyle w:val="3"/>
              <w:keepNext w:val="0"/>
              <w:keepLines w:val="0"/>
              <w:pageBreakBefore w:val="0"/>
              <w:kinsoku/>
              <w:wordWrap/>
              <w:overflowPunct/>
              <w:topLinePunct w:val="0"/>
              <w:autoSpaceDE/>
              <w:autoSpaceDN/>
              <w:bidi w:val="0"/>
              <w:adjustRightInd/>
              <w:snapToGrid/>
              <w:spacing w:line="360" w:lineRule="exact"/>
              <w:ind w:firstLine="0" w:firstLineChars="0"/>
              <w:textAlignment w:val="auto"/>
              <w:rPr>
                <w:highlight w:val="none"/>
              </w:rPr>
            </w:pPr>
            <w:r>
              <w:rPr>
                <w:rFonts w:hint="eastAsia" w:ascii="宋体" w:hAnsi="宋体" w:cs="宋体"/>
                <w:sz w:val="21"/>
                <w:szCs w:val="21"/>
                <w:highlight w:val="none"/>
              </w:rPr>
              <w:t>以联合体形式参加政府采购活动，联合体各方均为中小企业的，联合体视同中小企业。其中，联合体各方均为小微企业的，联合体视同小微企业。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中小企业优惠措施</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1.项目属性（工程类）</w:t>
            </w:r>
          </w:p>
          <w:p>
            <w:pPr>
              <w:keepNext w:val="0"/>
              <w:keepLines w:val="0"/>
              <w:pageBreakBefore w:val="0"/>
              <w:kinsoku/>
              <w:wordWrap/>
              <w:overflowPunct/>
              <w:topLinePunct w:val="0"/>
              <w:autoSpaceDE/>
              <w:autoSpaceDN/>
              <w:bidi w:val="0"/>
              <w:adjustRightInd/>
              <w:snapToGrid/>
              <w:spacing w:line="360" w:lineRule="exact"/>
              <w:textAlignment w:val="auto"/>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2.中小企业划分标准所属行业（具体根据《中小企业划型标准规定》执行）。</w:t>
            </w:r>
          </w:p>
          <w:p>
            <w:pPr>
              <w:keepNext w:val="0"/>
              <w:keepLines w:val="0"/>
              <w:pageBreakBefore w:val="0"/>
              <w:kinsoku/>
              <w:wordWrap/>
              <w:overflowPunct/>
              <w:topLinePunct w:val="0"/>
              <w:autoSpaceDE/>
              <w:autoSpaceDN/>
              <w:bidi w:val="0"/>
              <w:adjustRightInd/>
              <w:snapToGrid/>
              <w:spacing w:line="360" w:lineRule="exact"/>
              <w:textAlignment w:val="auto"/>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采购标的：</w:t>
            </w:r>
            <w:r>
              <w:rPr>
                <w:rFonts w:hint="eastAsia" w:ascii="宋体" w:hAnsi="宋体" w:cs="宋体" w:eastAsiaTheme="minorEastAsia"/>
                <w:szCs w:val="21"/>
                <w:highlight w:val="none"/>
                <w:u w:val="single"/>
                <w:lang w:eastAsia="zh-CN"/>
              </w:rPr>
              <w:t>水利工程</w:t>
            </w:r>
            <w:r>
              <w:rPr>
                <w:rFonts w:hint="eastAsia" w:ascii="宋体" w:hAnsi="宋体" w:cs="宋体"/>
                <w:szCs w:val="21"/>
                <w:highlight w:val="none"/>
                <w:u w:val="single"/>
              </w:rPr>
              <w:t>，</w:t>
            </w:r>
            <w:r>
              <w:rPr>
                <w:rFonts w:hint="eastAsia" w:ascii="宋体" w:hAnsi="宋体" w:cs="宋体"/>
                <w:szCs w:val="21"/>
                <w:highlight w:val="none"/>
              </w:rPr>
              <w:t xml:space="preserve"> </w:t>
            </w:r>
            <w:r>
              <w:rPr>
                <w:rFonts w:ascii="宋体" w:hAnsi="宋体" w:cs="宋体"/>
                <w:szCs w:val="21"/>
                <w:highlight w:val="none"/>
              </w:rPr>
              <w:t xml:space="preserve"> </w:t>
            </w:r>
            <w:r>
              <w:rPr>
                <w:rFonts w:ascii="宋体" w:hAnsi="宋体" w:cs="宋体"/>
                <w:szCs w:val="21"/>
                <w:highlight w:val="none"/>
                <w:u w:val="single"/>
              </w:rPr>
              <w:t>所属</w:t>
            </w:r>
            <w:r>
              <w:rPr>
                <w:rFonts w:hint="eastAsia" w:ascii="宋体" w:hAnsi="宋体" w:cs="宋体"/>
                <w:szCs w:val="21"/>
                <w:highlight w:val="none"/>
                <w:u w:val="single"/>
              </w:rPr>
              <w:t>行</w:t>
            </w:r>
            <w:r>
              <w:rPr>
                <w:rFonts w:ascii="宋体" w:hAnsi="宋体" w:cs="宋体"/>
                <w:szCs w:val="21"/>
                <w:highlight w:val="none"/>
                <w:u w:val="single"/>
              </w:rPr>
              <w:t>业：</w:t>
            </w:r>
            <w:r>
              <w:rPr>
                <w:rFonts w:hint="eastAsia" w:ascii="宋体" w:hAnsi="宋体" w:cs="宋体"/>
                <w:szCs w:val="21"/>
                <w:highlight w:val="none"/>
                <w:u w:val="single"/>
              </w:rPr>
              <w:t>建筑业</w:t>
            </w:r>
            <w:r>
              <w:rPr>
                <w:rFonts w:hint="eastAsia" w:cs="Arial"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kern w:val="0"/>
                <w:szCs w:val="21"/>
                <w:highlight w:val="none"/>
              </w:rPr>
            </w:pPr>
            <w:r>
              <w:rPr>
                <w:rFonts w:hint="eastAsia" w:ascii="宋体" w:hAnsi="宋体" w:cs="宋体"/>
                <w:szCs w:val="21"/>
                <w:highlight w:val="none"/>
              </w:rPr>
              <w:t>质疑渠道</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highlight w:val="none"/>
              </w:rPr>
            </w:pPr>
            <w:r>
              <w:rPr>
                <w:rFonts w:hint="eastAsia"/>
                <w:highlight w:val="none"/>
              </w:rPr>
              <w:t>政采云平台网上质疑系统或书面质疑。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lang w:val="zh-CN"/>
              </w:rPr>
              <w:t>实质性条款</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highlight w:val="none"/>
              </w:rPr>
            </w:pPr>
            <w:r>
              <w:rPr>
                <w:rFonts w:hint="eastAsia" w:ascii="宋体" w:hAnsi="宋体" w:cs="宋体"/>
                <w:kern w:val="0"/>
                <w:szCs w:val="21"/>
                <w:highlight w:val="none"/>
                <w:lang w:val="zh-CN"/>
              </w:rPr>
              <w:t>带“</w:t>
            </w:r>
            <w:r>
              <w:rPr>
                <w:rFonts w:hint="eastAsia" w:ascii="宋体" w:hAnsi="宋体" w:cs="宋体"/>
                <w:bCs/>
                <w:szCs w:val="21"/>
                <w:highlight w:val="none"/>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书面形式</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highlight w:val="none"/>
              </w:rPr>
            </w:pPr>
            <w:r>
              <w:rPr>
                <w:rFonts w:hint="eastAsia" w:ascii="宋体" w:hAnsi="宋体" w:cs="宋体"/>
                <w:szCs w:val="21"/>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highlight w:val="none"/>
              </w:rPr>
            </w:pPr>
            <w:r>
              <w:rPr>
                <w:rFonts w:hint="eastAsia" w:ascii="宋体" w:hAnsi="宋体" w:cs="宋体"/>
                <w:szCs w:val="21"/>
                <w:highlight w:val="none"/>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szCs w:val="21"/>
                <w:highlight w:val="none"/>
              </w:rPr>
            </w:pPr>
            <w:r>
              <w:rPr>
                <w:rFonts w:hint="eastAsia"/>
                <w:szCs w:val="21"/>
                <w:highlight w:val="none"/>
              </w:rPr>
              <w:t>在线投标响应（电子投标）相关说明</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①本项目通过“政府采购云平台（</w:t>
            </w:r>
            <w:r>
              <w:rPr>
                <w:highlight w:val="none"/>
              </w:rPr>
              <w:fldChar w:fldCharType="begin"/>
            </w:r>
            <w:r>
              <w:rPr>
                <w:highlight w:val="none"/>
              </w:rPr>
              <w:instrText xml:space="preserve"> HYPERLINK "http://www.zcygov.cn/" \h </w:instrText>
            </w:r>
            <w:r>
              <w:rPr>
                <w:highlight w:val="none"/>
              </w:rPr>
              <w:fldChar w:fldCharType="separate"/>
            </w:r>
            <w:r>
              <w:rPr>
                <w:rFonts w:hint="eastAsia" w:ascii="宋体" w:hAnsi="宋体" w:cs="宋体"/>
                <w:kern w:val="0"/>
                <w:szCs w:val="21"/>
                <w:highlight w:val="none"/>
              </w:rPr>
              <w:t>www.zcygov.cn</w:t>
            </w:r>
            <w:r>
              <w:rPr>
                <w:rFonts w:hint="eastAsia" w:ascii="宋体" w:hAnsi="宋体" w:cs="宋体"/>
                <w:kern w:val="0"/>
                <w:szCs w:val="21"/>
                <w:highlight w:val="none"/>
              </w:rPr>
              <w:fldChar w:fldCharType="end"/>
            </w:r>
            <w:r>
              <w:rPr>
                <w:rFonts w:hint="eastAsia" w:ascii="宋体" w:hAnsi="宋体" w:cs="宋体"/>
                <w:kern w:val="0"/>
                <w:szCs w:val="21"/>
                <w:highlight w:val="none"/>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highlight w:val="none"/>
              </w:rPr>
              <w:fldChar w:fldCharType="begin"/>
            </w:r>
            <w:r>
              <w:rPr>
                <w:highlight w:val="none"/>
              </w:rPr>
              <w:instrText xml:space="preserve"> HYPERLINK "http://zfcg.czt.zj.gov.cn/bidClientTemplate/2019-05-27/12945.html" \h </w:instrText>
            </w:r>
            <w:r>
              <w:rPr>
                <w:highlight w:val="none"/>
              </w:rPr>
              <w:fldChar w:fldCharType="separate"/>
            </w:r>
            <w:r>
              <w:rPr>
                <w:rFonts w:hint="eastAsia" w:ascii="宋体" w:hAnsi="宋体" w:cs="宋体"/>
                <w:kern w:val="0"/>
                <w:szCs w:val="21"/>
                <w:highlight w:val="none"/>
              </w:rPr>
              <w:t>CA 驱动和申领流程</w:t>
            </w:r>
            <w:r>
              <w:rPr>
                <w:rFonts w:hint="eastAsia" w:ascii="宋体" w:hAnsi="宋体" w:cs="宋体"/>
                <w:kern w:val="0"/>
                <w:szCs w:val="21"/>
                <w:highlight w:val="none"/>
              </w:rPr>
              <w:fldChar w:fldCharType="end"/>
            </w:r>
            <w:r>
              <w:rPr>
                <w:rFonts w:hint="eastAsia" w:ascii="宋体" w:hAnsi="宋体" w:cs="宋体"/>
                <w:kern w:val="0"/>
                <w:szCs w:val="21"/>
                <w:highlight w:val="none"/>
              </w:rPr>
              <w:t>”进行查阅。</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④供应商通过政府采购云平台电子投标工具制作磋商响应文件，电子投标工具请供应商自行前往浙江省政府采购网下载并安装。</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⑥本项目需要供应商同时提供备份磋商响应文件。备份磋商响应文件应当在备份投标文件递交截止时间前发送至代理机构电子邮箱，逾期发送将被拒收。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szCs w:val="21"/>
                <w:highlight w:val="none"/>
              </w:rPr>
            </w:pPr>
            <w:r>
              <w:rPr>
                <w:rFonts w:hint="eastAsia" w:ascii="宋体" w:hAnsi="宋体" w:cs="宋体"/>
                <w:kern w:val="0"/>
                <w:szCs w:val="21"/>
                <w:highlight w:val="none"/>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招标代理费</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highlight w:val="none"/>
              </w:rPr>
            </w:pPr>
            <w:r>
              <w:rPr>
                <w:rFonts w:hint="eastAsia" w:ascii="宋体" w:hAnsi="宋体" w:cs="宋体"/>
                <w:szCs w:val="21"/>
                <w:highlight w:val="none"/>
              </w:rPr>
              <w:t>招标代理费为</w:t>
            </w:r>
            <w:r>
              <w:rPr>
                <w:rFonts w:hint="eastAsia" w:ascii="宋体" w:hAnsi="宋体" w:cs="宋体"/>
                <w:b/>
                <w:bCs/>
                <w:szCs w:val="21"/>
                <w:highlight w:val="none"/>
                <w:lang w:val="en-US" w:eastAsia="zh-CN"/>
              </w:rPr>
              <w:t>12000</w:t>
            </w:r>
            <w:r>
              <w:rPr>
                <w:rFonts w:hint="eastAsia" w:ascii="宋体" w:hAnsi="宋体" w:cs="宋体"/>
                <w:b/>
                <w:bCs/>
                <w:szCs w:val="21"/>
                <w:highlight w:val="none"/>
              </w:rPr>
              <w:t>元</w:t>
            </w:r>
            <w:r>
              <w:rPr>
                <w:rFonts w:hint="eastAsia" w:ascii="宋体" w:hAnsi="宋体" w:cs="宋体"/>
                <w:szCs w:val="21"/>
                <w:highlight w:val="none"/>
              </w:rPr>
              <w:t>。由中标人支付，在领取中标通知书前付清。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bCs/>
                <w:szCs w:val="21"/>
                <w:highlight w:val="none"/>
              </w:rPr>
            </w:pPr>
            <w:r>
              <w:rPr>
                <w:rFonts w:hint="eastAsia" w:ascii="宋体" w:hAnsi="宋体" w:cs="宋体"/>
                <w:b w:val="0"/>
                <w:bCs w:val="0"/>
                <w:szCs w:val="21"/>
                <w:highlight w:val="none"/>
              </w:rPr>
              <w:t>项目负责人的其他要求</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8"/>
              <w:keepNext w:val="0"/>
              <w:keepLines w:val="0"/>
              <w:pageBreakBefore w:val="0"/>
              <w:kinsoku/>
              <w:wordWrap/>
              <w:overflowPunct/>
              <w:topLinePunct w:val="0"/>
              <w:bidi w:val="0"/>
              <w:spacing w:line="288" w:lineRule="auto"/>
              <w:ind w:left="0" w:leftChars="0" w:right="0"/>
              <w:jc w:val="both"/>
              <w:rPr>
                <w:b/>
                <w:bCs/>
                <w:color w:val="auto"/>
                <w:sz w:val="21"/>
                <w:szCs w:val="21"/>
                <w:highlight w:val="none"/>
                <w:lang w:eastAsia="zh-CN"/>
              </w:rPr>
            </w:pPr>
            <w:r>
              <w:rPr>
                <w:b/>
                <w:bCs/>
                <w:color w:val="auto"/>
                <w:sz w:val="21"/>
                <w:szCs w:val="21"/>
                <w:highlight w:val="none"/>
                <w:lang w:eastAsia="zh-CN"/>
              </w:rPr>
              <w:t>1.</w:t>
            </w:r>
            <w:r>
              <w:rPr>
                <w:rFonts w:hint="eastAsia"/>
                <w:b/>
                <w:bCs/>
                <w:color w:val="auto"/>
                <w:sz w:val="21"/>
                <w:szCs w:val="21"/>
                <w:highlight w:val="none"/>
                <w:lang w:eastAsia="zh-CN"/>
              </w:rPr>
              <w:t>对项目负责人“有在建合同工程”的认定标准：</w:t>
            </w:r>
          </w:p>
          <w:p>
            <w:pPr>
              <w:pStyle w:val="98"/>
              <w:keepNext w:val="0"/>
              <w:keepLines w:val="0"/>
              <w:pageBreakBefore w:val="0"/>
              <w:widowControl w:val="0"/>
              <w:kinsoku/>
              <w:wordWrap/>
              <w:overflowPunct/>
              <w:topLinePunct w:val="0"/>
              <w:autoSpaceDE w:val="0"/>
              <w:autoSpaceDN w:val="0"/>
              <w:bidi w:val="0"/>
              <w:adjustRightInd/>
              <w:snapToGrid/>
              <w:spacing w:line="288" w:lineRule="auto"/>
              <w:ind w:left="0" w:leftChars="0" w:right="0" w:firstLine="417"/>
              <w:jc w:val="both"/>
              <w:textAlignment w:val="auto"/>
              <w:rPr>
                <w:b/>
                <w:bCs/>
                <w:color w:val="auto"/>
                <w:sz w:val="21"/>
                <w:szCs w:val="21"/>
                <w:highlight w:val="none"/>
                <w:lang w:eastAsia="zh-CN"/>
              </w:rPr>
            </w:pPr>
            <w:r>
              <w:rPr>
                <w:rFonts w:hint="eastAsia"/>
                <w:b/>
                <w:bCs/>
                <w:color w:val="auto"/>
                <w:sz w:val="21"/>
                <w:szCs w:val="21"/>
                <w:highlight w:val="none"/>
                <w:lang w:eastAsia="zh-CN"/>
              </w:rPr>
              <w:t>拟派项目负责人在投标截止时间尚有在其他在建合同工程中担任项目负责人</w:t>
            </w:r>
            <w:r>
              <w:rPr>
                <w:b/>
                <w:bCs/>
                <w:color w:val="auto"/>
                <w:sz w:val="21"/>
                <w:szCs w:val="21"/>
                <w:highlight w:val="none"/>
                <w:lang w:eastAsia="zh-CN"/>
              </w:rPr>
              <w:t>(</w:t>
            </w:r>
            <w:r>
              <w:rPr>
                <w:rFonts w:hint="eastAsia"/>
                <w:b/>
                <w:bCs/>
                <w:color w:val="auto"/>
                <w:sz w:val="21"/>
                <w:szCs w:val="21"/>
                <w:highlight w:val="none"/>
                <w:lang w:eastAsia="zh-CN"/>
              </w:rPr>
              <w:t>包括工程总承包项目中的施工负责人</w:t>
            </w:r>
            <w:r>
              <w:rPr>
                <w:b/>
                <w:bCs/>
                <w:color w:val="auto"/>
                <w:sz w:val="21"/>
                <w:szCs w:val="21"/>
                <w:highlight w:val="none"/>
                <w:lang w:eastAsia="zh-CN"/>
              </w:rPr>
              <w:t>)</w:t>
            </w:r>
            <w:r>
              <w:rPr>
                <w:rFonts w:hint="eastAsia"/>
                <w:b/>
                <w:bCs/>
                <w:color w:val="auto"/>
                <w:sz w:val="21"/>
                <w:szCs w:val="21"/>
                <w:highlight w:val="none"/>
                <w:lang w:eastAsia="zh-CN"/>
              </w:rPr>
              <w:t>的情形为“有在建合同工程”。</w:t>
            </w:r>
          </w:p>
          <w:p>
            <w:pPr>
              <w:pStyle w:val="98"/>
              <w:keepNext w:val="0"/>
              <w:keepLines w:val="0"/>
              <w:pageBreakBefore w:val="0"/>
              <w:widowControl w:val="0"/>
              <w:kinsoku/>
              <w:wordWrap/>
              <w:overflowPunct/>
              <w:topLinePunct w:val="0"/>
              <w:autoSpaceDE w:val="0"/>
              <w:autoSpaceDN w:val="0"/>
              <w:bidi w:val="0"/>
              <w:adjustRightInd/>
              <w:snapToGrid/>
              <w:spacing w:line="288" w:lineRule="auto"/>
              <w:ind w:left="0" w:leftChars="0" w:right="0" w:firstLine="417"/>
              <w:jc w:val="both"/>
              <w:textAlignment w:val="auto"/>
              <w:rPr>
                <w:b/>
                <w:bCs/>
                <w:color w:val="auto"/>
                <w:sz w:val="21"/>
                <w:szCs w:val="21"/>
                <w:highlight w:val="none"/>
                <w:lang w:eastAsia="zh-CN"/>
              </w:rPr>
            </w:pPr>
            <w:r>
              <w:rPr>
                <w:rFonts w:hint="eastAsia"/>
                <w:b/>
                <w:bCs/>
                <w:color w:val="auto"/>
                <w:sz w:val="21"/>
                <w:szCs w:val="21"/>
                <w:highlight w:val="none"/>
                <w:lang w:eastAsia="zh-CN"/>
              </w:rPr>
              <w:t>在建合同工程项目，包括在中华人民共和国境内所有建设工程，</w:t>
            </w:r>
            <w:r>
              <w:rPr>
                <w:b/>
                <w:bCs/>
                <w:color w:val="auto"/>
                <w:sz w:val="21"/>
                <w:szCs w:val="21"/>
                <w:highlight w:val="none"/>
                <w:lang w:eastAsia="zh-CN"/>
              </w:rPr>
              <w:t xml:space="preserve"> </w:t>
            </w:r>
            <w:r>
              <w:rPr>
                <w:rFonts w:hint="eastAsia"/>
                <w:b/>
                <w:bCs/>
                <w:color w:val="auto"/>
                <w:sz w:val="21"/>
                <w:szCs w:val="21"/>
                <w:highlight w:val="none"/>
                <w:lang w:eastAsia="zh-CN"/>
              </w:rPr>
              <w:t>不受地域、行业和投资性质的限制。</w:t>
            </w:r>
          </w:p>
          <w:p>
            <w:pPr>
              <w:pStyle w:val="98"/>
              <w:keepNext w:val="0"/>
              <w:keepLines w:val="0"/>
              <w:pageBreakBefore w:val="0"/>
              <w:widowControl w:val="0"/>
              <w:kinsoku/>
              <w:wordWrap/>
              <w:overflowPunct/>
              <w:topLinePunct w:val="0"/>
              <w:autoSpaceDE w:val="0"/>
              <w:autoSpaceDN w:val="0"/>
              <w:bidi w:val="0"/>
              <w:adjustRightInd/>
              <w:snapToGrid/>
              <w:spacing w:line="288" w:lineRule="auto"/>
              <w:ind w:left="0" w:leftChars="0" w:right="0" w:firstLine="417"/>
              <w:jc w:val="both"/>
              <w:textAlignment w:val="auto"/>
              <w:rPr>
                <w:b/>
                <w:bCs/>
                <w:color w:val="auto"/>
                <w:sz w:val="21"/>
                <w:szCs w:val="21"/>
                <w:highlight w:val="none"/>
                <w:lang w:eastAsia="zh-CN"/>
              </w:rPr>
            </w:pPr>
            <w:r>
              <w:rPr>
                <w:rFonts w:hint="eastAsia"/>
                <w:b/>
                <w:bCs/>
                <w:color w:val="auto"/>
                <w:sz w:val="21"/>
                <w:szCs w:val="21"/>
                <w:highlight w:val="none"/>
                <w:lang w:eastAsia="zh-CN"/>
              </w:rPr>
              <w:t>在建合同工程的时间界定：中标通知书发岀之日</w:t>
            </w:r>
            <w:r>
              <w:rPr>
                <w:b/>
                <w:bCs/>
                <w:color w:val="auto"/>
                <w:sz w:val="21"/>
                <w:szCs w:val="21"/>
                <w:highlight w:val="none"/>
                <w:lang w:eastAsia="zh-CN"/>
              </w:rPr>
              <w:t>(</w:t>
            </w:r>
            <w:r>
              <w:rPr>
                <w:rFonts w:hint="eastAsia"/>
                <w:b/>
                <w:bCs/>
                <w:color w:val="auto"/>
                <w:sz w:val="21"/>
                <w:szCs w:val="21"/>
                <w:highlight w:val="none"/>
                <w:lang w:eastAsia="zh-CN"/>
              </w:rPr>
              <w:t>不通过招标方式的，开始时间为合同签订之日</w:t>
            </w:r>
            <w:r>
              <w:rPr>
                <w:b/>
                <w:bCs/>
                <w:color w:val="auto"/>
                <w:sz w:val="21"/>
                <w:szCs w:val="21"/>
                <w:highlight w:val="none"/>
                <w:lang w:eastAsia="zh-CN"/>
              </w:rPr>
              <w:t>)</w:t>
            </w:r>
            <w:r>
              <w:rPr>
                <w:rFonts w:hint="eastAsia"/>
                <w:b/>
                <w:bCs/>
                <w:color w:val="auto"/>
                <w:sz w:val="21"/>
                <w:szCs w:val="21"/>
                <w:highlight w:val="none"/>
                <w:lang w:eastAsia="zh-CN"/>
              </w:rPr>
              <w:t>，结束时间为该合同工程通过验收或合同解除之日。</w:t>
            </w:r>
          </w:p>
          <w:p>
            <w:pPr>
              <w:pStyle w:val="98"/>
              <w:keepNext w:val="0"/>
              <w:keepLines w:val="0"/>
              <w:pageBreakBefore w:val="0"/>
              <w:widowControl w:val="0"/>
              <w:kinsoku/>
              <w:wordWrap/>
              <w:overflowPunct/>
              <w:topLinePunct w:val="0"/>
              <w:autoSpaceDE w:val="0"/>
              <w:autoSpaceDN w:val="0"/>
              <w:bidi w:val="0"/>
              <w:adjustRightInd/>
              <w:snapToGrid/>
              <w:spacing w:line="288" w:lineRule="auto"/>
              <w:ind w:left="0" w:leftChars="0" w:right="0"/>
              <w:jc w:val="both"/>
              <w:textAlignment w:val="auto"/>
              <w:rPr>
                <w:b/>
                <w:bCs/>
                <w:color w:val="auto"/>
                <w:sz w:val="21"/>
                <w:szCs w:val="21"/>
                <w:highlight w:val="none"/>
                <w:lang w:eastAsia="zh-CN"/>
              </w:rPr>
            </w:pPr>
            <w:r>
              <w:rPr>
                <w:rFonts w:hint="eastAsia"/>
                <w:b/>
                <w:bCs/>
                <w:color w:val="auto"/>
                <w:sz w:val="21"/>
                <w:szCs w:val="21"/>
                <w:highlight w:val="none"/>
                <w:lang w:eastAsia="zh-CN"/>
              </w:rPr>
              <w:t>以下情形视为“有在建合同工程”：</w:t>
            </w:r>
          </w:p>
          <w:p>
            <w:pPr>
              <w:pStyle w:val="98"/>
              <w:keepNext w:val="0"/>
              <w:keepLines w:val="0"/>
              <w:pageBreakBefore w:val="0"/>
              <w:widowControl w:val="0"/>
              <w:kinsoku/>
              <w:wordWrap/>
              <w:overflowPunct/>
              <w:topLinePunct w:val="0"/>
              <w:autoSpaceDE w:val="0"/>
              <w:autoSpaceDN w:val="0"/>
              <w:bidi w:val="0"/>
              <w:adjustRightInd/>
              <w:snapToGrid/>
              <w:spacing w:line="288" w:lineRule="auto"/>
              <w:ind w:left="0" w:leftChars="0" w:right="0" w:firstLine="427"/>
              <w:jc w:val="both"/>
              <w:textAlignment w:val="auto"/>
              <w:rPr>
                <w:b/>
                <w:bCs/>
                <w:color w:val="auto"/>
                <w:sz w:val="21"/>
                <w:szCs w:val="21"/>
                <w:highlight w:val="none"/>
                <w:lang w:eastAsia="zh-CN"/>
              </w:rPr>
            </w:pPr>
            <w:r>
              <w:rPr>
                <w:b/>
                <w:bCs/>
                <w:color w:val="auto"/>
                <w:sz w:val="21"/>
                <w:szCs w:val="21"/>
                <w:highlight w:val="none"/>
                <w:lang w:eastAsia="zh-CN"/>
              </w:rPr>
              <w:t>(1)</w:t>
            </w:r>
            <w:r>
              <w:rPr>
                <w:rFonts w:hint="eastAsia"/>
                <w:b/>
                <w:bCs/>
                <w:color w:val="auto"/>
                <w:sz w:val="21"/>
                <w:szCs w:val="21"/>
                <w:highlight w:val="none"/>
                <w:lang w:eastAsia="zh-CN"/>
              </w:rPr>
              <w:t>合同协议书尚未签订的，中标通知书中载明的项目负责人</w:t>
            </w:r>
            <w:r>
              <w:rPr>
                <w:b/>
                <w:bCs/>
                <w:color w:val="auto"/>
                <w:sz w:val="21"/>
                <w:szCs w:val="21"/>
                <w:highlight w:val="none"/>
                <w:lang w:eastAsia="zh-CN"/>
              </w:rPr>
              <w:t>(</w:t>
            </w:r>
            <w:r>
              <w:rPr>
                <w:rFonts w:hint="eastAsia"/>
                <w:b/>
                <w:bCs/>
                <w:color w:val="auto"/>
                <w:sz w:val="21"/>
                <w:szCs w:val="21"/>
                <w:highlight w:val="none"/>
                <w:lang w:eastAsia="zh-CN"/>
              </w:rPr>
              <w:t>包括工程总承包项目中的施工负责人</w:t>
            </w:r>
            <w:r>
              <w:rPr>
                <w:b/>
                <w:bCs/>
                <w:color w:val="auto"/>
                <w:sz w:val="21"/>
                <w:szCs w:val="21"/>
                <w:highlight w:val="none"/>
                <w:lang w:eastAsia="zh-CN"/>
              </w:rPr>
              <w:t>)</w:t>
            </w:r>
            <w:r>
              <w:rPr>
                <w:rFonts w:hint="eastAsia"/>
                <w:b/>
                <w:bCs/>
                <w:color w:val="auto"/>
                <w:sz w:val="21"/>
                <w:szCs w:val="21"/>
                <w:highlight w:val="none"/>
                <w:lang w:eastAsia="zh-CN"/>
              </w:rPr>
              <w:t>为准；</w:t>
            </w:r>
          </w:p>
          <w:p>
            <w:pPr>
              <w:pStyle w:val="98"/>
              <w:keepNext w:val="0"/>
              <w:keepLines w:val="0"/>
              <w:pageBreakBefore w:val="0"/>
              <w:widowControl w:val="0"/>
              <w:kinsoku/>
              <w:wordWrap/>
              <w:overflowPunct/>
              <w:topLinePunct w:val="0"/>
              <w:autoSpaceDE w:val="0"/>
              <w:autoSpaceDN w:val="0"/>
              <w:bidi w:val="0"/>
              <w:adjustRightInd/>
              <w:snapToGrid/>
              <w:spacing w:line="288" w:lineRule="auto"/>
              <w:ind w:left="0" w:leftChars="0" w:right="0" w:firstLine="427"/>
              <w:jc w:val="both"/>
              <w:textAlignment w:val="auto"/>
              <w:rPr>
                <w:b/>
                <w:bCs/>
                <w:color w:val="auto"/>
                <w:sz w:val="21"/>
                <w:szCs w:val="21"/>
                <w:highlight w:val="none"/>
                <w:lang w:eastAsia="zh-CN"/>
              </w:rPr>
            </w:pPr>
            <w:r>
              <w:rPr>
                <w:b/>
                <w:bCs/>
                <w:color w:val="auto"/>
                <w:sz w:val="21"/>
                <w:szCs w:val="21"/>
                <w:highlight w:val="none"/>
                <w:lang w:eastAsia="zh-CN"/>
              </w:rPr>
              <w:t>(2)</w:t>
            </w:r>
            <w:r>
              <w:rPr>
                <w:rFonts w:hint="eastAsia"/>
                <w:b/>
                <w:bCs/>
                <w:color w:val="auto"/>
                <w:sz w:val="21"/>
                <w:szCs w:val="21"/>
                <w:highlight w:val="none"/>
                <w:lang w:eastAsia="zh-CN"/>
              </w:rPr>
              <w:t>合同协议书已经签订，合同协议书中明确的项目负责人</w:t>
            </w:r>
            <w:r>
              <w:rPr>
                <w:b/>
                <w:bCs/>
                <w:color w:val="auto"/>
                <w:sz w:val="21"/>
                <w:szCs w:val="21"/>
                <w:highlight w:val="none"/>
                <w:lang w:eastAsia="zh-CN"/>
              </w:rPr>
              <w:t>(</w:t>
            </w:r>
            <w:r>
              <w:rPr>
                <w:rFonts w:hint="eastAsia"/>
                <w:b/>
                <w:bCs/>
                <w:color w:val="auto"/>
                <w:sz w:val="21"/>
                <w:szCs w:val="21"/>
                <w:highlight w:val="none"/>
                <w:lang w:eastAsia="zh-CN"/>
              </w:rPr>
              <w:t>包括工程总承包项目中的施工负责人</w:t>
            </w:r>
            <w:r>
              <w:rPr>
                <w:b/>
                <w:bCs/>
                <w:color w:val="auto"/>
                <w:sz w:val="21"/>
                <w:szCs w:val="21"/>
                <w:highlight w:val="none"/>
                <w:lang w:eastAsia="zh-CN"/>
              </w:rPr>
              <w:t>)</w:t>
            </w:r>
            <w:r>
              <w:rPr>
                <w:rFonts w:hint="eastAsia"/>
                <w:b/>
                <w:bCs/>
                <w:color w:val="auto"/>
                <w:sz w:val="21"/>
                <w:szCs w:val="21"/>
                <w:highlight w:val="none"/>
                <w:lang w:eastAsia="zh-CN"/>
              </w:rPr>
              <w:t>为准；</w:t>
            </w:r>
          </w:p>
          <w:p>
            <w:pPr>
              <w:pStyle w:val="98"/>
              <w:keepNext w:val="0"/>
              <w:keepLines w:val="0"/>
              <w:pageBreakBefore w:val="0"/>
              <w:kinsoku/>
              <w:wordWrap/>
              <w:overflowPunct/>
              <w:topLinePunct w:val="0"/>
              <w:bidi w:val="0"/>
              <w:spacing w:line="288" w:lineRule="auto"/>
              <w:ind w:left="0" w:leftChars="0" w:right="0" w:firstLine="427"/>
              <w:jc w:val="both"/>
              <w:rPr>
                <w:b/>
                <w:bCs/>
                <w:color w:val="auto"/>
                <w:sz w:val="21"/>
                <w:szCs w:val="21"/>
                <w:highlight w:val="none"/>
                <w:lang w:eastAsia="zh-CN"/>
              </w:rPr>
            </w:pPr>
            <w:r>
              <w:rPr>
                <w:b/>
                <w:bCs/>
                <w:color w:val="auto"/>
                <w:sz w:val="21"/>
                <w:szCs w:val="21"/>
                <w:highlight w:val="none"/>
                <w:lang w:eastAsia="zh-CN"/>
              </w:rPr>
              <w:t>(3)</w:t>
            </w:r>
            <w:r>
              <w:rPr>
                <w:rFonts w:hint="eastAsia"/>
                <w:b/>
                <w:bCs/>
                <w:color w:val="auto"/>
                <w:sz w:val="21"/>
                <w:szCs w:val="21"/>
                <w:highlight w:val="none"/>
                <w:lang w:eastAsia="zh-CN"/>
              </w:rPr>
              <w:t>项目负责人发生更换的，投标人在投标文件中附有下列第</w:t>
            </w:r>
            <w:r>
              <w:rPr>
                <w:b/>
                <w:bCs/>
                <w:color w:val="auto"/>
                <w:sz w:val="21"/>
                <w:szCs w:val="21"/>
                <w:highlight w:val="none"/>
                <w:lang w:eastAsia="zh-CN"/>
              </w:rPr>
              <w:t>2</w:t>
            </w:r>
            <w:r>
              <w:rPr>
                <w:rFonts w:hint="eastAsia"/>
                <w:b/>
                <w:bCs/>
                <w:color w:val="auto"/>
                <w:spacing w:val="-10"/>
                <w:sz w:val="21"/>
                <w:szCs w:val="21"/>
                <w:highlight w:val="none"/>
                <w:lang w:eastAsia="zh-CN"/>
              </w:rPr>
              <w:t>项证明材料的，以现任项目负责人视为有</w:t>
            </w:r>
            <w:r>
              <w:rPr>
                <w:rFonts w:hint="eastAsia"/>
                <w:b/>
                <w:bCs/>
                <w:color w:val="auto"/>
                <w:spacing w:val="-8"/>
                <w:sz w:val="21"/>
                <w:szCs w:val="21"/>
                <w:highlight w:val="none"/>
                <w:lang w:eastAsia="zh-CN"/>
              </w:rPr>
              <w:t>“</w:t>
            </w:r>
            <w:r>
              <w:rPr>
                <w:rFonts w:hint="eastAsia"/>
                <w:b/>
                <w:bCs/>
                <w:color w:val="auto"/>
                <w:spacing w:val="-10"/>
                <w:sz w:val="21"/>
                <w:szCs w:val="21"/>
                <w:highlight w:val="none"/>
                <w:lang w:eastAsia="zh-CN"/>
              </w:rPr>
              <w:t>在建合同工程”；未附证明</w:t>
            </w:r>
            <w:r>
              <w:rPr>
                <w:rFonts w:hint="eastAsia"/>
                <w:b/>
                <w:bCs/>
                <w:color w:val="auto"/>
                <w:spacing w:val="-7"/>
                <w:sz w:val="21"/>
                <w:szCs w:val="21"/>
                <w:highlight w:val="none"/>
                <w:lang w:eastAsia="zh-CN"/>
              </w:rPr>
              <w:t>材料的，则仍然以更换前的项目负责人视为有</w:t>
            </w:r>
            <w:r>
              <w:rPr>
                <w:rFonts w:hint="eastAsia"/>
                <w:b/>
                <w:bCs/>
                <w:color w:val="auto"/>
                <w:spacing w:val="-5"/>
                <w:sz w:val="21"/>
                <w:szCs w:val="21"/>
                <w:highlight w:val="none"/>
                <w:lang w:eastAsia="zh-CN"/>
              </w:rPr>
              <w:t>“在建合同工程”。</w:t>
            </w:r>
          </w:p>
          <w:p>
            <w:pPr>
              <w:pStyle w:val="98"/>
              <w:keepNext w:val="0"/>
              <w:keepLines w:val="0"/>
              <w:pageBreakBefore w:val="0"/>
              <w:kinsoku/>
              <w:wordWrap/>
              <w:overflowPunct/>
              <w:topLinePunct w:val="0"/>
              <w:bidi w:val="0"/>
              <w:spacing w:line="288" w:lineRule="auto"/>
              <w:ind w:left="0" w:leftChars="0" w:right="0"/>
              <w:jc w:val="both"/>
              <w:rPr>
                <w:b/>
                <w:bCs/>
                <w:color w:val="auto"/>
                <w:sz w:val="21"/>
                <w:szCs w:val="21"/>
                <w:highlight w:val="none"/>
                <w:lang w:eastAsia="zh-CN"/>
              </w:rPr>
            </w:pPr>
            <w:r>
              <w:rPr>
                <w:b/>
                <w:bCs/>
                <w:color w:val="auto"/>
                <w:sz w:val="21"/>
                <w:szCs w:val="21"/>
                <w:highlight w:val="none"/>
                <w:lang w:eastAsia="zh-CN"/>
              </w:rPr>
              <w:t>2.</w:t>
            </w:r>
            <w:r>
              <w:rPr>
                <w:rFonts w:hint="eastAsia"/>
                <w:b/>
                <w:bCs/>
                <w:color w:val="auto"/>
                <w:sz w:val="21"/>
                <w:szCs w:val="21"/>
                <w:highlight w:val="none"/>
                <w:lang w:eastAsia="zh-CN"/>
              </w:rPr>
              <w:t>在建项目的项目负责人办理更换后，投标时需提供的资料：</w:t>
            </w:r>
          </w:p>
          <w:p>
            <w:pPr>
              <w:pStyle w:val="98"/>
              <w:keepNext w:val="0"/>
              <w:keepLines w:val="0"/>
              <w:pageBreakBefore w:val="0"/>
              <w:kinsoku/>
              <w:wordWrap/>
              <w:overflowPunct/>
              <w:topLinePunct w:val="0"/>
              <w:bidi w:val="0"/>
              <w:spacing w:line="288" w:lineRule="auto"/>
              <w:ind w:left="0" w:leftChars="0" w:right="0" w:firstLine="427"/>
              <w:jc w:val="both"/>
              <w:rPr>
                <w:b/>
                <w:bCs/>
                <w:color w:val="auto"/>
                <w:sz w:val="21"/>
                <w:szCs w:val="21"/>
                <w:highlight w:val="none"/>
                <w:lang w:eastAsia="zh-CN"/>
              </w:rPr>
            </w:pPr>
            <w:r>
              <w:rPr>
                <w:b/>
                <w:bCs/>
                <w:color w:val="auto"/>
                <w:sz w:val="21"/>
                <w:szCs w:val="21"/>
                <w:highlight w:val="none"/>
                <w:lang w:eastAsia="zh-CN"/>
              </w:rPr>
              <w:t>(1)</w:t>
            </w:r>
            <w:r>
              <w:rPr>
                <w:rFonts w:hint="eastAsia"/>
                <w:b/>
                <w:bCs/>
                <w:color w:val="auto"/>
                <w:sz w:val="21"/>
                <w:szCs w:val="21"/>
                <w:highlight w:val="none"/>
                <w:lang w:eastAsia="zh-CN"/>
              </w:rPr>
              <w:t>项目业主同意更换的证明；</w:t>
            </w:r>
          </w:p>
          <w:p>
            <w:pPr>
              <w:pStyle w:val="98"/>
              <w:keepNext w:val="0"/>
              <w:keepLines w:val="0"/>
              <w:pageBreakBefore w:val="0"/>
              <w:kinsoku/>
              <w:wordWrap/>
              <w:overflowPunct/>
              <w:topLinePunct w:val="0"/>
              <w:bidi w:val="0"/>
              <w:spacing w:line="288" w:lineRule="auto"/>
              <w:ind w:left="0" w:leftChars="0" w:right="0" w:firstLine="427"/>
              <w:jc w:val="both"/>
              <w:rPr>
                <w:rFonts w:hint="eastAsia"/>
                <w:b/>
                <w:bCs/>
                <w:color w:val="auto"/>
                <w:sz w:val="21"/>
                <w:szCs w:val="21"/>
                <w:highlight w:val="none"/>
                <w:lang w:eastAsia="zh-CN"/>
              </w:rPr>
            </w:pPr>
            <w:r>
              <w:rPr>
                <w:b/>
                <w:bCs/>
                <w:color w:val="auto"/>
                <w:sz w:val="21"/>
                <w:szCs w:val="21"/>
                <w:highlight w:val="none"/>
                <w:lang w:eastAsia="zh-CN"/>
              </w:rPr>
              <w:t>(2)</w:t>
            </w:r>
            <w:r>
              <w:rPr>
                <w:rFonts w:hint="eastAsia"/>
                <w:b/>
                <w:bCs/>
                <w:color w:val="auto"/>
                <w:sz w:val="21"/>
                <w:szCs w:val="21"/>
                <w:highlight w:val="none"/>
                <w:lang w:eastAsia="zh-CN"/>
              </w:rPr>
              <w:t>原项目负责人有备案主管部门的，应提供备案主管部门同意更换的证明或网上变更信息复制件。</w:t>
            </w:r>
          </w:p>
          <w:p>
            <w:pPr>
              <w:pStyle w:val="2"/>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bCs/>
                <w:sz w:val="21"/>
                <w:szCs w:val="21"/>
                <w:highlight w:val="none"/>
              </w:rPr>
            </w:pPr>
            <w:r>
              <w:rPr>
                <w:rFonts w:hint="eastAsia" w:ascii="宋体" w:hAnsi="宋体" w:eastAsia="宋体" w:cs="宋体"/>
                <w:b/>
                <w:bCs/>
                <w:color w:val="auto"/>
                <w:sz w:val="21"/>
                <w:szCs w:val="21"/>
                <w:highlight w:val="none"/>
                <w:lang w:val="en-US" w:eastAsia="zh-CN" w:bidi="ar-SA"/>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解释权</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highlight w:val="none"/>
              </w:rPr>
            </w:pPr>
            <w:r>
              <w:rPr>
                <w:rFonts w:hint="eastAsia" w:ascii="宋体" w:hAnsi="宋体" w:cs="宋体"/>
                <w:szCs w:val="21"/>
                <w:highlight w:val="none"/>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Cs/>
                <w:color w:val="000000"/>
                <w:szCs w:val="21"/>
                <w:highlight w:val="none"/>
              </w:rPr>
            </w:pPr>
            <w:r>
              <w:rPr>
                <w:bCs/>
                <w:color w:val="000000"/>
                <w:szCs w:val="21"/>
                <w:highlight w:val="none"/>
              </w:rPr>
              <w:t>补充条款</w:t>
            </w:r>
          </w:p>
        </w:tc>
        <w:tc>
          <w:tcPr>
            <w:tcW w:w="666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bCs/>
                <w:color w:val="000000"/>
                <w:szCs w:val="21"/>
                <w:highlight w:val="none"/>
              </w:rPr>
            </w:pPr>
            <w:r>
              <w:rPr>
                <w:bCs/>
                <w:color w:val="000000"/>
                <w:szCs w:val="21"/>
                <w:highlight w:val="none"/>
              </w:rPr>
              <w:t>资格证明文件、</w:t>
            </w:r>
            <w:r>
              <w:rPr>
                <w:rFonts w:hint="eastAsia"/>
                <w:bCs/>
                <w:color w:val="000000"/>
                <w:szCs w:val="21"/>
                <w:highlight w:val="none"/>
              </w:rPr>
              <w:t>商务</w:t>
            </w:r>
            <w:r>
              <w:rPr>
                <w:bCs/>
                <w:color w:val="000000"/>
                <w:szCs w:val="21"/>
                <w:highlight w:val="none"/>
              </w:rPr>
              <w:t>与技术文件</w:t>
            </w:r>
            <w:r>
              <w:rPr>
                <w:rFonts w:hint="eastAsia"/>
                <w:bCs/>
                <w:color w:val="000000"/>
                <w:szCs w:val="21"/>
                <w:highlight w:val="none"/>
              </w:rPr>
              <w:t>、</w:t>
            </w:r>
            <w:r>
              <w:rPr>
                <w:bCs/>
                <w:color w:val="000000"/>
                <w:szCs w:val="21"/>
                <w:highlight w:val="none"/>
              </w:rPr>
              <w:t>报价文件正本1份、副本3份。（纸质投标文件中标后提供）</w:t>
            </w:r>
          </w:p>
        </w:tc>
      </w:tr>
    </w:tbl>
    <w:p>
      <w:pPr>
        <w:pStyle w:val="22"/>
        <w:tabs>
          <w:tab w:val="left" w:pos="343"/>
        </w:tabs>
        <w:snapToGrid w:val="0"/>
        <w:spacing w:line="380" w:lineRule="exact"/>
        <w:ind w:firstLine="422" w:firstLineChars="200"/>
        <w:jc w:val="left"/>
        <w:rPr>
          <w:rFonts w:hAnsi="宋体"/>
          <w:b/>
          <w:szCs w:val="21"/>
          <w:highlight w:val="none"/>
        </w:rPr>
      </w:pPr>
    </w:p>
    <w:p>
      <w:pPr>
        <w:rPr>
          <w:rFonts w:hAnsi="宋体"/>
          <w:b/>
          <w:szCs w:val="21"/>
          <w:highlight w:val="none"/>
        </w:rPr>
      </w:pPr>
      <w:r>
        <w:rPr>
          <w:rFonts w:hAnsi="宋体"/>
          <w:b/>
          <w:szCs w:val="21"/>
          <w:highlight w:val="none"/>
        </w:rPr>
        <w:br w:type="page"/>
      </w:r>
    </w:p>
    <w:p>
      <w:pPr>
        <w:pStyle w:val="22"/>
        <w:tabs>
          <w:tab w:val="left" w:pos="343"/>
        </w:tabs>
        <w:snapToGrid w:val="0"/>
        <w:spacing w:line="380" w:lineRule="exact"/>
        <w:jc w:val="left"/>
        <w:rPr>
          <w:rFonts w:hAnsi="宋体"/>
          <w:b/>
          <w:szCs w:val="21"/>
          <w:highlight w:val="none"/>
        </w:rPr>
      </w:pPr>
      <w:r>
        <w:rPr>
          <w:rFonts w:hint="eastAsia" w:hAnsi="宋体"/>
          <w:b/>
          <w:szCs w:val="21"/>
          <w:highlight w:val="none"/>
        </w:rPr>
        <w:t>二、说 明</w:t>
      </w:r>
    </w:p>
    <w:p>
      <w:pPr>
        <w:pStyle w:val="23"/>
        <w:spacing w:line="380" w:lineRule="exact"/>
        <w:ind w:left="0" w:leftChars="0" w:firstLine="422" w:firstLineChars="200"/>
        <w:rPr>
          <w:rFonts w:ascii="宋体" w:hAnsi="宋体" w:eastAsia="宋体"/>
          <w:b/>
          <w:sz w:val="21"/>
          <w:szCs w:val="21"/>
          <w:highlight w:val="none"/>
        </w:rPr>
      </w:pPr>
      <w:r>
        <w:rPr>
          <w:rFonts w:hint="eastAsia" w:ascii="宋体" w:hAnsi="宋体" w:eastAsia="宋体"/>
          <w:b/>
          <w:sz w:val="21"/>
          <w:szCs w:val="21"/>
          <w:highlight w:val="none"/>
        </w:rPr>
        <w:t>（一）总则</w:t>
      </w:r>
    </w:p>
    <w:p>
      <w:pPr>
        <w:snapToGrid w:val="0"/>
        <w:spacing w:line="380" w:lineRule="exact"/>
        <w:ind w:firstLine="420" w:firstLineChars="200"/>
        <w:rPr>
          <w:rFonts w:ascii="宋体" w:hAnsi="宋体"/>
          <w:szCs w:val="21"/>
          <w:highlight w:val="none"/>
        </w:rPr>
      </w:pPr>
      <w:r>
        <w:rPr>
          <w:rFonts w:ascii="宋体" w:hAnsi="宋体"/>
          <w:szCs w:val="21"/>
          <w:highlight w:val="none"/>
        </w:rPr>
        <w:t>本</w:t>
      </w:r>
      <w:r>
        <w:rPr>
          <w:rFonts w:hint="eastAsia" w:ascii="宋体" w:hAnsi="宋体"/>
          <w:szCs w:val="21"/>
          <w:highlight w:val="none"/>
        </w:rPr>
        <w:t>磋商文件</w:t>
      </w:r>
      <w:r>
        <w:rPr>
          <w:rFonts w:ascii="宋体" w:hAnsi="宋体"/>
          <w:szCs w:val="21"/>
          <w:highlight w:val="none"/>
        </w:rPr>
        <w:t>依据《中华人民共和国政府采购法》、《中华人民共和国政府采购法实施条例》（国务院令第658号）和《政府采购竞争性磋商采购方式管理暂行办法》（财库〔2014〕214号）及国家和</w:t>
      </w:r>
      <w:r>
        <w:rPr>
          <w:rFonts w:hint="eastAsia" w:ascii="宋体" w:hAnsi="宋体"/>
          <w:szCs w:val="21"/>
          <w:highlight w:val="none"/>
        </w:rPr>
        <w:t>浙江省</w:t>
      </w:r>
      <w:r>
        <w:rPr>
          <w:rFonts w:ascii="宋体" w:hAnsi="宋体"/>
          <w:szCs w:val="21"/>
          <w:highlight w:val="none"/>
        </w:rPr>
        <w:t>有关法律、法规、规章编制。</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磋商</w:t>
      </w:r>
      <w:r>
        <w:rPr>
          <w:rFonts w:ascii="宋体" w:hAnsi="宋体"/>
          <w:szCs w:val="21"/>
          <w:highlight w:val="none"/>
        </w:rPr>
        <w:t>供应商应仔细阅读本项目</w:t>
      </w:r>
      <w:r>
        <w:rPr>
          <w:rFonts w:hint="eastAsia" w:ascii="宋体" w:hAnsi="宋体"/>
          <w:szCs w:val="21"/>
          <w:highlight w:val="none"/>
        </w:rPr>
        <w:t>采购</w:t>
      </w:r>
      <w:r>
        <w:rPr>
          <w:rFonts w:ascii="宋体" w:hAnsi="宋体"/>
          <w:szCs w:val="21"/>
          <w:highlight w:val="none"/>
        </w:rPr>
        <w:t>公告及</w:t>
      </w:r>
      <w:r>
        <w:rPr>
          <w:rFonts w:hint="eastAsia" w:ascii="宋体" w:hAnsi="宋体"/>
          <w:szCs w:val="21"/>
          <w:highlight w:val="none"/>
        </w:rPr>
        <w:t>磋商文件</w:t>
      </w:r>
      <w:r>
        <w:rPr>
          <w:rFonts w:ascii="宋体" w:hAnsi="宋体"/>
          <w:szCs w:val="21"/>
          <w:highlight w:val="none"/>
        </w:rPr>
        <w:t>的所有内容（包括变更、补充、澄清以及修改等，均为</w:t>
      </w:r>
      <w:r>
        <w:rPr>
          <w:rFonts w:hint="eastAsia" w:ascii="宋体" w:hAnsi="宋体"/>
          <w:szCs w:val="21"/>
          <w:highlight w:val="none"/>
        </w:rPr>
        <w:t>磋商文件</w:t>
      </w:r>
      <w:r>
        <w:rPr>
          <w:rFonts w:ascii="宋体" w:hAnsi="宋体"/>
          <w:szCs w:val="21"/>
          <w:highlight w:val="none"/>
        </w:rPr>
        <w:t>的组成部分），按照</w:t>
      </w:r>
      <w:r>
        <w:rPr>
          <w:rFonts w:hint="eastAsia" w:ascii="宋体" w:hAnsi="宋体"/>
          <w:szCs w:val="21"/>
          <w:highlight w:val="none"/>
        </w:rPr>
        <w:t>磋商文件</w:t>
      </w:r>
      <w:r>
        <w:rPr>
          <w:rFonts w:ascii="宋体" w:hAnsi="宋体"/>
          <w:szCs w:val="21"/>
          <w:highlight w:val="none"/>
        </w:rPr>
        <w:t>要求以及格式编制</w:t>
      </w:r>
      <w:r>
        <w:rPr>
          <w:rFonts w:hint="eastAsia" w:ascii="宋体" w:hAnsi="宋体"/>
          <w:szCs w:val="21"/>
          <w:highlight w:val="none"/>
        </w:rPr>
        <w:t>响应文件</w:t>
      </w:r>
      <w:r>
        <w:rPr>
          <w:rFonts w:ascii="宋体" w:hAnsi="宋体"/>
          <w:szCs w:val="21"/>
          <w:highlight w:val="none"/>
        </w:rPr>
        <w:t>，并保证其真实性，</w:t>
      </w:r>
      <w:r>
        <w:rPr>
          <w:rFonts w:ascii="宋体" w:hAnsi="宋体" w:cs="宋体"/>
          <w:szCs w:val="21"/>
          <w:highlight w:val="none"/>
        </w:rPr>
        <w:t>否则由此引起的一切后果应由</w:t>
      </w:r>
      <w:r>
        <w:rPr>
          <w:rFonts w:hint="eastAsia" w:ascii="宋体" w:hAnsi="宋体" w:cs="宋体"/>
          <w:szCs w:val="21"/>
          <w:highlight w:val="none"/>
        </w:rPr>
        <w:t>磋商</w:t>
      </w:r>
      <w:r>
        <w:rPr>
          <w:rFonts w:ascii="宋体" w:hAnsi="宋体" w:cs="宋体"/>
          <w:szCs w:val="21"/>
          <w:highlight w:val="none"/>
        </w:rPr>
        <w:t>供应商承担。</w:t>
      </w:r>
    </w:p>
    <w:p>
      <w:pPr>
        <w:snapToGrid w:val="0"/>
        <w:spacing w:line="380" w:lineRule="exact"/>
        <w:ind w:firstLine="422" w:firstLineChars="200"/>
        <w:rPr>
          <w:rFonts w:ascii="宋体" w:hAnsi="宋体"/>
          <w:b/>
          <w:szCs w:val="21"/>
          <w:highlight w:val="none"/>
        </w:rPr>
      </w:pPr>
      <w:r>
        <w:rPr>
          <w:rFonts w:hint="eastAsia" w:ascii="宋体" w:hAnsi="宋体"/>
          <w:b/>
          <w:szCs w:val="21"/>
          <w:highlight w:val="none"/>
        </w:rPr>
        <w:t>（二）</w:t>
      </w:r>
      <w:r>
        <w:rPr>
          <w:rFonts w:ascii="宋体" w:hAnsi="宋体"/>
          <w:b/>
          <w:szCs w:val="21"/>
          <w:highlight w:val="none"/>
        </w:rPr>
        <w:t>适用范围</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本磋商文件适用于</w:t>
      </w:r>
      <w:r>
        <w:rPr>
          <w:rFonts w:hint="eastAsia" w:ascii="宋体" w:hAnsi="宋体"/>
          <w:bCs/>
          <w:szCs w:val="21"/>
          <w:highlight w:val="none"/>
        </w:rPr>
        <w:t>本次</w:t>
      </w:r>
      <w:r>
        <w:rPr>
          <w:rFonts w:hint="eastAsia" w:ascii="宋体" w:hAnsi="宋体"/>
          <w:szCs w:val="21"/>
          <w:highlight w:val="none"/>
        </w:rPr>
        <w:t>项目的磋商、</w:t>
      </w:r>
      <w:r>
        <w:rPr>
          <w:rFonts w:hint="eastAsia" w:ascii="宋体" w:hAnsi="宋体"/>
          <w:bCs/>
          <w:szCs w:val="21"/>
          <w:highlight w:val="none"/>
        </w:rPr>
        <w:t>评审、确定成交供应商</w:t>
      </w:r>
      <w:r>
        <w:rPr>
          <w:rFonts w:hint="eastAsia" w:ascii="宋体" w:hAnsi="宋体"/>
          <w:szCs w:val="21"/>
          <w:highlight w:val="none"/>
        </w:rPr>
        <w:t>、验收、合同履约、付款等行为（法律、法规另有规定的，从其规定）。</w:t>
      </w:r>
    </w:p>
    <w:p>
      <w:pPr>
        <w:pStyle w:val="2"/>
        <w:spacing w:line="380" w:lineRule="exact"/>
        <w:ind w:firstLine="420" w:firstLineChars="200"/>
        <w:rPr>
          <w:rFonts w:ascii="宋体" w:hAnsi="宋体"/>
          <w:sz w:val="21"/>
          <w:szCs w:val="21"/>
          <w:highlight w:val="none"/>
        </w:rPr>
      </w:pPr>
      <w:r>
        <w:rPr>
          <w:rFonts w:ascii="宋体" w:hAnsi="宋体"/>
          <w:sz w:val="21"/>
          <w:szCs w:val="21"/>
          <w:highlight w:val="none"/>
        </w:rPr>
        <w:t>本</w:t>
      </w:r>
      <w:r>
        <w:rPr>
          <w:rFonts w:hint="eastAsia" w:ascii="宋体" w:hAnsi="宋体"/>
          <w:sz w:val="21"/>
          <w:szCs w:val="21"/>
          <w:highlight w:val="none"/>
        </w:rPr>
        <w:t>磋商文件</w:t>
      </w:r>
      <w:r>
        <w:rPr>
          <w:rFonts w:ascii="宋体" w:hAnsi="宋体"/>
          <w:sz w:val="21"/>
          <w:szCs w:val="21"/>
          <w:highlight w:val="none"/>
        </w:rPr>
        <w:t>仅适用于本次</w:t>
      </w:r>
      <w:r>
        <w:rPr>
          <w:rFonts w:hint="eastAsia" w:ascii="宋体" w:hAnsi="宋体"/>
          <w:sz w:val="21"/>
          <w:szCs w:val="21"/>
          <w:highlight w:val="none"/>
        </w:rPr>
        <w:t>采购</w:t>
      </w:r>
      <w:r>
        <w:rPr>
          <w:rFonts w:ascii="宋体" w:hAnsi="宋体"/>
          <w:sz w:val="21"/>
          <w:szCs w:val="21"/>
          <w:highlight w:val="none"/>
        </w:rPr>
        <w:t>公告中所涉及的项目和内容。</w:t>
      </w:r>
    </w:p>
    <w:p>
      <w:pPr>
        <w:snapToGrid w:val="0"/>
        <w:spacing w:line="380" w:lineRule="exact"/>
        <w:ind w:firstLine="422" w:firstLineChars="200"/>
        <w:rPr>
          <w:rFonts w:ascii="宋体" w:hAnsi="宋体"/>
          <w:b/>
          <w:szCs w:val="21"/>
          <w:highlight w:val="none"/>
        </w:rPr>
      </w:pPr>
      <w:r>
        <w:rPr>
          <w:rFonts w:hint="eastAsia" w:ascii="宋体" w:hAnsi="宋体"/>
          <w:b/>
          <w:szCs w:val="21"/>
          <w:highlight w:val="none"/>
        </w:rPr>
        <w:t>（三）当事人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1.采购人（发包人）：是指依法进行政府采购的国家机关、事业单位和团体组织。</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2.采购组织机构：是指采购人委托组织磋商的采购代理机构。</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3.供应商（承包人）：是指向采购人提供货物、工程或者服务的法人、其他组织或者自然人</w:t>
      </w:r>
      <w:r>
        <w:rPr>
          <w:rFonts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4.成交供应商：是指经磋商小组评审确定的对磋商文件作出实质性响应，经采购人按照规定在磋商小组推荐的成交候选人中确定的或受采购人委托直接确认的，与采购人签订合同资格的供应商。</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5.联合体：两个或两个以上法人或者其他组织可以组成一个联合体，以一个供应商的身份共同参与磋商。</w:t>
      </w:r>
    </w:p>
    <w:p>
      <w:pPr>
        <w:snapToGrid w:val="0"/>
        <w:spacing w:line="380" w:lineRule="exact"/>
        <w:ind w:firstLine="422" w:firstLineChars="200"/>
        <w:rPr>
          <w:rFonts w:ascii="宋体" w:hAnsi="宋体"/>
          <w:b/>
          <w:bCs/>
          <w:szCs w:val="21"/>
          <w:highlight w:val="none"/>
        </w:rPr>
      </w:pPr>
      <w:r>
        <w:rPr>
          <w:rFonts w:hint="eastAsia" w:ascii="宋体" w:hAnsi="宋体"/>
          <w:b/>
          <w:bCs/>
          <w:szCs w:val="21"/>
          <w:highlight w:val="none"/>
        </w:rPr>
        <w:t>（四）</w:t>
      </w:r>
      <w:r>
        <w:rPr>
          <w:rFonts w:ascii="宋体" w:hAnsi="宋体"/>
          <w:b/>
          <w:bCs/>
          <w:szCs w:val="21"/>
          <w:highlight w:val="none"/>
        </w:rPr>
        <w:t>以联合体形式</w:t>
      </w:r>
      <w:r>
        <w:rPr>
          <w:rFonts w:hint="eastAsia" w:ascii="宋体" w:hAnsi="宋体"/>
          <w:b/>
          <w:bCs/>
          <w:szCs w:val="21"/>
          <w:highlight w:val="none"/>
        </w:rPr>
        <w:t>磋商</w:t>
      </w:r>
      <w:r>
        <w:rPr>
          <w:rFonts w:ascii="宋体" w:hAnsi="宋体"/>
          <w:b/>
          <w:bCs/>
          <w:szCs w:val="21"/>
          <w:highlight w:val="none"/>
        </w:rPr>
        <w:t>的，应符合以下规定：</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1.联</w:t>
      </w:r>
      <w:r>
        <w:rPr>
          <w:rFonts w:ascii="宋体" w:hAnsi="宋体"/>
          <w:szCs w:val="21"/>
          <w:highlight w:val="none"/>
        </w:rPr>
        <w:t>合体各方应签订联合体协议书，明确联合体牵头人和各方权利义务，并作为</w:t>
      </w:r>
      <w:r>
        <w:rPr>
          <w:rFonts w:hint="eastAsia" w:ascii="宋体" w:hAnsi="宋体"/>
          <w:szCs w:val="21"/>
          <w:highlight w:val="none"/>
        </w:rPr>
        <w:t>响应文件</w:t>
      </w:r>
      <w:r>
        <w:rPr>
          <w:rFonts w:ascii="宋体" w:hAnsi="宋体"/>
          <w:szCs w:val="21"/>
          <w:highlight w:val="none"/>
        </w:rPr>
        <w:t>组成分部分。</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2.联</w:t>
      </w:r>
      <w:r>
        <w:rPr>
          <w:rFonts w:ascii="宋体" w:hAnsi="宋体"/>
          <w:szCs w:val="21"/>
          <w:highlight w:val="none"/>
        </w:rPr>
        <w:t>合体各方均应当具备</w:t>
      </w:r>
      <w:r>
        <w:rPr>
          <w:rFonts w:hint="eastAsia" w:ascii="宋体" w:hAnsi="宋体"/>
          <w:szCs w:val="21"/>
          <w:highlight w:val="none"/>
          <w:lang w:val="zh-CN"/>
        </w:rPr>
        <w:t>《中华人民共和国政府采购法》</w:t>
      </w:r>
      <w:r>
        <w:rPr>
          <w:rFonts w:ascii="宋体" w:hAnsi="宋体"/>
          <w:szCs w:val="21"/>
          <w:highlight w:val="none"/>
        </w:rPr>
        <w:t>第二十二条规定的条件，并在</w:t>
      </w:r>
      <w:r>
        <w:rPr>
          <w:rFonts w:hint="eastAsia" w:ascii="宋体" w:hAnsi="宋体"/>
          <w:szCs w:val="21"/>
          <w:highlight w:val="none"/>
        </w:rPr>
        <w:t>响应文件</w:t>
      </w:r>
      <w:r>
        <w:rPr>
          <w:rFonts w:ascii="宋体" w:hAnsi="宋体"/>
          <w:szCs w:val="21"/>
          <w:highlight w:val="none"/>
        </w:rPr>
        <w:t>中提供联合体各方的相关证明材料。</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3.联合体成员存在不良信用记录的，视同联合体存在不良信用记录。</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4.联合体各方中至少应当有一方符合采购人规定的资格要求。由同一资质条件的供应商组成的联合体，应当按照资质等级较低的供应商确定联合体资质等级。</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5.联合体各方不得再以自己名义单独参加同一</w:t>
      </w:r>
      <w:r>
        <w:rPr>
          <w:rFonts w:hint="eastAsia" w:ascii="宋体" w:hAnsi="宋体" w:cs="宋体"/>
          <w:szCs w:val="21"/>
          <w:highlight w:val="none"/>
        </w:rPr>
        <w:t>合同项</w:t>
      </w:r>
      <w:r>
        <w:rPr>
          <w:rFonts w:hint="eastAsia" w:ascii="宋体" w:hAnsi="宋体"/>
          <w:szCs w:val="21"/>
          <w:highlight w:val="none"/>
        </w:rPr>
        <w:t>，也不得组成新的联合体参加同一项目。</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6.联合体各方应当共同与采购人签订采购合同，就合同约定的事项对采购人承担连带责任。</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7.磋商</w:t>
      </w:r>
      <w:r>
        <w:rPr>
          <w:rFonts w:ascii="宋体" w:hAnsi="宋体"/>
          <w:szCs w:val="21"/>
          <w:highlight w:val="none"/>
        </w:rPr>
        <w:t>时，应以联合体协议中确定的主体方名义</w:t>
      </w:r>
      <w:r>
        <w:rPr>
          <w:rFonts w:hint="eastAsia" w:ascii="宋体" w:hAnsi="宋体"/>
          <w:szCs w:val="21"/>
          <w:highlight w:val="none"/>
        </w:rPr>
        <w:t>磋商</w:t>
      </w:r>
      <w:r>
        <w:rPr>
          <w:rFonts w:ascii="宋体" w:hAnsi="宋体"/>
          <w:szCs w:val="21"/>
          <w:highlight w:val="none"/>
        </w:rPr>
        <w:t>，对联合体各方均具有约束力。</w:t>
      </w:r>
    </w:p>
    <w:p>
      <w:pPr>
        <w:snapToGrid w:val="0"/>
        <w:spacing w:line="380" w:lineRule="exact"/>
        <w:ind w:firstLine="422" w:firstLineChars="200"/>
        <w:rPr>
          <w:rFonts w:ascii="宋体" w:hAnsi="宋体"/>
          <w:b/>
          <w:bCs/>
          <w:szCs w:val="21"/>
          <w:highlight w:val="none"/>
        </w:rPr>
      </w:pPr>
      <w:r>
        <w:rPr>
          <w:rFonts w:hint="eastAsia" w:ascii="宋体" w:hAnsi="宋体"/>
          <w:b/>
          <w:bCs/>
          <w:szCs w:val="21"/>
          <w:highlight w:val="none"/>
        </w:rPr>
        <w:t>（五）</w:t>
      </w:r>
      <w:r>
        <w:rPr>
          <w:rFonts w:ascii="宋体" w:hAnsi="宋体"/>
          <w:b/>
          <w:bCs/>
          <w:szCs w:val="21"/>
          <w:highlight w:val="none"/>
        </w:rPr>
        <w:t>语言文字以及度量衡单位</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1.磋商响应文件以及供应商与</w:t>
      </w:r>
      <w:r>
        <w:rPr>
          <w:rFonts w:hint="eastAsia" w:ascii="宋体" w:hAnsi="宋体" w:cs="宋体"/>
          <w:kern w:val="0"/>
          <w:szCs w:val="21"/>
          <w:highlight w:val="none"/>
        </w:rPr>
        <w:t>集中采购机构/采购代理机构名称</w:t>
      </w:r>
      <w:r>
        <w:rPr>
          <w:rFonts w:hint="eastAsia" w:ascii="宋体" w:hAnsi="宋体"/>
          <w:szCs w:val="21"/>
          <w:highlight w:val="none"/>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2.所有计量均采用中国法定的计量单位。</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3.所有</w:t>
      </w:r>
      <w:r>
        <w:rPr>
          <w:rFonts w:ascii="宋体" w:hAnsi="宋体"/>
          <w:szCs w:val="21"/>
          <w:highlight w:val="none"/>
        </w:rPr>
        <w:t>报价一律使用人民币，货币单位：元。</w:t>
      </w:r>
    </w:p>
    <w:p>
      <w:pPr>
        <w:pStyle w:val="78"/>
        <w:tabs>
          <w:tab w:val="left" w:pos="437"/>
        </w:tabs>
        <w:spacing w:line="380" w:lineRule="exact"/>
        <w:ind w:firstLine="422"/>
        <w:rPr>
          <w:rFonts w:ascii="宋体" w:hAnsi="宋体"/>
          <w:b/>
          <w:bCs/>
          <w:szCs w:val="21"/>
          <w:highlight w:val="none"/>
        </w:rPr>
      </w:pPr>
      <w:r>
        <w:rPr>
          <w:rFonts w:hint="eastAsia" w:ascii="宋体" w:hAnsi="宋体"/>
          <w:b/>
          <w:bCs/>
          <w:szCs w:val="21"/>
          <w:highlight w:val="none"/>
        </w:rPr>
        <w:t>（六）</w:t>
      </w:r>
      <w:r>
        <w:rPr>
          <w:rFonts w:ascii="宋体" w:hAnsi="宋体"/>
          <w:b/>
          <w:bCs/>
          <w:szCs w:val="21"/>
          <w:highlight w:val="none"/>
        </w:rPr>
        <w:t>现场踏勘</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1.磋商文件规定组织踏勘现场的，采购人按磋商文件规定的时间、地点组织供应商踏勘项目现场。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2.供应商自行承担踏勘现场发生的责任、风险和自身费用。</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3.采购人</w:t>
      </w:r>
      <w:r>
        <w:rPr>
          <w:rFonts w:ascii="宋体" w:hAnsi="宋体"/>
          <w:szCs w:val="21"/>
          <w:highlight w:val="none"/>
        </w:rPr>
        <w:t>在踏勘现场中介绍的资料和数据等，不构成对</w:t>
      </w:r>
      <w:r>
        <w:rPr>
          <w:rFonts w:hint="eastAsia" w:ascii="宋体" w:hAnsi="宋体"/>
          <w:szCs w:val="21"/>
          <w:highlight w:val="none"/>
        </w:rPr>
        <w:t>磋商文件</w:t>
      </w:r>
      <w:r>
        <w:rPr>
          <w:rFonts w:ascii="宋体" w:hAnsi="宋体"/>
          <w:szCs w:val="21"/>
          <w:highlight w:val="none"/>
        </w:rPr>
        <w:t>的修改或不作为</w:t>
      </w:r>
      <w:r>
        <w:rPr>
          <w:rFonts w:hint="eastAsia" w:ascii="宋体" w:hAnsi="宋体"/>
          <w:szCs w:val="21"/>
          <w:highlight w:val="none"/>
        </w:rPr>
        <w:t>供应商</w:t>
      </w:r>
      <w:r>
        <w:rPr>
          <w:rFonts w:ascii="宋体" w:hAnsi="宋体"/>
          <w:szCs w:val="21"/>
          <w:highlight w:val="none"/>
        </w:rPr>
        <w:t>编制</w:t>
      </w:r>
      <w:r>
        <w:rPr>
          <w:rFonts w:hint="eastAsia" w:ascii="宋体" w:hAnsi="宋体"/>
          <w:szCs w:val="21"/>
          <w:highlight w:val="none"/>
        </w:rPr>
        <w:t>响应文件</w:t>
      </w:r>
      <w:r>
        <w:rPr>
          <w:rFonts w:ascii="宋体" w:hAnsi="宋体"/>
          <w:szCs w:val="21"/>
          <w:highlight w:val="none"/>
        </w:rPr>
        <w:t>的依据。</w:t>
      </w:r>
    </w:p>
    <w:p>
      <w:pPr>
        <w:pStyle w:val="22"/>
        <w:snapToGrid w:val="0"/>
        <w:spacing w:line="380" w:lineRule="exact"/>
        <w:ind w:firstLine="422" w:firstLineChars="200"/>
        <w:rPr>
          <w:rFonts w:hAnsi="宋体"/>
          <w:b/>
          <w:szCs w:val="21"/>
          <w:highlight w:val="none"/>
        </w:rPr>
      </w:pPr>
      <w:r>
        <w:rPr>
          <w:rFonts w:hint="eastAsia" w:hAnsi="宋体"/>
          <w:b/>
          <w:szCs w:val="21"/>
          <w:highlight w:val="none"/>
        </w:rPr>
        <w:t>（七）特别说明</w:t>
      </w:r>
    </w:p>
    <w:p>
      <w:pPr>
        <w:pStyle w:val="22"/>
        <w:snapToGrid w:val="0"/>
        <w:spacing w:line="380" w:lineRule="exact"/>
        <w:ind w:firstLine="420" w:firstLineChars="200"/>
        <w:rPr>
          <w:rFonts w:hAnsi="宋体"/>
          <w:szCs w:val="21"/>
          <w:highlight w:val="none"/>
        </w:rPr>
      </w:pPr>
      <w:r>
        <w:rPr>
          <w:rFonts w:hint="eastAsia" w:hAnsi="宋体"/>
          <w:szCs w:val="21"/>
          <w:highlight w:val="none"/>
        </w:rPr>
        <w:t>1.供应商磋商</w:t>
      </w:r>
      <w:r>
        <w:rPr>
          <w:rFonts w:hAnsi="宋体"/>
          <w:szCs w:val="21"/>
          <w:highlight w:val="none"/>
        </w:rPr>
        <w:t>所使用的资格、信誉、荣誉、业绩与企业认证必须为本法人所拥有</w:t>
      </w:r>
      <w:r>
        <w:rPr>
          <w:rFonts w:hint="eastAsia" w:hAnsi="宋体"/>
          <w:szCs w:val="21"/>
          <w:highlight w:val="none"/>
        </w:rPr>
        <w:t>且所提供的资料都是真实有效的</w:t>
      </w:r>
      <w:r>
        <w:rPr>
          <w:rFonts w:hAnsi="宋体"/>
          <w:szCs w:val="21"/>
          <w:highlight w:val="none"/>
        </w:rPr>
        <w:t>。</w:t>
      </w:r>
      <w:r>
        <w:rPr>
          <w:rFonts w:hint="eastAsia" w:hAnsi="宋体"/>
          <w:szCs w:val="21"/>
          <w:highlight w:val="none"/>
        </w:rPr>
        <w:t>供应商磋商</w:t>
      </w:r>
      <w:r>
        <w:rPr>
          <w:rFonts w:hAnsi="宋体"/>
          <w:szCs w:val="21"/>
          <w:highlight w:val="none"/>
        </w:rPr>
        <w:t>所使用的采购项目实施人员必须为本法人员工。</w:t>
      </w:r>
    </w:p>
    <w:p>
      <w:pPr>
        <w:pStyle w:val="78"/>
        <w:snapToGrid w:val="0"/>
        <w:spacing w:line="380" w:lineRule="exact"/>
        <w:rPr>
          <w:rFonts w:ascii="宋体" w:hAnsi="宋体" w:cstheme="minorBidi"/>
          <w:szCs w:val="21"/>
          <w:highlight w:val="none"/>
        </w:rPr>
      </w:pPr>
      <w:r>
        <w:rPr>
          <w:rFonts w:hint="eastAsia" w:ascii="宋体" w:hAnsi="宋体" w:cstheme="minorBidi"/>
          <w:szCs w:val="21"/>
          <w:highlight w:val="none"/>
        </w:rPr>
        <w:t>2.供应商</w:t>
      </w:r>
      <w:r>
        <w:rPr>
          <w:rFonts w:hint="eastAsia" w:ascii="宋体" w:hAnsi="宋体"/>
          <w:szCs w:val="21"/>
          <w:highlight w:val="none"/>
        </w:rPr>
        <w:t>磋商</w:t>
      </w:r>
      <w:r>
        <w:rPr>
          <w:rFonts w:hint="eastAsia" w:ascii="宋体" w:hAnsi="宋体" w:cstheme="minorBidi"/>
          <w:szCs w:val="21"/>
          <w:highlight w:val="none"/>
        </w:rPr>
        <w:t>标的除磋商文件中明确规定要求“提供官网截图或相应检测报告的证明材料”以外，所有技术参数描述均以响应文件为准。供应商对</w:t>
      </w:r>
      <w:r>
        <w:rPr>
          <w:rFonts w:hint="eastAsia" w:ascii="宋体" w:hAnsi="宋体"/>
          <w:szCs w:val="21"/>
          <w:highlight w:val="none"/>
        </w:rPr>
        <w:t>磋商</w:t>
      </w:r>
      <w:r>
        <w:rPr>
          <w:rFonts w:hint="eastAsia" w:ascii="宋体" w:hAnsi="宋体" w:cstheme="minorBidi"/>
          <w:szCs w:val="21"/>
          <w:highlight w:val="none"/>
        </w:rPr>
        <w:t>标的技术参数的真实性承担法律责任。项目</w:t>
      </w:r>
      <w:r>
        <w:rPr>
          <w:rFonts w:hint="eastAsia" w:ascii="宋体" w:hAnsi="宋体"/>
          <w:szCs w:val="21"/>
          <w:highlight w:val="none"/>
        </w:rPr>
        <w:t>磋商</w:t>
      </w:r>
      <w:r>
        <w:rPr>
          <w:rFonts w:hint="eastAsia" w:ascii="宋体" w:hAnsi="宋体" w:cstheme="minorBidi"/>
          <w:szCs w:val="21"/>
          <w:highlight w:val="none"/>
        </w:rPr>
        <w:t>结束后、质疑期限内，如有质疑供应商认为成交供应商成交标的、响应文件技术参数与采购需求存在重大偏离、错误</w:t>
      </w:r>
      <w:r>
        <w:rPr>
          <w:rFonts w:hint="eastAsia" w:ascii="宋体" w:hAnsi="宋体" w:cstheme="minorBidi"/>
          <w:szCs w:val="21"/>
          <w:highlight w:val="none"/>
          <w:lang w:val="en-US" w:eastAsia="zh-CN"/>
        </w:rPr>
        <w:t>,</w:t>
      </w:r>
      <w:r>
        <w:rPr>
          <w:rFonts w:hint="eastAsia" w:ascii="宋体" w:hAnsi="宋体" w:cstheme="minorBidi"/>
          <w:szCs w:val="21"/>
          <w:highlight w:val="none"/>
        </w:rPr>
        <w:t>甚至造假的情况，而采购文件中未明确规定要求“提供官网截图或相应检测报告的证明材料”的，则应提供其他具体有效的证明材料。</w:t>
      </w:r>
    </w:p>
    <w:p>
      <w:pPr>
        <w:pStyle w:val="78"/>
        <w:snapToGrid w:val="0"/>
        <w:spacing w:line="380" w:lineRule="exact"/>
        <w:rPr>
          <w:rFonts w:ascii="宋体" w:hAnsi="宋体" w:cstheme="minorBidi"/>
          <w:szCs w:val="21"/>
          <w:highlight w:val="none"/>
        </w:rPr>
      </w:pPr>
      <w:r>
        <w:rPr>
          <w:rFonts w:hint="eastAsia" w:ascii="宋体" w:hAnsi="宋体" w:cstheme="minorBidi"/>
          <w:szCs w:val="21"/>
          <w:highlight w:val="none"/>
        </w:rPr>
        <w:t>3.本磋商文件中关于电子磋商、响应内容、流程如与政采云系统中最新的内容、操作不一致的，以政采云系统中的要求为准。</w:t>
      </w:r>
    </w:p>
    <w:p>
      <w:pPr>
        <w:pStyle w:val="78"/>
        <w:snapToGrid w:val="0"/>
        <w:spacing w:line="380" w:lineRule="exact"/>
        <w:ind w:firstLine="422"/>
        <w:rPr>
          <w:rFonts w:ascii="宋体" w:hAnsi="宋体" w:cs="宋体"/>
          <w:kern w:val="0"/>
          <w:szCs w:val="21"/>
          <w:highlight w:val="none"/>
        </w:rPr>
      </w:pPr>
      <w:r>
        <w:rPr>
          <w:rFonts w:hint="eastAsia" w:ascii="宋体" w:hAnsi="宋体"/>
          <w:b/>
          <w:szCs w:val="21"/>
          <w:highlight w:val="none"/>
        </w:rPr>
        <w:t>▲</w:t>
      </w:r>
      <w:r>
        <w:rPr>
          <w:rFonts w:hint="eastAsia" w:ascii="宋体" w:hAnsi="宋体" w:cstheme="minorBidi"/>
          <w:szCs w:val="21"/>
          <w:highlight w:val="none"/>
        </w:rPr>
        <w:t>4.</w:t>
      </w:r>
      <w:r>
        <w:rPr>
          <w:rFonts w:ascii="宋体" w:hAnsi="宋体" w:cs="宋体"/>
          <w:kern w:val="0"/>
          <w:szCs w:val="21"/>
          <w:highlight w:val="none"/>
        </w:rPr>
        <w:t xml:space="preserve"> 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pPr>
        <w:pStyle w:val="78"/>
        <w:snapToGrid w:val="0"/>
        <w:spacing w:line="380" w:lineRule="exact"/>
        <w:ind w:firstLine="422"/>
        <w:rPr>
          <w:rFonts w:ascii="宋体" w:hAnsi="宋体" w:cs="宋体"/>
          <w:kern w:val="0"/>
          <w:szCs w:val="21"/>
          <w:highlight w:val="none"/>
        </w:rPr>
      </w:pPr>
      <w:r>
        <w:rPr>
          <w:rFonts w:hint="eastAsia" w:ascii="宋体" w:hAnsi="宋体"/>
          <w:b/>
          <w:szCs w:val="21"/>
          <w:highlight w:val="none"/>
        </w:rPr>
        <w:t>▲</w:t>
      </w:r>
      <w:r>
        <w:rPr>
          <w:rFonts w:hint="eastAsia" w:ascii="宋体" w:hAnsi="宋体" w:cs="宋体"/>
          <w:kern w:val="0"/>
          <w:szCs w:val="21"/>
          <w:highlight w:val="none"/>
        </w:rPr>
        <w:t>5.</w:t>
      </w:r>
      <w:r>
        <w:rPr>
          <w:rFonts w:ascii="宋体" w:hAnsi="宋体" w:cs="宋体"/>
          <w:kern w:val="0"/>
          <w:szCs w:val="21"/>
          <w:highlight w:val="none"/>
        </w:rPr>
        <w:t>参加政府采购活动前三年内，在经营活动中没有重大违法记录；</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kern w:val="0"/>
          <w:szCs w:val="21"/>
          <w:highlight w:val="none"/>
        </w:rPr>
      </w:pPr>
      <w:r>
        <w:rPr>
          <w:rFonts w:hint="eastAsia" w:ascii="宋体" w:hAnsi="宋体"/>
          <w:b/>
          <w:kern w:val="0"/>
          <w:szCs w:val="21"/>
          <w:highlight w:val="none"/>
        </w:rPr>
        <w:t>三、磋商文件</w:t>
      </w:r>
    </w:p>
    <w:p>
      <w:pPr>
        <w:pStyle w:val="78"/>
        <w:snapToGrid w:val="0"/>
        <w:spacing w:line="380" w:lineRule="exact"/>
        <w:rPr>
          <w:rFonts w:ascii="宋体" w:hAnsi="宋体" w:cstheme="minorBidi"/>
          <w:szCs w:val="21"/>
          <w:highlight w:val="none"/>
        </w:rPr>
      </w:pPr>
      <w:r>
        <w:rPr>
          <w:rFonts w:hint="eastAsia" w:ascii="宋体" w:hAnsi="宋体" w:cstheme="minorBidi"/>
          <w:szCs w:val="21"/>
          <w:highlight w:val="none"/>
        </w:rPr>
        <w:t>（一）磋商文件由磋商文件目录所列内容组成。</w:t>
      </w:r>
    </w:p>
    <w:p>
      <w:pPr>
        <w:pStyle w:val="78"/>
        <w:snapToGrid w:val="0"/>
        <w:spacing w:line="380" w:lineRule="exact"/>
        <w:rPr>
          <w:rFonts w:ascii="宋体" w:hAnsi="宋体" w:cstheme="minorBidi"/>
          <w:szCs w:val="21"/>
          <w:highlight w:val="none"/>
        </w:rPr>
      </w:pPr>
      <w:r>
        <w:rPr>
          <w:rFonts w:hint="eastAsia" w:ascii="宋体" w:hAnsi="宋体" w:cstheme="minorBidi"/>
          <w:szCs w:val="21"/>
          <w:highlight w:val="none"/>
        </w:rPr>
        <w:t>（二）供应商在规定的时间内未对磋商文件提出疑问、质疑或要求澄清的，将视其为无异议。</w:t>
      </w:r>
    </w:p>
    <w:p>
      <w:pPr>
        <w:pStyle w:val="78"/>
        <w:snapToGrid w:val="0"/>
        <w:spacing w:line="380" w:lineRule="exact"/>
        <w:rPr>
          <w:rFonts w:ascii="宋体" w:hAnsi="宋体" w:cstheme="minorBidi"/>
          <w:szCs w:val="21"/>
          <w:highlight w:val="none"/>
        </w:rPr>
      </w:pPr>
      <w:r>
        <w:rPr>
          <w:rFonts w:hint="eastAsia" w:ascii="宋体" w:hAnsi="宋体" w:cstheme="minorBidi"/>
          <w:szCs w:val="21"/>
          <w:highlight w:val="none"/>
        </w:rPr>
        <w:t>（三）对磋商文件中描述有歧义或前后不一致的地方，磋商小组有权进行评判，但对同一条款的评判应适用于每个供应商。</w:t>
      </w:r>
    </w:p>
    <w:p>
      <w:pPr>
        <w:pStyle w:val="78"/>
        <w:snapToGrid w:val="0"/>
        <w:spacing w:line="380" w:lineRule="exact"/>
        <w:rPr>
          <w:rFonts w:ascii="宋体" w:hAnsi="宋体"/>
          <w:kern w:val="0"/>
          <w:szCs w:val="21"/>
          <w:highlight w:val="none"/>
        </w:rPr>
      </w:pPr>
      <w:r>
        <w:rPr>
          <w:rFonts w:hint="eastAsia" w:ascii="宋体" w:hAnsi="宋体" w:cstheme="minorBidi"/>
          <w:szCs w:val="21"/>
          <w:highlight w:val="none"/>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szCs w:val="21"/>
          <w:highlight w:val="none"/>
        </w:rPr>
        <w:t>采</w:t>
      </w:r>
      <w:r>
        <w:rPr>
          <w:rFonts w:hint="eastAsia" w:ascii="宋体" w:hAnsi="宋体" w:cstheme="minorBidi"/>
          <w:szCs w:val="21"/>
          <w:highlight w:val="none"/>
        </w:rPr>
        <w:t>购组织机构应当顺延提交响应文件的截止时间。</w:t>
      </w:r>
    </w:p>
    <w:p>
      <w:pPr>
        <w:tabs>
          <w:tab w:val="left" w:pos="1418"/>
        </w:tabs>
        <w:autoSpaceDE w:val="0"/>
        <w:autoSpaceDN w:val="0"/>
        <w:adjustRightInd w:val="0"/>
        <w:spacing w:line="380" w:lineRule="exact"/>
        <w:ind w:firstLine="422" w:firstLineChars="200"/>
        <w:rPr>
          <w:rFonts w:ascii="宋体" w:hAnsi="宋体"/>
          <w:b/>
          <w:bCs w:val="0"/>
          <w:kern w:val="0"/>
          <w:szCs w:val="21"/>
          <w:highlight w:val="none"/>
        </w:rPr>
      </w:pPr>
      <w:r>
        <w:rPr>
          <w:rFonts w:hint="eastAsia" w:ascii="宋体" w:hAnsi="宋体"/>
          <w:b/>
          <w:bCs w:val="0"/>
          <w:kern w:val="0"/>
          <w:szCs w:val="21"/>
          <w:highlight w:val="none"/>
        </w:rPr>
        <w:t>四、响应文件</w:t>
      </w:r>
    </w:p>
    <w:p>
      <w:pPr>
        <w:pStyle w:val="5"/>
        <w:spacing w:line="380" w:lineRule="exact"/>
        <w:ind w:firstLine="422" w:firstLineChars="200"/>
        <w:rPr>
          <w:rFonts w:ascii="宋体" w:hAnsi="宋体"/>
          <w:b/>
          <w:kern w:val="0"/>
          <w:szCs w:val="21"/>
          <w:highlight w:val="none"/>
        </w:rPr>
      </w:pPr>
      <w:r>
        <w:rPr>
          <w:rFonts w:hint="eastAsia" w:ascii="宋体" w:hAnsi="宋体"/>
          <w:b/>
          <w:kern w:val="0"/>
          <w:szCs w:val="21"/>
          <w:highlight w:val="none"/>
        </w:rPr>
        <w:t>（一）响应文件的编制</w:t>
      </w:r>
    </w:p>
    <w:p>
      <w:pPr>
        <w:pStyle w:val="5"/>
        <w:spacing w:line="380" w:lineRule="exact"/>
        <w:ind w:firstLineChars="200"/>
        <w:rPr>
          <w:rFonts w:ascii="宋体" w:hAnsi="宋体"/>
          <w:bCs/>
          <w:kern w:val="0"/>
          <w:szCs w:val="21"/>
          <w:highlight w:val="none"/>
        </w:rPr>
      </w:pPr>
      <w:r>
        <w:rPr>
          <w:rFonts w:hint="eastAsia" w:ascii="宋体" w:hAnsi="宋体"/>
          <w:kern w:val="0"/>
          <w:szCs w:val="21"/>
          <w:highlight w:val="none"/>
        </w:rPr>
        <w:t xml:space="preserve"> 供应商获取磋商文件后，按照采购组织机构的要求提供：磋商响应文件</w:t>
      </w:r>
      <w:r>
        <w:rPr>
          <w:rFonts w:hint="eastAsia" w:ascii="宋体" w:hAnsi="宋体"/>
          <w:kern w:val="0"/>
          <w:szCs w:val="21"/>
          <w:highlight w:val="none"/>
          <w:lang w:val="zh-CN"/>
        </w:rPr>
        <w:t>。</w:t>
      </w:r>
      <w:r>
        <w:rPr>
          <w:rFonts w:hint="eastAsia" w:ascii="宋体" w:hAnsi="宋体"/>
          <w:bCs/>
          <w:kern w:val="0"/>
          <w:szCs w:val="21"/>
          <w:highlight w:val="none"/>
        </w:rPr>
        <w:t>若参与多标项磋商的，则按每个标项分别独立编制磋商响应文件。</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ascii="宋体" w:hAnsi="宋体"/>
          <w:kern w:val="0"/>
          <w:szCs w:val="21"/>
          <w:highlight w:val="none"/>
        </w:rPr>
      </w:pPr>
      <w:r>
        <w:rPr>
          <w:rFonts w:hint="eastAsia" w:ascii="宋体" w:hAnsi="宋体"/>
          <w:b/>
          <w:szCs w:val="21"/>
          <w:highlight w:val="none"/>
        </w:rPr>
        <w:t>▲1.资格证明文件的组成：</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（1）磋商声明书；（附件1）</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（2）授权委托书（法定代表人亲自办理磋商响应事宜的，则无需提交)；（附件2）</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（3）法人或者其他组织的营业执照等证明文件，自然人的身份证明；</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（4）</w:t>
      </w:r>
      <w:r>
        <w:rPr>
          <w:rStyle w:val="47"/>
          <w:rFonts w:hint="eastAsia"/>
          <w:b w:val="0"/>
          <w:color w:val="auto"/>
          <w:sz w:val="21"/>
          <w:szCs w:val="21"/>
          <w:highlight w:val="none"/>
          <w:u w:val="none"/>
        </w:rPr>
        <w:t>符合参加政府采购活动应当具备的一般条件的承诺函</w:t>
      </w:r>
      <w:r>
        <w:rPr>
          <w:rStyle w:val="47"/>
          <w:rFonts w:hint="eastAsia"/>
          <w:b w:val="0"/>
          <w:color w:val="auto"/>
          <w:sz w:val="21"/>
          <w:szCs w:val="21"/>
          <w:highlight w:val="none"/>
          <w:u w:val="none"/>
          <w:lang w:eastAsia="zh-CN"/>
        </w:rPr>
        <w:t>；</w:t>
      </w:r>
      <w:r>
        <w:rPr>
          <w:rStyle w:val="47"/>
          <w:rFonts w:hint="eastAsia"/>
          <w:b w:val="0"/>
          <w:color w:val="auto"/>
          <w:sz w:val="21"/>
          <w:szCs w:val="21"/>
          <w:highlight w:val="none"/>
          <w:u w:val="none"/>
        </w:rPr>
        <w:t>（附件</w:t>
      </w:r>
      <w:r>
        <w:rPr>
          <w:rStyle w:val="47"/>
          <w:rFonts w:hint="eastAsia"/>
          <w:b w:val="0"/>
          <w:color w:val="auto"/>
          <w:sz w:val="21"/>
          <w:szCs w:val="21"/>
          <w:highlight w:val="none"/>
          <w:u w:val="none"/>
          <w:lang w:val="en-US" w:eastAsia="zh-CN"/>
        </w:rPr>
        <w:t>3</w:t>
      </w:r>
      <w:r>
        <w:rPr>
          <w:rStyle w:val="47"/>
          <w:rFonts w:hint="eastAsia"/>
          <w:b w:val="0"/>
          <w:color w:val="auto"/>
          <w:sz w:val="21"/>
          <w:szCs w:val="21"/>
          <w:highlight w:val="none"/>
          <w:u w:val="none"/>
        </w:rPr>
        <w:t>）</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（5）中小企业声明函（附件4）；</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w:t>
      </w:r>
      <w:r>
        <w:rPr>
          <w:rFonts w:hint="eastAsia" w:cs="Times New Roman"/>
          <w:b w:val="0"/>
          <w:color w:val="auto"/>
          <w:kern w:val="0"/>
          <w:sz w:val="21"/>
          <w:szCs w:val="21"/>
          <w:highlight w:val="none"/>
          <w:lang w:val="en-US" w:eastAsia="zh-CN" w:bidi="ar-SA"/>
        </w:rPr>
        <w:t>6</w:t>
      </w:r>
      <w:r>
        <w:rPr>
          <w:rFonts w:hint="eastAsia" w:ascii="宋体" w:hAnsi="宋体" w:eastAsia="宋体" w:cs="Times New Roman"/>
          <w:b w:val="0"/>
          <w:color w:val="auto"/>
          <w:kern w:val="0"/>
          <w:sz w:val="21"/>
          <w:szCs w:val="21"/>
          <w:highlight w:val="none"/>
          <w:lang w:val="en-US" w:eastAsia="zh-CN" w:bidi="ar-SA"/>
        </w:rPr>
        <w:t>）提供采购公告中符合供应商特定条件的有效证书（磋商供应商特定条件中有要求的必须提供），以及需要说明的其他资料。</w:t>
      </w:r>
    </w:p>
    <w:p>
      <w:pPr>
        <w:keepNext w:val="0"/>
        <w:keepLines w:val="0"/>
        <w:pageBreakBefore w:val="0"/>
        <w:widowControl w:val="0"/>
        <w:kinsoku/>
        <w:wordWrap/>
        <w:overflowPunct/>
        <w:topLinePunct w:val="0"/>
        <w:bidi w:val="0"/>
        <w:snapToGrid w:val="0"/>
        <w:spacing w:line="36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2.商务与技术文件的组成：</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（1）供应商基本情况表；（附件</w:t>
      </w:r>
      <w:r>
        <w:rPr>
          <w:rFonts w:hint="eastAsia" w:cs="Times New Roman"/>
          <w:b w:val="0"/>
          <w:color w:val="auto"/>
          <w:kern w:val="0"/>
          <w:sz w:val="21"/>
          <w:szCs w:val="21"/>
          <w:highlight w:val="none"/>
          <w:lang w:val="en-US" w:eastAsia="zh-CN" w:bidi="ar-SA"/>
        </w:rPr>
        <w:t>5</w:t>
      </w:r>
      <w:r>
        <w:rPr>
          <w:rFonts w:hint="eastAsia" w:ascii="宋体" w:hAnsi="宋体" w:eastAsia="宋体" w:cs="Times New Roman"/>
          <w:b w:val="0"/>
          <w:color w:val="auto"/>
          <w:kern w:val="0"/>
          <w:sz w:val="21"/>
          <w:szCs w:val="21"/>
          <w:highlight w:val="none"/>
          <w:lang w:val="en-US" w:eastAsia="zh-CN" w:bidi="ar-SA"/>
        </w:rPr>
        <w:t>）</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（2）法定代表人诚信投标承诺书；（附件</w:t>
      </w:r>
      <w:r>
        <w:rPr>
          <w:rFonts w:hint="eastAsia" w:cs="Times New Roman"/>
          <w:b w:val="0"/>
          <w:color w:val="auto"/>
          <w:kern w:val="0"/>
          <w:sz w:val="21"/>
          <w:szCs w:val="21"/>
          <w:highlight w:val="none"/>
          <w:lang w:val="en-US" w:eastAsia="zh-CN" w:bidi="ar-SA"/>
        </w:rPr>
        <w:t>6</w:t>
      </w:r>
      <w:r>
        <w:rPr>
          <w:rFonts w:hint="eastAsia" w:ascii="宋体" w:hAnsi="宋体" w:eastAsia="宋体" w:cs="Times New Roman"/>
          <w:b w:val="0"/>
          <w:color w:val="auto"/>
          <w:kern w:val="0"/>
          <w:sz w:val="21"/>
          <w:szCs w:val="21"/>
          <w:highlight w:val="none"/>
          <w:lang w:val="en-US" w:eastAsia="zh-CN" w:bidi="ar-SA"/>
        </w:rPr>
        <w:t>）</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（3）供应商类似项目实施情况一览表；(附件</w:t>
      </w:r>
      <w:r>
        <w:rPr>
          <w:rFonts w:hint="eastAsia" w:cs="Times New Roman"/>
          <w:b w:val="0"/>
          <w:color w:val="auto"/>
          <w:kern w:val="0"/>
          <w:sz w:val="21"/>
          <w:szCs w:val="21"/>
          <w:highlight w:val="none"/>
          <w:lang w:val="en-US" w:eastAsia="zh-CN" w:bidi="ar-SA"/>
        </w:rPr>
        <w:t>7</w:t>
      </w:r>
      <w:r>
        <w:rPr>
          <w:rFonts w:hint="eastAsia" w:ascii="宋体" w:hAnsi="宋体" w:eastAsia="宋体" w:cs="Times New Roman"/>
          <w:b w:val="0"/>
          <w:color w:val="auto"/>
          <w:kern w:val="0"/>
          <w:sz w:val="21"/>
          <w:szCs w:val="21"/>
          <w:highlight w:val="none"/>
          <w:lang w:val="en-US" w:eastAsia="zh-CN" w:bidi="ar-SA"/>
        </w:rPr>
        <w:t>)</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（4）项目负责人简历表；（附件</w:t>
      </w:r>
      <w:r>
        <w:rPr>
          <w:rFonts w:hint="eastAsia" w:cs="Times New Roman"/>
          <w:b w:val="0"/>
          <w:color w:val="auto"/>
          <w:kern w:val="0"/>
          <w:sz w:val="21"/>
          <w:szCs w:val="21"/>
          <w:highlight w:val="none"/>
          <w:lang w:val="en-US" w:eastAsia="zh-CN" w:bidi="ar-SA"/>
        </w:rPr>
        <w:t>8</w:t>
      </w:r>
      <w:r>
        <w:rPr>
          <w:rFonts w:hint="eastAsia" w:ascii="宋体" w:hAnsi="宋体" w:eastAsia="宋体" w:cs="Times New Roman"/>
          <w:b w:val="0"/>
          <w:color w:val="auto"/>
          <w:kern w:val="0"/>
          <w:sz w:val="21"/>
          <w:szCs w:val="21"/>
          <w:highlight w:val="none"/>
          <w:lang w:val="en-US" w:eastAsia="zh-CN" w:bidi="ar-SA"/>
        </w:rPr>
        <w:t>）</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（5）项目实施人员一览表；（附件</w:t>
      </w:r>
      <w:r>
        <w:rPr>
          <w:rFonts w:hint="eastAsia" w:cs="Times New Roman"/>
          <w:b w:val="0"/>
          <w:color w:val="auto"/>
          <w:kern w:val="0"/>
          <w:sz w:val="21"/>
          <w:szCs w:val="21"/>
          <w:highlight w:val="none"/>
          <w:lang w:val="en-US" w:eastAsia="zh-CN" w:bidi="ar-SA"/>
        </w:rPr>
        <w:t>9</w:t>
      </w:r>
      <w:r>
        <w:rPr>
          <w:rFonts w:hint="eastAsia" w:ascii="宋体" w:hAnsi="宋体" w:eastAsia="宋体" w:cs="Times New Roman"/>
          <w:b w:val="0"/>
          <w:color w:val="auto"/>
          <w:kern w:val="0"/>
          <w:sz w:val="21"/>
          <w:szCs w:val="21"/>
          <w:highlight w:val="none"/>
          <w:lang w:val="en-US" w:eastAsia="zh-CN" w:bidi="ar-SA"/>
        </w:rPr>
        <w:t>）</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（6）拟投入设备一览表（附件1</w:t>
      </w:r>
      <w:r>
        <w:rPr>
          <w:rFonts w:hint="eastAsia" w:cs="Times New Roman"/>
          <w:b w:val="0"/>
          <w:color w:val="auto"/>
          <w:kern w:val="0"/>
          <w:sz w:val="21"/>
          <w:szCs w:val="21"/>
          <w:highlight w:val="none"/>
          <w:lang w:val="en-US" w:eastAsia="zh-CN" w:bidi="ar-SA"/>
        </w:rPr>
        <w:t>0</w:t>
      </w:r>
      <w:r>
        <w:rPr>
          <w:rFonts w:hint="eastAsia" w:ascii="宋体" w:hAnsi="宋体" w:eastAsia="宋体" w:cs="Times New Roman"/>
          <w:b w:val="0"/>
          <w:color w:val="auto"/>
          <w:kern w:val="0"/>
          <w:sz w:val="21"/>
          <w:szCs w:val="21"/>
          <w:highlight w:val="none"/>
          <w:lang w:val="en-US" w:eastAsia="zh-CN" w:bidi="ar-SA"/>
        </w:rPr>
        <w:t>）</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（7）施工组织设计方案。</w:t>
      </w:r>
    </w:p>
    <w:p>
      <w:pPr>
        <w:pStyle w:val="35"/>
        <w:keepNext w:val="0"/>
        <w:keepLines w:val="0"/>
        <w:pageBreakBefore w:val="0"/>
        <w:widowControl w:val="0"/>
        <w:kinsoku/>
        <w:wordWrap/>
        <w:overflowPunct/>
        <w:topLinePunct w:val="0"/>
        <w:bidi w:val="0"/>
        <w:spacing w:line="360" w:lineRule="exact"/>
        <w:ind w:left="0" w:leftChars="0" w:firstLine="470"/>
        <w:textAlignment w:val="auto"/>
        <w:rPr>
          <w:rFonts w:hint="eastAsia" w:ascii="宋体" w:hAnsi="宋体" w:eastAsia="宋体" w:cs="Times New Roman"/>
          <w:b w:val="0"/>
          <w:color w:val="auto"/>
          <w:kern w:val="0"/>
          <w:sz w:val="21"/>
          <w:szCs w:val="21"/>
          <w:highlight w:val="none"/>
          <w:lang w:val="en-US" w:eastAsia="zh-CN" w:bidi="ar-SA"/>
        </w:rPr>
      </w:pPr>
      <w:r>
        <w:rPr>
          <w:rFonts w:hint="eastAsia" w:ascii="宋体" w:hAnsi="宋体" w:eastAsia="宋体" w:cs="Times New Roman"/>
          <w:b w:val="0"/>
          <w:color w:val="auto"/>
          <w:kern w:val="0"/>
          <w:sz w:val="21"/>
          <w:szCs w:val="21"/>
          <w:highlight w:val="none"/>
          <w:lang w:val="en-US" w:eastAsia="zh-CN" w:bidi="ar-SA"/>
        </w:rPr>
        <w:t>（8）投标人需要说明的其他内容（包括可能影响投标人技术性能评分项的各类证明材料）</w:t>
      </w:r>
    </w:p>
    <w:p>
      <w:pPr>
        <w:keepNext w:val="0"/>
        <w:keepLines w:val="0"/>
        <w:pageBreakBefore w:val="0"/>
        <w:widowControl w:val="0"/>
        <w:kinsoku/>
        <w:wordWrap/>
        <w:overflowPunct/>
        <w:topLinePunct w:val="0"/>
        <w:autoSpaceDE w:val="0"/>
        <w:autoSpaceDN w:val="0"/>
        <w:bidi w:val="0"/>
        <w:adjustRightInd w:val="0"/>
        <w:spacing w:line="360" w:lineRule="exact"/>
        <w:ind w:left="426" w:firstLine="57" w:firstLineChars="27"/>
        <w:textAlignment w:val="auto"/>
        <w:rPr>
          <w:rFonts w:ascii="宋体" w:hAnsi="宋体"/>
          <w:b/>
          <w:color w:val="auto"/>
          <w:kern w:val="0"/>
          <w:szCs w:val="21"/>
          <w:highlight w:val="none"/>
        </w:rPr>
      </w:pPr>
      <w:r>
        <w:rPr>
          <w:rFonts w:hint="eastAsia" w:ascii="宋体" w:hAnsi="宋体"/>
          <w:b/>
          <w:color w:val="auto"/>
          <w:kern w:val="0"/>
          <w:szCs w:val="21"/>
          <w:highlight w:val="none"/>
        </w:rPr>
        <w:t>3.报价文件的组成</w:t>
      </w:r>
    </w:p>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bCs/>
          <w:color w:val="auto"/>
          <w:kern w:val="0"/>
          <w:szCs w:val="21"/>
          <w:highlight w:val="none"/>
        </w:rPr>
        <w:t>首次报价</w:t>
      </w:r>
      <w:r>
        <w:rPr>
          <w:rFonts w:hint="eastAsia" w:ascii="宋体" w:hAnsi="宋体"/>
          <w:color w:val="auto"/>
          <w:kern w:val="0"/>
          <w:szCs w:val="21"/>
          <w:highlight w:val="none"/>
        </w:rPr>
        <w:t>一览表；(附件1</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w:t>
      </w:r>
    </w:p>
    <w:p>
      <w:pPr>
        <w:pStyle w:val="6"/>
        <w:keepNext w:val="0"/>
        <w:keepLines w:val="0"/>
        <w:pageBreakBefore w:val="0"/>
        <w:widowControl w:val="0"/>
        <w:kinsoku/>
        <w:wordWrap/>
        <w:overflowPunct/>
        <w:topLinePunct w:val="0"/>
        <w:bidi w:val="0"/>
        <w:spacing w:line="360" w:lineRule="exact"/>
        <w:ind w:firstLine="422" w:firstLineChars="200"/>
        <w:textAlignment w:val="auto"/>
        <w:rPr>
          <w:color w:val="auto"/>
          <w:kern w:val="0"/>
          <w:sz w:val="21"/>
          <w:szCs w:val="21"/>
          <w:highlight w:val="none"/>
        </w:rPr>
      </w:pPr>
      <w:r>
        <w:rPr>
          <w:rFonts w:hint="eastAsia"/>
          <w:color w:val="auto"/>
          <w:kern w:val="0"/>
          <w:sz w:val="21"/>
          <w:szCs w:val="21"/>
          <w:highlight w:val="none"/>
        </w:rPr>
        <w:t>（</w:t>
      </w:r>
      <w:r>
        <w:rPr>
          <w:color w:val="auto"/>
          <w:kern w:val="0"/>
          <w:sz w:val="21"/>
          <w:szCs w:val="21"/>
          <w:highlight w:val="none"/>
        </w:rPr>
        <w:t>2</w:t>
      </w:r>
      <w:r>
        <w:rPr>
          <w:rFonts w:hint="eastAsia"/>
          <w:color w:val="auto"/>
          <w:kern w:val="0"/>
          <w:sz w:val="21"/>
          <w:szCs w:val="21"/>
          <w:highlight w:val="none"/>
        </w:rPr>
        <w:t>）针对报价供应商认为其他需要说明的。</w:t>
      </w:r>
    </w:p>
    <w:p>
      <w:pPr>
        <w:pStyle w:val="5"/>
        <w:spacing w:line="380" w:lineRule="exact"/>
        <w:ind w:firstLine="422" w:firstLineChars="200"/>
        <w:rPr>
          <w:rFonts w:ascii="宋体" w:hAnsi="宋体"/>
          <w:b/>
          <w:color w:val="auto"/>
          <w:kern w:val="0"/>
          <w:szCs w:val="21"/>
          <w:highlight w:val="none"/>
        </w:rPr>
      </w:pPr>
      <w:r>
        <w:rPr>
          <w:rFonts w:hint="eastAsia" w:ascii="宋体" w:hAnsi="宋体"/>
          <w:b/>
          <w:color w:val="auto"/>
          <w:kern w:val="0"/>
          <w:szCs w:val="21"/>
          <w:highlight w:val="none"/>
        </w:rPr>
        <w:t>（二）报价</w:t>
      </w:r>
    </w:p>
    <w:p>
      <w:pPr>
        <w:pStyle w:val="5"/>
        <w:spacing w:line="380" w:lineRule="exact"/>
        <w:ind w:firstLineChars="200"/>
        <w:rPr>
          <w:rFonts w:ascii="宋体" w:hAnsi="宋体"/>
          <w:bCs/>
          <w:kern w:val="0"/>
          <w:szCs w:val="21"/>
          <w:highlight w:val="none"/>
        </w:rPr>
      </w:pPr>
      <w:r>
        <w:rPr>
          <w:rFonts w:hint="eastAsia" w:ascii="宋体" w:hAnsi="宋体"/>
          <w:bCs/>
          <w:color w:val="auto"/>
          <w:kern w:val="0"/>
          <w:szCs w:val="21"/>
          <w:highlight w:val="none"/>
        </w:rPr>
        <w:t>1.供应商应按照采购需求内容、责任范围以及合同条款进</w:t>
      </w:r>
      <w:r>
        <w:rPr>
          <w:rFonts w:hint="eastAsia" w:ascii="宋体" w:hAnsi="宋体"/>
          <w:bCs/>
          <w:kern w:val="0"/>
          <w:szCs w:val="21"/>
          <w:highlight w:val="none"/>
        </w:rPr>
        <w:t>行报价。并按“首次报价一览表”规定的格式报出总价。总价中不得包含磋商文件要求以外的内容，否则，在评审时不予核减。</w:t>
      </w:r>
    </w:p>
    <w:p>
      <w:pPr>
        <w:pStyle w:val="5"/>
        <w:spacing w:line="380" w:lineRule="exact"/>
        <w:ind w:firstLineChars="200"/>
        <w:rPr>
          <w:rFonts w:ascii="宋体" w:hAnsi="宋体"/>
          <w:bCs/>
          <w:kern w:val="0"/>
          <w:szCs w:val="21"/>
          <w:highlight w:val="none"/>
        </w:rPr>
      </w:pPr>
      <w:r>
        <w:rPr>
          <w:rFonts w:hint="eastAsia" w:ascii="宋体" w:hAnsi="宋体"/>
          <w:bCs/>
          <w:kern w:val="0"/>
          <w:szCs w:val="21"/>
          <w:highlight w:val="none"/>
        </w:rPr>
        <w:t>2.</w:t>
      </w:r>
      <w:r>
        <w:rPr>
          <w:rFonts w:hint="eastAsia" w:ascii="宋体" w:hAnsi="宋体"/>
          <w:szCs w:val="21"/>
          <w:highlight w:val="none"/>
        </w:rPr>
        <w:t xml:space="preserve"> 磋商总</w:t>
      </w:r>
      <w:r>
        <w:rPr>
          <w:rFonts w:hint="eastAsia" w:ascii="宋体" w:hAnsi="宋体" w:cs="宋体"/>
          <w:color w:val="000000"/>
          <w:szCs w:val="21"/>
          <w:highlight w:val="none"/>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w:t>
      </w:r>
      <w:r>
        <w:rPr>
          <w:rFonts w:hint="eastAsia" w:ascii="宋体" w:hAnsi="宋体" w:cs="宋体"/>
          <w:color w:val="000000"/>
          <w:szCs w:val="21"/>
          <w:highlight w:val="none"/>
          <w:lang w:eastAsia="zh-CN" w:bidi="ar"/>
        </w:rPr>
        <w:t>缺少</w:t>
      </w:r>
      <w:r>
        <w:rPr>
          <w:rFonts w:hint="eastAsia" w:ascii="宋体" w:hAnsi="宋体" w:cs="宋体"/>
          <w:color w:val="000000"/>
          <w:szCs w:val="21"/>
          <w:highlight w:val="none"/>
          <w:lang w:bidi="ar"/>
        </w:rPr>
        <w:t>的所有工作开支、政策性文件规定及合同包含的所有风险、责任等各项全部费用并承担一切风险责任。如发生不可</w:t>
      </w:r>
      <w:r>
        <w:rPr>
          <w:rFonts w:hint="eastAsia" w:ascii="宋体" w:hAnsi="宋体" w:cs="宋体"/>
          <w:color w:val="000000"/>
          <w:szCs w:val="21"/>
          <w:highlight w:val="none"/>
          <w:lang w:eastAsia="zh-CN" w:bidi="ar"/>
        </w:rPr>
        <w:t>抗力</w:t>
      </w:r>
      <w:r>
        <w:rPr>
          <w:rFonts w:hint="eastAsia" w:ascii="宋体" w:hAnsi="宋体" w:cs="宋体"/>
          <w:color w:val="000000"/>
          <w:szCs w:val="21"/>
          <w:highlight w:val="none"/>
          <w:lang w:bidi="ar"/>
        </w:rPr>
        <w:t>及突发性事件，中标方要无条件服从采购方指挥，配合采购方一切行动，相关费用包括在投标价内，采购方不再另行支付</w:t>
      </w:r>
      <w:r>
        <w:rPr>
          <w:rFonts w:hint="eastAsia" w:ascii="宋体" w:hAnsi="宋体" w:cs="宋体"/>
          <w:color w:val="000000"/>
          <w:szCs w:val="21"/>
          <w:highlight w:val="none"/>
          <w:lang w:eastAsia="zh-CN" w:bidi="ar"/>
        </w:rPr>
        <w:t>其他费用</w:t>
      </w:r>
      <w:r>
        <w:rPr>
          <w:rFonts w:hint="eastAsia" w:ascii="宋体" w:hAnsi="宋体"/>
          <w:szCs w:val="21"/>
          <w:highlight w:val="none"/>
        </w:rPr>
        <w:t>。</w:t>
      </w:r>
    </w:p>
    <w:p>
      <w:pPr>
        <w:pStyle w:val="5"/>
        <w:spacing w:line="380" w:lineRule="exact"/>
        <w:ind w:firstLineChars="200"/>
        <w:rPr>
          <w:rFonts w:ascii="宋体" w:hAnsi="宋体"/>
          <w:bCs/>
          <w:kern w:val="0"/>
          <w:szCs w:val="21"/>
          <w:highlight w:val="none"/>
        </w:rPr>
      </w:pPr>
      <w:r>
        <w:rPr>
          <w:rFonts w:hint="eastAsia" w:ascii="宋体" w:hAnsi="宋体"/>
          <w:bCs/>
          <w:kern w:val="0"/>
          <w:szCs w:val="21"/>
          <w:highlight w:val="none"/>
        </w:rPr>
        <w:t>3.磋商报价不得为选择性报价和附有条件的报价。</w:t>
      </w:r>
    </w:p>
    <w:p>
      <w:pPr>
        <w:pStyle w:val="5"/>
        <w:spacing w:line="380" w:lineRule="exact"/>
        <w:ind w:firstLine="422" w:firstLineChars="200"/>
        <w:rPr>
          <w:rFonts w:ascii="宋体" w:hAnsi="宋体"/>
          <w:b/>
          <w:kern w:val="0"/>
          <w:szCs w:val="21"/>
          <w:highlight w:val="none"/>
        </w:rPr>
      </w:pPr>
      <w:r>
        <w:rPr>
          <w:rFonts w:hint="eastAsia" w:ascii="宋体" w:hAnsi="宋体"/>
          <w:b/>
          <w:kern w:val="0"/>
          <w:szCs w:val="21"/>
          <w:highlight w:val="none"/>
        </w:rPr>
        <w:t>（三）响应文件的有效期</w:t>
      </w:r>
    </w:p>
    <w:p>
      <w:pPr>
        <w:pStyle w:val="5"/>
        <w:spacing w:line="380" w:lineRule="exact"/>
        <w:ind w:firstLineChars="200"/>
        <w:rPr>
          <w:rFonts w:ascii="宋体" w:hAnsi="宋体"/>
          <w:szCs w:val="21"/>
          <w:highlight w:val="none"/>
          <w:lang w:val="en-GB"/>
        </w:rPr>
      </w:pPr>
      <w:r>
        <w:rPr>
          <w:rFonts w:hint="eastAsia" w:ascii="宋体" w:hAnsi="宋体"/>
          <w:szCs w:val="21"/>
          <w:highlight w:val="none"/>
        </w:rPr>
        <w:t>1.响应文件有效期为磋商</w:t>
      </w:r>
      <w:r>
        <w:rPr>
          <w:rFonts w:hint="eastAsia" w:ascii="宋体" w:hAnsi="宋体"/>
          <w:szCs w:val="21"/>
          <w:highlight w:val="none"/>
          <w:lang w:val="en-GB"/>
        </w:rPr>
        <w:t>截止日起90天。</w:t>
      </w:r>
    </w:p>
    <w:p>
      <w:pPr>
        <w:pStyle w:val="5"/>
        <w:spacing w:line="380" w:lineRule="exact"/>
        <w:ind w:firstLineChars="200"/>
        <w:rPr>
          <w:rFonts w:ascii="宋体" w:hAnsi="宋体"/>
          <w:szCs w:val="21"/>
          <w:highlight w:val="none"/>
          <w:lang w:val="en-GB"/>
        </w:rPr>
      </w:pPr>
      <w:r>
        <w:rPr>
          <w:rFonts w:hint="eastAsia" w:ascii="宋体" w:hAnsi="宋体"/>
          <w:szCs w:val="21"/>
          <w:highlight w:val="none"/>
        </w:rPr>
        <w:t>2.</w:t>
      </w:r>
      <w:r>
        <w:rPr>
          <w:rFonts w:hint="eastAsia" w:ascii="宋体" w:hAnsi="宋体"/>
          <w:szCs w:val="21"/>
          <w:highlight w:val="none"/>
          <w:lang w:val="en-GB"/>
        </w:rPr>
        <w:t>在特殊情况下，采购人可与</w:t>
      </w:r>
      <w:r>
        <w:rPr>
          <w:rFonts w:hint="eastAsia" w:ascii="宋体" w:hAnsi="宋体"/>
          <w:szCs w:val="21"/>
          <w:highlight w:val="none"/>
        </w:rPr>
        <w:t>供应商</w:t>
      </w:r>
      <w:r>
        <w:rPr>
          <w:rFonts w:hint="eastAsia" w:ascii="宋体" w:hAnsi="宋体"/>
          <w:szCs w:val="21"/>
          <w:highlight w:val="none"/>
          <w:lang w:val="en-GB"/>
        </w:rPr>
        <w:t>协商延长</w:t>
      </w:r>
      <w:r>
        <w:rPr>
          <w:rFonts w:hint="eastAsia" w:ascii="宋体" w:hAnsi="宋体"/>
          <w:szCs w:val="21"/>
          <w:highlight w:val="none"/>
        </w:rPr>
        <w:t>响应文件</w:t>
      </w:r>
      <w:r>
        <w:rPr>
          <w:rFonts w:hint="eastAsia" w:ascii="宋体" w:hAnsi="宋体"/>
          <w:szCs w:val="21"/>
          <w:highlight w:val="none"/>
          <w:lang w:val="en-GB"/>
        </w:rPr>
        <w:t>的有效期。</w:t>
      </w:r>
    </w:p>
    <w:p>
      <w:pPr>
        <w:snapToGrid w:val="0"/>
        <w:spacing w:line="380" w:lineRule="exact"/>
        <w:ind w:firstLine="420" w:firstLineChars="200"/>
        <w:rPr>
          <w:rFonts w:ascii="宋体" w:hAnsi="宋体"/>
          <w:szCs w:val="21"/>
          <w:highlight w:val="none"/>
        </w:rPr>
      </w:pPr>
      <w:bookmarkStart w:id="4" w:name="_Toc8754"/>
      <w:r>
        <w:rPr>
          <w:rFonts w:hint="eastAsia" w:ascii="宋体" w:hAnsi="宋体"/>
          <w:szCs w:val="21"/>
          <w:highlight w:val="none"/>
        </w:rPr>
        <w:t>3.成交供应商</w:t>
      </w:r>
      <w:r>
        <w:rPr>
          <w:rFonts w:ascii="宋体" w:hAnsi="宋体"/>
          <w:szCs w:val="21"/>
          <w:highlight w:val="none"/>
        </w:rPr>
        <w:t>的</w:t>
      </w:r>
      <w:r>
        <w:rPr>
          <w:rFonts w:hint="eastAsia" w:ascii="宋体" w:hAnsi="宋体"/>
          <w:szCs w:val="21"/>
          <w:highlight w:val="none"/>
        </w:rPr>
        <w:t>响应文件</w:t>
      </w:r>
      <w:r>
        <w:rPr>
          <w:rFonts w:ascii="宋体" w:hAnsi="宋体"/>
          <w:szCs w:val="21"/>
          <w:highlight w:val="none"/>
        </w:rPr>
        <w:t>自</w:t>
      </w:r>
      <w:r>
        <w:rPr>
          <w:rFonts w:hint="eastAsia" w:ascii="宋体" w:hAnsi="宋体"/>
          <w:szCs w:val="21"/>
          <w:highlight w:val="none"/>
        </w:rPr>
        <w:t>磋商</w:t>
      </w:r>
      <w:r>
        <w:rPr>
          <w:rFonts w:ascii="宋体" w:hAnsi="宋体"/>
          <w:szCs w:val="21"/>
          <w:highlight w:val="none"/>
        </w:rPr>
        <w:t>之日起至合同履行完毕均应保持有效。</w:t>
      </w:r>
      <w:bookmarkEnd w:id="4"/>
    </w:p>
    <w:p>
      <w:pPr>
        <w:snapToGrid w:val="0"/>
        <w:spacing w:line="380" w:lineRule="exact"/>
        <w:ind w:firstLine="422" w:firstLineChars="200"/>
        <w:rPr>
          <w:rFonts w:ascii="宋体" w:hAnsi="宋体"/>
          <w:b/>
          <w:kern w:val="0"/>
          <w:szCs w:val="21"/>
          <w:highlight w:val="none"/>
        </w:rPr>
      </w:pPr>
      <w:bookmarkStart w:id="5" w:name="_Toc14235"/>
      <w:r>
        <w:rPr>
          <w:rFonts w:hint="eastAsia" w:ascii="宋体" w:hAnsi="宋体"/>
          <w:b/>
          <w:kern w:val="0"/>
          <w:szCs w:val="21"/>
          <w:highlight w:val="none"/>
        </w:rPr>
        <w:t>（四）响应文件的签署</w:t>
      </w:r>
      <w:bookmarkEnd w:id="5"/>
    </w:p>
    <w:p>
      <w:pPr>
        <w:pStyle w:val="5"/>
        <w:spacing w:line="380" w:lineRule="exact"/>
        <w:ind w:firstLineChars="200"/>
        <w:rPr>
          <w:rFonts w:ascii="宋体" w:hAnsi="宋体"/>
          <w:bCs/>
          <w:kern w:val="0"/>
          <w:szCs w:val="21"/>
          <w:highlight w:val="none"/>
        </w:rPr>
      </w:pPr>
      <w:r>
        <w:rPr>
          <w:rFonts w:hint="eastAsia" w:ascii="宋体" w:hAnsi="宋体"/>
          <w:bCs/>
          <w:kern w:val="0"/>
          <w:szCs w:val="21"/>
          <w:highlight w:val="none"/>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5"/>
        <w:spacing w:line="380" w:lineRule="exact"/>
        <w:ind w:firstLineChars="200"/>
        <w:rPr>
          <w:rFonts w:ascii="宋体" w:hAnsi="宋体"/>
          <w:bCs/>
          <w:kern w:val="0"/>
          <w:szCs w:val="21"/>
          <w:highlight w:val="none"/>
        </w:rPr>
      </w:pPr>
      <w:r>
        <w:rPr>
          <w:rFonts w:hint="eastAsia" w:ascii="宋体" w:hAnsi="宋体"/>
          <w:bCs/>
          <w:kern w:val="0"/>
          <w:szCs w:val="21"/>
          <w:highlight w:val="none"/>
        </w:rPr>
        <w:t>2.响应文件中所有的插字、涂改和增删，必须由法定代表人或经其正式授权的代表签字或盖章才有效。</w:t>
      </w:r>
    </w:p>
    <w:p>
      <w:pPr>
        <w:pStyle w:val="5"/>
        <w:spacing w:line="380" w:lineRule="exact"/>
        <w:ind w:firstLineChars="200"/>
        <w:rPr>
          <w:rFonts w:ascii="宋体" w:hAnsi="宋体"/>
          <w:bCs/>
          <w:kern w:val="0"/>
          <w:szCs w:val="21"/>
          <w:highlight w:val="none"/>
        </w:rPr>
      </w:pPr>
      <w:r>
        <w:rPr>
          <w:rFonts w:hint="eastAsia" w:ascii="宋体" w:hAnsi="宋体"/>
          <w:bCs/>
          <w:kern w:val="0"/>
          <w:szCs w:val="21"/>
          <w:highlight w:val="none"/>
        </w:rPr>
        <w:t>3.响应文件中要求加盖公章处，可使用有效安全的电子签章替代。</w:t>
      </w:r>
      <w:r>
        <w:rPr>
          <w:rFonts w:hint="eastAsia" w:ascii="宋体" w:hAnsi="宋体"/>
          <w:szCs w:val="21"/>
          <w:highlight w:val="none"/>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pPr>
        <w:autoSpaceDE w:val="0"/>
        <w:autoSpaceDN w:val="0"/>
        <w:adjustRightInd w:val="0"/>
        <w:spacing w:line="380" w:lineRule="exact"/>
        <w:ind w:firstLine="422" w:firstLineChars="200"/>
        <w:rPr>
          <w:rFonts w:ascii="宋体" w:hAnsi="宋体"/>
          <w:b/>
          <w:bCs/>
          <w:szCs w:val="21"/>
          <w:highlight w:val="none"/>
        </w:rPr>
      </w:pPr>
      <w:r>
        <w:rPr>
          <w:rFonts w:hint="eastAsia" w:ascii="宋体" w:hAnsi="宋体"/>
          <w:b/>
          <w:bCs/>
          <w:szCs w:val="21"/>
          <w:highlight w:val="none"/>
        </w:rPr>
        <w:t>（五）</w:t>
      </w:r>
      <w:r>
        <w:rPr>
          <w:rFonts w:hint="eastAsia" w:ascii="宋体" w:hAnsi="宋体"/>
          <w:b/>
          <w:kern w:val="0"/>
          <w:szCs w:val="21"/>
          <w:highlight w:val="none"/>
        </w:rPr>
        <w:t>响应文件</w:t>
      </w:r>
      <w:r>
        <w:rPr>
          <w:rFonts w:hint="eastAsia" w:ascii="宋体" w:hAnsi="宋体"/>
          <w:b/>
          <w:bCs/>
          <w:szCs w:val="21"/>
          <w:highlight w:val="none"/>
        </w:rPr>
        <w:t>的递交要求</w:t>
      </w:r>
    </w:p>
    <w:p>
      <w:pPr>
        <w:tabs>
          <w:tab w:val="left" w:pos="1418"/>
        </w:tabs>
        <w:autoSpaceDE w:val="0"/>
        <w:autoSpaceDN w:val="0"/>
        <w:adjustRightInd w:val="0"/>
        <w:spacing w:line="380" w:lineRule="exact"/>
        <w:ind w:firstLine="420" w:firstLineChars="200"/>
        <w:rPr>
          <w:rFonts w:ascii="宋体" w:hAnsi="宋体"/>
          <w:kern w:val="0"/>
          <w:szCs w:val="21"/>
          <w:highlight w:val="none"/>
        </w:rPr>
      </w:pPr>
      <w:r>
        <w:rPr>
          <w:rFonts w:hint="eastAsia" w:ascii="宋体" w:hAnsi="宋体" w:cstheme="majorEastAsia"/>
          <w:szCs w:val="21"/>
          <w:highlight w:val="none"/>
        </w:rPr>
        <w:t>按照前附表要求提交，</w:t>
      </w:r>
      <w:r>
        <w:rPr>
          <w:rFonts w:hint="eastAsia" w:ascii="宋体" w:hAnsi="宋体"/>
          <w:kern w:val="0"/>
          <w:szCs w:val="21"/>
          <w:highlight w:val="none"/>
        </w:rPr>
        <w:t>如采购组织机构延长截止时间和磋商时间，采购组织机构和供应商的权利和义务将受到新的截止时间和磋商时间的约束。</w:t>
      </w:r>
    </w:p>
    <w:p>
      <w:pPr>
        <w:snapToGrid w:val="0"/>
        <w:spacing w:line="380" w:lineRule="exact"/>
        <w:ind w:firstLine="422" w:firstLineChars="200"/>
        <w:rPr>
          <w:rFonts w:ascii="宋体" w:hAnsi="宋体"/>
          <w:b/>
          <w:szCs w:val="21"/>
          <w:highlight w:val="none"/>
        </w:rPr>
      </w:pPr>
      <w:r>
        <w:rPr>
          <w:rFonts w:hint="eastAsia" w:ascii="宋体" w:hAnsi="宋体"/>
          <w:b/>
          <w:kern w:val="0"/>
          <w:szCs w:val="21"/>
          <w:highlight w:val="none"/>
        </w:rPr>
        <w:t>五、</w:t>
      </w:r>
      <w:r>
        <w:rPr>
          <w:rFonts w:hint="eastAsia" w:ascii="宋体" w:hAnsi="宋体"/>
          <w:b/>
          <w:szCs w:val="21"/>
          <w:highlight w:val="none"/>
        </w:rPr>
        <w:t>磋商</w:t>
      </w:r>
      <w:r>
        <w:rPr>
          <w:rFonts w:ascii="宋体" w:hAnsi="宋体"/>
          <w:b/>
          <w:szCs w:val="21"/>
          <w:highlight w:val="none"/>
        </w:rPr>
        <w:t>程序</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1、开启开标场地的录音录像采集设备，并确保其正常运行。</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2、对提交了电子备份磋商文件的磋商供应商，代理机构工作人员应做好磋商响应文件签收记录并通过发送网络形式及时告知供应商。</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3、主持人宣布开标，介绍开标现场的人员情况，宣读递交磋商响应文件的供应商名单、开标纪律、应当回避的情形等注意事项。</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6、磋商小组所有成员集中与单一供应商分别进行磋商，并给予所有参加磋商的供应商平等的磋商机会。</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 CA 签章，上传政府采购云平台。</w:t>
      </w:r>
    </w:p>
    <w:p>
      <w:pPr>
        <w:tabs>
          <w:tab w:val="left" w:pos="1418"/>
        </w:tabs>
        <w:autoSpaceDE w:val="0"/>
        <w:autoSpaceDN w:val="0"/>
        <w:adjustRightInd w:val="0"/>
        <w:spacing w:line="380" w:lineRule="exact"/>
        <w:ind w:firstLine="422" w:firstLineChars="200"/>
        <w:rPr>
          <w:rFonts w:ascii="宋体" w:hAnsi="宋体" w:cstheme="majorEastAsia"/>
          <w:b/>
          <w:szCs w:val="21"/>
          <w:highlight w:val="none"/>
        </w:rPr>
      </w:pPr>
      <w:r>
        <w:rPr>
          <w:rFonts w:hint="eastAsia" w:ascii="宋体" w:hAnsi="宋体" w:cstheme="majorEastAsia"/>
          <w:b/>
          <w:szCs w:val="21"/>
          <w:highlight w:val="none"/>
        </w:rPr>
        <w:t>8、磋商文件能够详细列明采购标的的技术、服务要求的，磋商结束后，磋商小组将要求所有实质性响应的供应商在规定时间内提交最终报价，最终报价是供应商响应文件的有效组成部分。</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9、经磋商确定最终采购需求和提交最终报价的供应商后，由磋商小组采用综合评分法对提交最终报价的供应商的响应文件和最终报价进行综合评分。</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10、磋商小组根据综合评分情况，按照评审得分由高到低顺序确定预成交供应商，编写评审报告。</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11、采购组织机构对磋商小组专家成员进行评价。</w:t>
      </w:r>
    </w:p>
    <w:p>
      <w:pPr>
        <w:tabs>
          <w:tab w:val="left" w:pos="1418"/>
        </w:tabs>
        <w:autoSpaceDE w:val="0"/>
        <w:autoSpaceDN w:val="0"/>
        <w:adjustRightInd w:val="0"/>
        <w:spacing w:line="380" w:lineRule="exact"/>
        <w:ind w:firstLine="420" w:firstLineChars="200"/>
        <w:rPr>
          <w:rFonts w:ascii="宋体" w:hAnsi="宋体" w:cstheme="majorEastAsia"/>
          <w:szCs w:val="21"/>
          <w:highlight w:val="none"/>
        </w:rPr>
      </w:pPr>
      <w:r>
        <w:rPr>
          <w:rFonts w:hint="eastAsia" w:ascii="宋体" w:hAnsi="宋体" w:cstheme="majorEastAsia"/>
          <w:szCs w:val="21"/>
          <w:highlight w:val="none"/>
        </w:rPr>
        <w:t>12、主持人到磋商采购会现场宣布磋商结果（含技术得分、最终报价、报价得分及总得分），磋商采购会议结束。</w:t>
      </w:r>
    </w:p>
    <w:p>
      <w:pPr>
        <w:pStyle w:val="5"/>
        <w:spacing w:line="380" w:lineRule="exact"/>
        <w:ind w:firstLine="422" w:firstLineChars="200"/>
        <w:rPr>
          <w:rFonts w:ascii="宋体" w:hAnsi="宋体"/>
          <w:b/>
          <w:bCs/>
          <w:szCs w:val="21"/>
          <w:highlight w:val="none"/>
        </w:rPr>
      </w:pPr>
      <w:r>
        <w:rPr>
          <w:rFonts w:hint="eastAsia" w:ascii="宋体" w:hAnsi="宋体"/>
          <w:b/>
          <w:bCs/>
          <w:szCs w:val="21"/>
          <w:highlight w:val="none"/>
        </w:rPr>
        <w:t>六、磋商异议</w:t>
      </w:r>
    </w:p>
    <w:p>
      <w:pPr>
        <w:pStyle w:val="5"/>
        <w:spacing w:line="380" w:lineRule="exact"/>
        <w:ind w:firstLineChars="200"/>
        <w:rPr>
          <w:rFonts w:ascii="宋体" w:hAnsi="宋体"/>
          <w:szCs w:val="21"/>
          <w:highlight w:val="none"/>
        </w:rPr>
      </w:pPr>
      <w:r>
        <w:rPr>
          <w:rFonts w:hint="eastAsia" w:ascii="宋体" w:hAnsi="宋体"/>
          <w:szCs w:val="21"/>
          <w:highlight w:val="none"/>
        </w:rPr>
        <w:t>供应商代表对磋商过程和磋商记录有疑义，以及认为采购人、采购</w:t>
      </w:r>
      <w:r>
        <w:rPr>
          <w:rFonts w:hint="eastAsia" w:ascii="宋体" w:hAnsi="宋体" w:cstheme="minorBidi"/>
          <w:szCs w:val="21"/>
          <w:highlight w:val="none"/>
        </w:rPr>
        <w:t>组织</w:t>
      </w:r>
      <w:r>
        <w:rPr>
          <w:rFonts w:hint="eastAsia" w:ascii="宋体" w:hAnsi="宋体"/>
          <w:szCs w:val="21"/>
          <w:highlight w:val="none"/>
        </w:rPr>
        <w:t>机构相关工作人员有需要回避的情形的，应当场提出询问或者回避申请，磋商会议结束后不再接受相关询问、质疑或者回避申请。</w:t>
      </w:r>
    </w:p>
    <w:p>
      <w:pPr>
        <w:pStyle w:val="37"/>
        <w:spacing w:before="0" w:beforeAutospacing="0" w:after="0" w:afterAutospacing="0" w:line="380" w:lineRule="exact"/>
        <w:ind w:firstLine="211" w:firstLineChars="100"/>
        <w:jc w:val="both"/>
        <w:rPr>
          <w:rFonts w:hint="default"/>
          <w:b/>
          <w:sz w:val="21"/>
          <w:szCs w:val="21"/>
          <w:highlight w:val="none"/>
        </w:rPr>
      </w:pPr>
      <w:r>
        <w:rPr>
          <w:b/>
          <w:sz w:val="21"/>
          <w:szCs w:val="21"/>
          <w:highlight w:val="none"/>
        </w:rPr>
        <w:t>七、磋商结果确定</w:t>
      </w:r>
    </w:p>
    <w:p>
      <w:pPr>
        <w:pStyle w:val="37"/>
        <w:spacing w:before="0" w:beforeAutospacing="0" w:after="0" w:afterAutospacing="0" w:line="380" w:lineRule="exact"/>
        <w:ind w:firstLine="420" w:firstLineChars="200"/>
        <w:jc w:val="both"/>
        <w:rPr>
          <w:rFonts w:hint="default"/>
          <w:sz w:val="21"/>
          <w:szCs w:val="21"/>
          <w:highlight w:val="none"/>
        </w:rPr>
      </w:pPr>
      <w:r>
        <w:rPr>
          <w:sz w:val="21"/>
          <w:szCs w:val="21"/>
          <w:highlight w:val="none"/>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按照排序由高到低的顺序确定成交供应商。</w:t>
      </w:r>
    </w:p>
    <w:p>
      <w:pPr>
        <w:spacing w:line="380" w:lineRule="exact"/>
        <w:ind w:firstLine="420" w:firstLineChars="200"/>
        <w:rPr>
          <w:rFonts w:ascii="宋体" w:hAnsi="宋体"/>
          <w:kern w:val="0"/>
          <w:szCs w:val="21"/>
          <w:highlight w:val="none"/>
        </w:rPr>
      </w:pPr>
      <w:r>
        <w:rPr>
          <w:rFonts w:hint="eastAsia" w:ascii="宋体" w:hAnsi="宋体"/>
          <w:szCs w:val="21"/>
          <w:highlight w:val="none"/>
        </w:rPr>
        <w:t>（二）</w:t>
      </w:r>
      <w:r>
        <w:rPr>
          <w:rFonts w:hint="eastAsia" w:ascii="宋体" w:hAnsi="宋体"/>
          <w:kern w:val="0"/>
          <w:szCs w:val="21"/>
          <w:highlight w:val="none"/>
        </w:rPr>
        <w:t>发布成交结果公告。采购组织机构自成交供应商</w:t>
      </w:r>
      <w:r>
        <w:rPr>
          <w:rFonts w:ascii="宋体" w:hAnsi="宋体"/>
          <w:kern w:val="0"/>
          <w:szCs w:val="21"/>
          <w:highlight w:val="none"/>
        </w:rPr>
        <w:t>确定</w:t>
      </w:r>
      <w:r>
        <w:rPr>
          <w:rFonts w:hint="eastAsia" w:ascii="宋体" w:hAnsi="宋体"/>
          <w:kern w:val="0"/>
          <w:szCs w:val="21"/>
          <w:highlight w:val="none"/>
        </w:rPr>
        <w:t>之日起</w:t>
      </w:r>
      <w:r>
        <w:rPr>
          <w:rFonts w:ascii="宋体" w:hAnsi="宋体"/>
          <w:kern w:val="0"/>
          <w:szCs w:val="21"/>
          <w:highlight w:val="none"/>
        </w:rPr>
        <w:t>2个工作日内</w:t>
      </w:r>
      <w:r>
        <w:rPr>
          <w:rFonts w:hint="eastAsia" w:ascii="宋体" w:hAnsi="宋体"/>
          <w:kern w:val="0"/>
          <w:szCs w:val="21"/>
          <w:highlight w:val="none"/>
        </w:rPr>
        <w:t>，</w:t>
      </w:r>
      <w:r>
        <w:rPr>
          <w:rFonts w:ascii="宋体" w:hAnsi="宋体"/>
          <w:kern w:val="0"/>
          <w:szCs w:val="21"/>
          <w:highlight w:val="none"/>
        </w:rPr>
        <w:t>在</w:t>
      </w:r>
      <w:r>
        <w:rPr>
          <w:rFonts w:hint="eastAsia" w:ascii="宋体" w:hAnsi="宋体"/>
          <w:kern w:val="0"/>
          <w:szCs w:val="21"/>
          <w:highlight w:val="none"/>
        </w:rPr>
        <w:t>浙江</w:t>
      </w:r>
      <w:r>
        <w:rPr>
          <w:rFonts w:ascii="宋体" w:hAnsi="宋体"/>
          <w:kern w:val="0"/>
          <w:szCs w:val="21"/>
          <w:highlight w:val="none"/>
        </w:rPr>
        <w:t>省</w:t>
      </w:r>
      <w:r>
        <w:rPr>
          <w:rFonts w:hint="eastAsia" w:ascii="宋体" w:hAnsi="宋体"/>
          <w:kern w:val="0"/>
          <w:szCs w:val="21"/>
          <w:highlight w:val="none"/>
        </w:rPr>
        <w:t>政府采购</w:t>
      </w:r>
      <w:r>
        <w:rPr>
          <w:rFonts w:ascii="宋体" w:hAnsi="宋体"/>
          <w:kern w:val="0"/>
          <w:szCs w:val="21"/>
          <w:highlight w:val="none"/>
        </w:rPr>
        <w:t>网</w:t>
      </w:r>
      <w:r>
        <w:rPr>
          <w:rFonts w:hint="eastAsia" w:ascii="宋体" w:hAnsi="宋体"/>
          <w:kern w:val="0"/>
          <w:szCs w:val="21"/>
          <w:highlight w:val="none"/>
        </w:rPr>
        <w:t>和三门县公共资源交易网上</w:t>
      </w:r>
      <w:r>
        <w:rPr>
          <w:rFonts w:ascii="宋体" w:hAnsi="宋体"/>
          <w:kern w:val="0"/>
          <w:szCs w:val="21"/>
          <w:highlight w:val="none"/>
        </w:rPr>
        <w:t>公告</w:t>
      </w:r>
      <w:r>
        <w:rPr>
          <w:rFonts w:hint="eastAsia" w:ascii="宋体" w:hAnsi="宋体"/>
          <w:kern w:val="0"/>
          <w:szCs w:val="21"/>
          <w:highlight w:val="none"/>
        </w:rPr>
        <w:t>成交结果，成交</w:t>
      </w:r>
      <w:r>
        <w:rPr>
          <w:rFonts w:ascii="宋体" w:hAnsi="宋体"/>
          <w:szCs w:val="21"/>
          <w:highlight w:val="none"/>
        </w:rPr>
        <w:t>结果公告期为 1 个工作日</w:t>
      </w:r>
      <w:r>
        <w:rPr>
          <w:rFonts w:hint="eastAsia" w:ascii="宋体" w:hAnsi="宋体"/>
          <w:kern w:val="0"/>
          <w:szCs w:val="21"/>
          <w:highlight w:val="none"/>
        </w:rPr>
        <w:t>。</w:t>
      </w:r>
    </w:p>
    <w:p>
      <w:pPr>
        <w:pStyle w:val="17"/>
        <w:spacing w:line="380" w:lineRule="exact"/>
        <w:ind w:firstLine="420" w:firstLineChars="200"/>
        <w:jc w:val="both"/>
        <w:rPr>
          <w:rFonts w:ascii="宋体" w:hAnsi="宋体"/>
          <w:szCs w:val="21"/>
          <w:highlight w:val="none"/>
        </w:rPr>
      </w:pPr>
      <w:r>
        <w:rPr>
          <w:rFonts w:hint="eastAsia" w:ascii="宋体" w:hAnsi="宋体"/>
          <w:kern w:val="0"/>
          <w:szCs w:val="21"/>
          <w:highlight w:val="none"/>
        </w:rPr>
        <w:t>（三）发放成交通知书。采购组织机构在发布成交结果公告的同时，</w:t>
      </w:r>
      <w:r>
        <w:rPr>
          <w:rFonts w:hint="eastAsia" w:ascii="宋体" w:hAnsi="宋体"/>
          <w:szCs w:val="21"/>
          <w:highlight w:val="none"/>
        </w:rPr>
        <w:t>通过政采云平台向成交供应商发放成交通知书</w:t>
      </w:r>
      <w:r>
        <w:rPr>
          <w:rFonts w:hint="eastAsia" w:ascii="宋体" w:hAnsi="宋体"/>
          <w:kern w:val="0"/>
          <w:szCs w:val="21"/>
          <w:highlight w:val="none"/>
        </w:rPr>
        <w:t>。</w:t>
      </w:r>
    </w:p>
    <w:p>
      <w:pPr>
        <w:spacing w:line="380" w:lineRule="exact"/>
        <w:ind w:firstLine="422" w:firstLineChars="200"/>
        <w:rPr>
          <w:rFonts w:ascii="宋体" w:hAnsi="宋体"/>
          <w:kern w:val="0"/>
          <w:szCs w:val="21"/>
          <w:highlight w:val="none"/>
        </w:rPr>
      </w:pPr>
      <w:r>
        <w:rPr>
          <w:rFonts w:hint="eastAsia" w:ascii="宋体" w:hAnsi="宋体"/>
          <w:b/>
          <w:szCs w:val="21"/>
          <w:highlight w:val="none"/>
        </w:rPr>
        <w:t>八</w:t>
      </w:r>
      <w:r>
        <w:rPr>
          <w:rFonts w:ascii="宋体" w:hAnsi="宋体"/>
          <w:b/>
          <w:szCs w:val="21"/>
          <w:highlight w:val="none"/>
        </w:rPr>
        <w:t>、</w:t>
      </w:r>
      <w:r>
        <w:rPr>
          <w:rFonts w:hint="eastAsia" w:ascii="宋体" w:hAnsi="宋体"/>
          <w:b/>
          <w:kern w:val="0"/>
          <w:szCs w:val="21"/>
          <w:highlight w:val="none"/>
        </w:rPr>
        <w:t>合同签订及公告</w:t>
      </w:r>
    </w:p>
    <w:p>
      <w:pPr>
        <w:spacing w:line="380" w:lineRule="exact"/>
        <w:ind w:firstLine="422" w:firstLineChars="200"/>
        <w:rPr>
          <w:rFonts w:ascii="宋体" w:hAnsi="宋体"/>
          <w:b/>
          <w:kern w:val="0"/>
          <w:szCs w:val="21"/>
          <w:highlight w:val="none"/>
        </w:rPr>
      </w:pPr>
      <w:r>
        <w:rPr>
          <w:rFonts w:hint="eastAsia" w:ascii="宋体" w:hAnsi="宋体"/>
          <w:b/>
          <w:szCs w:val="21"/>
          <w:highlight w:val="none"/>
        </w:rPr>
        <w:t>（一）签订合同</w:t>
      </w:r>
    </w:p>
    <w:p>
      <w:pPr>
        <w:pStyle w:val="37"/>
        <w:spacing w:before="0" w:beforeAutospacing="0" w:after="0" w:afterAutospacing="0" w:line="380" w:lineRule="exact"/>
        <w:ind w:firstLine="420" w:firstLineChars="200"/>
        <w:jc w:val="both"/>
        <w:rPr>
          <w:rFonts w:hint="default"/>
          <w:sz w:val="21"/>
          <w:szCs w:val="21"/>
          <w:highlight w:val="none"/>
        </w:rPr>
      </w:pPr>
      <w:r>
        <w:rPr>
          <w:sz w:val="21"/>
          <w:szCs w:val="21"/>
          <w:highlight w:val="none"/>
        </w:rPr>
        <w:t>1.采购人应当自成交通知书发出之</w:t>
      </w:r>
      <w:r>
        <w:rPr>
          <w:sz w:val="21"/>
          <w:szCs w:val="21"/>
          <w:highlight w:val="none"/>
        </w:rPr>
        <w:t>日起</w:t>
      </w:r>
      <w:r>
        <w:rPr>
          <w:rFonts w:hint="eastAsia"/>
          <w:sz w:val="21"/>
          <w:szCs w:val="21"/>
          <w:highlight w:val="none"/>
          <w:lang w:val="en-US" w:eastAsia="zh-CN"/>
        </w:rPr>
        <w:t>7</w:t>
      </w:r>
      <w:r>
        <w:rPr>
          <w:sz w:val="21"/>
          <w:szCs w:val="21"/>
          <w:highlight w:val="none"/>
        </w:rPr>
        <w:t>日内，按照磋商文件和成交供应商响应文件内容要求，与成交供应商签订书面合同或者电子合同。所签订的合同</w:t>
      </w:r>
      <w:r>
        <w:rPr>
          <w:sz w:val="21"/>
          <w:szCs w:val="21"/>
          <w:highlight w:val="none"/>
        </w:rPr>
        <w:t>不得对磋商文件确定的事项和成交供应商响应文件作实质性修改。</w:t>
      </w:r>
    </w:p>
    <w:p>
      <w:pPr>
        <w:pStyle w:val="37"/>
        <w:spacing w:before="0" w:beforeAutospacing="0" w:after="0" w:afterAutospacing="0" w:line="380" w:lineRule="exact"/>
        <w:ind w:firstLine="420" w:firstLineChars="200"/>
        <w:jc w:val="both"/>
        <w:rPr>
          <w:rFonts w:hint="default"/>
          <w:sz w:val="21"/>
          <w:szCs w:val="21"/>
          <w:highlight w:val="none"/>
        </w:rPr>
      </w:pPr>
      <w:r>
        <w:rPr>
          <w:sz w:val="21"/>
          <w:szCs w:val="21"/>
          <w:highlight w:val="none"/>
        </w:rPr>
        <w:t>2.采购人不得向成交供应商提出任何不合理的要求作为签订合同的条件。</w:t>
      </w:r>
    </w:p>
    <w:p>
      <w:pPr>
        <w:pStyle w:val="37"/>
        <w:spacing w:before="0" w:beforeAutospacing="0" w:after="0" w:afterAutospacing="0" w:line="380" w:lineRule="exact"/>
        <w:ind w:firstLine="420" w:firstLineChars="200"/>
        <w:jc w:val="both"/>
        <w:rPr>
          <w:rFonts w:hint="default"/>
          <w:sz w:val="21"/>
          <w:szCs w:val="21"/>
          <w:highlight w:val="none"/>
        </w:rPr>
      </w:pPr>
      <w:r>
        <w:rPr>
          <w:sz w:val="21"/>
          <w:szCs w:val="21"/>
          <w:highlight w:val="none"/>
        </w:rPr>
        <w:t>3.成交供应商无故拖延、拒签合同的,将取消成交资格。</w:t>
      </w:r>
    </w:p>
    <w:p>
      <w:pPr>
        <w:pStyle w:val="37"/>
        <w:spacing w:before="0" w:beforeAutospacing="0" w:after="0" w:afterAutospacing="0" w:line="380" w:lineRule="exact"/>
        <w:ind w:firstLine="420" w:firstLineChars="200"/>
        <w:jc w:val="both"/>
        <w:rPr>
          <w:rFonts w:hint="default"/>
          <w:sz w:val="21"/>
          <w:szCs w:val="21"/>
          <w:highlight w:val="none"/>
        </w:rPr>
      </w:pPr>
      <w:r>
        <w:rPr>
          <w:sz w:val="21"/>
          <w:szCs w:val="21"/>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37"/>
        <w:spacing w:before="0" w:beforeAutospacing="0" w:after="0" w:afterAutospacing="0" w:line="380" w:lineRule="exact"/>
        <w:ind w:firstLine="420" w:firstLineChars="200"/>
        <w:jc w:val="both"/>
        <w:rPr>
          <w:rFonts w:hint="default"/>
          <w:sz w:val="21"/>
          <w:szCs w:val="21"/>
          <w:highlight w:val="none"/>
        </w:rPr>
      </w:pPr>
      <w:r>
        <w:rPr>
          <w:sz w:val="21"/>
          <w:szCs w:val="21"/>
          <w:highlight w:val="none"/>
        </w:rPr>
        <w:t>5.询问或者质疑事项可能影响成交结果的，采购人应当暂停签订合同，已经签订合同的，应当中止履行合同。</w:t>
      </w:r>
    </w:p>
    <w:p>
      <w:pPr>
        <w:pStyle w:val="37"/>
        <w:spacing w:before="0" w:beforeAutospacing="0" w:after="0" w:afterAutospacing="0" w:line="380" w:lineRule="exact"/>
        <w:ind w:firstLine="422" w:firstLineChars="200"/>
        <w:jc w:val="both"/>
        <w:rPr>
          <w:rFonts w:hint="default" w:cs="仿宋_GB2312"/>
          <w:b/>
          <w:sz w:val="21"/>
          <w:szCs w:val="21"/>
          <w:highlight w:val="none"/>
        </w:rPr>
      </w:pPr>
      <w:r>
        <w:rPr>
          <w:b/>
          <w:sz w:val="21"/>
          <w:szCs w:val="21"/>
          <w:highlight w:val="none"/>
        </w:rPr>
        <w:t>（二）合同公告及备案</w:t>
      </w:r>
    </w:p>
    <w:p>
      <w:pPr>
        <w:pStyle w:val="19"/>
        <w:spacing w:after="0" w:line="380" w:lineRule="exact"/>
        <w:ind w:left="0" w:leftChars="0" w:firstLine="420" w:firstLineChars="200"/>
        <w:rPr>
          <w:rFonts w:ascii="宋体" w:hAnsi="宋体"/>
          <w:szCs w:val="21"/>
          <w:highlight w:val="none"/>
        </w:rPr>
      </w:pPr>
      <w:r>
        <w:rPr>
          <w:rFonts w:hint="eastAsia" w:ascii="宋体" w:hAnsi="宋体"/>
          <w:szCs w:val="21"/>
          <w:highlight w:val="none"/>
        </w:rPr>
        <w:t>1.采购人应当自政府采购合同签订之日起2个工作日内，</w:t>
      </w:r>
      <w:r>
        <w:rPr>
          <w:rFonts w:ascii="宋体" w:hAnsi="宋体"/>
          <w:kern w:val="0"/>
          <w:szCs w:val="21"/>
          <w:highlight w:val="none"/>
        </w:rPr>
        <w:t>在省级以上财政部门指定的</w:t>
      </w:r>
      <w:r>
        <w:rPr>
          <w:rFonts w:hint="eastAsia" w:ascii="宋体" w:hAnsi="宋体"/>
          <w:kern w:val="0"/>
          <w:szCs w:val="21"/>
          <w:highlight w:val="none"/>
        </w:rPr>
        <w:t>政府采购信息发布</w:t>
      </w:r>
      <w:r>
        <w:rPr>
          <w:rFonts w:ascii="宋体" w:hAnsi="宋体"/>
          <w:kern w:val="0"/>
          <w:szCs w:val="21"/>
          <w:highlight w:val="none"/>
        </w:rPr>
        <w:t>媒体及相关网站</w:t>
      </w:r>
      <w:r>
        <w:rPr>
          <w:rFonts w:hint="eastAsia" w:ascii="宋体" w:hAnsi="宋体"/>
          <w:kern w:val="0"/>
          <w:szCs w:val="21"/>
          <w:highlight w:val="none"/>
        </w:rPr>
        <w:t>上</w:t>
      </w:r>
      <w:r>
        <w:rPr>
          <w:rFonts w:ascii="宋体" w:hAnsi="宋体"/>
          <w:kern w:val="0"/>
          <w:szCs w:val="21"/>
          <w:highlight w:val="none"/>
        </w:rPr>
        <w:t>公告</w:t>
      </w:r>
      <w:r>
        <w:rPr>
          <w:rFonts w:hint="eastAsia" w:ascii="宋体" w:hAnsi="宋体"/>
          <w:szCs w:val="21"/>
          <w:highlight w:val="none"/>
        </w:rPr>
        <w:t>。</w:t>
      </w:r>
    </w:p>
    <w:p>
      <w:pPr>
        <w:pStyle w:val="17"/>
        <w:spacing w:line="380" w:lineRule="exact"/>
        <w:ind w:firstLine="420" w:firstLineChars="200"/>
        <w:jc w:val="both"/>
        <w:rPr>
          <w:rFonts w:ascii="宋体" w:hAnsi="宋体"/>
          <w:szCs w:val="21"/>
          <w:highlight w:val="none"/>
        </w:rPr>
      </w:pPr>
      <w:r>
        <w:rPr>
          <w:rFonts w:hint="eastAsia" w:ascii="宋体" w:hAnsi="宋体"/>
          <w:szCs w:val="21"/>
          <w:highlight w:val="none"/>
        </w:rPr>
        <w:t>2.采购人应当自政府采购合同签订之日起7个工作日内，将合同通过政采云平台提交至同级人民政府财政部门备案存档。</w:t>
      </w:r>
    </w:p>
    <w:p>
      <w:pPr>
        <w:pStyle w:val="17"/>
        <w:spacing w:line="380" w:lineRule="exact"/>
        <w:ind w:firstLine="422" w:firstLineChars="200"/>
        <w:jc w:val="both"/>
        <w:rPr>
          <w:rFonts w:ascii="宋体" w:hAnsi="宋体"/>
          <w:b/>
          <w:bCs/>
          <w:szCs w:val="21"/>
          <w:highlight w:val="none"/>
        </w:rPr>
      </w:pPr>
      <w:r>
        <w:rPr>
          <w:rFonts w:hint="eastAsia" w:ascii="宋体" w:hAnsi="宋体"/>
          <w:b/>
          <w:bCs/>
          <w:szCs w:val="21"/>
          <w:highlight w:val="none"/>
        </w:rPr>
        <w:t>九、询问、质疑与投诉</w:t>
      </w:r>
    </w:p>
    <w:p>
      <w:pPr>
        <w:pStyle w:val="17"/>
        <w:spacing w:line="380" w:lineRule="exact"/>
        <w:ind w:firstLine="422" w:firstLineChars="200"/>
        <w:jc w:val="both"/>
        <w:rPr>
          <w:rFonts w:ascii="宋体" w:hAnsi="宋体"/>
          <w:b/>
          <w:bCs/>
          <w:szCs w:val="21"/>
          <w:highlight w:val="none"/>
        </w:rPr>
      </w:pPr>
      <w:r>
        <w:rPr>
          <w:rFonts w:hint="eastAsia" w:ascii="宋体" w:hAnsi="宋体"/>
          <w:b/>
          <w:bCs/>
          <w:szCs w:val="21"/>
          <w:highlight w:val="none"/>
        </w:rPr>
        <w:t>（一）询问</w:t>
      </w:r>
    </w:p>
    <w:p>
      <w:pPr>
        <w:pStyle w:val="17"/>
        <w:spacing w:line="380" w:lineRule="exact"/>
        <w:ind w:firstLine="420" w:firstLineChars="200"/>
        <w:jc w:val="both"/>
        <w:rPr>
          <w:rFonts w:ascii="宋体" w:hAnsi="宋体"/>
          <w:szCs w:val="21"/>
          <w:highlight w:val="none"/>
        </w:rPr>
      </w:pPr>
      <w:r>
        <w:rPr>
          <w:rFonts w:hint="eastAsia" w:ascii="宋体" w:hAnsi="宋体"/>
          <w:szCs w:val="21"/>
          <w:highlight w:val="none"/>
        </w:rPr>
        <w:t>磋商供应商对政府采购活动事项（磋商文件、采购过程和成交结果）有疑问的，可以向采购人或采购</w:t>
      </w:r>
      <w:r>
        <w:rPr>
          <w:rFonts w:hint="eastAsia" w:ascii="宋体" w:hAnsi="宋体" w:cstheme="minorBidi"/>
          <w:szCs w:val="21"/>
          <w:highlight w:val="none"/>
        </w:rPr>
        <w:t>组织</w:t>
      </w:r>
      <w:r>
        <w:rPr>
          <w:rFonts w:hint="eastAsia" w:ascii="宋体" w:hAnsi="宋体"/>
          <w:szCs w:val="21"/>
          <w:highlight w:val="none"/>
        </w:rPr>
        <w:t>机构提出询问，采购人或采购</w:t>
      </w:r>
      <w:r>
        <w:rPr>
          <w:rFonts w:hint="eastAsia" w:ascii="宋体" w:hAnsi="宋体" w:cstheme="minorBidi"/>
          <w:szCs w:val="21"/>
          <w:highlight w:val="none"/>
        </w:rPr>
        <w:t>组织</w:t>
      </w:r>
      <w:r>
        <w:rPr>
          <w:rFonts w:hint="eastAsia" w:ascii="宋体" w:hAnsi="宋体"/>
          <w:szCs w:val="21"/>
          <w:highlight w:val="none"/>
        </w:rPr>
        <w:t>机构将及时作出答复，但答复的内容不涉及商业秘密。询问可以口头方式提出，也可以书面方式提出。联系方式见第一章“磋商邀请”中“采购人、采购</w:t>
      </w:r>
      <w:r>
        <w:rPr>
          <w:rFonts w:hint="eastAsia" w:ascii="宋体" w:hAnsi="宋体" w:cstheme="minorBidi"/>
          <w:szCs w:val="21"/>
          <w:highlight w:val="none"/>
        </w:rPr>
        <w:t>组织</w:t>
      </w:r>
      <w:r>
        <w:rPr>
          <w:rFonts w:hint="eastAsia" w:ascii="宋体" w:hAnsi="宋体"/>
          <w:szCs w:val="21"/>
          <w:highlight w:val="none"/>
        </w:rPr>
        <w:t>机构的名称、地址和联系方式”。</w:t>
      </w:r>
    </w:p>
    <w:p>
      <w:pPr>
        <w:pStyle w:val="17"/>
        <w:spacing w:line="380" w:lineRule="exact"/>
        <w:ind w:firstLine="422" w:firstLineChars="200"/>
        <w:jc w:val="both"/>
        <w:rPr>
          <w:rFonts w:ascii="宋体" w:hAnsi="宋体"/>
          <w:b/>
          <w:bCs/>
          <w:szCs w:val="21"/>
          <w:highlight w:val="none"/>
        </w:rPr>
      </w:pPr>
      <w:r>
        <w:rPr>
          <w:rFonts w:hint="eastAsia" w:ascii="宋体" w:hAnsi="宋体"/>
          <w:b/>
          <w:bCs/>
          <w:szCs w:val="21"/>
          <w:highlight w:val="none"/>
        </w:rPr>
        <w:t>（二）质疑</w:t>
      </w:r>
    </w:p>
    <w:p>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highlight w:val="none"/>
        </w:rPr>
      </w:pPr>
      <w:r>
        <w:rPr>
          <w:rFonts w:hint="eastAsia" w:ascii="宋体" w:hAnsi="宋体" w:cs="宋体"/>
          <w:szCs w:val="21"/>
          <w:highlight w:val="none"/>
        </w:rPr>
        <w:t>1.对竞争性磋商文件提出质疑的，为获取竞争性磋商文件</w:t>
      </w:r>
      <w:r>
        <w:rPr>
          <w:rFonts w:ascii="宋体" w:hAnsi="宋体" w:cs="宋体"/>
          <w:szCs w:val="21"/>
          <w:highlight w:val="none"/>
        </w:rPr>
        <w:t>之日</w:t>
      </w:r>
      <w:r>
        <w:rPr>
          <w:rFonts w:hint="eastAsia" w:ascii="宋体" w:hAnsi="宋体" w:cs="宋体"/>
          <w:szCs w:val="21"/>
          <w:highlight w:val="none"/>
        </w:rPr>
        <w:t>或者竞争性磋商文件公告期限届满之日（竞争性磋商文件公告期限届满后获取竞争性磋商文件的，以竞争性磋商文件公告期限届满之日为准）</w:t>
      </w:r>
      <w:r>
        <w:rPr>
          <w:rFonts w:hint="eastAsia" w:ascii="宋体" w:hAnsi="宋体"/>
          <w:szCs w:val="21"/>
          <w:highlight w:val="none"/>
        </w:rPr>
        <w:t>7个工作日内提出质疑</w:t>
      </w:r>
      <w:r>
        <w:rPr>
          <w:rFonts w:hint="eastAsia" w:ascii="宋体" w:hAnsi="宋体" w:cs="宋体"/>
          <w:szCs w:val="21"/>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17"/>
        <w:spacing w:line="380" w:lineRule="exact"/>
        <w:ind w:firstLine="420" w:firstLineChars="200"/>
        <w:jc w:val="both"/>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供应商对采购过程提出质疑的，应当在各采购程序环节结束之日起7个工作日内提出质疑；</w:t>
      </w:r>
    </w:p>
    <w:p>
      <w:pPr>
        <w:spacing w:line="38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供应商对成交结果提出质疑的，应当在成交结果公告期限届满之日起7个工作日内提出质疑。</w:t>
      </w:r>
    </w:p>
    <w:p>
      <w:pPr>
        <w:pStyle w:val="17"/>
        <w:spacing w:line="380" w:lineRule="exact"/>
        <w:ind w:firstLine="420" w:firstLineChars="200"/>
        <w:jc w:val="both"/>
        <w:rPr>
          <w:rFonts w:ascii="宋体" w:hAnsi="宋体"/>
          <w:szCs w:val="21"/>
          <w:highlight w:val="none"/>
        </w:rPr>
      </w:pPr>
      <w:r>
        <w:rPr>
          <w:rFonts w:ascii="宋体" w:hAnsi="宋体"/>
          <w:szCs w:val="21"/>
          <w:highlight w:val="none"/>
        </w:rPr>
        <w:t>4</w:t>
      </w:r>
      <w:r>
        <w:rPr>
          <w:rFonts w:hint="eastAsia" w:ascii="宋体" w:hAnsi="宋体"/>
          <w:szCs w:val="21"/>
          <w:highlight w:val="none"/>
        </w:rPr>
        <w:t>.采购人或采购</w:t>
      </w:r>
      <w:r>
        <w:rPr>
          <w:rFonts w:hint="eastAsia" w:ascii="宋体" w:hAnsi="宋体" w:cstheme="minorBidi"/>
          <w:szCs w:val="21"/>
          <w:highlight w:val="none"/>
        </w:rPr>
        <w:t>组织</w:t>
      </w:r>
      <w:r>
        <w:rPr>
          <w:rFonts w:hint="eastAsia" w:ascii="宋体" w:hAnsi="宋体"/>
          <w:szCs w:val="21"/>
          <w:highlight w:val="none"/>
        </w:rPr>
        <w:t>机构在收到磋商供应商的书面质疑后7个工作日内作出答复，并以书面形式通知质疑磋商供应商和其他有关磋商供应商，但答复内容不涉及商业秘密。</w:t>
      </w:r>
    </w:p>
    <w:p>
      <w:pPr>
        <w:pStyle w:val="17"/>
        <w:spacing w:line="380" w:lineRule="exact"/>
        <w:ind w:firstLine="420" w:firstLineChars="200"/>
        <w:jc w:val="both"/>
        <w:rPr>
          <w:rFonts w:ascii="宋体" w:hAnsi="宋体"/>
          <w:szCs w:val="21"/>
          <w:highlight w:val="none"/>
        </w:rPr>
      </w:pPr>
      <w:r>
        <w:rPr>
          <w:rFonts w:ascii="宋体" w:hAnsi="宋体"/>
          <w:szCs w:val="21"/>
          <w:highlight w:val="none"/>
        </w:rPr>
        <w:t>5</w:t>
      </w:r>
      <w:r>
        <w:rPr>
          <w:rFonts w:hint="eastAsia" w:ascii="宋体" w:hAnsi="宋体"/>
          <w:szCs w:val="21"/>
          <w:highlight w:val="none"/>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7"/>
        <w:spacing w:line="380" w:lineRule="exact"/>
        <w:ind w:firstLine="422" w:firstLineChars="200"/>
        <w:jc w:val="both"/>
        <w:rPr>
          <w:rFonts w:ascii="宋体" w:hAnsi="宋体"/>
          <w:b/>
          <w:bCs/>
          <w:szCs w:val="21"/>
          <w:highlight w:val="none"/>
        </w:rPr>
      </w:pPr>
      <w:r>
        <w:rPr>
          <w:rFonts w:hint="eastAsia" w:ascii="宋体" w:hAnsi="宋体"/>
          <w:b/>
          <w:bCs/>
          <w:szCs w:val="21"/>
          <w:highlight w:val="none"/>
        </w:rPr>
        <w:t>（三）投诉</w:t>
      </w:r>
    </w:p>
    <w:p>
      <w:pPr>
        <w:pStyle w:val="17"/>
        <w:spacing w:line="380" w:lineRule="exact"/>
        <w:ind w:firstLine="420" w:firstLineChars="200"/>
        <w:jc w:val="both"/>
        <w:rPr>
          <w:rFonts w:ascii="宋体" w:hAnsi="宋体"/>
          <w:szCs w:val="21"/>
          <w:highlight w:val="none"/>
        </w:rPr>
      </w:pPr>
      <w:r>
        <w:rPr>
          <w:rFonts w:hint="eastAsia" w:ascii="宋体" w:hAnsi="宋体"/>
          <w:szCs w:val="21"/>
          <w:highlight w:val="none"/>
        </w:rPr>
        <w:t>磋商供应商对采购人或采购</w:t>
      </w:r>
      <w:r>
        <w:rPr>
          <w:rFonts w:hint="eastAsia" w:ascii="宋体" w:hAnsi="宋体" w:cstheme="minorBidi"/>
          <w:szCs w:val="21"/>
          <w:highlight w:val="none"/>
        </w:rPr>
        <w:t>组织</w:t>
      </w:r>
      <w:r>
        <w:rPr>
          <w:rFonts w:hint="eastAsia" w:ascii="宋体" w:hAnsi="宋体"/>
          <w:szCs w:val="21"/>
          <w:highlight w:val="none"/>
        </w:rPr>
        <w:t>机构的质疑答复不满意或在规定时间内未得到答复的，可以在答复期满后15个工作日内，向同级政府采购监督管理机构投诉。</w:t>
      </w:r>
    </w:p>
    <w:p>
      <w:pPr>
        <w:spacing w:line="420" w:lineRule="exact"/>
        <w:ind w:firstLine="422" w:firstLineChars="200"/>
        <w:rPr>
          <w:rFonts w:ascii="宋体" w:hAnsi="宋体"/>
          <w:b/>
          <w:bCs/>
          <w:szCs w:val="21"/>
          <w:highlight w:val="none"/>
        </w:rPr>
      </w:pPr>
      <w:r>
        <w:rPr>
          <w:rFonts w:hint="eastAsia" w:ascii="宋体" w:hAnsi="宋体"/>
          <w:b/>
          <w:bCs/>
          <w:szCs w:val="21"/>
          <w:highlight w:val="none"/>
        </w:rPr>
        <w:t>十、其他</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为了充分发挥政府采购政策功能,进一步支持和促进中小企业发展，三门县财政局向三门县金融（保险）系统发起了“政采贷</w:t>
      </w:r>
      <w:r>
        <w:rPr>
          <w:rFonts w:hint="eastAsia" w:ascii="宋体" w:hAnsi="宋体" w:cs="宋体"/>
          <w:szCs w:val="21"/>
          <w:highlight w:val="none"/>
          <w:lang w:eastAsia="zh-CN"/>
        </w:rPr>
        <w:t>”“</w:t>
      </w:r>
      <w:r>
        <w:rPr>
          <w:rFonts w:hint="eastAsia" w:ascii="宋体" w:hAnsi="宋体" w:cs="宋体"/>
          <w:szCs w:val="21"/>
          <w:highlight w:val="none"/>
        </w:rPr>
        <w:t>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政采贷联系方式</w:t>
      </w:r>
    </w:p>
    <w:tbl>
      <w:tblPr>
        <w:tblStyle w:val="41"/>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联系电话</w:t>
            </w:r>
          </w:p>
        </w:tc>
      </w:tr>
      <w:tr>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13958532211</w:t>
            </w:r>
          </w:p>
        </w:tc>
      </w:tr>
    </w:tbl>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政采保联系方式</w:t>
      </w:r>
    </w:p>
    <w:tbl>
      <w:tblPr>
        <w:tblStyle w:val="41"/>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阳光财产保险股份有限公司三门支公司</w:t>
            </w:r>
          </w:p>
        </w:tc>
        <w:tc>
          <w:tcPr>
            <w:tcW w:w="3341" w:type="dxa"/>
            <w:vAlign w:val="center"/>
          </w:tcPr>
          <w:p>
            <w:pPr>
              <w:widowControl/>
              <w:spacing w:line="360" w:lineRule="auto"/>
              <w:jc w:val="left"/>
              <w:textAlignment w:val="center"/>
              <w:rPr>
                <w:rFonts w:ascii="宋体" w:hAnsi="宋体" w:cs="宋体"/>
                <w:szCs w:val="21"/>
                <w:highlight w:val="none"/>
              </w:rPr>
            </w:pPr>
            <w:r>
              <w:rPr>
                <w:rFonts w:hint="eastAsia" w:ascii="宋体" w:hAnsi="宋体" w:cs="宋体"/>
                <w:szCs w:val="21"/>
                <w:highlight w:val="none"/>
              </w:rPr>
              <w:t>合同（质量）履约按履约保证金年费率1%（1.5%），每单保函最低保险费为500元(300元)。</w:t>
            </w:r>
          </w:p>
        </w:tc>
        <w:tc>
          <w:tcPr>
            <w:tcW w:w="113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李来萍</w:t>
            </w:r>
          </w:p>
        </w:tc>
        <w:tc>
          <w:tcPr>
            <w:tcW w:w="1977"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13958525199</w:t>
            </w:r>
          </w:p>
        </w:tc>
      </w:tr>
    </w:tbl>
    <w:p>
      <w:pPr>
        <w:pStyle w:val="17"/>
        <w:spacing w:line="360" w:lineRule="auto"/>
        <w:ind w:firstLine="420" w:firstLineChars="200"/>
        <w:jc w:val="both"/>
        <w:rPr>
          <w:rFonts w:ascii="宋体" w:hAnsi="宋体"/>
          <w:szCs w:val="21"/>
          <w:highlight w:val="none"/>
        </w:rPr>
      </w:pPr>
    </w:p>
    <w:p>
      <w:pPr>
        <w:pStyle w:val="17"/>
        <w:spacing w:line="380" w:lineRule="exact"/>
        <w:ind w:firstLine="420" w:firstLineChars="200"/>
        <w:jc w:val="both"/>
        <w:rPr>
          <w:rFonts w:ascii="宋体" w:hAnsi="宋体"/>
          <w:szCs w:val="21"/>
          <w:highlight w:val="none"/>
        </w:rPr>
      </w:pPr>
    </w:p>
    <w:p>
      <w:pPr>
        <w:pStyle w:val="17"/>
        <w:spacing w:line="360" w:lineRule="auto"/>
        <w:ind w:firstLine="420" w:firstLineChars="200"/>
        <w:rPr>
          <w:rFonts w:ascii="宋体" w:hAnsi="宋体"/>
          <w:b/>
          <w:szCs w:val="21"/>
          <w:highlight w:val="none"/>
        </w:rPr>
      </w:pPr>
      <w:r>
        <w:rPr>
          <w:rFonts w:hint="eastAsia" w:ascii="宋体" w:hAnsi="宋体"/>
          <w:szCs w:val="21"/>
          <w:highlight w:val="none"/>
        </w:rPr>
        <w:br w:type="page"/>
      </w:r>
    </w:p>
    <w:p>
      <w:pPr>
        <w:numPr>
          <w:ilvl w:val="0"/>
          <w:numId w:val="5"/>
        </w:numPr>
        <w:spacing w:line="360" w:lineRule="auto"/>
        <w:jc w:val="center"/>
        <w:outlineLvl w:val="0"/>
        <w:rPr>
          <w:rFonts w:asciiTheme="minorEastAsia" w:hAnsiTheme="minorEastAsia" w:eastAsiaTheme="minorEastAsia"/>
          <w:b/>
          <w:sz w:val="36"/>
          <w:szCs w:val="36"/>
          <w:highlight w:val="none"/>
        </w:rPr>
      </w:pPr>
      <w:bookmarkStart w:id="6" w:name="_Toc93048453"/>
      <w:r>
        <w:rPr>
          <w:rFonts w:hint="eastAsia" w:asciiTheme="minorEastAsia" w:hAnsiTheme="minorEastAsia" w:eastAsiaTheme="minorEastAsia"/>
          <w:b/>
          <w:sz w:val="36"/>
          <w:szCs w:val="36"/>
          <w:highlight w:val="none"/>
        </w:rPr>
        <w:t>项目需求</w:t>
      </w:r>
      <w:bookmarkEnd w:id="6"/>
    </w:p>
    <w:p>
      <w:pPr>
        <w:tabs>
          <w:tab w:val="left" w:pos="8280"/>
        </w:tabs>
        <w:autoSpaceDE w:val="0"/>
        <w:autoSpaceDN w:val="0"/>
        <w:adjustRightInd w:val="0"/>
        <w:spacing w:line="360" w:lineRule="auto"/>
        <w:ind w:right="25" w:firstLine="422" w:firstLineChars="200"/>
        <w:rPr>
          <w:rFonts w:ascii="宋体" w:hAnsi="宋体"/>
          <w:szCs w:val="21"/>
          <w:highlight w:val="none"/>
        </w:rPr>
      </w:pPr>
      <w:r>
        <w:rPr>
          <w:rFonts w:hint="eastAsia" w:ascii="宋体" w:hAnsi="宋体"/>
          <w:b/>
          <w:szCs w:val="21"/>
          <w:highlight w:val="none"/>
        </w:rPr>
        <w:t>一、项目一览表</w:t>
      </w:r>
    </w:p>
    <w:p>
      <w:pPr>
        <w:tabs>
          <w:tab w:val="left" w:pos="8280"/>
        </w:tabs>
        <w:autoSpaceDE w:val="0"/>
        <w:autoSpaceDN w:val="0"/>
        <w:adjustRightInd w:val="0"/>
        <w:spacing w:line="360" w:lineRule="auto"/>
        <w:ind w:right="25" w:firstLine="420" w:firstLineChars="200"/>
        <w:rPr>
          <w:rFonts w:ascii="宋体" w:hAnsi="宋体"/>
          <w:szCs w:val="21"/>
          <w:highlight w:val="none"/>
        </w:rPr>
      </w:pPr>
      <w:r>
        <w:rPr>
          <w:rFonts w:hint="eastAsia" w:ascii="宋体" w:hAnsi="宋体"/>
          <w:szCs w:val="21"/>
          <w:highlight w:val="none"/>
        </w:rPr>
        <w:t>本次磋商共</w:t>
      </w:r>
      <w:r>
        <w:rPr>
          <w:rFonts w:hint="eastAsia" w:ascii="宋体" w:hAnsi="宋体"/>
          <w:szCs w:val="21"/>
          <w:highlight w:val="none"/>
          <w:u w:val="single"/>
        </w:rPr>
        <w:t xml:space="preserve"> 1 </w:t>
      </w:r>
      <w:r>
        <w:rPr>
          <w:rFonts w:hint="eastAsia" w:ascii="宋体" w:hAnsi="宋体"/>
          <w:szCs w:val="21"/>
          <w:highlight w:val="none"/>
        </w:rPr>
        <w:t>个标项，具体内容如下表：</w:t>
      </w:r>
    </w:p>
    <w:tbl>
      <w:tblPr>
        <w:tblStyle w:val="41"/>
        <w:tblpPr w:leftFromText="181" w:rightFromText="181" w:bottomFromText="170" w:vertAnchor="text" w:tblpXSpec="center" w:tblpY="1"/>
        <w:tblOverlap w:val="never"/>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690"/>
        <w:gridCol w:w="770"/>
        <w:gridCol w:w="720"/>
        <w:gridCol w:w="1140"/>
        <w:gridCol w:w="1275"/>
        <w:gridCol w:w="106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标项号</w:t>
            </w:r>
          </w:p>
        </w:tc>
        <w:tc>
          <w:tcPr>
            <w:tcW w:w="1778" w:type="dxa"/>
            <w:vAlign w:val="center"/>
          </w:tcPr>
          <w:p>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项目名称</w:t>
            </w:r>
          </w:p>
        </w:tc>
        <w:tc>
          <w:tcPr>
            <w:tcW w:w="1690" w:type="dxa"/>
            <w:vAlign w:val="center"/>
          </w:tcPr>
          <w:p>
            <w:pPr>
              <w:tabs>
                <w:tab w:val="left" w:pos="8280"/>
              </w:tabs>
              <w:autoSpaceDE w:val="0"/>
              <w:autoSpaceDN w:val="0"/>
              <w:adjustRightInd w:val="0"/>
              <w:jc w:val="center"/>
              <w:rPr>
                <w:rFonts w:ascii="宋体" w:hAnsi="宋体"/>
                <w:b/>
                <w:color w:val="auto"/>
                <w:szCs w:val="21"/>
                <w:highlight w:val="none"/>
              </w:rPr>
            </w:pPr>
            <w:r>
              <w:rPr>
                <w:rFonts w:hint="eastAsia" w:ascii="宋体" w:hAnsi="宋体" w:cs="宋体"/>
                <w:b/>
                <w:color w:val="auto"/>
                <w:kern w:val="0"/>
                <w:szCs w:val="21"/>
                <w:highlight w:val="none"/>
              </w:rPr>
              <w:t>简要技术要求</w:t>
            </w:r>
          </w:p>
        </w:tc>
        <w:tc>
          <w:tcPr>
            <w:tcW w:w="770" w:type="dxa"/>
            <w:vAlign w:val="center"/>
          </w:tcPr>
          <w:p>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数量</w:t>
            </w:r>
          </w:p>
        </w:tc>
        <w:tc>
          <w:tcPr>
            <w:tcW w:w="720" w:type="dxa"/>
            <w:vAlign w:val="center"/>
          </w:tcPr>
          <w:p>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单位</w:t>
            </w:r>
          </w:p>
        </w:tc>
        <w:tc>
          <w:tcPr>
            <w:tcW w:w="1140" w:type="dxa"/>
            <w:vAlign w:val="center"/>
          </w:tcPr>
          <w:p>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预算审核价（元）</w:t>
            </w:r>
          </w:p>
        </w:tc>
        <w:tc>
          <w:tcPr>
            <w:tcW w:w="1275" w:type="dxa"/>
            <w:vAlign w:val="center"/>
          </w:tcPr>
          <w:p>
            <w:pPr>
              <w:tabs>
                <w:tab w:val="left" w:pos="8280"/>
              </w:tabs>
              <w:autoSpaceDE w:val="0"/>
              <w:autoSpaceDN w:val="0"/>
              <w:adjustRightInd w:val="0"/>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预算金额</w:t>
            </w:r>
            <w:r>
              <w:rPr>
                <w:rFonts w:hint="eastAsia" w:ascii="宋体" w:hAnsi="宋体"/>
                <w:b/>
                <w:color w:val="auto"/>
                <w:szCs w:val="21"/>
                <w:highlight w:val="none"/>
              </w:rPr>
              <w:t>（元）</w:t>
            </w:r>
          </w:p>
        </w:tc>
        <w:tc>
          <w:tcPr>
            <w:tcW w:w="1065" w:type="dxa"/>
            <w:vAlign w:val="center"/>
          </w:tcPr>
          <w:p>
            <w:pPr>
              <w:tabs>
                <w:tab w:val="left" w:pos="8280"/>
              </w:tabs>
              <w:autoSpaceDE w:val="0"/>
              <w:autoSpaceDN w:val="0"/>
              <w:adjustRightInd w:val="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最高限价（元）</w:t>
            </w:r>
          </w:p>
        </w:tc>
        <w:tc>
          <w:tcPr>
            <w:tcW w:w="702" w:type="dxa"/>
            <w:vAlign w:val="center"/>
          </w:tcPr>
          <w:p>
            <w:pPr>
              <w:tabs>
                <w:tab w:val="left" w:pos="8280"/>
              </w:tabs>
              <w:autoSpaceDE w:val="0"/>
              <w:autoSpaceDN w:val="0"/>
              <w:adjustRightInd w:val="0"/>
              <w:jc w:val="center"/>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778" w:type="dxa"/>
            <w:vAlign w:val="center"/>
          </w:tcPr>
          <w:p>
            <w:pPr>
              <w:tabs>
                <w:tab w:val="left" w:pos="8280"/>
              </w:tabs>
              <w:autoSpaceDE w:val="0"/>
              <w:autoSpaceDN w:val="0"/>
              <w:adjustRightInd w:val="0"/>
              <w:jc w:val="center"/>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三门县全域幸福河湖建设-蛇蟠乡农村水系治理项目（一期）</w:t>
            </w:r>
          </w:p>
        </w:tc>
        <w:tc>
          <w:tcPr>
            <w:tcW w:w="1690" w:type="dxa"/>
            <w:vAlign w:val="center"/>
          </w:tcPr>
          <w:p>
            <w:pPr>
              <w:tabs>
                <w:tab w:val="left" w:pos="8280"/>
              </w:tabs>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详见技术需求</w:t>
            </w:r>
          </w:p>
        </w:tc>
        <w:tc>
          <w:tcPr>
            <w:tcW w:w="770" w:type="dxa"/>
            <w:vAlign w:val="center"/>
          </w:tcPr>
          <w:p>
            <w:pPr>
              <w:tabs>
                <w:tab w:val="left" w:pos="8280"/>
              </w:tabs>
              <w:autoSpaceDE w:val="0"/>
              <w:autoSpaceDN w:val="0"/>
              <w:adjustRightInd w:val="0"/>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720" w:type="dxa"/>
            <w:vAlign w:val="center"/>
          </w:tcPr>
          <w:p>
            <w:pPr>
              <w:tabs>
                <w:tab w:val="left" w:pos="8280"/>
              </w:tabs>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140" w:type="dxa"/>
            <w:vAlign w:val="center"/>
          </w:tcPr>
          <w:p>
            <w:pPr>
              <w:tabs>
                <w:tab w:val="left" w:pos="8280"/>
              </w:tabs>
              <w:autoSpaceDE w:val="0"/>
              <w:autoSpaceDN w:val="0"/>
              <w:adjustRightInd w:val="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1530681</w:t>
            </w:r>
          </w:p>
        </w:tc>
        <w:tc>
          <w:tcPr>
            <w:tcW w:w="1275" w:type="dxa"/>
            <w:vAlign w:val="center"/>
          </w:tcPr>
          <w:p>
            <w:pPr>
              <w:tabs>
                <w:tab w:val="left" w:pos="8280"/>
              </w:tabs>
              <w:autoSpaceDE w:val="0"/>
              <w:autoSpaceDN w:val="0"/>
              <w:adjustRightInd w:val="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1400000</w:t>
            </w:r>
          </w:p>
        </w:tc>
        <w:tc>
          <w:tcPr>
            <w:tcW w:w="1065" w:type="dxa"/>
            <w:vAlign w:val="center"/>
          </w:tcPr>
          <w:p>
            <w:pPr>
              <w:tabs>
                <w:tab w:val="left" w:pos="8280"/>
              </w:tabs>
              <w:autoSpaceDE w:val="0"/>
              <w:autoSpaceDN w:val="0"/>
              <w:adjustRightInd w:val="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 1377613</w:t>
            </w:r>
          </w:p>
        </w:tc>
        <w:tc>
          <w:tcPr>
            <w:tcW w:w="702" w:type="dxa"/>
            <w:vAlign w:val="center"/>
          </w:tcPr>
          <w:p>
            <w:pPr>
              <w:tabs>
                <w:tab w:val="left" w:pos="8280"/>
              </w:tabs>
              <w:autoSpaceDE w:val="0"/>
              <w:autoSpaceDN w:val="0"/>
              <w:adjustRightInd w:val="0"/>
              <w:jc w:val="center"/>
              <w:rPr>
                <w:rFonts w:hint="eastAsia" w:ascii="宋体" w:hAnsi="宋体" w:cs="宋体"/>
                <w:color w:val="auto"/>
                <w:kern w:val="0"/>
                <w:szCs w:val="21"/>
                <w:highlight w:val="none"/>
                <w:lang w:val="en-US" w:eastAsia="zh-CN"/>
              </w:rPr>
            </w:pPr>
          </w:p>
        </w:tc>
      </w:tr>
    </w:tbl>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二、技术需求</w:t>
      </w:r>
    </w:p>
    <w:p>
      <w:pPr>
        <w:keepNext w:val="0"/>
        <w:keepLines w:val="0"/>
        <w:pageBreakBefore w:val="0"/>
        <w:widowControl/>
        <w:kinsoku/>
        <w:wordWrap/>
        <w:overflowPunct/>
        <w:topLinePunct w:val="0"/>
        <w:bidi w:val="0"/>
        <w:snapToGrid/>
        <w:spacing w:line="400" w:lineRule="exact"/>
        <w:ind w:firstLine="211" w:firstLineChars="1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工程概况：</w:t>
      </w:r>
    </w:p>
    <w:p>
      <w:pPr>
        <w:keepNext w:val="0"/>
        <w:keepLines w:val="0"/>
        <w:pageBreakBefore w:val="0"/>
        <w:widowControl/>
        <w:numPr>
          <w:ilvl w:val="0"/>
          <w:numId w:val="6"/>
        </w:numPr>
        <w:kinsoku/>
        <w:wordWrap/>
        <w:overflowPunct/>
        <w:topLinePunct w:val="0"/>
        <w:bidi w:val="0"/>
        <w:snapToGrid/>
        <w:spacing w:line="400" w:lineRule="exact"/>
        <w:ind w:leftChars="200"/>
        <w:textAlignment w:val="auto"/>
        <w:rPr>
          <w:rFonts w:hint="eastAsia" w:ascii="宋体" w:hAnsi="宋体" w:cs="宋体"/>
          <w:color w:val="auto"/>
          <w:szCs w:val="21"/>
          <w:highlight w:val="none"/>
        </w:rPr>
      </w:pPr>
      <w:bookmarkStart w:id="7" w:name="_Toc282596326"/>
      <w:bookmarkStart w:id="8" w:name="_Toc283886271"/>
      <w:bookmarkStart w:id="9" w:name="_Toc283976561"/>
      <w:r>
        <w:rPr>
          <w:rFonts w:hint="eastAsia" w:ascii="宋体" w:hAnsi="宋体" w:cs="宋体"/>
          <w:color w:val="auto"/>
          <w:szCs w:val="21"/>
          <w:highlight w:val="none"/>
        </w:rPr>
        <w:t>工程名称：三门县全域幸福河湖建设-蛇蟠乡农村水系治理项目（一期）</w:t>
      </w:r>
      <w:r>
        <w:rPr>
          <w:rFonts w:hint="eastAsia" w:ascii="宋体" w:hAnsi="宋体" w:cs="宋体"/>
          <w:color w:val="auto"/>
          <w:szCs w:val="21"/>
          <w:highlight w:val="none"/>
          <w:lang w:eastAsia="zh-CN"/>
        </w:rPr>
        <w:t>；</w:t>
      </w:r>
    </w:p>
    <w:p>
      <w:pPr>
        <w:keepNext w:val="0"/>
        <w:keepLines w:val="0"/>
        <w:pageBreakBefore w:val="0"/>
        <w:widowControl/>
        <w:numPr>
          <w:ilvl w:val="0"/>
          <w:numId w:val="0"/>
        </w:numPr>
        <w:kinsoku/>
        <w:wordWrap/>
        <w:overflowPunct/>
        <w:topLinePunct w:val="0"/>
        <w:bidi w:val="0"/>
        <w:snapToGrid/>
        <w:spacing w:line="40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工程概况：新建2米人行桥(27.3米),原滨河绿道两侧生态提升(5700平方米),增加休息平台3个,南侧新建滨水活动广场,水文化景墙一座,河道内增加便民埠头一处(46平方米),松林下增加2米游步道(172.9米),围垦文化墙一座,围垦展示装置5处,河道边增加便民埠头一处(50.7平方米)及救生设施3个,警示牌4个。</w:t>
      </w:r>
    </w:p>
    <w:p>
      <w:pPr>
        <w:keepNext w:val="0"/>
        <w:keepLines w:val="0"/>
        <w:pageBreakBefore w:val="0"/>
        <w:kinsoku/>
        <w:wordWrap/>
        <w:overflowPunct/>
        <w:topLinePunct w:val="0"/>
        <w:bidi w:val="0"/>
        <w:snapToGrid/>
        <w:spacing w:line="400" w:lineRule="exact"/>
        <w:ind w:left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招标范围</w:t>
      </w:r>
      <w:r>
        <w:rPr>
          <w:rFonts w:hint="eastAsia" w:ascii="宋体" w:hAnsi="宋体" w:cs="宋体"/>
          <w:color w:val="auto"/>
          <w:szCs w:val="21"/>
          <w:highlight w:val="none"/>
        </w:rPr>
        <w:t>：</w:t>
      </w:r>
      <w:r>
        <w:rPr>
          <w:rFonts w:hint="eastAsia" w:ascii="宋体" w:hAnsi="宋体" w:cs="宋体"/>
          <w:color w:val="auto"/>
          <w:kern w:val="0"/>
          <w:szCs w:val="21"/>
          <w:highlight w:val="none"/>
          <w:lang w:val="en-US" w:eastAsia="zh-CN"/>
        </w:rPr>
        <w:t>招标人所提供的施工图纸及预算审核范围内包所有施工内容。</w:t>
      </w:r>
    </w:p>
    <w:p>
      <w:pPr>
        <w:keepNext w:val="0"/>
        <w:keepLines w:val="0"/>
        <w:pageBreakBefore w:val="0"/>
        <w:widowControl/>
        <w:kinsoku/>
        <w:wordWrap/>
        <w:overflowPunct/>
        <w:topLinePunct w:val="0"/>
        <w:bidi w:val="0"/>
        <w:snapToGrid/>
        <w:spacing w:line="400" w:lineRule="exact"/>
        <w:ind w:leftChars="200"/>
        <w:textAlignment w:val="auto"/>
        <w:rPr>
          <w:rFonts w:ascii="宋体" w:hAnsi="宋体" w:cs="宋体"/>
          <w:color w:val="auto"/>
          <w:szCs w:val="21"/>
          <w:highlight w:val="none"/>
        </w:rPr>
      </w:pPr>
      <w:r>
        <w:rPr>
          <w:rFonts w:hint="eastAsia" w:ascii="宋体" w:hAnsi="宋体" w:cs="宋体"/>
          <w:color w:val="auto"/>
          <w:szCs w:val="21"/>
          <w:highlight w:val="none"/>
        </w:rPr>
        <w:t>4、承包方式：包工包料。</w:t>
      </w:r>
    </w:p>
    <w:p>
      <w:pPr>
        <w:keepNext w:val="0"/>
        <w:keepLines w:val="0"/>
        <w:pageBreakBefore w:val="0"/>
        <w:widowControl/>
        <w:kinsoku/>
        <w:wordWrap/>
        <w:overflowPunct/>
        <w:topLinePunct w:val="0"/>
        <w:bidi w:val="0"/>
        <w:snapToGrid/>
        <w:spacing w:line="400" w:lineRule="exact"/>
        <w:ind w:leftChars="200"/>
        <w:textAlignment w:val="auto"/>
        <w:rPr>
          <w:rFonts w:ascii="宋体" w:hAnsi="宋体" w:cs="宋体"/>
          <w:color w:val="auto"/>
          <w:szCs w:val="21"/>
          <w:highlight w:val="none"/>
        </w:rPr>
      </w:pPr>
      <w:r>
        <w:rPr>
          <w:rFonts w:hint="eastAsia" w:ascii="宋体" w:hAnsi="宋体" w:cs="宋体"/>
          <w:color w:val="auto"/>
          <w:szCs w:val="21"/>
          <w:highlight w:val="none"/>
        </w:rPr>
        <w:t>5、工期：</w:t>
      </w:r>
      <w:r>
        <w:rPr>
          <w:rFonts w:ascii="宋体" w:hAnsi="宋体" w:cs="宋体"/>
          <w:color w:val="auto"/>
          <w:kern w:val="0"/>
          <w:szCs w:val="21"/>
          <w:highlight w:val="none"/>
        </w:rPr>
        <w:t>不超过</w:t>
      </w:r>
      <w:r>
        <w:rPr>
          <w:rFonts w:hint="eastAsia" w:ascii="宋体" w:hAnsi="宋体" w:cs="宋体"/>
          <w:color w:val="auto"/>
          <w:kern w:val="0"/>
          <w:szCs w:val="21"/>
          <w:highlight w:val="none"/>
          <w:lang w:val="en-US" w:eastAsia="zh-CN"/>
        </w:rPr>
        <w:t>90</w:t>
      </w:r>
      <w:r>
        <w:rPr>
          <w:rFonts w:ascii="宋体" w:hAnsi="宋体" w:cs="宋体"/>
          <w:color w:val="auto"/>
          <w:kern w:val="0"/>
          <w:szCs w:val="21"/>
          <w:highlight w:val="none"/>
        </w:rPr>
        <w:t>日历天</w:t>
      </w:r>
      <w:r>
        <w:rPr>
          <w:rFonts w:hint="eastAsia" w:ascii="宋体" w:hAnsi="宋体" w:cs="宋体"/>
          <w:color w:val="auto"/>
          <w:kern w:val="0"/>
          <w:szCs w:val="21"/>
          <w:highlight w:val="none"/>
        </w:rPr>
        <w:t>（在响应文件中明确具体工期）</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spacing w:line="400" w:lineRule="exact"/>
        <w:ind w:leftChars="200"/>
        <w:textAlignment w:val="auto"/>
        <w:rPr>
          <w:rFonts w:hint="eastAsia" w:ascii="宋体" w:hAnsi="宋体" w:cs="宋体"/>
          <w:szCs w:val="21"/>
          <w:highlight w:val="none"/>
        </w:rPr>
      </w:pPr>
      <w:r>
        <w:rPr>
          <w:rFonts w:hint="eastAsia" w:ascii="宋体" w:hAnsi="宋体" w:cs="宋体"/>
          <w:szCs w:val="21"/>
          <w:highlight w:val="none"/>
        </w:rPr>
        <w:t>6、质量标准：合格。</w:t>
      </w:r>
    </w:p>
    <w:bookmarkEnd w:id="7"/>
    <w:bookmarkEnd w:id="8"/>
    <w:bookmarkEnd w:id="9"/>
    <w:p>
      <w:pPr>
        <w:pStyle w:val="3"/>
        <w:keepNext w:val="0"/>
        <w:keepLines w:val="0"/>
        <w:pageBreakBefore w:val="0"/>
        <w:widowControl/>
        <w:kinsoku/>
        <w:wordWrap/>
        <w:overflowPunct/>
        <w:topLinePunct w:val="0"/>
        <w:bidi w:val="0"/>
        <w:snapToGrid/>
        <w:spacing w:line="400" w:lineRule="exact"/>
        <w:ind w:firstLine="0" w:firstLineChars="0"/>
        <w:jc w:val="left"/>
        <w:textAlignment w:val="auto"/>
        <w:rPr>
          <w:rFonts w:ascii="宋体" w:hAnsi="宋体" w:cs="宋体"/>
          <w:b/>
          <w:sz w:val="21"/>
          <w:szCs w:val="21"/>
          <w:highlight w:val="none"/>
        </w:rPr>
      </w:pPr>
      <w:r>
        <w:rPr>
          <w:rFonts w:hint="eastAsia" w:ascii="宋体" w:hAnsi="宋体" w:cs="宋体"/>
          <w:b/>
          <w:sz w:val="21"/>
          <w:szCs w:val="21"/>
          <w:highlight w:val="none"/>
        </w:rPr>
        <w:t xml:space="preserve"> （二）定额依据：</w:t>
      </w:r>
    </w:p>
    <w:p>
      <w:pPr>
        <w:pStyle w:val="3"/>
        <w:keepNext w:val="0"/>
        <w:keepLines w:val="0"/>
        <w:pageBreakBefore w:val="0"/>
        <w:widowControl/>
        <w:kinsoku/>
        <w:wordWrap/>
        <w:overflowPunct/>
        <w:topLinePunct w:val="0"/>
        <w:bidi w:val="0"/>
        <w:snapToGrid/>
        <w:spacing w:line="400" w:lineRule="exact"/>
        <w:ind w:firstLine="42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浙江省水利水电工程设计概（预）算编制规定》（2021）、《浙江省水利水电建筑工程预算定额》（2021）、《浙江省水利水电工程施工机械台班费定额》（2021）、《浙江省水利工程工程量清单计价办法》（2022）、以及其它工程造价补充规定和技术规范。</w:t>
      </w:r>
    </w:p>
    <w:p>
      <w:pPr>
        <w:pStyle w:val="3"/>
        <w:keepNext w:val="0"/>
        <w:keepLines w:val="0"/>
        <w:pageBreakBefore w:val="0"/>
        <w:widowControl/>
        <w:kinsoku/>
        <w:wordWrap/>
        <w:overflowPunct/>
        <w:topLinePunct w:val="0"/>
        <w:bidi w:val="0"/>
        <w:snapToGrid/>
        <w:spacing w:line="400" w:lineRule="exact"/>
        <w:ind w:firstLine="42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2、相关法律、法规以及规范、文件等。</w:t>
      </w:r>
    </w:p>
    <w:p>
      <w:pPr>
        <w:pStyle w:val="3"/>
        <w:keepNext w:val="0"/>
        <w:keepLines w:val="0"/>
        <w:pageBreakBefore w:val="0"/>
        <w:widowControl/>
        <w:kinsoku/>
        <w:wordWrap/>
        <w:overflowPunct/>
        <w:topLinePunct w:val="0"/>
        <w:bidi w:val="0"/>
        <w:snapToGrid/>
        <w:spacing w:line="400" w:lineRule="exact"/>
        <w:ind w:firstLine="0" w:firstLineChars="0"/>
        <w:jc w:val="left"/>
        <w:textAlignment w:val="auto"/>
        <w:rPr>
          <w:rFonts w:ascii="宋体" w:hAnsi="宋体" w:cs="宋体"/>
          <w:b/>
          <w:sz w:val="21"/>
          <w:szCs w:val="21"/>
          <w:highlight w:val="none"/>
        </w:rPr>
      </w:pPr>
      <w:r>
        <w:rPr>
          <w:rFonts w:hint="eastAsia" w:ascii="宋体" w:hAnsi="宋体" w:cs="宋体"/>
          <w:b/>
          <w:szCs w:val="21"/>
          <w:highlight w:val="none"/>
        </w:rPr>
        <w:t xml:space="preserve"> </w:t>
      </w:r>
      <w:r>
        <w:rPr>
          <w:rFonts w:hint="eastAsia" w:ascii="宋体" w:hAnsi="宋体" w:cs="宋体"/>
          <w:b/>
          <w:sz w:val="21"/>
          <w:szCs w:val="21"/>
          <w:highlight w:val="none"/>
        </w:rPr>
        <w:t>(三）工程量清单详见预算审核书。</w:t>
      </w:r>
    </w:p>
    <w:p>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firstLine="422" w:firstLineChars="200"/>
        <w:jc w:val="left"/>
        <w:textAlignment w:val="auto"/>
        <w:rPr>
          <w:rFonts w:ascii="宋体" w:hAnsi="宋体"/>
          <w:b/>
          <w:szCs w:val="21"/>
          <w:highlight w:val="none"/>
        </w:rPr>
      </w:pPr>
      <w:r>
        <w:rPr>
          <w:rFonts w:hint="eastAsia" w:ascii="宋体" w:hAnsi="宋体"/>
          <w:b/>
          <w:szCs w:val="21"/>
          <w:highlight w:val="none"/>
        </w:rPr>
        <w:t>三、商务需求</w:t>
      </w:r>
    </w:p>
    <w:p>
      <w:pPr>
        <w:pStyle w:val="100"/>
        <w:keepNext w:val="0"/>
        <w:keepLines w:val="0"/>
        <w:pageBreakBefore w:val="0"/>
        <w:numPr>
          <w:ilvl w:val="0"/>
          <w:numId w:val="0"/>
        </w:numPr>
        <w:kinsoku/>
        <w:wordWrap/>
        <w:overflowPunct/>
        <w:topLinePunct w:val="0"/>
        <w:bidi w:val="0"/>
        <w:adjustRightInd/>
        <w:snapToGrid/>
        <w:spacing w:line="400" w:lineRule="exact"/>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b/>
          <w:bCs/>
          <w:szCs w:val="21"/>
          <w:highlight w:val="none"/>
        </w:rPr>
        <w:t>1、付</w:t>
      </w:r>
      <w:r>
        <w:rPr>
          <w:rFonts w:hint="eastAsia" w:ascii="宋体" w:hAnsi="宋体"/>
          <w:b/>
          <w:bCs/>
          <w:color w:val="auto"/>
          <w:szCs w:val="21"/>
          <w:highlight w:val="none"/>
        </w:rPr>
        <w:t>款条件</w:t>
      </w:r>
      <w:r>
        <w:rPr>
          <w:rFonts w:hint="eastAsia" w:ascii="宋体" w:hAnsi="宋体" w:eastAsia="宋体" w:cs="宋体"/>
          <w:b/>
          <w:color w:val="auto"/>
          <w:szCs w:val="21"/>
          <w:highlight w:val="none"/>
        </w:rPr>
        <w:t>：</w:t>
      </w:r>
    </w:p>
    <w:p>
      <w:pPr>
        <w:pStyle w:val="100"/>
        <w:keepNext w:val="0"/>
        <w:keepLines w:val="0"/>
        <w:pageBreakBefore w:val="0"/>
        <w:numPr>
          <w:ilvl w:val="0"/>
          <w:numId w:val="0"/>
        </w:numPr>
        <w:kinsoku/>
        <w:wordWrap/>
        <w:overflowPunct/>
        <w:topLinePunct w:val="0"/>
        <w:bidi w:val="0"/>
        <w:adjustRightInd/>
        <w:snapToGrid/>
        <w:spacing w:line="400" w:lineRule="exact"/>
        <w:ind w:right="0" w:rightChars="0" w:firstLine="422" w:firstLineChars="200"/>
        <w:textAlignment w:val="auto"/>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1.合同签订生效机械设备人员进场后7天内支付合同价40%作为</w:t>
      </w:r>
      <w:r>
        <w:rPr>
          <w:rFonts w:hint="eastAsia" w:ascii="宋体" w:hAnsi="宋体"/>
          <w:b/>
          <w:color w:val="auto"/>
          <w:szCs w:val="21"/>
          <w:highlight w:val="none"/>
        </w:rPr>
        <w:t>工程预付款</w:t>
      </w:r>
      <w:r>
        <w:rPr>
          <w:rFonts w:hint="eastAsia" w:ascii="宋体" w:hAnsi="宋体"/>
          <w:b/>
          <w:color w:val="auto"/>
          <w:szCs w:val="21"/>
          <w:highlight w:val="none"/>
          <w:lang w:eastAsia="zh-CN"/>
        </w:rPr>
        <w:t>；</w:t>
      </w:r>
    </w:p>
    <w:p>
      <w:pPr>
        <w:pStyle w:val="100"/>
        <w:keepNext w:val="0"/>
        <w:keepLines w:val="0"/>
        <w:pageBreakBefore w:val="0"/>
        <w:numPr>
          <w:ilvl w:val="0"/>
          <w:numId w:val="0"/>
        </w:numPr>
        <w:kinsoku/>
        <w:wordWrap/>
        <w:overflowPunct/>
        <w:topLinePunct w:val="0"/>
        <w:bidi w:val="0"/>
        <w:adjustRightInd/>
        <w:snapToGrid/>
        <w:spacing w:line="400" w:lineRule="exact"/>
        <w:ind w:right="0" w:rightChars="0" w:firstLine="422" w:firstLineChars="200"/>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工程进度款,待工程竣工验收合格后付至合同价的80%，完成结算审计并通过财政备案后付至结算审核价的100%，发包人支付完成最后工程结算付款前，承包人提供1.5%的工程结算价款的质量保证金保函，待缺陷责任期（1年）满后退还。</w:t>
      </w:r>
    </w:p>
    <w:p>
      <w:pPr>
        <w:pStyle w:val="100"/>
        <w:keepNext w:val="0"/>
        <w:keepLines w:val="0"/>
        <w:pageBreakBefore w:val="0"/>
        <w:kinsoku/>
        <w:wordWrap/>
        <w:overflowPunct/>
        <w:topLinePunct w:val="0"/>
        <w:bidi w:val="0"/>
        <w:snapToGrid/>
        <w:spacing w:line="400" w:lineRule="exact"/>
        <w:ind w:left="0" w:leftChars="0" w:firstLine="422" w:firstLineChars="200"/>
        <w:textAlignment w:val="auto"/>
        <w:rPr>
          <w:color w:val="auto"/>
          <w:highlight w:val="none"/>
        </w:rPr>
      </w:pPr>
      <w:r>
        <w:rPr>
          <w:rFonts w:hint="eastAsia" w:ascii="宋体" w:hAnsi="宋体"/>
          <w:b/>
          <w:bCs/>
          <w:color w:val="auto"/>
          <w:szCs w:val="21"/>
          <w:highlight w:val="none"/>
        </w:rPr>
        <w:t>2、</w:t>
      </w:r>
      <w:r>
        <w:rPr>
          <w:rFonts w:hint="eastAsia" w:ascii="宋体" w:hAnsi="宋体"/>
          <w:color w:val="auto"/>
          <w:szCs w:val="21"/>
          <w:highlight w:val="none"/>
        </w:rPr>
        <w:t>发包人向承包人支付的一切费用，承包人不得移作他用。发包人和监理工程师有权对此进行监督，如承包人抽走用于本工程的资金，且影响了工程的实施，按承包人违约处理。</w:t>
      </w:r>
    </w:p>
    <w:p>
      <w:pPr>
        <w:pStyle w:val="19"/>
        <w:keepNext w:val="0"/>
        <w:keepLines w:val="0"/>
        <w:pageBreakBefore w:val="0"/>
        <w:kinsoku/>
        <w:wordWrap/>
        <w:overflowPunct/>
        <w:topLinePunct w:val="0"/>
        <w:bidi w:val="0"/>
        <w:snapToGrid/>
        <w:spacing w:after="0" w:line="400" w:lineRule="exact"/>
        <w:ind w:left="0" w:leftChars="0" w:firstLine="422" w:firstLineChars="200"/>
        <w:textAlignment w:val="auto"/>
        <w:rPr>
          <w:rFonts w:hint="eastAsia" w:eastAsia="宋体"/>
          <w:color w:val="auto"/>
          <w:highlight w:val="none"/>
          <w:lang w:eastAsia="zh-CN"/>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、履约保证金：</w:t>
      </w:r>
      <w:r>
        <w:rPr>
          <w:rFonts w:hint="eastAsia" w:ascii="宋体" w:hAnsi="宋体"/>
          <w:b/>
          <w:bCs/>
          <w:color w:val="auto"/>
          <w:szCs w:val="21"/>
          <w:highlight w:val="none"/>
          <w:lang w:eastAsia="zh-CN"/>
        </w:rPr>
        <w:t>无</w:t>
      </w:r>
    </w:p>
    <w:p>
      <w:pPr>
        <w:widowControl/>
        <w:jc w:val="left"/>
        <w:rPr>
          <w:color w:val="auto"/>
          <w:highlight w:val="none"/>
        </w:rPr>
      </w:pPr>
      <w:r>
        <w:rPr>
          <w:color w:val="auto"/>
          <w:highlight w:val="none"/>
        </w:rPr>
        <w:br w:type="page"/>
      </w:r>
    </w:p>
    <w:p>
      <w:pPr>
        <w:numPr>
          <w:ilvl w:val="0"/>
          <w:numId w:val="5"/>
        </w:numPr>
        <w:spacing w:line="360" w:lineRule="auto"/>
        <w:jc w:val="center"/>
        <w:outlineLvl w:val="0"/>
        <w:rPr>
          <w:rFonts w:asciiTheme="minorEastAsia" w:hAnsiTheme="minorEastAsia" w:eastAsiaTheme="minorEastAsia"/>
          <w:b/>
          <w:sz w:val="36"/>
          <w:szCs w:val="36"/>
          <w:highlight w:val="none"/>
        </w:rPr>
      </w:pPr>
      <w:bookmarkStart w:id="10" w:name="_Toc93048454"/>
      <w:r>
        <w:rPr>
          <w:rFonts w:hint="eastAsia" w:asciiTheme="minorEastAsia" w:hAnsiTheme="minorEastAsia" w:eastAsiaTheme="minorEastAsia"/>
          <w:b/>
          <w:sz w:val="36"/>
          <w:szCs w:val="36"/>
          <w:highlight w:val="none"/>
        </w:rPr>
        <w:t>磋商</w:t>
      </w:r>
      <w:bookmarkEnd w:id="10"/>
    </w:p>
    <w:p>
      <w:pPr>
        <w:numPr>
          <w:ilvl w:val="0"/>
          <w:numId w:val="7"/>
        </w:num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磋商原则</w:t>
      </w:r>
    </w:p>
    <w:p>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二、评审方法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综合评分法,是指响应文件满足磋商文件全部实质性要求且按评审因素的量化指标评审得分最高的供应商为成交候选供应商的评审方法。各投标人的综合得分为其商务与技术文件得分与报价文件得分之和，即综合得分</w:t>
      </w:r>
      <w:r>
        <w:rPr>
          <w:rFonts w:ascii="宋体" w:hAnsi="宋体" w:cs="宋体"/>
          <w:szCs w:val="21"/>
          <w:highlight w:val="none"/>
        </w:rPr>
        <w:t>=</w:t>
      </w:r>
      <w:r>
        <w:rPr>
          <w:rFonts w:hint="eastAsia" w:ascii="宋体" w:hAnsi="宋体" w:cs="宋体"/>
          <w:szCs w:val="21"/>
          <w:highlight w:val="none"/>
        </w:rPr>
        <w:t>商务与技术文件得分</w:t>
      </w:r>
      <w:r>
        <w:rPr>
          <w:rFonts w:ascii="宋体" w:hAnsi="宋体" w:cs="宋体"/>
          <w:szCs w:val="21"/>
          <w:highlight w:val="none"/>
        </w:rPr>
        <w:t>+</w:t>
      </w:r>
      <w:r>
        <w:rPr>
          <w:rFonts w:hint="eastAsia" w:ascii="宋体" w:hAnsi="宋体" w:cs="宋体"/>
          <w:szCs w:val="21"/>
          <w:highlight w:val="none"/>
        </w:rPr>
        <w:t>报价得分。各投标人商务与技术文件得分按照评标委员会成员的独立评分结果汇总后的算术平均分计算（政采云系统自动汇总），计算公式为：商务与技术文件得分</w:t>
      </w:r>
      <w:r>
        <w:rPr>
          <w:rFonts w:ascii="宋体" w:hAnsi="宋体" w:cs="宋体"/>
          <w:szCs w:val="21"/>
          <w:highlight w:val="none"/>
        </w:rPr>
        <w:t>=</w:t>
      </w:r>
      <w:r>
        <w:rPr>
          <w:rFonts w:hint="eastAsia" w:ascii="宋体" w:hAnsi="宋体" w:cs="宋体"/>
          <w:szCs w:val="21"/>
          <w:highlight w:val="none"/>
        </w:rPr>
        <w:t>评标委员会所有成员评分合计数</w:t>
      </w:r>
      <w:r>
        <w:rPr>
          <w:rFonts w:ascii="宋体" w:hAnsi="宋体" w:cs="宋体"/>
          <w:szCs w:val="21"/>
          <w:highlight w:val="none"/>
        </w:rPr>
        <w:t>/</w:t>
      </w:r>
      <w:r>
        <w:rPr>
          <w:rFonts w:hint="eastAsia" w:ascii="宋体" w:hAnsi="宋体" w:cs="宋体"/>
          <w:szCs w:val="21"/>
          <w:highlight w:val="none"/>
        </w:rPr>
        <w:t>评标委员会组成人员数。</w:t>
      </w:r>
    </w:p>
    <w:p>
      <w:pPr>
        <w:pStyle w:val="22"/>
        <w:snapToGrid w:val="0"/>
        <w:spacing w:line="360" w:lineRule="auto"/>
        <w:ind w:firstLine="422" w:firstLineChars="200"/>
        <w:rPr>
          <w:rFonts w:hAnsi="宋体"/>
          <w:b/>
          <w:szCs w:val="21"/>
          <w:highlight w:val="none"/>
        </w:rPr>
      </w:pPr>
      <w:r>
        <w:rPr>
          <w:rFonts w:hint="eastAsia" w:hAnsi="宋体"/>
          <w:b/>
          <w:bCs/>
          <w:szCs w:val="21"/>
          <w:highlight w:val="none"/>
        </w:rPr>
        <w:t>三、磋商小组</w:t>
      </w:r>
    </w:p>
    <w:p>
      <w:pPr>
        <w:pStyle w:val="5"/>
        <w:spacing w:line="360" w:lineRule="auto"/>
        <w:ind w:firstLineChars="200"/>
        <w:rPr>
          <w:rFonts w:ascii="宋体" w:hAnsi="宋体"/>
          <w:szCs w:val="21"/>
          <w:highlight w:val="none"/>
        </w:rPr>
      </w:pPr>
      <w:r>
        <w:rPr>
          <w:rFonts w:hint="eastAsia" w:ascii="宋体" w:hAnsi="宋体"/>
          <w:szCs w:val="21"/>
          <w:highlight w:val="none"/>
        </w:rPr>
        <w:t>（一）</w:t>
      </w:r>
      <w:r>
        <w:rPr>
          <w:rFonts w:hint="eastAsia" w:ascii="宋体" w:hAnsi="宋体" w:cstheme="minorBidi"/>
          <w:szCs w:val="21"/>
          <w:highlight w:val="none"/>
        </w:rPr>
        <w:t>磋商小组</w:t>
      </w:r>
      <w:r>
        <w:rPr>
          <w:rFonts w:ascii="宋体" w:hAnsi="宋体"/>
          <w:szCs w:val="21"/>
          <w:highlight w:val="none"/>
        </w:rPr>
        <w:t>由</w:t>
      </w:r>
      <w:r>
        <w:rPr>
          <w:rFonts w:hint="eastAsia" w:ascii="宋体" w:hAnsi="宋体"/>
          <w:szCs w:val="21"/>
          <w:highlight w:val="none"/>
        </w:rPr>
        <w:t>采购人代表和评审专家</w:t>
      </w:r>
      <w:r>
        <w:rPr>
          <w:rFonts w:ascii="宋体" w:hAnsi="宋体"/>
          <w:szCs w:val="21"/>
          <w:highlight w:val="none"/>
        </w:rPr>
        <w:t>组成</w:t>
      </w:r>
      <w:r>
        <w:rPr>
          <w:rFonts w:hint="eastAsia" w:ascii="宋体" w:hAnsi="宋体"/>
          <w:szCs w:val="21"/>
          <w:highlight w:val="none"/>
        </w:rPr>
        <w:t>。</w:t>
      </w:r>
    </w:p>
    <w:p>
      <w:pPr>
        <w:pStyle w:val="5"/>
        <w:spacing w:line="360" w:lineRule="auto"/>
        <w:ind w:firstLineChars="200"/>
        <w:rPr>
          <w:rFonts w:ascii="宋体" w:hAnsi="宋体"/>
          <w:szCs w:val="21"/>
          <w:highlight w:val="none"/>
        </w:rPr>
      </w:pPr>
      <w:r>
        <w:rPr>
          <w:rFonts w:hint="eastAsia" w:ascii="宋体" w:hAnsi="宋体"/>
          <w:szCs w:val="21"/>
          <w:highlight w:val="none"/>
        </w:rPr>
        <w:t>（二）</w:t>
      </w:r>
      <w:r>
        <w:rPr>
          <w:rFonts w:hint="eastAsia" w:ascii="宋体" w:hAnsi="宋体" w:cstheme="minorBidi"/>
          <w:szCs w:val="21"/>
          <w:highlight w:val="none"/>
        </w:rPr>
        <w:t>磋商小组</w:t>
      </w:r>
      <w:r>
        <w:rPr>
          <w:rFonts w:hint="eastAsia" w:ascii="宋体" w:hAnsi="宋体"/>
          <w:szCs w:val="21"/>
          <w:highlight w:val="none"/>
        </w:rPr>
        <w:t>成员</w:t>
      </w:r>
      <w:r>
        <w:rPr>
          <w:rFonts w:hint="eastAsia" w:ascii="宋体" w:hAnsi="宋体" w:cs="宋体"/>
          <w:szCs w:val="21"/>
          <w:highlight w:val="none"/>
        </w:rPr>
        <w:t>与参与磋商的供应商</w:t>
      </w:r>
      <w:r>
        <w:rPr>
          <w:rFonts w:hint="eastAsia" w:ascii="宋体" w:hAnsi="宋体"/>
          <w:szCs w:val="21"/>
          <w:highlight w:val="none"/>
        </w:rPr>
        <w:t>有下列情形之一的，应当回避：</w:t>
      </w:r>
    </w:p>
    <w:p>
      <w:pPr>
        <w:pStyle w:val="5"/>
        <w:spacing w:line="360" w:lineRule="auto"/>
        <w:ind w:firstLineChars="200"/>
        <w:rPr>
          <w:rFonts w:ascii="宋体" w:hAnsi="宋体"/>
          <w:szCs w:val="21"/>
          <w:highlight w:val="none"/>
        </w:rPr>
      </w:pPr>
      <w:r>
        <w:rPr>
          <w:rFonts w:hint="eastAsia" w:ascii="宋体" w:hAnsi="宋体"/>
          <w:szCs w:val="21"/>
          <w:highlight w:val="none"/>
        </w:rPr>
        <w:t>1.参加采购活动前3年内与供应商存在劳动关系；</w:t>
      </w:r>
    </w:p>
    <w:p>
      <w:pPr>
        <w:pStyle w:val="5"/>
        <w:spacing w:line="360" w:lineRule="auto"/>
        <w:ind w:firstLineChars="200"/>
        <w:rPr>
          <w:rFonts w:ascii="宋体" w:hAnsi="宋体"/>
          <w:szCs w:val="21"/>
          <w:highlight w:val="none"/>
        </w:rPr>
      </w:pPr>
      <w:r>
        <w:rPr>
          <w:rFonts w:hint="eastAsia" w:ascii="宋体" w:hAnsi="宋体"/>
          <w:szCs w:val="21"/>
          <w:highlight w:val="none"/>
        </w:rPr>
        <w:t>2.参加采购活动前3年内担任供应商的董事、监事；</w:t>
      </w:r>
    </w:p>
    <w:p>
      <w:pPr>
        <w:pStyle w:val="5"/>
        <w:spacing w:line="360" w:lineRule="auto"/>
        <w:ind w:firstLineChars="200"/>
        <w:rPr>
          <w:rFonts w:ascii="宋体" w:hAnsi="宋体"/>
          <w:szCs w:val="21"/>
          <w:highlight w:val="none"/>
        </w:rPr>
      </w:pPr>
      <w:r>
        <w:rPr>
          <w:rFonts w:hint="eastAsia" w:ascii="宋体" w:hAnsi="宋体"/>
          <w:szCs w:val="21"/>
          <w:highlight w:val="none"/>
        </w:rPr>
        <w:t>3.参加采购活动前3年内是供应商的控股股东或者实际控制人；</w:t>
      </w:r>
    </w:p>
    <w:p>
      <w:pPr>
        <w:pStyle w:val="5"/>
        <w:spacing w:line="360" w:lineRule="auto"/>
        <w:ind w:firstLineChars="200"/>
        <w:rPr>
          <w:rFonts w:ascii="宋体" w:hAnsi="宋体"/>
          <w:szCs w:val="21"/>
          <w:highlight w:val="none"/>
        </w:rPr>
      </w:pPr>
      <w:r>
        <w:rPr>
          <w:rFonts w:hint="eastAsia" w:ascii="宋体" w:hAnsi="宋体"/>
          <w:szCs w:val="21"/>
          <w:highlight w:val="none"/>
        </w:rPr>
        <w:t>4.与供应商的法定代表人或者负责人有夫妻、直系血亲、三代以内旁系血亲或者近姻亲关系；</w:t>
      </w:r>
    </w:p>
    <w:p>
      <w:pPr>
        <w:pStyle w:val="5"/>
        <w:spacing w:line="360" w:lineRule="auto"/>
        <w:ind w:firstLineChars="200"/>
        <w:rPr>
          <w:rFonts w:ascii="宋体" w:hAnsi="宋体"/>
          <w:szCs w:val="21"/>
          <w:highlight w:val="none"/>
        </w:rPr>
      </w:pPr>
      <w:r>
        <w:rPr>
          <w:rFonts w:hint="eastAsia" w:ascii="宋体" w:hAnsi="宋体"/>
          <w:szCs w:val="21"/>
          <w:highlight w:val="none"/>
        </w:rPr>
        <w:t>5.与供应商有其他可能影响政府采购活动公平、公正进行的关系；</w:t>
      </w:r>
    </w:p>
    <w:p>
      <w:pPr>
        <w:pStyle w:val="5"/>
        <w:spacing w:line="360" w:lineRule="auto"/>
        <w:ind w:firstLineChars="200"/>
        <w:rPr>
          <w:rFonts w:ascii="宋体" w:hAnsi="宋体"/>
          <w:szCs w:val="21"/>
          <w:highlight w:val="none"/>
        </w:rPr>
      </w:pPr>
      <w:r>
        <w:rPr>
          <w:rFonts w:hint="eastAsia" w:ascii="宋体" w:hAnsi="宋体"/>
          <w:szCs w:val="21"/>
          <w:highlight w:val="none"/>
        </w:rPr>
        <w:t>6.法律法规规定的其他情形。</w:t>
      </w:r>
    </w:p>
    <w:p>
      <w:pPr>
        <w:pStyle w:val="5"/>
        <w:spacing w:line="360" w:lineRule="auto"/>
        <w:ind w:firstLineChars="200"/>
        <w:rPr>
          <w:rFonts w:ascii="宋体" w:hAnsi="宋体"/>
          <w:szCs w:val="21"/>
          <w:highlight w:val="none"/>
        </w:rPr>
      </w:pPr>
      <w:r>
        <w:rPr>
          <w:rFonts w:hint="eastAsia" w:ascii="宋体" w:hAnsi="宋体"/>
          <w:szCs w:val="21"/>
          <w:highlight w:val="none"/>
        </w:rPr>
        <w:t>（三）</w:t>
      </w:r>
      <w:r>
        <w:rPr>
          <w:rFonts w:hint="eastAsia" w:ascii="宋体" w:hAnsi="宋体" w:cstheme="minorBidi"/>
          <w:szCs w:val="21"/>
          <w:highlight w:val="none"/>
        </w:rPr>
        <w:t>磋商小组</w:t>
      </w:r>
      <w:r>
        <w:rPr>
          <w:rFonts w:hint="eastAsia" w:ascii="宋体" w:hAnsi="宋体"/>
          <w:szCs w:val="21"/>
          <w:highlight w:val="none"/>
        </w:rPr>
        <w:t>负责具体评审事务，并独立履行下列职责：</w:t>
      </w:r>
    </w:p>
    <w:p>
      <w:pPr>
        <w:pStyle w:val="5"/>
        <w:spacing w:line="360" w:lineRule="auto"/>
        <w:ind w:firstLineChars="200"/>
        <w:rPr>
          <w:rFonts w:ascii="宋体" w:hAnsi="宋体"/>
          <w:szCs w:val="21"/>
          <w:highlight w:val="none"/>
        </w:rPr>
      </w:pPr>
      <w:r>
        <w:rPr>
          <w:rFonts w:hint="eastAsia" w:ascii="宋体" w:hAnsi="宋体"/>
          <w:szCs w:val="21"/>
          <w:highlight w:val="none"/>
        </w:rPr>
        <w:t>1.审查、评价响应文件是否符合磋商文件的商务、技术等实质性要求；</w:t>
      </w:r>
    </w:p>
    <w:p>
      <w:pPr>
        <w:pStyle w:val="5"/>
        <w:spacing w:line="360" w:lineRule="auto"/>
        <w:ind w:firstLineChars="200"/>
        <w:rPr>
          <w:rFonts w:ascii="宋体" w:hAnsi="宋体"/>
          <w:szCs w:val="21"/>
          <w:highlight w:val="none"/>
        </w:rPr>
      </w:pPr>
      <w:r>
        <w:rPr>
          <w:rFonts w:hint="eastAsia" w:ascii="宋体" w:hAnsi="宋体"/>
          <w:szCs w:val="21"/>
          <w:highlight w:val="none"/>
        </w:rPr>
        <w:t>2.要求供应商对响应文件有关事项作出澄清或者说明；</w:t>
      </w:r>
    </w:p>
    <w:p>
      <w:pPr>
        <w:pStyle w:val="5"/>
        <w:spacing w:line="360" w:lineRule="auto"/>
        <w:ind w:firstLineChars="200"/>
        <w:rPr>
          <w:rFonts w:ascii="宋体" w:hAnsi="宋体"/>
          <w:szCs w:val="21"/>
          <w:highlight w:val="none"/>
        </w:rPr>
      </w:pPr>
      <w:r>
        <w:rPr>
          <w:rFonts w:hint="eastAsia" w:ascii="宋体" w:hAnsi="宋体"/>
          <w:szCs w:val="21"/>
          <w:highlight w:val="none"/>
        </w:rPr>
        <w:t>3.对响应文件进行比较和评价；</w:t>
      </w:r>
    </w:p>
    <w:p>
      <w:pPr>
        <w:pStyle w:val="5"/>
        <w:spacing w:line="360" w:lineRule="auto"/>
        <w:ind w:firstLineChars="200"/>
        <w:rPr>
          <w:rFonts w:ascii="宋体" w:hAnsi="宋体"/>
          <w:szCs w:val="21"/>
          <w:highlight w:val="none"/>
        </w:rPr>
      </w:pPr>
      <w:r>
        <w:rPr>
          <w:rFonts w:hint="eastAsia" w:ascii="宋体" w:hAnsi="宋体"/>
          <w:szCs w:val="21"/>
          <w:highlight w:val="none"/>
        </w:rPr>
        <w:t>4.确定成交候选人名单，以及根据采购人委托直接确定成交供应商；</w:t>
      </w:r>
    </w:p>
    <w:p>
      <w:pPr>
        <w:pStyle w:val="5"/>
        <w:spacing w:line="360" w:lineRule="auto"/>
        <w:ind w:firstLineChars="200"/>
        <w:rPr>
          <w:rFonts w:ascii="宋体" w:hAnsi="宋体"/>
          <w:szCs w:val="21"/>
          <w:highlight w:val="none"/>
        </w:rPr>
      </w:pPr>
      <w:r>
        <w:rPr>
          <w:rFonts w:hint="eastAsia" w:ascii="宋体" w:hAnsi="宋体"/>
          <w:szCs w:val="21"/>
          <w:highlight w:val="none"/>
        </w:rPr>
        <w:t>5.向采购人、采购</w:t>
      </w:r>
      <w:r>
        <w:rPr>
          <w:rFonts w:hint="eastAsia" w:ascii="宋体" w:hAnsi="宋体" w:cstheme="minorBidi"/>
          <w:szCs w:val="21"/>
          <w:highlight w:val="none"/>
        </w:rPr>
        <w:t>组织</w:t>
      </w:r>
      <w:r>
        <w:rPr>
          <w:rFonts w:hint="eastAsia" w:ascii="宋体" w:hAnsi="宋体"/>
          <w:szCs w:val="21"/>
          <w:highlight w:val="none"/>
        </w:rPr>
        <w:t>机构或者有关部门报告评审中发现的违法行为；</w:t>
      </w:r>
    </w:p>
    <w:p>
      <w:pPr>
        <w:pStyle w:val="5"/>
        <w:spacing w:line="360" w:lineRule="auto"/>
        <w:ind w:firstLineChars="200"/>
        <w:rPr>
          <w:rFonts w:ascii="宋体" w:hAnsi="宋体"/>
          <w:szCs w:val="21"/>
          <w:highlight w:val="none"/>
        </w:rPr>
      </w:pPr>
      <w:r>
        <w:rPr>
          <w:rFonts w:hint="eastAsia" w:ascii="宋体" w:hAnsi="宋体"/>
          <w:szCs w:val="21"/>
          <w:highlight w:val="none"/>
        </w:rPr>
        <w:t>6.法律法规规定的其他职责。</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四、磋商要求</w:t>
      </w:r>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（一）采购人、采购代理机构不得对磋商小组中的评审专家作倾向性、误导性的解释或者说明。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（二）磋商小组所有成员应当集中与单一供应商分别进行磋商，并给予所有参加磋商的供应商平等的磋商机会。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（五）供应商应当按照磋商文件的变动情况和磋商小组的要求重新提交响应文件，并由其法定代表人或授权代表签字或者加盖公章。</w:t>
      </w:r>
    </w:p>
    <w:p>
      <w:pPr>
        <w:spacing w:line="360" w:lineRule="auto"/>
        <w:ind w:firstLine="420" w:firstLineChars="200"/>
        <w:rPr>
          <w:rFonts w:ascii="宋体" w:hAnsi="宋体"/>
          <w:szCs w:val="21"/>
          <w:highlight w:val="none"/>
        </w:rPr>
      </w:pPr>
      <w:r>
        <w:rPr>
          <w:rFonts w:hint="eastAsia" w:ascii="宋体" w:hAnsi="宋体" w:cs="宋体"/>
          <w:szCs w:val="21"/>
          <w:highlight w:val="none"/>
        </w:rPr>
        <w:t>（六）已提交响应文件的供应商，在提交最后报价之前，可以根据磋商情况退出磋商。</w:t>
      </w:r>
    </w:p>
    <w:p>
      <w:pPr>
        <w:pStyle w:val="37"/>
        <w:spacing w:before="0" w:beforeAutospacing="0" w:after="0" w:afterAutospacing="0" w:line="360" w:lineRule="auto"/>
        <w:ind w:firstLine="422" w:firstLineChars="200"/>
        <w:jc w:val="both"/>
        <w:rPr>
          <w:rFonts w:hint="default"/>
          <w:b/>
          <w:sz w:val="21"/>
          <w:szCs w:val="21"/>
          <w:highlight w:val="none"/>
        </w:rPr>
      </w:pPr>
      <w:r>
        <w:rPr>
          <w:b/>
          <w:sz w:val="21"/>
          <w:szCs w:val="21"/>
          <w:highlight w:val="none"/>
        </w:rPr>
        <w:t>五、无效响应情形</w:t>
      </w:r>
    </w:p>
    <w:p>
      <w:pPr>
        <w:pStyle w:val="37"/>
        <w:numPr>
          <w:ilvl w:val="0"/>
          <w:numId w:val="8"/>
        </w:numPr>
        <w:tabs>
          <w:tab w:val="left" w:pos="7380"/>
        </w:tabs>
        <w:adjustRightInd w:val="0"/>
        <w:snapToGrid w:val="0"/>
        <w:spacing w:before="0" w:beforeAutospacing="0" w:after="0" w:afterAutospacing="0" w:line="360" w:lineRule="auto"/>
        <w:jc w:val="both"/>
        <w:rPr>
          <w:rFonts w:hint="default"/>
          <w:sz w:val="21"/>
          <w:szCs w:val="21"/>
          <w:highlight w:val="none"/>
        </w:rPr>
      </w:pPr>
      <w:r>
        <w:rPr>
          <w:sz w:val="21"/>
          <w:szCs w:val="21"/>
          <w:highlight w:val="none"/>
        </w:rPr>
        <w:t>不具备磋商文件中规定的资格要求的；</w:t>
      </w:r>
      <w:r>
        <w:rPr>
          <w:rFonts w:hint="default"/>
          <w:sz w:val="21"/>
          <w:szCs w:val="21"/>
          <w:highlight w:val="none"/>
        </w:rPr>
        <w:tab/>
      </w:r>
    </w:p>
    <w:p>
      <w:pPr>
        <w:pStyle w:val="37"/>
        <w:numPr>
          <w:ilvl w:val="0"/>
          <w:numId w:val="8"/>
        </w:numPr>
        <w:adjustRightInd w:val="0"/>
        <w:snapToGrid w:val="0"/>
        <w:spacing w:before="0" w:beforeAutospacing="0" w:after="0" w:afterAutospacing="0" w:line="360" w:lineRule="auto"/>
        <w:jc w:val="both"/>
        <w:rPr>
          <w:rFonts w:hint="default"/>
          <w:sz w:val="21"/>
          <w:szCs w:val="21"/>
          <w:highlight w:val="none"/>
        </w:rPr>
      </w:pPr>
      <w:r>
        <w:rPr>
          <w:sz w:val="21"/>
          <w:szCs w:val="21"/>
          <w:highlight w:val="none"/>
        </w:rPr>
        <w:t>响应文件含有采购人不能接受的附加条件的；</w:t>
      </w:r>
    </w:p>
    <w:p>
      <w:pPr>
        <w:pStyle w:val="17"/>
        <w:numPr>
          <w:ilvl w:val="0"/>
          <w:numId w:val="8"/>
        </w:numPr>
        <w:spacing w:line="360" w:lineRule="auto"/>
        <w:jc w:val="both"/>
        <w:rPr>
          <w:rFonts w:ascii="宋体" w:hAnsi="宋体"/>
          <w:kern w:val="0"/>
          <w:szCs w:val="21"/>
          <w:highlight w:val="none"/>
        </w:rPr>
      </w:pPr>
      <w:r>
        <w:rPr>
          <w:rFonts w:hint="eastAsia" w:ascii="宋体" w:hAnsi="宋体"/>
          <w:kern w:val="0"/>
          <w:szCs w:val="21"/>
          <w:highlight w:val="none"/>
        </w:rPr>
        <w:t>磋商小组认为供应商的报价明显低于其他通过符合性审查供应商的报价，有可能影响货物质量或者不能诚信履约的，供应商在限定的时间内不能证明其报价合理性的，磋商小组应当将其作为无效响应处理；</w:t>
      </w:r>
    </w:p>
    <w:p>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 xml:space="preserve">报价超过磋商文件中规定的预算审核金额/最高限价； </w:t>
      </w:r>
    </w:p>
    <w:p>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响应参数未如实填写，完全复制粘贴磋商需求参数的；</w:t>
      </w:r>
    </w:p>
    <w:p>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 xml:space="preserve">响应文件存在虚假材料的； </w:t>
      </w:r>
    </w:p>
    <w:p>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不同供应商的响应文件由同一单位或者个人编制；</w:t>
      </w:r>
    </w:p>
    <w:p>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不同供应商委托同一单位或者个人办理磋商事宜；</w:t>
      </w:r>
    </w:p>
    <w:p>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不同供应商的响应文件载明的项目管理成员或者联系人员为同一人；</w:t>
      </w:r>
    </w:p>
    <w:p>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不同供应商的响应文件异常一致或者磋商报价呈规律性差异；</w:t>
      </w:r>
    </w:p>
    <w:p>
      <w:pPr>
        <w:pStyle w:val="37"/>
        <w:numPr>
          <w:ilvl w:val="0"/>
          <w:numId w:val="8"/>
        </w:numPr>
        <w:spacing w:before="0" w:beforeAutospacing="0" w:after="0" w:afterAutospacing="0" w:line="360" w:lineRule="auto"/>
        <w:jc w:val="both"/>
        <w:rPr>
          <w:rFonts w:hint="default"/>
          <w:sz w:val="21"/>
          <w:szCs w:val="21"/>
          <w:highlight w:val="none"/>
        </w:rPr>
      </w:pPr>
      <w:r>
        <w:rPr>
          <w:sz w:val="21"/>
          <w:szCs w:val="21"/>
          <w:highlight w:val="none"/>
        </w:rPr>
        <w:t>不同供应商的响应文件相互混装；</w:t>
      </w:r>
    </w:p>
    <w:p>
      <w:pPr>
        <w:pStyle w:val="37"/>
        <w:numPr>
          <w:ilvl w:val="0"/>
          <w:numId w:val="8"/>
        </w:numPr>
        <w:spacing w:before="0" w:beforeAutospacing="0" w:after="0" w:afterAutospacing="0" w:line="360" w:lineRule="auto"/>
        <w:jc w:val="both"/>
        <w:rPr>
          <w:rFonts w:hint="default"/>
          <w:sz w:val="21"/>
          <w:szCs w:val="21"/>
          <w:highlight w:val="none"/>
        </w:rPr>
      </w:pPr>
      <w:r>
        <w:rPr>
          <w:rFonts w:cs="宋体"/>
          <w:sz w:val="21"/>
          <w:szCs w:val="21"/>
          <w:highlight w:val="none"/>
        </w:rPr>
        <w:t>实质性要求（磋商文件中打“▲”内容）不响应的；</w:t>
      </w:r>
    </w:p>
    <w:p>
      <w:pPr>
        <w:pStyle w:val="5"/>
        <w:numPr>
          <w:ilvl w:val="0"/>
          <w:numId w:val="8"/>
        </w:numPr>
        <w:spacing w:line="360" w:lineRule="auto"/>
        <w:rPr>
          <w:rFonts w:ascii="宋体" w:hAnsi="宋体"/>
          <w:kern w:val="0"/>
          <w:szCs w:val="21"/>
          <w:highlight w:val="none"/>
        </w:rPr>
      </w:pPr>
      <w:r>
        <w:rPr>
          <w:rFonts w:hint="eastAsia" w:ascii="宋体" w:hAnsi="宋体"/>
          <w:kern w:val="0"/>
          <w:szCs w:val="21"/>
          <w:highlight w:val="none"/>
        </w:rPr>
        <w:t>商务条款不响应；</w:t>
      </w:r>
    </w:p>
    <w:p>
      <w:pPr>
        <w:pStyle w:val="5"/>
        <w:numPr>
          <w:ilvl w:val="0"/>
          <w:numId w:val="8"/>
        </w:numPr>
        <w:spacing w:line="360" w:lineRule="auto"/>
        <w:rPr>
          <w:rFonts w:ascii="宋体" w:hAnsi="宋体"/>
          <w:kern w:val="0"/>
          <w:szCs w:val="21"/>
          <w:highlight w:val="none"/>
        </w:rPr>
      </w:pPr>
      <w:r>
        <w:rPr>
          <w:rFonts w:hint="eastAsia" w:ascii="宋体" w:hAnsi="宋体" w:cs="宋体"/>
          <w:szCs w:val="21"/>
          <w:highlight w:val="none"/>
        </w:rPr>
        <w:t>响应</w:t>
      </w:r>
      <w:r>
        <w:rPr>
          <w:rFonts w:hint="eastAsia" w:ascii="宋体" w:hAnsi="宋体"/>
          <w:kern w:val="0"/>
          <w:szCs w:val="21"/>
          <w:highlight w:val="none"/>
        </w:rPr>
        <w:t>文件有效期不足的；</w:t>
      </w:r>
    </w:p>
    <w:p>
      <w:pPr>
        <w:pStyle w:val="5"/>
        <w:numPr>
          <w:ilvl w:val="0"/>
          <w:numId w:val="8"/>
        </w:numPr>
        <w:spacing w:line="360" w:lineRule="auto"/>
        <w:rPr>
          <w:rFonts w:ascii="宋体" w:hAnsi="宋体"/>
          <w:kern w:val="0"/>
          <w:szCs w:val="21"/>
          <w:highlight w:val="none"/>
        </w:rPr>
      </w:pPr>
      <w:r>
        <w:rPr>
          <w:rFonts w:hint="eastAsia" w:ascii="宋体" w:hAnsi="宋体"/>
          <w:kern w:val="0"/>
          <w:szCs w:val="21"/>
          <w:highlight w:val="none"/>
        </w:rPr>
        <w:t>逾期或未按要求提交</w:t>
      </w:r>
      <w:r>
        <w:rPr>
          <w:rFonts w:hint="eastAsia" w:ascii="宋体" w:hAnsi="宋体" w:cs="宋体"/>
          <w:szCs w:val="21"/>
          <w:highlight w:val="none"/>
        </w:rPr>
        <w:t>响应</w:t>
      </w:r>
      <w:r>
        <w:rPr>
          <w:rFonts w:hint="eastAsia" w:ascii="宋体" w:hAnsi="宋体"/>
          <w:kern w:val="0"/>
          <w:szCs w:val="21"/>
          <w:highlight w:val="none"/>
        </w:rPr>
        <w:t>文件的；</w:t>
      </w:r>
    </w:p>
    <w:p>
      <w:pPr>
        <w:pStyle w:val="5"/>
        <w:numPr>
          <w:ilvl w:val="0"/>
          <w:numId w:val="8"/>
        </w:numPr>
        <w:spacing w:line="360" w:lineRule="auto"/>
        <w:rPr>
          <w:rFonts w:ascii="宋体" w:hAnsi="宋体"/>
          <w:kern w:val="0"/>
          <w:szCs w:val="21"/>
          <w:highlight w:val="none"/>
        </w:rPr>
      </w:pPr>
      <w:r>
        <w:rPr>
          <w:rFonts w:hint="eastAsia" w:ascii="宋体" w:hAnsi="宋体"/>
          <w:kern w:val="0"/>
          <w:szCs w:val="21"/>
          <w:highlight w:val="none"/>
        </w:rPr>
        <w:t>其他</w:t>
      </w:r>
      <w:r>
        <w:rPr>
          <w:rFonts w:ascii="宋体" w:hAnsi="宋体" w:cs="宋体"/>
          <w:szCs w:val="21"/>
          <w:highlight w:val="none"/>
        </w:rPr>
        <w:t>不符合</w:t>
      </w:r>
      <w:r>
        <w:rPr>
          <w:rFonts w:hint="eastAsia" w:ascii="宋体" w:hAnsi="宋体" w:cs="宋体"/>
          <w:szCs w:val="21"/>
          <w:highlight w:val="none"/>
          <w:lang w:eastAsia="zh-CN"/>
        </w:rPr>
        <w:t>法律法规</w:t>
      </w:r>
      <w:r>
        <w:rPr>
          <w:rFonts w:ascii="宋体" w:hAnsi="宋体" w:cs="宋体"/>
          <w:szCs w:val="21"/>
          <w:highlight w:val="none"/>
        </w:rPr>
        <w:t>相关规定的</w:t>
      </w:r>
      <w:r>
        <w:rPr>
          <w:rFonts w:hint="eastAsia" w:ascii="宋体" w:hAnsi="宋体" w:cs="宋体"/>
          <w:szCs w:val="21"/>
          <w:highlight w:val="none"/>
        </w:rPr>
        <w:t>。</w:t>
      </w:r>
    </w:p>
    <w:p>
      <w:pPr>
        <w:autoSpaceDE w:val="0"/>
        <w:autoSpaceDN w:val="0"/>
        <w:adjustRightInd w:val="0"/>
        <w:spacing w:line="360" w:lineRule="auto"/>
        <w:ind w:firstLine="422" w:firstLineChars="200"/>
        <w:rPr>
          <w:rFonts w:ascii="宋体" w:hAnsi="宋体"/>
          <w:kern w:val="0"/>
          <w:szCs w:val="21"/>
          <w:highlight w:val="none"/>
        </w:rPr>
      </w:pPr>
      <w:r>
        <w:rPr>
          <w:rFonts w:hint="eastAsia" w:ascii="宋体" w:hAnsi="宋体"/>
          <w:b/>
          <w:kern w:val="0"/>
          <w:szCs w:val="21"/>
          <w:highlight w:val="none"/>
        </w:rPr>
        <w:t>六、终止磋商情形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（一）出现影响采购公正的违法、违规行为的；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（二）磋商小组发现磋商文件存在歧义、重大缺陷导致评审工作无法进行，或者磋商文件内容违反国家有关强制性规定的；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（三）因重大变故，采购任务取消的；</w:t>
      </w:r>
    </w:p>
    <w:p>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（五）法律、法规和磋商文件规定的其他导致评审结果无效的。</w:t>
      </w:r>
    </w:p>
    <w:p>
      <w:pPr>
        <w:pStyle w:val="22"/>
        <w:snapToGrid w:val="0"/>
        <w:spacing w:line="360" w:lineRule="auto"/>
        <w:ind w:firstLine="422" w:firstLineChars="200"/>
        <w:rPr>
          <w:rFonts w:hAnsi="宋体"/>
          <w:b/>
          <w:szCs w:val="21"/>
          <w:highlight w:val="none"/>
        </w:rPr>
      </w:pPr>
      <w:r>
        <w:rPr>
          <w:rFonts w:hint="eastAsia" w:hAnsi="宋体"/>
          <w:b/>
          <w:szCs w:val="21"/>
          <w:highlight w:val="none"/>
        </w:rPr>
        <w:t>七、磋商</w:t>
      </w:r>
      <w:r>
        <w:rPr>
          <w:rFonts w:hAnsi="宋体"/>
          <w:b/>
          <w:szCs w:val="21"/>
          <w:highlight w:val="none"/>
        </w:rPr>
        <w:t>过程的监控</w:t>
      </w:r>
    </w:p>
    <w:p>
      <w:pPr>
        <w:pStyle w:val="37"/>
        <w:spacing w:before="0" w:beforeAutospacing="0" w:after="0" w:afterAutospacing="0" w:line="360" w:lineRule="auto"/>
        <w:ind w:firstLine="420" w:firstLineChars="200"/>
        <w:jc w:val="both"/>
        <w:rPr>
          <w:rFonts w:hint="default"/>
          <w:sz w:val="21"/>
          <w:szCs w:val="21"/>
          <w:highlight w:val="none"/>
        </w:rPr>
      </w:pPr>
      <w:r>
        <w:rPr>
          <w:sz w:val="21"/>
          <w:szCs w:val="21"/>
          <w:highlight w:val="none"/>
        </w:rPr>
        <w:t>本项目磋商过程实行全程录音、录像监控，政府采购监管部门视情进行现场监督，供应商在磋商过程中所进行的试图影响磋商结果的不公正活动，可能导致其磋商响应被拒绝。</w:t>
      </w:r>
    </w:p>
    <w:p>
      <w:pPr>
        <w:pStyle w:val="37"/>
        <w:spacing w:before="0" w:beforeAutospacing="0" w:after="0" w:afterAutospacing="0" w:line="360" w:lineRule="auto"/>
        <w:ind w:firstLine="422" w:firstLineChars="200"/>
        <w:jc w:val="both"/>
        <w:rPr>
          <w:rFonts w:hint="default"/>
          <w:b/>
          <w:bCs/>
          <w:sz w:val="21"/>
          <w:szCs w:val="21"/>
          <w:highlight w:val="none"/>
        </w:rPr>
      </w:pPr>
      <w:r>
        <w:rPr>
          <w:b/>
          <w:bCs/>
          <w:sz w:val="21"/>
          <w:szCs w:val="21"/>
          <w:highlight w:val="none"/>
        </w:rPr>
        <w:t>八、政府采购政策落实</w:t>
      </w:r>
    </w:p>
    <w:p>
      <w:pPr>
        <w:autoSpaceDE w:val="0"/>
        <w:autoSpaceDN w:val="0"/>
        <w:adjustRightInd w:val="0"/>
        <w:spacing w:line="360" w:lineRule="auto"/>
        <w:ind w:firstLine="422" w:firstLineChars="200"/>
        <w:rPr>
          <w:rFonts w:ascii="宋体" w:hAnsi="宋体"/>
          <w:b/>
          <w:bCs/>
          <w:szCs w:val="21"/>
          <w:highlight w:val="none"/>
          <w:lang w:val="zh-CN"/>
        </w:rPr>
      </w:pPr>
      <w:r>
        <w:rPr>
          <w:rFonts w:hint="eastAsia" w:ascii="宋体" w:hAnsi="宋体"/>
          <w:b/>
          <w:bCs/>
          <w:szCs w:val="21"/>
          <w:highlight w:val="none"/>
        </w:rPr>
        <w:t>（一）</w:t>
      </w:r>
      <w:r>
        <w:rPr>
          <w:rFonts w:hint="eastAsia" w:ascii="宋体" w:hAnsi="宋体"/>
          <w:b/>
          <w:bCs/>
          <w:szCs w:val="21"/>
          <w:highlight w:val="none"/>
          <w:lang w:val="zh-CN"/>
        </w:rPr>
        <w:t>政府采购政策：</w:t>
      </w:r>
    </w:p>
    <w:p>
      <w:pPr>
        <w:pStyle w:val="22"/>
        <w:snapToGrid w:val="0"/>
        <w:spacing w:line="360" w:lineRule="auto"/>
        <w:ind w:firstLine="420" w:firstLineChars="200"/>
        <w:rPr>
          <w:rFonts w:hint="eastAsia" w:ascii="宋体" w:hAnsi="宋体" w:eastAsia="宋体" w:cs="Times New Roman"/>
          <w:kern w:val="2"/>
          <w:sz w:val="21"/>
          <w:szCs w:val="21"/>
          <w:highlight w:val="none"/>
          <w:lang w:val="zh-CN" w:eastAsia="zh-CN" w:bidi="ar-SA"/>
        </w:rPr>
      </w:pPr>
      <w:r>
        <w:rPr>
          <w:rFonts w:hint="eastAsia" w:ascii="宋体" w:hAnsi="宋体" w:eastAsia="宋体" w:cs="Times New Roman"/>
          <w:kern w:val="2"/>
          <w:sz w:val="21"/>
          <w:szCs w:val="21"/>
          <w:highlight w:val="none"/>
          <w:lang w:val="zh-CN" w:eastAsia="zh-CN" w:bidi="ar-SA"/>
        </w:rPr>
        <w:t>本项目专门面向中小微企业采购，价格评审时，不再执行小微企业政策优惠。</w:t>
      </w:r>
    </w:p>
    <w:p>
      <w:pPr>
        <w:pStyle w:val="22"/>
        <w:snapToGrid w:val="0"/>
        <w:spacing w:line="360" w:lineRule="auto"/>
        <w:ind w:firstLine="422" w:firstLineChars="200"/>
        <w:rPr>
          <w:rFonts w:hAnsi="宋体"/>
          <w:b/>
          <w:szCs w:val="21"/>
          <w:highlight w:val="none"/>
        </w:rPr>
      </w:pPr>
      <w:r>
        <w:rPr>
          <w:rFonts w:hint="eastAsia" w:hAnsi="宋体"/>
          <w:b/>
          <w:bCs/>
          <w:szCs w:val="21"/>
          <w:highlight w:val="none"/>
        </w:rPr>
        <w:t>九、评审</w:t>
      </w:r>
      <w:r>
        <w:rPr>
          <w:rFonts w:hAnsi="宋体"/>
          <w:b/>
          <w:bCs/>
          <w:szCs w:val="21"/>
          <w:highlight w:val="none"/>
        </w:rPr>
        <w:t>程序</w:t>
      </w:r>
    </w:p>
    <w:p>
      <w:pPr>
        <w:snapToGrid w:val="0"/>
        <w:spacing w:line="360" w:lineRule="auto"/>
        <w:ind w:firstLine="422" w:firstLineChars="200"/>
        <w:rPr>
          <w:rFonts w:ascii="宋体" w:hAnsi="宋体"/>
          <w:b/>
          <w:bCs/>
          <w:szCs w:val="21"/>
          <w:highlight w:val="none"/>
        </w:rPr>
      </w:pPr>
      <w:r>
        <w:rPr>
          <w:rFonts w:hint="eastAsia" w:ascii="宋体" w:hAnsi="宋体"/>
          <w:b/>
          <w:bCs/>
          <w:szCs w:val="21"/>
          <w:highlight w:val="none"/>
        </w:rPr>
        <w:t>（一）</w:t>
      </w:r>
      <w:r>
        <w:rPr>
          <w:rFonts w:hint="eastAsia" w:ascii="宋体" w:hAnsi="宋体" w:cs="宋体"/>
          <w:b/>
          <w:bCs/>
          <w:szCs w:val="21"/>
          <w:highlight w:val="none"/>
        </w:rPr>
        <w:t>资格性审查</w:t>
      </w:r>
    </w:p>
    <w:p>
      <w:pPr>
        <w:pStyle w:val="17"/>
        <w:spacing w:line="360" w:lineRule="auto"/>
        <w:ind w:firstLine="420" w:firstLineChars="200"/>
        <w:jc w:val="both"/>
        <w:rPr>
          <w:rFonts w:ascii="宋体" w:hAnsi="宋体"/>
          <w:szCs w:val="21"/>
          <w:highlight w:val="none"/>
        </w:rPr>
      </w:pPr>
      <w:r>
        <w:rPr>
          <w:rFonts w:hint="eastAsia" w:ascii="宋体" w:hAnsi="宋体" w:cs="宋体"/>
          <w:szCs w:val="21"/>
          <w:highlight w:val="none"/>
        </w:rPr>
        <w:t>响应文件解密后</w:t>
      </w:r>
      <w:r>
        <w:rPr>
          <w:rFonts w:ascii="宋体" w:hAnsi="宋体"/>
          <w:szCs w:val="21"/>
          <w:highlight w:val="none"/>
        </w:rPr>
        <w:t>，采购人或采购组织机构依法对</w:t>
      </w:r>
      <w:r>
        <w:rPr>
          <w:rFonts w:hint="eastAsia" w:ascii="宋体" w:hAnsi="宋体"/>
          <w:szCs w:val="21"/>
          <w:highlight w:val="none"/>
        </w:rPr>
        <w:t>供应商</w:t>
      </w:r>
      <w:r>
        <w:rPr>
          <w:rFonts w:ascii="宋体" w:hAnsi="宋体"/>
          <w:szCs w:val="21"/>
          <w:highlight w:val="none"/>
        </w:rPr>
        <w:t>的资格进行审查，对审查发现无效</w:t>
      </w:r>
      <w:r>
        <w:rPr>
          <w:rFonts w:hint="eastAsia" w:ascii="宋体" w:hAnsi="宋体"/>
          <w:szCs w:val="21"/>
          <w:highlight w:val="none"/>
          <w:lang w:eastAsia="zh-CN"/>
        </w:rPr>
        <w:t>地进行必要的</w:t>
      </w:r>
      <w:r>
        <w:rPr>
          <w:rFonts w:ascii="宋体" w:hAnsi="宋体"/>
          <w:szCs w:val="21"/>
          <w:highlight w:val="none"/>
        </w:rPr>
        <w:t>询</w:t>
      </w:r>
      <w:r>
        <w:rPr>
          <w:rFonts w:hint="eastAsia" w:ascii="宋体" w:hAnsi="宋体"/>
          <w:szCs w:val="21"/>
          <w:highlight w:val="none"/>
        </w:rPr>
        <w:t>问</w:t>
      </w:r>
      <w:r>
        <w:rPr>
          <w:rFonts w:ascii="宋体" w:hAnsi="宋体"/>
          <w:szCs w:val="21"/>
          <w:highlight w:val="none"/>
        </w:rPr>
        <w:t>，</w:t>
      </w:r>
      <w:r>
        <w:rPr>
          <w:rFonts w:hint="eastAsia" w:ascii="宋体" w:hAnsi="宋体"/>
          <w:szCs w:val="21"/>
          <w:highlight w:val="none"/>
        </w:rPr>
        <w:t>在政采云平台公布</w:t>
      </w:r>
      <w:r>
        <w:rPr>
          <w:rFonts w:ascii="宋体" w:hAnsi="宋体"/>
          <w:szCs w:val="21"/>
          <w:highlight w:val="none"/>
        </w:rPr>
        <w:t>无效</w:t>
      </w:r>
      <w:r>
        <w:rPr>
          <w:rFonts w:hint="eastAsia" w:ascii="宋体" w:hAnsi="宋体"/>
          <w:szCs w:val="21"/>
          <w:highlight w:val="none"/>
        </w:rPr>
        <w:t>响应</w:t>
      </w:r>
      <w:r>
        <w:rPr>
          <w:rFonts w:ascii="宋体" w:hAnsi="宋体"/>
          <w:szCs w:val="21"/>
          <w:highlight w:val="none"/>
        </w:rPr>
        <w:t>的</w:t>
      </w:r>
      <w:r>
        <w:rPr>
          <w:rFonts w:hint="eastAsia" w:ascii="宋体" w:hAnsi="宋体"/>
          <w:szCs w:val="21"/>
          <w:highlight w:val="none"/>
        </w:rPr>
        <w:t>供应商</w:t>
      </w:r>
      <w:r>
        <w:rPr>
          <w:rFonts w:ascii="宋体" w:hAnsi="宋体"/>
          <w:szCs w:val="21"/>
          <w:highlight w:val="none"/>
        </w:rPr>
        <w:t>名单、</w:t>
      </w:r>
      <w:r>
        <w:rPr>
          <w:rFonts w:hint="eastAsia" w:ascii="宋体" w:hAnsi="宋体"/>
          <w:szCs w:val="21"/>
          <w:highlight w:val="none"/>
        </w:rPr>
        <w:t>响应</w:t>
      </w:r>
      <w:r>
        <w:rPr>
          <w:rFonts w:ascii="宋体" w:hAnsi="宋体"/>
          <w:szCs w:val="21"/>
          <w:highlight w:val="none"/>
        </w:rPr>
        <w:t>无效的原因。</w:t>
      </w:r>
    </w:p>
    <w:tbl>
      <w:tblPr>
        <w:tblStyle w:val="41"/>
        <w:tblpPr w:leftFromText="181" w:rightFromText="181" w:bottomFromText="170" w:vertAnchor="text" w:tblpXSpec="center" w:tblpY="1"/>
        <w:tblOverlap w:val="never"/>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2596"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color w:val="auto"/>
                <w:szCs w:val="21"/>
                <w:highlight w:val="none"/>
              </w:rPr>
              <w:t>具有独立承担民事责任的能力</w:t>
            </w:r>
          </w:p>
        </w:tc>
        <w:tc>
          <w:tcPr>
            <w:tcW w:w="6454"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2596" w:type="dxa"/>
            <w:shd w:val="clear" w:color="auto" w:fill="F6F6F6"/>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color w:val="auto"/>
                <w:szCs w:val="21"/>
                <w:highlight w:val="none"/>
              </w:rPr>
              <w:t>有依法缴纳税收和社会保障资金的良好记录</w:t>
            </w:r>
          </w:p>
        </w:tc>
        <w:tc>
          <w:tcPr>
            <w:tcW w:w="6454" w:type="dxa"/>
            <w:shd w:val="clear" w:color="auto" w:fill="F6F6F6"/>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left="64" w:right="0" w:firstLine="0" w:firstLineChars="0"/>
              <w:jc w:val="center"/>
              <w:textAlignment w:val="auto"/>
              <w:rPr>
                <w:color w:val="auto"/>
                <w:szCs w:val="21"/>
                <w:highlight w:val="none"/>
              </w:rPr>
            </w:pPr>
            <w:r>
              <w:rPr>
                <w:rFonts w:hint="eastAsia" w:ascii="宋体" w:hAnsi="宋体" w:eastAsia="宋体" w:cs="宋体"/>
                <w:color w:val="auto"/>
                <w:szCs w:val="21"/>
                <w:highlight w:val="none"/>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2596"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color w:val="auto"/>
                <w:szCs w:val="21"/>
                <w:highlight w:val="none"/>
              </w:rPr>
              <w:t>具有良好的商业信誉和健全的财务会计制度</w:t>
            </w:r>
          </w:p>
        </w:tc>
        <w:tc>
          <w:tcPr>
            <w:tcW w:w="6454"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ascii="宋体" w:hAnsi="宋体" w:eastAsia="宋体" w:cs="宋体"/>
                <w:color w:val="auto"/>
                <w:szCs w:val="21"/>
                <w:highlight w:val="none"/>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596" w:type="dxa"/>
            <w:shd w:val="clear" w:color="auto" w:fill="F6F6F6"/>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color w:val="auto"/>
                <w:szCs w:val="21"/>
                <w:highlight w:val="none"/>
              </w:rPr>
              <w:t>履行合同所必需的设备和专业技术能力</w:t>
            </w:r>
          </w:p>
        </w:tc>
        <w:tc>
          <w:tcPr>
            <w:tcW w:w="6454" w:type="dxa"/>
            <w:shd w:val="clear" w:color="auto" w:fill="F6F6F6"/>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ascii="宋体" w:hAnsi="宋体" w:eastAsia="宋体" w:cs="宋体"/>
                <w:color w:val="auto"/>
                <w:szCs w:val="21"/>
                <w:highlight w:val="none"/>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2596"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color w:val="auto"/>
                <w:szCs w:val="21"/>
                <w:highlight w:val="none"/>
              </w:rPr>
              <w:t>参加采购活动前</w:t>
            </w:r>
            <w:r>
              <w:rPr>
                <w:rFonts w:hint="eastAsia"/>
                <w:color w:val="auto"/>
                <w:w w:val="110"/>
                <w:szCs w:val="21"/>
                <w:highlight w:val="none"/>
              </w:rPr>
              <w:t>3</w:t>
            </w:r>
            <w:r>
              <w:rPr>
                <w:rFonts w:hint="eastAsia"/>
                <w:color w:val="auto"/>
                <w:szCs w:val="21"/>
                <w:highlight w:val="none"/>
              </w:rPr>
              <w:t>年内，在经营活动中没有重大违法记录</w:t>
            </w:r>
          </w:p>
        </w:tc>
        <w:tc>
          <w:tcPr>
            <w:tcW w:w="6454"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color w:val="auto"/>
                <w:szCs w:val="21"/>
                <w:highlight w:val="none"/>
              </w:rPr>
            </w:pPr>
            <w:r>
              <w:rPr>
                <w:rFonts w:hint="eastAsia" w:ascii="宋体" w:hAnsi="宋体" w:eastAsia="宋体" w:cs="宋体"/>
                <w:color w:val="auto"/>
                <w:szCs w:val="21"/>
                <w:highlight w:val="none"/>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2596"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szCs w:val="21"/>
                <w:highlight w:val="none"/>
              </w:rPr>
            </w:pPr>
            <w:r>
              <w:rPr>
                <w:rFonts w:hint="eastAsia"/>
                <w:szCs w:val="21"/>
                <w:highlight w:val="none"/>
              </w:rPr>
              <w:t>供应商必须符合法律、行政法规规定的其他条件</w:t>
            </w:r>
          </w:p>
        </w:tc>
        <w:tc>
          <w:tcPr>
            <w:tcW w:w="6454"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spacing w:val="-3"/>
                <w:szCs w:val="21"/>
                <w:highlight w:val="none"/>
              </w:rPr>
            </w:pPr>
            <w:r>
              <w:rPr>
                <w:rFonts w:hint="eastAsia"/>
                <w:szCs w:val="21"/>
                <w:highlight w:val="none"/>
              </w:rPr>
              <w:t>1.单位负责人为同一人或者存在直接控股、管理关系的不同供应商，不得参加同一合同项下的政府采购活动</w:t>
            </w:r>
            <w:r>
              <w:rPr>
                <w:rFonts w:hint="eastAsia"/>
                <w:spacing w:val="-3"/>
                <w:szCs w:val="21"/>
                <w:highlight w:val="none"/>
              </w:rPr>
              <w:t>。</w:t>
            </w:r>
          </w:p>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szCs w:val="21"/>
                <w:highlight w:val="none"/>
              </w:rPr>
            </w:pPr>
            <w:r>
              <w:rPr>
                <w:rFonts w:hint="eastAsia"/>
                <w:spacing w:val="-3"/>
                <w:szCs w:val="21"/>
                <w:highlight w:val="none"/>
              </w:rPr>
              <w:t>2.为本项目提供整体设计、规范编制或者项目管理、监理、检测等服务的供应商</w:t>
            </w:r>
            <w:r>
              <w:rPr>
                <w:rFonts w:hint="eastAsia"/>
                <w:spacing w:val="1"/>
                <w:szCs w:val="21"/>
                <w:highlight w:val="none"/>
              </w:rPr>
              <w:t>，不得再参与本项目磋商。</w:t>
            </w:r>
          </w:p>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szCs w:val="21"/>
                <w:highlight w:val="none"/>
              </w:rPr>
            </w:pPr>
            <w:r>
              <w:rPr>
                <w:rFonts w:hint="eastAsia"/>
                <w:spacing w:val="1"/>
                <w:szCs w:val="21"/>
                <w:highlight w:val="none"/>
              </w:rPr>
              <w:t>3.</w:t>
            </w:r>
            <w:r>
              <w:rPr>
                <w:rFonts w:hint="eastAsia"/>
                <w:szCs w:val="21"/>
                <w:highlight w:val="none"/>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2596"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spacing w:val="-3"/>
                <w:szCs w:val="21"/>
                <w:highlight w:val="none"/>
              </w:rPr>
            </w:pPr>
            <w:r>
              <w:rPr>
                <w:rFonts w:hint="eastAsia"/>
                <w:spacing w:val="-3"/>
                <w:szCs w:val="21"/>
                <w:highlight w:val="none"/>
              </w:rPr>
              <w:t>联合体参与磋商</w:t>
            </w:r>
          </w:p>
        </w:tc>
        <w:tc>
          <w:tcPr>
            <w:tcW w:w="6454"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spacing w:val="-3"/>
                <w:szCs w:val="21"/>
                <w:highlight w:val="none"/>
              </w:rPr>
            </w:pPr>
            <w:r>
              <w:rPr>
                <w:rFonts w:hint="eastAsia"/>
                <w:spacing w:val="-3"/>
                <w:szCs w:val="21"/>
                <w:highlight w:val="none"/>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596"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eastAsia"/>
                <w:spacing w:val="-3"/>
                <w:szCs w:val="21"/>
                <w:highlight w:val="none"/>
                <w:lang w:eastAsia="zh-CN"/>
              </w:rPr>
            </w:pPr>
            <w:r>
              <w:rPr>
                <w:rFonts w:hint="eastAsia"/>
                <w:spacing w:val="-3"/>
                <w:szCs w:val="21"/>
                <w:highlight w:val="none"/>
                <w:lang w:eastAsia="zh-CN"/>
              </w:rPr>
              <w:t>特定</w:t>
            </w:r>
            <w:r>
              <w:rPr>
                <w:rFonts w:hint="eastAsia"/>
                <w:spacing w:val="-3"/>
                <w:szCs w:val="21"/>
                <w:highlight w:val="none"/>
              </w:rPr>
              <w:t>资格</w:t>
            </w:r>
            <w:r>
              <w:rPr>
                <w:rFonts w:hint="eastAsia"/>
                <w:spacing w:val="-3"/>
                <w:szCs w:val="21"/>
                <w:highlight w:val="none"/>
                <w:lang w:eastAsia="zh-CN"/>
              </w:rPr>
              <w:t>要求</w:t>
            </w:r>
          </w:p>
        </w:tc>
        <w:tc>
          <w:tcPr>
            <w:tcW w:w="6454" w:type="dxa"/>
            <w:shd w:val="clear" w:color="auto" w:fill="auto"/>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eastAsia"/>
                <w:spacing w:val="-3"/>
                <w:szCs w:val="21"/>
                <w:highlight w:val="none"/>
              </w:rPr>
            </w:pPr>
            <w:r>
              <w:rPr>
                <w:rFonts w:hint="eastAsia"/>
                <w:spacing w:val="-3"/>
                <w:szCs w:val="21"/>
                <w:highlight w:val="none"/>
              </w:rPr>
              <w:t>以招标公告要求提供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596"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highlight w:val="none"/>
              </w:rPr>
            </w:pPr>
            <w:r>
              <w:rPr>
                <w:rFonts w:hint="eastAsia"/>
                <w:highlight w:val="none"/>
              </w:rPr>
              <w:t>落实政府采购政策需满足的资格要求</w:t>
            </w:r>
          </w:p>
        </w:tc>
        <w:tc>
          <w:tcPr>
            <w:tcW w:w="6454" w:type="dxa"/>
            <w:tcMar>
              <w:top w:w="57" w:type="dxa"/>
              <w:left w:w="108" w:type="dxa"/>
              <w:bottom w:w="0" w:type="dxa"/>
              <w:right w:w="108" w:type="dxa"/>
            </w:tcMar>
            <w:vAlign w:val="center"/>
          </w:tcPr>
          <w:p>
            <w:pPr>
              <w:pStyle w:val="98"/>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highlight w:val="none"/>
              </w:rPr>
            </w:pPr>
            <w:r>
              <w:rPr>
                <w:rFonts w:hint="eastAsia"/>
                <w:highlight w:val="none"/>
              </w:rPr>
              <w:t>本项目为专门面对中小企业项目。提供中小企业声明函。</w:t>
            </w:r>
          </w:p>
        </w:tc>
      </w:tr>
    </w:tbl>
    <w:p>
      <w:pPr>
        <w:pStyle w:val="17"/>
        <w:spacing w:line="360" w:lineRule="auto"/>
        <w:ind w:firstLine="420" w:firstLineChars="200"/>
        <w:jc w:val="both"/>
        <w:rPr>
          <w:rFonts w:ascii="宋体" w:hAnsi="宋体"/>
          <w:szCs w:val="21"/>
          <w:highlight w:val="none"/>
        </w:rPr>
      </w:pPr>
    </w:p>
    <w:p>
      <w:pPr>
        <w:pStyle w:val="17"/>
        <w:spacing w:line="360" w:lineRule="auto"/>
        <w:ind w:firstLine="420" w:firstLineChars="200"/>
        <w:jc w:val="both"/>
        <w:rPr>
          <w:rFonts w:ascii="宋体" w:hAnsi="宋体"/>
          <w:szCs w:val="21"/>
          <w:highlight w:val="none"/>
        </w:rPr>
      </w:pPr>
      <w:r>
        <w:rPr>
          <w:rFonts w:hint="eastAsia" w:ascii="宋体" w:hAnsi="宋体"/>
          <w:szCs w:val="21"/>
          <w:highlight w:val="none"/>
        </w:rPr>
        <w:t>（二）</w:t>
      </w:r>
      <w:r>
        <w:rPr>
          <w:rFonts w:ascii="宋体" w:hAnsi="宋体"/>
          <w:szCs w:val="21"/>
          <w:highlight w:val="none"/>
        </w:rPr>
        <w:t>符合性审查</w:t>
      </w:r>
    </w:p>
    <w:p>
      <w:pPr>
        <w:pStyle w:val="17"/>
        <w:spacing w:line="360" w:lineRule="auto"/>
        <w:ind w:firstLine="420" w:firstLineChars="200"/>
        <w:rPr>
          <w:rFonts w:ascii="宋体" w:hAnsi="宋体"/>
          <w:szCs w:val="21"/>
          <w:highlight w:val="none"/>
        </w:rPr>
      </w:pPr>
      <w:r>
        <w:rPr>
          <w:rFonts w:hint="eastAsia" w:ascii="宋体" w:hAnsi="宋体" w:cstheme="minorBidi"/>
          <w:szCs w:val="21"/>
          <w:highlight w:val="none"/>
        </w:rPr>
        <w:t>磋商小组</w:t>
      </w:r>
      <w:r>
        <w:rPr>
          <w:rFonts w:ascii="宋体" w:hAnsi="宋体"/>
          <w:szCs w:val="21"/>
          <w:highlight w:val="none"/>
        </w:rPr>
        <w:t>应当对符合资格的</w:t>
      </w:r>
      <w:r>
        <w:rPr>
          <w:rFonts w:hint="eastAsia" w:ascii="宋体" w:hAnsi="宋体"/>
          <w:szCs w:val="21"/>
          <w:highlight w:val="none"/>
        </w:rPr>
        <w:t>供应商</w:t>
      </w:r>
      <w:r>
        <w:rPr>
          <w:rFonts w:ascii="宋体" w:hAnsi="宋体"/>
          <w:szCs w:val="21"/>
          <w:highlight w:val="none"/>
        </w:rPr>
        <w:t>的</w:t>
      </w:r>
      <w:r>
        <w:rPr>
          <w:rFonts w:hint="eastAsia" w:ascii="宋体" w:hAnsi="宋体"/>
          <w:szCs w:val="21"/>
          <w:highlight w:val="none"/>
        </w:rPr>
        <w:t>响应文件</w:t>
      </w:r>
      <w:r>
        <w:rPr>
          <w:rFonts w:ascii="宋体" w:hAnsi="宋体"/>
          <w:szCs w:val="21"/>
          <w:highlight w:val="none"/>
        </w:rPr>
        <w:t>进行符合性审查，以确定其是否满足</w:t>
      </w:r>
      <w:r>
        <w:rPr>
          <w:rFonts w:hint="eastAsia" w:ascii="宋体" w:hAnsi="宋体"/>
          <w:szCs w:val="21"/>
          <w:highlight w:val="none"/>
        </w:rPr>
        <w:t>磋商文件</w:t>
      </w:r>
      <w:r>
        <w:rPr>
          <w:rFonts w:ascii="宋体" w:hAnsi="宋体"/>
          <w:szCs w:val="21"/>
          <w:highlight w:val="none"/>
        </w:rPr>
        <w:t>的实质性要求，对审查发现无效</w:t>
      </w:r>
      <w:r>
        <w:rPr>
          <w:rFonts w:hint="eastAsia" w:ascii="宋体" w:hAnsi="宋体"/>
          <w:szCs w:val="21"/>
          <w:highlight w:val="none"/>
          <w:lang w:eastAsia="zh-CN"/>
        </w:rPr>
        <w:t>地进行必要的</w:t>
      </w:r>
      <w:r>
        <w:rPr>
          <w:rFonts w:ascii="宋体" w:hAnsi="宋体"/>
          <w:szCs w:val="21"/>
          <w:highlight w:val="none"/>
        </w:rPr>
        <w:t>询</w:t>
      </w:r>
      <w:r>
        <w:rPr>
          <w:rFonts w:hint="eastAsia" w:ascii="宋体" w:hAnsi="宋体"/>
          <w:szCs w:val="21"/>
          <w:highlight w:val="none"/>
        </w:rPr>
        <w:t>问</w:t>
      </w:r>
      <w:r>
        <w:rPr>
          <w:rFonts w:ascii="宋体" w:hAnsi="宋体"/>
          <w:szCs w:val="21"/>
          <w:highlight w:val="none"/>
        </w:rPr>
        <w:t>，</w:t>
      </w:r>
      <w:r>
        <w:rPr>
          <w:rFonts w:hint="eastAsia" w:ascii="宋体" w:hAnsi="宋体"/>
          <w:szCs w:val="21"/>
          <w:highlight w:val="none"/>
        </w:rPr>
        <w:t>对</w:t>
      </w:r>
      <w:r>
        <w:rPr>
          <w:rFonts w:ascii="宋体" w:hAnsi="宋体"/>
          <w:szCs w:val="21"/>
          <w:highlight w:val="none"/>
        </w:rPr>
        <w:t>无效</w:t>
      </w:r>
      <w:r>
        <w:rPr>
          <w:rFonts w:hint="eastAsia" w:ascii="宋体" w:hAnsi="宋体"/>
          <w:szCs w:val="21"/>
          <w:highlight w:val="none"/>
        </w:rPr>
        <w:t>响应</w:t>
      </w:r>
      <w:r>
        <w:rPr>
          <w:rFonts w:ascii="宋体" w:hAnsi="宋体"/>
          <w:szCs w:val="21"/>
          <w:highlight w:val="none"/>
        </w:rPr>
        <w:t>的</w:t>
      </w:r>
      <w:r>
        <w:rPr>
          <w:rFonts w:hint="eastAsia" w:ascii="宋体" w:hAnsi="宋体"/>
          <w:szCs w:val="21"/>
          <w:highlight w:val="none"/>
        </w:rPr>
        <w:t>供应商</w:t>
      </w:r>
      <w:r>
        <w:rPr>
          <w:rFonts w:ascii="宋体" w:hAnsi="宋体"/>
          <w:szCs w:val="21"/>
          <w:highlight w:val="none"/>
        </w:rPr>
        <w:t>名单</w:t>
      </w:r>
      <w:r>
        <w:rPr>
          <w:rFonts w:hint="eastAsia" w:ascii="宋体" w:hAnsi="宋体"/>
          <w:szCs w:val="21"/>
          <w:highlight w:val="none"/>
        </w:rPr>
        <w:t>及响应</w:t>
      </w:r>
      <w:r>
        <w:rPr>
          <w:rFonts w:ascii="宋体" w:hAnsi="宋体"/>
          <w:szCs w:val="21"/>
          <w:highlight w:val="none"/>
        </w:rPr>
        <w:t>无效原因</w:t>
      </w:r>
      <w:r>
        <w:rPr>
          <w:rFonts w:hint="eastAsia" w:ascii="宋体" w:hAnsi="宋体"/>
          <w:szCs w:val="21"/>
          <w:highlight w:val="none"/>
        </w:rPr>
        <w:t>的公布方式同上。</w:t>
      </w:r>
    </w:p>
    <w:tbl>
      <w:tblPr>
        <w:tblStyle w:val="41"/>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pPr>
              <w:pStyle w:val="98"/>
              <w:ind w:right="146"/>
              <w:jc w:val="center"/>
              <w:rPr>
                <w:szCs w:val="21"/>
                <w:highlight w:val="none"/>
              </w:rPr>
            </w:pPr>
            <w:r>
              <w:rPr>
                <w:rFonts w:hint="eastAsia"/>
                <w:szCs w:val="21"/>
                <w:highlight w:val="none"/>
              </w:rPr>
              <w:t>响应文件</w:t>
            </w:r>
          </w:p>
        </w:tc>
        <w:tc>
          <w:tcPr>
            <w:tcW w:w="7340" w:type="dxa"/>
            <w:tcMar>
              <w:top w:w="57" w:type="dxa"/>
              <w:left w:w="108" w:type="dxa"/>
              <w:bottom w:w="0" w:type="dxa"/>
              <w:right w:w="108" w:type="dxa"/>
            </w:tcMar>
            <w:vAlign w:val="center"/>
          </w:tcPr>
          <w:p>
            <w:pPr>
              <w:pStyle w:val="98"/>
              <w:rPr>
                <w:szCs w:val="21"/>
                <w:highlight w:val="none"/>
              </w:rPr>
            </w:pPr>
            <w:r>
              <w:rPr>
                <w:rFonts w:hint="eastAsia"/>
                <w:szCs w:val="21"/>
                <w:highlight w:val="none"/>
              </w:rPr>
              <w:t>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pPr>
              <w:pStyle w:val="98"/>
              <w:ind w:right="146"/>
              <w:jc w:val="center"/>
              <w:rPr>
                <w:szCs w:val="21"/>
                <w:highlight w:val="none"/>
              </w:rPr>
            </w:pPr>
            <w:r>
              <w:rPr>
                <w:rFonts w:hint="eastAsia"/>
                <w:szCs w:val="21"/>
                <w:highlight w:val="none"/>
              </w:rPr>
              <w:t>法定代表人/负责人授权委托书</w:t>
            </w:r>
          </w:p>
        </w:tc>
        <w:tc>
          <w:tcPr>
            <w:tcW w:w="7340" w:type="dxa"/>
            <w:shd w:val="clear" w:color="auto" w:fill="F6F6F6"/>
            <w:tcMar>
              <w:top w:w="57" w:type="dxa"/>
              <w:left w:w="108" w:type="dxa"/>
              <w:bottom w:w="0" w:type="dxa"/>
              <w:right w:w="108" w:type="dxa"/>
            </w:tcMar>
            <w:vAlign w:val="center"/>
          </w:tcPr>
          <w:p>
            <w:pPr>
              <w:pStyle w:val="98"/>
              <w:rPr>
                <w:szCs w:val="21"/>
                <w:highlight w:val="none"/>
              </w:rPr>
            </w:pPr>
            <w:r>
              <w:rPr>
                <w:rFonts w:hint="eastAsia"/>
                <w:szCs w:val="21"/>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pPr>
              <w:pStyle w:val="98"/>
              <w:ind w:right="146"/>
              <w:jc w:val="center"/>
              <w:rPr>
                <w:szCs w:val="21"/>
                <w:highlight w:val="none"/>
              </w:rPr>
            </w:pPr>
            <w:r>
              <w:rPr>
                <w:rFonts w:hint="eastAsia"/>
                <w:szCs w:val="21"/>
                <w:highlight w:val="none"/>
              </w:rPr>
              <w:t>“▲”实质性条款</w:t>
            </w:r>
          </w:p>
        </w:tc>
        <w:tc>
          <w:tcPr>
            <w:tcW w:w="7340" w:type="dxa"/>
            <w:tcMar>
              <w:top w:w="57" w:type="dxa"/>
              <w:left w:w="108" w:type="dxa"/>
              <w:bottom w:w="0" w:type="dxa"/>
              <w:right w:w="108" w:type="dxa"/>
            </w:tcMar>
            <w:vAlign w:val="center"/>
          </w:tcPr>
          <w:p>
            <w:pPr>
              <w:pStyle w:val="98"/>
              <w:rPr>
                <w:szCs w:val="21"/>
                <w:highlight w:val="none"/>
              </w:rPr>
            </w:pPr>
            <w:r>
              <w:rPr>
                <w:rFonts w:hint="eastAsia"/>
                <w:szCs w:val="21"/>
                <w:highlight w:val="none"/>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pPr>
              <w:pStyle w:val="98"/>
              <w:ind w:right="146"/>
              <w:jc w:val="center"/>
              <w:rPr>
                <w:szCs w:val="21"/>
                <w:highlight w:val="none"/>
              </w:rPr>
            </w:pPr>
            <w:r>
              <w:rPr>
                <w:rFonts w:hint="eastAsia"/>
                <w:szCs w:val="21"/>
                <w:highlight w:val="none"/>
              </w:rPr>
              <w:t>附加条件</w:t>
            </w:r>
          </w:p>
        </w:tc>
        <w:tc>
          <w:tcPr>
            <w:tcW w:w="7340" w:type="dxa"/>
            <w:tcMar>
              <w:top w:w="57" w:type="dxa"/>
              <w:left w:w="108" w:type="dxa"/>
              <w:bottom w:w="0" w:type="dxa"/>
              <w:right w:w="108" w:type="dxa"/>
            </w:tcMar>
            <w:vAlign w:val="center"/>
          </w:tcPr>
          <w:p>
            <w:pPr>
              <w:pStyle w:val="98"/>
              <w:rPr>
                <w:szCs w:val="21"/>
                <w:highlight w:val="none"/>
              </w:rPr>
            </w:pPr>
            <w:r>
              <w:rPr>
                <w:rFonts w:hint="eastAsia"/>
                <w:szCs w:val="21"/>
                <w:highlight w:val="none"/>
              </w:rPr>
              <w:t>响应文件未含有采购人不可接受的附加条件。</w:t>
            </w:r>
          </w:p>
        </w:tc>
      </w:tr>
    </w:tbl>
    <w:p>
      <w:pPr>
        <w:autoSpaceDE w:val="0"/>
        <w:autoSpaceDN w:val="0"/>
        <w:spacing w:line="360" w:lineRule="auto"/>
        <w:ind w:firstLine="422" w:firstLineChars="200"/>
        <w:rPr>
          <w:rFonts w:ascii="宋体" w:hAnsi="宋体"/>
          <w:b/>
          <w:bCs/>
          <w:kern w:val="0"/>
          <w:szCs w:val="21"/>
          <w:highlight w:val="none"/>
        </w:rPr>
      </w:pPr>
      <w:r>
        <w:rPr>
          <w:rFonts w:hint="eastAsia" w:ascii="宋体" w:hAnsi="宋体"/>
          <w:b/>
          <w:bCs/>
          <w:kern w:val="0"/>
          <w:szCs w:val="21"/>
          <w:highlight w:val="none"/>
        </w:rPr>
        <w:t>（三）</w:t>
      </w:r>
      <w:r>
        <w:rPr>
          <w:rFonts w:hint="eastAsia" w:ascii="宋体" w:hAnsi="宋体"/>
          <w:b/>
          <w:bCs/>
          <w:szCs w:val="21"/>
          <w:highlight w:val="none"/>
        </w:rPr>
        <w:t>商务技术及价格评审</w:t>
      </w:r>
    </w:p>
    <w:p>
      <w:pPr>
        <w:autoSpaceDE w:val="0"/>
        <w:autoSpaceDN w:val="0"/>
        <w:spacing w:line="360" w:lineRule="auto"/>
        <w:ind w:firstLine="420" w:firstLineChars="200"/>
        <w:rPr>
          <w:rFonts w:ascii="宋体" w:hAnsi="宋体"/>
          <w:kern w:val="0"/>
          <w:szCs w:val="21"/>
          <w:highlight w:val="none"/>
        </w:rPr>
      </w:pPr>
      <w:r>
        <w:rPr>
          <w:rFonts w:hint="eastAsia" w:ascii="宋体" w:hAnsi="宋体"/>
          <w:kern w:val="0"/>
          <w:szCs w:val="21"/>
          <w:highlight w:val="none"/>
        </w:rPr>
        <w:t>项项目评审方法为综合评分法，总</w:t>
      </w:r>
      <w:r>
        <w:rPr>
          <w:rFonts w:hint="eastAsia" w:ascii="宋体" w:hAnsi="宋体"/>
          <w:color w:val="auto"/>
          <w:kern w:val="0"/>
          <w:szCs w:val="21"/>
          <w:highlight w:val="none"/>
        </w:rPr>
        <w:t>计100分，</w:t>
      </w:r>
      <w:r>
        <w:rPr>
          <w:rFonts w:hint="eastAsia" w:ascii="宋体" w:hAnsi="宋体"/>
          <w:b/>
          <w:bCs/>
          <w:color w:val="auto"/>
          <w:kern w:val="0"/>
          <w:szCs w:val="21"/>
          <w:highlight w:val="none"/>
        </w:rPr>
        <w:t>磋商报价分</w:t>
      </w:r>
      <w:r>
        <w:rPr>
          <w:rFonts w:hint="eastAsia" w:ascii="宋体" w:hAnsi="宋体"/>
          <w:b/>
          <w:bCs/>
          <w:color w:val="auto"/>
          <w:kern w:val="0"/>
          <w:szCs w:val="21"/>
          <w:highlight w:val="none"/>
          <w:lang w:val="en-US" w:eastAsia="zh-CN"/>
        </w:rPr>
        <w:t>30</w:t>
      </w:r>
      <w:r>
        <w:rPr>
          <w:rFonts w:hint="eastAsia" w:ascii="宋体" w:hAnsi="宋体"/>
          <w:b/>
          <w:bCs/>
          <w:color w:val="auto"/>
          <w:kern w:val="0"/>
          <w:szCs w:val="21"/>
          <w:highlight w:val="none"/>
        </w:rPr>
        <w:t>分、磋商技术分</w:t>
      </w:r>
      <w:r>
        <w:rPr>
          <w:rFonts w:hint="eastAsia" w:ascii="宋体" w:hAnsi="宋体"/>
          <w:b/>
          <w:bCs/>
          <w:color w:val="auto"/>
          <w:kern w:val="0"/>
          <w:szCs w:val="21"/>
          <w:highlight w:val="none"/>
          <w:lang w:val="en-US" w:eastAsia="zh-CN"/>
        </w:rPr>
        <w:t>70</w:t>
      </w:r>
      <w:r>
        <w:rPr>
          <w:rFonts w:hint="eastAsia" w:ascii="宋体" w:hAnsi="宋体"/>
          <w:b/>
          <w:bCs/>
          <w:color w:val="auto"/>
          <w:kern w:val="0"/>
          <w:szCs w:val="21"/>
          <w:highlight w:val="none"/>
        </w:rPr>
        <w:t>分</w:t>
      </w:r>
      <w:r>
        <w:rPr>
          <w:rFonts w:hint="eastAsia" w:ascii="宋体" w:hAnsi="宋体"/>
          <w:color w:val="auto"/>
          <w:kern w:val="0"/>
          <w:szCs w:val="21"/>
          <w:highlight w:val="none"/>
        </w:rPr>
        <w:t>，评</w:t>
      </w:r>
      <w:r>
        <w:rPr>
          <w:rFonts w:hint="eastAsia" w:ascii="宋体" w:hAnsi="宋体"/>
          <w:color w:val="auto"/>
          <w:szCs w:val="21"/>
          <w:highlight w:val="none"/>
        </w:rPr>
        <w:t>审</w:t>
      </w:r>
      <w:r>
        <w:rPr>
          <w:rFonts w:hint="eastAsia" w:ascii="宋体" w:hAnsi="宋体"/>
          <w:color w:val="auto"/>
          <w:kern w:val="0"/>
          <w:szCs w:val="21"/>
          <w:highlight w:val="none"/>
        </w:rPr>
        <w:t>按以</w:t>
      </w:r>
      <w:r>
        <w:rPr>
          <w:rFonts w:hint="eastAsia" w:ascii="宋体" w:hAnsi="宋体"/>
          <w:color w:val="auto"/>
          <w:kern w:val="0"/>
          <w:szCs w:val="21"/>
          <w:highlight w:val="none"/>
        </w:rPr>
        <w:t>下标</w:t>
      </w:r>
      <w:r>
        <w:rPr>
          <w:rFonts w:hint="eastAsia" w:ascii="宋体" w:hAnsi="宋体"/>
          <w:kern w:val="0"/>
          <w:szCs w:val="21"/>
          <w:highlight w:val="none"/>
        </w:rPr>
        <w:t>准及要求进行：</w:t>
      </w:r>
    </w:p>
    <w:p>
      <w:pPr>
        <w:numPr>
          <w:ilvl w:val="0"/>
          <w:numId w:val="9"/>
        </w:numPr>
        <w:autoSpaceDE w:val="0"/>
        <w:autoSpaceDN w:val="0"/>
        <w:adjustRightInd w:val="0"/>
        <w:ind w:right="85" w:firstLine="422" w:firstLineChars="200"/>
        <w:rPr>
          <w:rFonts w:hint="eastAsia" w:ascii="宋体" w:hAnsi="宋体"/>
          <w:szCs w:val="21"/>
          <w:highlight w:val="none"/>
        </w:rPr>
      </w:pPr>
      <w:r>
        <w:rPr>
          <w:rFonts w:hint="eastAsia" w:ascii="宋体" w:hAnsi="宋体"/>
          <w:b/>
          <w:bCs/>
          <w:szCs w:val="21"/>
          <w:highlight w:val="none"/>
        </w:rPr>
        <w:t>评分标准</w:t>
      </w:r>
    </w:p>
    <w:tbl>
      <w:tblPr>
        <w:tblStyle w:val="41"/>
        <w:tblpPr w:leftFromText="180" w:rightFromText="180" w:vertAnchor="text" w:horzAnchor="page" w:tblpX="1194" w:tblpY="360"/>
        <w:tblOverlap w:val="never"/>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481"/>
        <w:gridCol w:w="6683"/>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lang w:bidi="ar"/>
              </w:rPr>
              <w:t>序号</w:t>
            </w:r>
          </w:p>
        </w:tc>
        <w:tc>
          <w:tcPr>
            <w:tcW w:w="7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lang w:bidi="ar"/>
              </w:rPr>
              <w:t>评审内容</w:t>
            </w:r>
          </w:p>
        </w:tc>
        <w:tc>
          <w:tcPr>
            <w:tcW w:w="34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lang w:bidi="ar"/>
              </w:rPr>
              <w:t>评分细则</w:t>
            </w:r>
          </w:p>
        </w:tc>
        <w:tc>
          <w:tcPr>
            <w:tcW w:w="4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lang w:bidi="ar"/>
              </w:rPr>
            </w:pPr>
            <w:r>
              <w:rPr>
                <w:rFonts w:hint="eastAsia" w:ascii="宋体" w:hAnsi="宋体" w:cs="宋体"/>
                <w:bCs/>
                <w:color w:val="auto"/>
                <w:szCs w:val="21"/>
                <w:highlight w:val="none"/>
                <w:lang w:bidi="ar"/>
              </w:rPr>
              <w:t>1</w:t>
            </w:r>
          </w:p>
        </w:tc>
        <w:tc>
          <w:tcPr>
            <w:tcW w:w="7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bidi="ar"/>
              </w:rPr>
              <w:t>企业类似业绩</w:t>
            </w: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投标人自20</w:t>
            </w:r>
            <w:r>
              <w:rPr>
                <w:rFonts w:hint="eastAsia" w:cs="宋体"/>
                <w:color w:val="auto"/>
                <w:sz w:val="21"/>
                <w:szCs w:val="21"/>
                <w:highlight w:val="none"/>
                <w:lang w:val="en-US" w:eastAsia="zh-CN"/>
              </w:rPr>
              <w:t>20</w:t>
            </w:r>
            <w:r>
              <w:rPr>
                <w:rFonts w:cs="宋体"/>
                <w:color w:val="auto"/>
                <w:sz w:val="21"/>
                <w:szCs w:val="21"/>
                <w:highlight w:val="none"/>
              </w:rPr>
              <w:t>年1月1日（含）以来（以合同签订时间为准）具有类似</w:t>
            </w:r>
            <w:r>
              <w:rPr>
                <w:rFonts w:hint="eastAsia" w:cs="宋体"/>
                <w:color w:val="auto"/>
                <w:sz w:val="21"/>
                <w:szCs w:val="21"/>
                <w:highlight w:val="none"/>
                <w:lang w:eastAsia="zh-CN"/>
              </w:rPr>
              <w:t>水利</w:t>
            </w:r>
            <w:r>
              <w:rPr>
                <w:rFonts w:cs="宋体"/>
                <w:color w:val="auto"/>
                <w:sz w:val="21"/>
                <w:szCs w:val="21"/>
                <w:highlight w:val="none"/>
              </w:rPr>
              <w:t>项目业绩的每个得</w:t>
            </w:r>
            <w:r>
              <w:rPr>
                <w:rFonts w:hint="default" w:cs="宋体"/>
                <w:color w:val="auto"/>
                <w:sz w:val="21"/>
                <w:szCs w:val="21"/>
                <w:highlight w:val="none"/>
              </w:rPr>
              <w:t>0.5</w:t>
            </w:r>
            <w:r>
              <w:rPr>
                <w:rFonts w:cs="宋体"/>
                <w:color w:val="auto"/>
                <w:sz w:val="21"/>
                <w:szCs w:val="21"/>
                <w:highlight w:val="none"/>
              </w:rPr>
              <w:t>分，最多得</w:t>
            </w:r>
            <w:r>
              <w:rPr>
                <w:rFonts w:hint="eastAsia" w:cs="宋体"/>
                <w:color w:val="auto"/>
                <w:sz w:val="21"/>
                <w:szCs w:val="21"/>
                <w:highlight w:val="none"/>
                <w:lang w:val="en-US" w:eastAsia="zh-CN"/>
              </w:rPr>
              <w:t>2</w:t>
            </w:r>
            <w:r>
              <w:rPr>
                <w:rFonts w:cs="宋体"/>
                <w:color w:val="auto"/>
                <w:sz w:val="21"/>
                <w:szCs w:val="21"/>
                <w:highlight w:val="none"/>
              </w:rPr>
              <w:t>分。</w:t>
            </w:r>
          </w:p>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b/>
                <w:color w:val="auto"/>
                <w:kern w:val="2"/>
                <w:sz w:val="21"/>
                <w:szCs w:val="21"/>
                <w:highlight w:val="none"/>
                <w:lang w:bidi="ar"/>
              </w:rPr>
            </w:pPr>
            <w:r>
              <w:rPr>
                <w:rFonts w:cs="宋体"/>
                <w:b/>
                <w:bCs/>
                <w:color w:val="auto"/>
                <w:sz w:val="21"/>
                <w:szCs w:val="21"/>
                <w:highlight w:val="none"/>
              </w:rPr>
              <w:t>（提供</w:t>
            </w:r>
            <w:r>
              <w:rPr>
                <w:rFonts w:hint="eastAsia" w:cs="宋体"/>
                <w:b/>
                <w:bCs/>
                <w:color w:val="auto"/>
                <w:sz w:val="21"/>
                <w:szCs w:val="21"/>
                <w:highlight w:val="none"/>
                <w:lang w:eastAsia="zh-CN"/>
              </w:rPr>
              <w:t>施工</w:t>
            </w:r>
            <w:r>
              <w:rPr>
                <w:rFonts w:cs="宋体"/>
                <w:b/>
                <w:bCs/>
                <w:color w:val="auto"/>
                <w:sz w:val="21"/>
                <w:szCs w:val="21"/>
                <w:highlight w:val="none"/>
              </w:rPr>
              <w:t>合同</w:t>
            </w:r>
            <w:r>
              <w:rPr>
                <w:rFonts w:hint="default" w:cs="宋体"/>
                <w:b/>
                <w:bCs/>
                <w:color w:val="auto"/>
                <w:sz w:val="21"/>
                <w:szCs w:val="21"/>
                <w:highlight w:val="none"/>
              </w:rPr>
              <w:t>、</w:t>
            </w:r>
            <w:r>
              <w:rPr>
                <w:rFonts w:hint="eastAsia" w:cs="宋体"/>
                <w:b/>
                <w:bCs/>
                <w:color w:val="auto"/>
                <w:sz w:val="21"/>
                <w:szCs w:val="21"/>
                <w:highlight w:val="none"/>
                <w:lang w:eastAsia="zh-CN"/>
              </w:rPr>
              <w:t>完</w:t>
            </w:r>
            <w:r>
              <w:rPr>
                <w:rFonts w:hint="default" w:cs="宋体"/>
                <w:b/>
                <w:bCs/>
                <w:color w:val="auto"/>
                <w:sz w:val="21"/>
                <w:szCs w:val="21"/>
                <w:highlight w:val="none"/>
              </w:rPr>
              <w:t>工验收证明资料</w:t>
            </w:r>
            <w:r>
              <w:rPr>
                <w:rFonts w:cs="宋体"/>
                <w:b/>
                <w:bCs/>
                <w:color w:val="auto"/>
                <w:sz w:val="21"/>
                <w:szCs w:val="21"/>
                <w:highlight w:val="none"/>
              </w:rPr>
              <w:t>扫描件并加盖电子公章</w:t>
            </w:r>
            <w:r>
              <w:rPr>
                <w:rFonts w:cs="宋体"/>
                <w:b/>
                <w:bCs/>
                <w:color w:val="auto"/>
                <w:sz w:val="21"/>
                <w:szCs w:val="21"/>
                <w:highlight w:val="none"/>
                <w:lang w:val="zh-CN"/>
              </w:rPr>
              <w:t>，</w:t>
            </w:r>
            <w:r>
              <w:rPr>
                <w:rFonts w:cs="宋体"/>
                <w:b/>
                <w:bCs/>
                <w:color w:val="auto"/>
                <w:sz w:val="21"/>
                <w:szCs w:val="21"/>
                <w:highlight w:val="none"/>
              </w:rPr>
              <w:t>否则</w:t>
            </w:r>
            <w:r>
              <w:rPr>
                <w:rFonts w:cs="宋体"/>
                <w:b/>
                <w:bCs/>
                <w:color w:val="auto"/>
                <w:sz w:val="21"/>
                <w:szCs w:val="21"/>
                <w:highlight w:val="none"/>
                <w:lang w:val="zh-CN"/>
              </w:rPr>
              <w:t>不得分</w:t>
            </w:r>
            <w:r>
              <w:rPr>
                <w:rFonts w:hint="default" w:cs="宋体"/>
                <w:b/>
                <w:bCs/>
                <w:color w:val="auto"/>
                <w:sz w:val="21"/>
                <w:szCs w:val="21"/>
                <w:highlight w:val="none"/>
              </w:rPr>
              <w:t>，未按要求提供的不得分</w:t>
            </w:r>
            <w:r>
              <w:rPr>
                <w:rFonts w:cs="宋体"/>
                <w:b/>
                <w:bCs/>
                <w:color w:val="auto"/>
                <w:sz w:val="21"/>
                <w:szCs w:val="21"/>
                <w:highlight w:val="none"/>
              </w:rPr>
              <w:t>）</w:t>
            </w:r>
          </w:p>
        </w:tc>
        <w:tc>
          <w:tcPr>
            <w:tcW w:w="4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7"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lang w:bidi="ar"/>
              </w:rPr>
            </w:pPr>
            <w:r>
              <w:rPr>
                <w:rFonts w:ascii="宋体" w:hAnsi="宋体" w:cs="宋体"/>
                <w:bCs/>
                <w:color w:val="auto"/>
                <w:szCs w:val="21"/>
                <w:highlight w:val="none"/>
                <w:lang w:bidi="ar"/>
              </w:rPr>
              <w:t>2</w:t>
            </w:r>
          </w:p>
        </w:tc>
        <w:tc>
          <w:tcPr>
            <w:tcW w:w="761" w:type="pct"/>
            <w:vMerge w:val="restart"/>
            <w:tcBorders>
              <w:left w:val="single" w:color="auto" w:sz="4" w:space="0"/>
              <w:right w:val="single" w:color="auto" w:sz="4" w:space="0"/>
            </w:tcBorders>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highlight w:val="none"/>
              </w:rPr>
            </w:pPr>
            <w:r>
              <w:rPr>
                <w:color w:val="auto"/>
                <w:sz w:val="21"/>
                <w:szCs w:val="21"/>
                <w:highlight w:val="none"/>
              </w:rPr>
              <w:t>项目组成员</w:t>
            </w: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b/>
                <w:color w:val="auto"/>
                <w:sz w:val="21"/>
                <w:szCs w:val="21"/>
                <w:highlight w:val="none"/>
              </w:rPr>
            </w:pPr>
            <w:r>
              <w:rPr>
                <w:rFonts w:cs="宋体"/>
                <w:color w:val="auto"/>
                <w:sz w:val="21"/>
                <w:szCs w:val="21"/>
                <w:highlight w:val="none"/>
              </w:rPr>
              <w:t>拟派项目负责人</w:t>
            </w:r>
            <w:r>
              <w:rPr>
                <w:rFonts w:cs="宋体"/>
                <w:color w:val="auto"/>
                <w:kern w:val="2"/>
                <w:sz w:val="21"/>
                <w:szCs w:val="21"/>
                <w:highlight w:val="none"/>
              </w:rPr>
              <w:t>具备</w:t>
            </w:r>
            <w:r>
              <w:rPr>
                <w:rFonts w:hint="eastAsia" w:cs="宋体"/>
                <w:color w:val="auto"/>
                <w:sz w:val="21"/>
                <w:szCs w:val="21"/>
                <w:highlight w:val="none"/>
              </w:rPr>
              <w:t>水利</w:t>
            </w:r>
            <w:r>
              <w:rPr>
                <w:rFonts w:hint="eastAsia" w:cs="宋体"/>
                <w:color w:val="auto"/>
                <w:sz w:val="21"/>
                <w:szCs w:val="21"/>
                <w:highlight w:val="none"/>
                <w:lang w:eastAsia="zh-CN"/>
              </w:rPr>
              <w:t>相关</w:t>
            </w:r>
            <w:r>
              <w:rPr>
                <w:rFonts w:hint="default" w:cs="宋体"/>
                <w:color w:val="auto"/>
                <w:kern w:val="2"/>
                <w:sz w:val="21"/>
                <w:szCs w:val="21"/>
                <w:highlight w:val="none"/>
              </w:rPr>
              <w:t>专业</w:t>
            </w:r>
            <w:r>
              <w:rPr>
                <w:rFonts w:cs="宋体"/>
                <w:color w:val="auto"/>
                <w:kern w:val="2"/>
                <w:sz w:val="21"/>
                <w:szCs w:val="21"/>
                <w:highlight w:val="none"/>
              </w:rPr>
              <w:t>中级</w:t>
            </w:r>
            <w:r>
              <w:rPr>
                <w:rFonts w:hint="eastAsia" w:cs="宋体"/>
                <w:color w:val="auto"/>
                <w:kern w:val="2"/>
                <w:sz w:val="21"/>
                <w:szCs w:val="21"/>
                <w:highlight w:val="none"/>
                <w:lang w:eastAsia="zh-CN"/>
              </w:rPr>
              <w:t>及</w:t>
            </w:r>
            <w:r>
              <w:rPr>
                <w:rFonts w:cs="宋体"/>
                <w:color w:val="auto"/>
                <w:kern w:val="2"/>
                <w:sz w:val="21"/>
                <w:szCs w:val="21"/>
                <w:highlight w:val="none"/>
              </w:rPr>
              <w:t>以上工程师职称的得</w:t>
            </w:r>
            <w:r>
              <w:rPr>
                <w:rFonts w:hint="eastAsia" w:cs="宋体"/>
                <w:color w:val="auto"/>
                <w:kern w:val="2"/>
                <w:sz w:val="21"/>
                <w:szCs w:val="21"/>
                <w:highlight w:val="none"/>
                <w:lang w:val="en-US" w:eastAsia="zh-CN"/>
              </w:rPr>
              <w:t>2</w:t>
            </w:r>
            <w:r>
              <w:rPr>
                <w:rFonts w:cs="宋体"/>
                <w:color w:val="auto"/>
                <w:kern w:val="2"/>
                <w:sz w:val="21"/>
                <w:szCs w:val="21"/>
                <w:highlight w:val="none"/>
              </w:rPr>
              <w:t>分</w:t>
            </w:r>
            <w:r>
              <w:rPr>
                <w:rFonts w:cs="宋体"/>
                <w:color w:val="auto"/>
                <w:sz w:val="21"/>
                <w:szCs w:val="21"/>
                <w:highlight w:val="none"/>
              </w:rPr>
              <w:t>。</w:t>
            </w:r>
            <w:r>
              <w:rPr>
                <w:rFonts w:cs="宋体"/>
                <w:b/>
                <w:color w:val="auto"/>
                <w:sz w:val="21"/>
                <w:szCs w:val="21"/>
                <w:highlight w:val="none"/>
              </w:rPr>
              <w:t>（提供证书扫描件加盖公章，且须提供上述人员由社保部门出具的开标时间前连续三个月在本单位社保缴纳证明）</w:t>
            </w:r>
          </w:p>
        </w:tc>
        <w:tc>
          <w:tcPr>
            <w:tcW w:w="496" w:type="pct"/>
            <w:tcBorders>
              <w:top w:val="single" w:color="auto" w:sz="4" w:space="0"/>
              <w:left w:val="single" w:color="auto" w:sz="4" w:space="0"/>
              <w:bottom w:val="single" w:color="auto" w:sz="4" w:space="0"/>
              <w:right w:val="single" w:color="auto" w:sz="4" w:space="0"/>
            </w:tcBorders>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highlight w:val="none"/>
                <w:lang w:val="en-US" w:eastAsia="zh-CN"/>
              </w:rPr>
            </w:pPr>
            <w:r>
              <w:rPr>
                <w:rFonts w:hint="eastAsia"/>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0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lang w:bidi="ar"/>
              </w:rPr>
            </w:pPr>
          </w:p>
        </w:tc>
        <w:tc>
          <w:tcPr>
            <w:tcW w:w="761" w:type="pct"/>
            <w:vMerge w:val="continue"/>
            <w:tcBorders>
              <w:left w:val="single" w:color="auto" w:sz="4" w:space="0"/>
              <w:right w:val="single" w:color="auto" w:sz="4" w:space="0"/>
            </w:tcBorders>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highlight w:val="none"/>
              </w:rPr>
            </w:pPr>
          </w:p>
        </w:tc>
        <w:tc>
          <w:tcPr>
            <w:tcW w:w="3434" w:type="pct"/>
            <w:tcBorders>
              <w:top w:val="single" w:color="auto" w:sz="4" w:space="0"/>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拟派项目技术负责人</w:t>
            </w:r>
            <w:r>
              <w:rPr>
                <w:rFonts w:cs="宋体"/>
                <w:color w:val="auto"/>
                <w:kern w:val="2"/>
                <w:sz w:val="21"/>
                <w:szCs w:val="21"/>
                <w:highlight w:val="none"/>
              </w:rPr>
              <w:t>具备</w:t>
            </w:r>
            <w:r>
              <w:rPr>
                <w:rFonts w:hint="eastAsia" w:cs="宋体"/>
                <w:color w:val="auto"/>
                <w:sz w:val="21"/>
                <w:szCs w:val="21"/>
                <w:highlight w:val="none"/>
              </w:rPr>
              <w:t>水利</w:t>
            </w:r>
            <w:r>
              <w:rPr>
                <w:rFonts w:hint="eastAsia" w:cs="宋体"/>
                <w:color w:val="auto"/>
                <w:sz w:val="21"/>
                <w:szCs w:val="21"/>
                <w:highlight w:val="none"/>
                <w:lang w:eastAsia="zh-CN"/>
              </w:rPr>
              <w:t>相关</w:t>
            </w:r>
            <w:r>
              <w:rPr>
                <w:rFonts w:hint="default" w:cs="宋体"/>
                <w:color w:val="auto"/>
                <w:kern w:val="2"/>
                <w:sz w:val="21"/>
                <w:szCs w:val="21"/>
                <w:highlight w:val="none"/>
              </w:rPr>
              <w:t>专业</w:t>
            </w:r>
            <w:r>
              <w:rPr>
                <w:rFonts w:cs="宋体"/>
                <w:color w:val="auto"/>
                <w:kern w:val="2"/>
                <w:sz w:val="21"/>
                <w:szCs w:val="21"/>
                <w:highlight w:val="none"/>
              </w:rPr>
              <w:t>中级</w:t>
            </w:r>
            <w:r>
              <w:rPr>
                <w:rFonts w:hint="eastAsia" w:cs="宋体"/>
                <w:color w:val="auto"/>
                <w:kern w:val="2"/>
                <w:sz w:val="21"/>
                <w:szCs w:val="21"/>
                <w:highlight w:val="none"/>
                <w:lang w:eastAsia="zh-CN"/>
              </w:rPr>
              <w:t>及</w:t>
            </w:r>
            <w:r>
              <w:rPr>
                <w:rFonts w:cs="宋体"/>
                <w:color w:val="auto"/>
                <w:kern w:val="2"/>
                <w:sz w:val="21"/>
                <w:szCs w:val="21"/>
                <w:highlight w:val="none"/>
              </w:rPr>
              <w:t>以上工程师职称的得</w:t>
            </w:r>
            <w:r>
              <w:rPr>
                <w:rFonts w:hint="eastAsia" w:cs="宋体"/>
                <w:color w:val="auto"/>
                <w:kern w:val="2"/>
                <w:sz w:val="21"/>
                <w:szCs w:val="21"/>
                <w:highlight w:val="none"/>
                <w:lang w:val="en-US" w:eastAsia="zh-CN"/>
              </w:rPr>
              <w:t>2</w:t>
            </w:r>
            <w:r>
              <w:rPr>
                <w:rFonts w:cs="宋体"/>
                <w:color w:val="auto"/>
                <w:kern w:val="2"/>
                <w:sz w:val="21"/>
                <w:szCs w:val="21"/>
                <w:highlight w:val="none"/>
              </w:rPr>
              <w:t>分</w:t>
            </w:r>
            <w:r>
              <w:rPr>
                <w:rFonts w:cs="宋体"/>
                <w:color w:val="auto"/>
                <w:sz w:val="21"/>
                <w:szCs w:val="21"/>
                <w:highlight w:val="none"/>
              </w:rPr>
              <w:t>。</w:t>
            </w:r>
            <w:r>
              <w:rPr>
                <w:rFonts w:cs="宋体"/>
                <w:b/>
                <w:color w:val="auto"/>
                <w:sz w:val="21"/>
                <w:szCs w:val="21"/>
                <w:highlight w:val="none"/>
              </w:rPr>
              <w:t>（提供证书扫描件加盖公章，且须提供上述人员由社保部门出具的开标时间前连续三个月在本单位社保缴纳证明）</w:t>
            </w:r>
          </w:p>
        </w:tc>
        <w:tc>
          <w:tcPr>
            <w:tcW w:w="496" w:type="pct"/>
            <w:tcBorders>
              <w:top w:val="single" w:color="auto" w:sz="4" w:space="0"/>
              <w:left w:val="single" w:color="auto" w:sz="4" w:space="0"/>
              <w:right w:val="single" w:color="auto" w:sz="4" w:space="0"/>
            </w:tcBorders>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highlight w:val="none"/>
                <w:lang w:val="en-US" w:eastAsia="zh-CN"/>
              </w:rPr>
            </w:pPr>
            <w:r>
              <w:rPr>
                <w:color w:val="auto"/>
                <w:sz w:val="21"/>
                <w:szCs w:val="21"/>
                <w:highlight w:val="none"/>
                <w:lang w:val="en-US" w:eastAsia="zh-CN"/>
              </w:rPr>
              <w:t>2</w:t>
            </w:r>
            <w:r>
              <w:rPr>
                <w:rFonts w:hint="eastAsia"/>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00" w:type="pct"/>
            <w:gridSpan w:val="4"/>
            <w:tcBorders>
              <w:left w:val="single" w:color="auto" w:sz="4" w:space="0"/>
              <w:right w:val="single" w:color="auto" w:sz="4" w:space="0"/>
            </w:tcBorders>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 w:val="21"/>
                <w:szCs w:val="21"/>
                <w:highlight w:val="none"/>
                <w:lang w:val="en-US" w:eastAsia="zh-CN"/>
              </w:rPr>
            </w:pPr>
            <w:r>
              <w:rPr>
                <w:b/>
                <w:color w:val="auto"/>
                <w:sz w:val="21"/>
                <w:szCs w:val="21"/>
                <w:highlight w:val="none"/>
              </w:rPr>
              <w:t>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07" w:type="pc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210" w:firstLineChars="100"/>
              <w:jc w:val="both"/>
              <w:textAlignment w:val="auto"/>
              <w:rPr>
                <w:rFonts w:hint="default" w:cs="宋体"/>
                <w:color w:val="auto"/>
                <w:sz w:val="21"/>
                <w:szCs w:val="21"/>
                <w:highlight w:val="none"/>
              </w:rPr>
            </w:pPr>
            <w:r>
              <w:rPr>
                <w:rFonts w:cs="宋体"/>
                <w:color w:val="auto"/>
                <w:sz w:val="21"/>
                <w:szCs w:val="21"/>
                <w:highlight w:val="none"/>
              </w:rPr>
              <w:t xml:space="preserve">3 </w:t>
            </w:r>
          </w:p>
        </w:tc>
        <w:tc>
          <w:tcPr>
            <w:tcW w:w="761" w:type="pc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r>
              <w:rPr>
                <w:rFonts w:cs="宋体"/>
                <w:color w:val="auto"/>
                <w:sz w:val="21"/>
                <w:szCs w:val="21"/>
                <w:highlight w:val="none"/>
              </w:rPr>
              <w:t>总体方案</w:t>
            </w:r>
          </w:p>
        </w:tc>
        <w:tc>
          <w:tcPr>
            <w:tcW w:w="3434" w:type="pct"/>
            <w:tcBorders>
              <w:top w:val="single" w:color="auto" w:sz="4" w:space="0"/>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总体施工方案的针对性、全面性、合理性（结合本项目的实际情况详细描述）</w:t>
            </w:r>
            <w:r>
              <w:rPr>
                <w:rFonts w:hint="eastAsia" w:cs="宋体"/>
                <w:color w:val="auto"/>
                <w:sz w:val="21"/>
                <w:szCs w:val="21"/>
                <w:highlight w:val="none"/>
                <w:lang w:eastAsia="zh-CN"/>
              </w:rPr>
              <w:t>、</w:t>
            </w:r>
            <w:r>
              <w:rPr>
                <w:rFonts w:cs="宋体"/>
                <w:color w:val="auto"/>
                <w:sz w:val="21"/>
                <w:szCs w:val="21"/>
                <w:highlight w:val="none"/>
              </w:rPr>
              <w:t>先进性情况，根据项目实际，分析是否科学合理、可行。</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8.0</w:t>
            </w:r>
            <w:r>
              <w:rPr>
                <w:rFonts w:cs="宋体"/>
                <w:color w:val="auto"/>
                <w:sz w:val="21"/>
                <w:szCs w:val="21"/>
                <w:highlight w:val="none"/>
              </w:rPr>
              <w:t>-</w:t>
            </w:r>
            <w:r>
              <w:rPr>
                <w:rFonts w:hint="eastAsia" w:cs="宋体"/>
                <w:color w:val="auto"/>
                <w:sz w:val="21"/>
                <w:szCs w:val="21"/>
                <w:highlight w:val="none"/>
                <w:lang w:val="en-US" w:eastAsia="zh-CN"/>
              </w:rPr>
              <w:t>6.4</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6.3</w:t>
            </w:r>
            <w:r>
              <w:rPr>
                <w:rFonts w:cs="宋体"/>
                <w:color w:val="auto"/>
                <w:sz w:val="21"/>
                <w:szCs w:val="21"/>
                <w:highlight w:val="none"/>
              </w:rPr>
              <w:t>-</w:t>
            </w:r>
            <w:r>
              <w:rPr>
                <w:rFonts w:hint="eastAsia" w:cs="宋体"/>
                <w:color w:val="auto"/>
                <w:sz w:val="21"/>
                <w:szCs w:val="21"/>
                <w:highlight w:val="none"/>
                <w:lang w:val="en-US" w:eastAsia="zh-CN"/>
              </w:rPr>
              <w:t>4.8</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4.7</w:t>
            </w:r>
            <w:r>
              <w:rPr>
                <w:rFonts w:cs="宋体"/>
                <w:color w:val="auto"/>
                <w:sz w:val="21"/>
                <w:szCs w:val="21"/>
                <w:highlight w:val="none"/>
              </w:rPr>
              <w:t>-</w:t>
            </w:r>
            <w:r>
              <w:rPr>
                <w:rFonts w:hint="eastAsia" w:cs="宋体"/>
                <w:color w:val="auto"/>
                <w:sz w:val="21"/>
                <w:szCs w:val="21"/>
                <w:highlight w:val="none"/>
                <w:lang w:val="en-US" w:eastAsia="zh-CN"/>
              </w:rPr>
              <w:t>3.2</w:t>
            </w:r>
            <w:r>
              <w:rPr>
                <w:rFonts w:cs="宋体"/>
                <w:color w:val="auto"/>
                <w:sz w:val="21"/>
                <w:szCs w:val="21"/>
                <w:highlight w:val="none"/>
              </w:rPr>
              <w:t>分</w:t>
            </w:r>
            <w:r>
              <w:rPr>
                <w:rFonts w:hint="eastAsia" w:cs="宋体"/>
                <w:color w:val="auto"/>
                <w:sz w:val="21"/>
                <w:szCs w:val="21"/>
                <w:highlight w:val="none"/>
                <w:lang w:eastAsia="zh-CN"/>
              </w:rPr>
              <w:t>；四类</w:t>
            </w:r>
            <w:r>
              <w:rPr>
                <w:rFonts w:cs="宋体"/>
                <w:color w:val="auto"/>
                <w:sz w:val="21"/>
                <w:szCs w:val="21"/>
                <w:highlight w:val="none"/>
              </w:rPr>
              <w:t>得</w:t>
            </w:r>
            <w:r>
              <w:rPr>
                <w:rFonts w:hint="eastAsia" w:cs="宋体"/>
                <w:color w:val="auto"/>
                <w:sz w:val="21"/>
                <w:szCs w:val="21"/>
                <w:highlight w:val="none"/>
                <w:lang w:val="en-US" w:eastAsia="zh-CN"/>
              </w:rPr>
              <w:t>3.1</w:t>
            </w:r>
            <w:r>
              <w:rPr>
                <w:rFonts w:cs="宋体"/>
                <w:color w:val="auto"/>
                <w:sz w:val="21"/>
                <w:szCs w:val="21"/>
                <w:highlight w:val="none"/>
              </w:rPr>
              <w:t>-</w:t>
            </w:r>
            <w:r>
              <w:rPr>
                <w:rFonts w:hint="eastAsia" w:cs="宋体"/>
                <w:color w:val="auto"/>
                <w:sz w:val="21"/>
                <w:szCs w:val="21"/>
                <w:highlight w:val="none"/>
                <w:lang w:val="en-US" w:eastAsia="zh-CN"/>
              </w:rPr>
              <w:t>1.6</w:t>
            </w:r>
            <w:r>
              <w:rPr>
                <w:rFonts w:cs="宋体"/>
                <w:color w:val="auto"/>
                <w:sz w:val="21"/>
                <w:szCs w:val="21"/>
                <w:highlight w:val="none"/>
              </w:rPr>
              <w:t>分；</w:t>
            </w:r>
            <w:r>
              <w:rPr>
                <w:rFonts w:hint="eastAsia" w:cs="宋体"/>
                <w:color w:val="auto"/>
                <w:sz w:val="21"/>
                <w:szCs w:val="21"/>
                <w:highlight w:val="none"/>
                <w:lang w:eastAsia="zh-CN"/>
              </w:rPr>
              <w:t>五类</w:t>
            </w:r>
            <w:r>
              <w:rPr>
                <w:rFonts w:cs="宋体"/>
                <w:color w:val="auto"/>
                <w:sz w:val="21"/>
                <w:szCs w:val="21"/>
                <w:highlight w:val="none"/>
              </w:rPr>
              <w:t>得</w:t>
            </w:r>
            <w:r>
              <w:rPr>
                <w:rFonts w:hint="eastAsia" w:cs="宋体"/>
                <w:color w:val="auto"/>
                <w:sz w:val="21"/>
                <w:szCs w:val="21"/>
                <w:highlight w:val="none"/>
                <w:lang w:val="en-US" w:eastAsia="zh-CN"/>
              </w:rPr>
              <w:t>1.5</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color w:val="auto"/>
                <w:sz w:val="21"/>
                <w:szCs w:val="21"/>
                <w:highlight w:val="none"/>
                <w:lang w:val="en-US" w:eastAsia="zh-CN"/>
              </w:rPr>
            </w:pPr>
            <w:r>
              <w:rPr>
                <w:rFonts w:hint="eastAsia"/>
                <w:color w:val="auto"/>
                <w:sz w:val="21"/>
                <w:szCs w:val="21"/>
                <w:highlight w:val="none"/>
                <w:lang w:val="en-US" w:eastAsia="zh-CN"/>
              </w:rPr>
              <w:t>8</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07" w:type="pc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4</w:t>
            </w:r>
          </w:p>
        </w:tc>
        <w:tc>
          <w:tcPr>
            <w:tcW w:w="761" w:type="pc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cs="宋体"/>
                <w:color w:val="auto"/>
                <w:sz w:val="21"/>
                <w:szCs w:val="21"/>
                <w:highlight w:val="none"/>
              </w:rPr>
            </w:pPr>
            <w:r>
              <w:rPr>
                <w:rFonts w:cs="宋体"/>
                <w:color w:val="000000" w:themeColor="text1"/>
                <w:sz w:val="21"/>
                <w:szCs w:val="21"/>
                <w:highlight w:val="none"/>
                <w14:textFill>
                  <w14:solidFill>
                    <w14:schemeClr w14:val="tx1"/>
                  </w14:solidFill>
                </w14:textFill>
              </w:rPr>
              <w:t>施工项目重点、难点分析及合理化建议</w:t>
            </w:r>
          </w:p>
        </w:tc>
        <w:tc>
          <w:tcPr>
            <w:tcW w:w="3434" w:type="pct"/>
            <w:tcBorders>
              <w:top w:val="single" w:color="auto" w:sz="4" w:space="0"/>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cs="宋体"/>
                <w:color w:val="auto"/>
                <w:sz w:val="21"/>
                <w:szCs w:val="21"/>
                <w:highlight w:val="none"/>
              </w:rPr>
            </w:pPr>
            <w:r>
              <w:rPr>
                <w:rFonts w:cs="宋体"/>
                <w:color w:val="000000" w:themeColor="text1"/>
                <w:sz w:val="21"/>
                <w:szCs w:val="21"/>
                <w:highlight w:val="none"/>
                <w14:textFill>
                  <w14:solidFill>
                    <w14:schemeClr w14:val="tx1"/>
                  </w14:solidFill>
                </w14:textFill>
              </w:rPr>
              <w:t>根据项目实际踏勘情况，分析项目实施过程的重点、难点，提出合理的解决方案</w:t>
            </w:r>
            <w:r>
              <w:rPr>
                <w:rFonts w:hint="eastAsia" w:cs="宋体"/>
                <w:color w:val="000000" w:themeColor="text1"/>
                <w:sz w:val="21"/>
                <w:szCs w:val="21"/>
                <w:highlight w:val="none"/>
                <w:lang w:eastAsia="zh-CN"/>
                <w14:textFill>
                  <w14:solidFill>
                    <w14:schemeClr w14:val="tx1"/>
                  </w14:solidFill>
                </w14:textFill>
              </w:rPr>
              <w:t>综合打分。</w:t>
            </w:r>
            <w:r>
              <w:rPr>
                <w:rFonts w:hint="eastAsia" w:cs="宋体"/>
                <w:sz w:val="21"/>
                <w:szCs w:val="21"/>
                <w:highlight w:val="none"/>
                <w:lang w:eastAsia="zh-CN"/>
              </w:rPr>
              <w:t>一类</w:t>
            </w:r>
            <w:r>
              <w:rPr>
                <w:rFonts w:cs="宋体"/>
                <w:sz w:val="21"/>
                <w:szCs w:val="21"/>
                <w:highlight w:val="none"/>
              </w:rPr>
              <w:t>得</w:t>
            </w:r>
            <w:r>
              <w:rPr>
                <w:rFonts w:hint="eastAsia" w:cs="宋体"/>
                <w:sz w:val="21"/>
                <w:szCs w:val="21"/>
                <w:highlight w:val="none"/>
                <w:lang w:val="en-US" w:eastAsia="zh-CN"/>
              </w:rPr>
              <w:t>6.0</w:t>
            </w:r>
            <w:r>
              <w:rPr>
                <w:rFonts w:cs="宋体"/>
                <w:sz w:val="21"/>
                <w:szCs w:val="21"/>
                <w:highlight w:val="none"/>
              </w:rPr>
              <w:t>-</w:t>
            </w:r>
            <w:r>
              <w:rPr>
                <w:rFonts w:hint="eastAsia" w:cs="宋体"/>
                <w:sz w:val="21"/>
                <w:szCs w:val="21"/>
                <w:highlight w:val="none"/>
                <w:lang w:val="en-US" w:eastAsia="zh-CN"/>
              </w:rPr>
              <w:t>4.1</w:t>
            </w:r>
            <w:r>
              <w:rPr>
                <w:rFonts w:cs="宋体"/>
                <w:sz w:val="21"/>
                <w:szCs w:val="21"/>
                <w:highlight w:val="none"/>
              </w:rPr>
              <w:t>分；</w:t>
            </w:r>
            <w:r>
              <w:rPr>
                <w:rFonts w:hint="eastAsia" w:cs="宋体"/>
                <w:sz w:val="21"/>
                <w:szCs w:val="21"/>
                <w:highlight w:val="none"/>
                <w:lang w:eastAsia="zh-CN"/>
              </w:rPr>
              <w:t>二类</w:t>
            </w:r>
            <w:r>
              <w:rPr>
                <w:rFonts w:cs="宋体"/>
                <w:sz w:val="21"/>
                <w:szCs w:val="21"/>
                <w:highlight w:val="none"/>
              </w:rPr>
              <w:t>得</w:t>
            </w:r>
            <w:r>
              <w:rPr>
                <w:rFonts w:hint="eastAsia" w:cs="宋体"/>
                <w:sz w:val="21"/>
                <w:szCs w:val="21"/>
                <w:highlight w:val="none"/>
                <w:lang w:val="en-US" w:eastAsia="zh-CN"/>
              </w:rPr>
              <w:t>4</w:t>
            </w:r>
            <w:r>
              <w:rPr>
                <w:rFonts w:cs="宋体"/>
                <w:sz w:val="21"/>
                <w:szCs w:val="21"/>
                <w:highlight w:val="none"/>
              </w:rPr>
              <w:t>-</w:t>
            </w:r>
            <w:r>
              <w:rPr>
                <w:rFonts w:hint="eastAsia" w:cs="宋体"/>
                <w:sz w:val="21"/>
                <w:szCs w:val="21"/>
                <w:highlight w:val="none"/>
                <w:lang w:val="en-US" w:eastAsia="zh-CN"/>
              </w:rPr>
              <w:t>2.0</w:t>
            </w:r>
            <w:r>
              <w:rPr>
                <w:rFonts w:cs="宋体"/>
                <w:sz w:val="21"/>
                <w:szCs w:val="21"/>
                <w:highlight w:val="none"/>
              </w:rPr>
              <w:t>分；</w:t>
            </w:r>
            <w:r>
              <w:rPr>
                <w:rFonts w:hint="eastAsia" w:cs="宋体"/>
                <w:sz w:val="21"/>
                <w:szCs w:val="21"/>
                <w:highlight w:val="none"/>
                <w:lang w:eastAsia="zh-CN"/>
              </w:rPr>
              <w:t>三类</w:t>
            </w:r>
            <w:r>
              <w:rPr>
                <w:rFonts w:cs="宋体"/>
                <w:sz w:val="21"/>
                <w:szCs w:val="21"/>
                <w:highlight w:val="none"/>
              </w:rPr>
              <w:t>得</w:t>
            </w:r>
            <w:r>
              <w:rPr>
                <w:rFonts w:hint="eastAsia" w:cs="宋体"/>
                <w:sz w:val="21"/>
                <w:szCs w:val="21"/>
                <w:highlight w:val="none"/>
                <w:lang w:val="en-US" w:eastAsia="zh-CN"/>
              </w:rPr>
              <w:t>1.9</w:t>
            </w:r>
            <w:r>
              <w:rPr>
                <w:rFonts w:cs="宋体"/>
                <w:sz w:val="21"/>
                <w:szCs w:val="21"/>
                <w:highlight w:val="none"/>
              </w:rPr>
              <w:t>-</w:t>
            </w:r>
            <w:r>
              <w:rPr>
                <w:rFonts w:hint="eastAsia" w:cs="宋体"/>
                <w:sz w:val="21"/>
                <w:szCs w:val="21"/>
                <w:highlight w:val="none"/>
                <w:lang w:val="en-US" w:eastAsia="zh-CN"/>
              </w:rPr>
              <w:t>0</w:t>
            </w:r>
            <w:r>
              <w:rPr>
                <w:rFonts w:cs="宋体"/>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color w:val="auto"/>
                <w:sz w:val="21"/>
                <w:szCs w:val="21"/>
                <w:highlight w:val="none"/>
                <w:lang w:val="en-US" w:eastAsia="zh-CN"/>
              </w:rPr>
            </w:pPr>
            <w:r>
              <w:rPr>
                <w:rFonts w:hint="eastAsia" w:cs="宋体"/>
                <w:kern w:val="2"/>
                <w:sz w:val="21"/>
                <w:szCs w:val="21"/>
                <w:highlight w:val="none"/>
                <w:lang w:val="en-US" w:eastAsia="zh-CN" w:bidi="ar"/>
              </w:rPr>
              <w:t>6</w:t>
            </w:r>
            <w:r>
              <w:rPr>
                <w:rFonts w:cs="宋体"/>
                <w:kern w:val="2"/>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07"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Cs w:val="21"/>
                <w:highlight w:val="none"/>
                <w:lang w:eastAsia="zh-CN" w:bidi="ar"/>
              </w:rPr>
            </w:pPr>
            <w:r>
              <w:rPr>
                <w:rFonts w:hint="eastAsia" w:ascii="宋体" w:hAnsi="宋体" w:cs="宋体"/>
                <w:bCs/>
                <w:color w:val="auto"/>
                <w:szCs w:val="21"/>
                <w:highlight w:val="none"/>
                <w:lang w:val="en-US" w:eastAsia="zh-CN" w:bidi="ar"/>
              </w:rPr>
              <w:t>5</w:t>
            </w:r>
          </w:p>
        </w:tc>
        <w:tc>
          <w:tcPr>
            <w:tcW w:w="761" w:type="pc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r>
              <w:rPr>
                <w:rFonts w:cs="宋体"/>
                <w:color w:val="auto"/>
                <w:sz w:val="21"/>
                <w:szCs w:val="21"/>
                <w:highlight w:val="none"/>
              </w:rPr>
              <w:t>工程质量</w:t>
            </w: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施工质量目标明确，质量控制措施科学、合理，且有技术支撑的。</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6.0</w:t>
            </w:r>
            <w:r>
              <w:rPr>
                <w:rFonts w:cs="宋体"/>
                <w:color w:val="auto"/>
                <w:sz w:val="21"/>
                <w:szCs w:val="21"/>
                <w:highlight w:val="none"/>
              </w:rPr>
              <w:t>-</w:t>
            </w:r>
            <w:r>
              <w:rPr>
                <w:rFonts w:hint="eastAsia" w:cs="宋体"/>
                <w:color w:val="auto"/>
                <w:sz w:val="21"/>
                <w:szCs w:val="21"/>
                <w:highlight w:val="none"/>
                <w:lang w:val="en-US" w:eastAsia="zh-CN"/>
              </w:rPr>
              <w:t>4.0</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3.9</w:t>
            </w:r>
            <w:r>
              <w:rPr>
                <w:rFonts w:cs="宋体"/>
                <w:color w:val="auto"/>
                <w:sz w:val="21"/>
                <w:szCs w:val="21"/>
                <w:highlight w:val="none"/>
              </w:rPr>
              <w:t>-</w:t>
            </w:r>
            <w:r>
              <w:rPr>
                <w:rFonts w:hint="eastAsia" w:cs="宋体"/>
                <w:color w:val="auto"/>
                <w:sz w:val="21"/>
                <w:szCs w:val="21"/>
                <w:highlight w:val="none"/>
                <w:lang w:val="en-US" w:eastAsia="zh-CN"/>
              </w:rPr>
              <w:t>2.0</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1.9</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r>
              <w:rPr>
                <w:rFonts w:hint="eastAsia" w:cs="宋体"/>
                <w:color w:val="auto"/>
                <w:kern w:val="2"/>
                <w:sz w:val="21"/>
                <w:szCs w:val="21"/>
                <w:highlight w:val="none"/>
                <w:lang w:val="en-US" w:eastAsia="zh-CN" w:bidi="ar"/>
              </w:rPr>
              <w:t>6</w:t>
            </w:r>
            <w:r>
              <w:rPr>
                <w:rFonts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07"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Cs w:val="21"/>
                <w:highlight w:val="none"/>
                <w:lang w:eastAsia="zh-CN" w:bidi="ar"/>
              </w:rPr>
            </w:pPr>
            <w:r>
              <w:rPr>
                <w:rFonts w:hint="eastAsia" w:ascii="宋体" w:hAnsi="宋体" w:cs="宋体"/>
                <w:bCs/>
                <w:color w:val="auto"/>
                <w:szCs w:val="21"/>
                <w:highlight w:val="none"/>
                <w:lang w:val="en-US" w:eastAsia="zh-CN" w:bidi="ar"/>
              </w:rPr>
              <w:t>6</w:t>
            </w:r>
          </w:p>
        </w:tc>
        <w:tc>
          <w:tcPr>
            <w:tcW w:w="761" w:type="pct"/>
            <w:tcBorders>
              <w:left w:val="single" w:color="auto" w:sz="4" w:space="0"/>
              <w:right w:val="single" w:color="auto" w:sz="4" w:space="0"/>
            </w:tcBorders>
            <w:vAlign w:val="center"/>
          </w:tcPr>
          <w:p>
            <w:pPr>
              <w:pStyle w:val="34"/>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w:t>
            </w:r>
          </w:p>
        </w:tc>
        <w:tc>
          <w:tcPr>
            <w:tcW w:w="3434" w:type="pct"/>
            <w:tcBorders>
              <w:top w:val="single" w:color="auto" w:sz="4" w:space="0"/>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根据投标人提供的施工进度计划管理制度及施工进度计划横道图</w:t>
            </w:r>
            <w:r>
              <w:rPr>
                <w:rFonts w:hint="eastAsia" w:cs="宋体"/>
                <w:color w:val="auto"/>
                <w:sz w:val="21"/>
                <w:szCs w:val="21"/>
                <w:highlight w:val="none"/>
                <w:lang w:eastAsia="zh-CN"/>
              </w:rPr>
              <w:t>、</w:t>
            </w:r>
            <w:r>
              <w:rPr>
                <w:rFonts w:cs="宋体"/>
                <w:color w:val="auto"/>
                <w:sz w:val="21"/>
                <w:szCs w:val="21"/>
                <w:highlight w:val="none"/>
              </w:rPr>
              <w:t>施工工期、总进度计划及保证措施安排完善合理，各主要施工工序应有详细周密的劳动力安排计划进行打分。</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8.0</w:t>
            </w:r>
            <w:r>
              <w:rPr>
                <w:rFonts w:cs="宋体"/>
                <w:color w:val="auto"/>
                <w:sz w:val="21"/>
                <w:szCs w:val="21"/>
                <w:highlight w:val="none"/>
              </w:rPr>
              <w:t>-</w:t>
            </w:r>
            <w:r>
              <w:rPr>
                <w:rFonts w:hint="eastAsia" w:cs="宋体"/>
                <w:color w:val="auto"/>
                <w:sz w:val="21"/>
                <w:szCs w:val="21"/>
                <w:highlight w:val="none"/>
                <w:lang w:val="en-US" w:eastAsia="zh-CN"/>
              </w:rPr>
              <w:t>6.4</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6.3</w:t>
            </w:r>
            <w:r>
              <w:rPr>
                <w:rFonts w:cs="宋体"/>
                <w:color w:val="auto"/>
                <w:sz w:val="21"/>
                <w:szCs w:val="21"/>
                <w:highlight w:val="none"/>
              </w:rPr>
              <w:t>-</w:t>
            </w:r>
            <w:r>
              <w:rPr>
                <w:rFonts w:hint="eastAsia" w:cs="宋体"/>
                <w:color w:val="auto"/>
                <w:sz w:val="21"/>
                <w:szCs w:val="21"/>
                <w:highlight w:val="none"/>
                <w:lang w:val="en-US" w:eastAsia="zh-CN"/>
              </w:rPr>
              <w:t>4.8</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4.7</w:t>
            </w:r>
            <w:r>
              <w:rPr>
                <w:rFonts w:cs="宋体"/>
                <w:color w:val="auto"/>
                <w:sz w:val="21"/>
                <w:szCs w:val="21"/>
                <w:highlight w:val="none"/>
              </w:rPr>
              <w:t>-</w:t>
            </w:r>
            <w:r>
              <w:rPr>
                <w:rFonts w:hint="eastAsia" w:cs="宋体"/>
                <w:color w:val="auto"/>
                <w:sz w:val="21"/>
                <w:szCs w:val="21"/>
                <w:highlight w:val="none"/>
                <w:lang w:val="en-US" w:eastAsia="zh-CN"/>
              </w:rPr>
              <w:t>3.2</w:t>
            </w:r>
            <w:r>
              <w:rPr>
                <w:rFonts w:cs="宋体"/>
                <w:color w:val="auto"/>
                <w:sz w:val="21"/>
                <w:szCs w:val="21"/>
                <w:highlight w:val="none"/>
              </w:rPr>
              <w:t>分</w:t>
            </w:r>
            <w:r>
              <w:rPr>
                <w:rFonts w:hint="eastAsia" w:cs="宋体"/>
                <w:color w:val="auto"/>
                <w:sz w:val="21"/>
                <w:szCs w:val="21"/>
                <w:highlight w:val="none"/>
                <w:lang w:eastAsia="zh-CN"/>
              </w:rPr>
              <w:t>；四类</w:t>
            </w:r>
            <w:r>
              <w:rPr>
                <w:rFonts w:cs="宋体"/>
                <w:color w:val="auto"/>
                <w:sz w:val="21"/>
                <w:szCs w:val="21"/>
                <w:highlight w:val="none"/>
              </w:rPr>
              <w:t>得</w:t>
            </w:r>
            <w:r>
              <w:rPr>
                <w:rFonts w:hint="eastAsia" w:cs="宋体"/>
                <w:color w:val="auto"/>
                <w:sz w:val="21"/>
                <w:szCs w:val="21"/>
                <w:highlight w:val="none"/>
                <w:lang w:val="en-US" w:eastAsia="zh-CN"/>
              </w:rPr>
              <w:t>3.1</w:t>
            </w:r>
            <w:r>
              <w:rPr>
                <w:rFonts w:cs="宋体"/>
                <w:color w:val="auto"/>
                <w:sz w:val="21"/>
                <w:szCs w:val="21"/>
                <w:highlight w:val="none"/>
              </w:rPr>
              <w:t>-</w:t>
            </w:r>
            <w:r>
              <w:rPr>
                <w:rFonts w:hint="eastAsia" w:cs="宋体"/>
                <w:color w:val="auto"/>
                <w:sz w:val="21"/>
                <w:szCs w:val="21"/>
                <w:highlight w:val="none"/>
                <w:lang w:val="en-US" w:eastAsia="zh-CN"/>
              </w:rPr>
              <w:t>1.6</w:t>
            </w:r>
            <w:r>
              <w:rPr>
                <w:rFonts w:cs="宋体"/>
                <w:color w:val="auto"/>
                <w:sz w:val="21"/>
                <w:szCs w:val="21"/>
                <w:highlight w:val="none"/>
              </w:rPr>
              <w:t>分；</w:t>
            </w:r>
            <w:r>
              <w:rPr>
                <w:rFonts w:hint="eastAsia" w:cs="宋体"/>
                <w:color w:val="auto"/>
                <w:sz w:val="21"/>
                <w:szCs w:val="21"/>
                <w:highlight w:val="none"/>
                <w:lang w:eastAsia="zh-CN"/>
              </w:rPr>
              <w:t>五类</w:t>
            </w:r>
            <w:r>
              <w:rPr>
                <w:rFonts w:cs="宋体"/>
                <w:color w:val="auto"/>
                <w:sz w:val="21"/>
                <w:szCs w:val="21"/>
                <w:highlight w:val="none"/>
              </w:rPr>
              <w:t>得</w:t>
            </w:r>
            <w:r>
              <w:rPr>
                <w:rFonts w:hint="eastAsia" w:cs="宋体"/>
                <w:color w:val="auto"/>
                <w:sz w:val="21"/>
                <w:szCs w:val="21"/>
                <w:highlight w:val="none"/>
                <w:lang w:val="en-US" w:eastAsia="zh-CN"/>
              </w:rPr>
              <w:t>1.5</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8</w:t>
            </w:r>
            <w:r>
              <w:rPr>
                <w:rFonts w:cs="宋体"/>
                <w:color w:val="auto"/>
                <w:kern w:val="2"/>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07"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Cs w:val="21"/>
                <w:highlight w:val="none"/>
                <w:lang w:eastAsia="zh-CN" w:bidi="ar"/>
              </w:rPr>
            </w:pPr>
            <w:r>
              <w:rPr>
                <w:rFonts w:hint="eastAsia" w:ascii="宋体" w:hAnsi="宋体" w:cs="宋体"/>
                <w:bCs/>
                <w:color w:val="auto"/>
                <w:szCs w:val="21"/>
                <w:highlight w:val="none"/>
                <w:lang w:val="en-US" w:eastAsia="zh-CN" w:bidi="ar"/>
              </w:rPr>
              <w:t>7</w:t>
            </w:r>
          </w:p>
        </w:tc>
        <w:tc>
          <w:tcPr>
            <w:tcW w:w="761" w:type="pct"/>
            <w:vMerge w:val="restar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r>
              <w:rPr>
                <w:rFonts w:cs="宋体"/>
                <w:color w:val="auto"/>
                <w:sz w:val="21"/>
                <w:szCs w:val="21"/>
                <w:highlight w:val="none"/>
              </w:rPr>
              <w:t>环境</w:t>
            </w:r>
            <w:r>
              <w:rPr>
                <w:rFonts w:hint="default" w:cs="宋体"/>
                <w:color w:val="auto"/>
                <w:sz w:val="21"/>
                <w:szCs w:val="21"/>
                <w:highlight w:val="none"/>
              </w:rPr>
              <w:t>保护措施、</w:t>
            </w:r>
            <w:r>
              <w:rPr>
                <w:rFonts w:cs="宋体"/>
                <w:color w:val="auto"/>
                <w:sz w:val="21"/>
                <w:szCs w:val="21"/>
                <w:highlight w:val="none"/>
              </w:rPr>
              <w:t>安全文明施工保证</w:t>
            </w:r>
            <w:r>
              <w:rPr>
                <w:rFonts w:hint="default" w:cs="宋体"/>
                <w:color w:val="auto"/>
                <w:sz w:val="21"/>
                <w:szCs w:val="21"/>
                <w:highlight w:val="none"/>
              </w:rPr>
              <w:t>措施</w:t>
            </w: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rPr>
                <w:rFonts w:hint="default" w:cs="宋体"/>
                <w:color w:val="auto"/>
                <w:sz w:val="21"/>
                <w:szCs w:val="21"/>
                <w:highlight w:val="none"/>
              </w:rPr>
            </w:pPr>
            <w:r>
              <w:rPr>
                <w:rFonts w:cs="宋体"/>
                <w:color w:val="auto"/>
                <w:sz w:val="21"/>
                <w:szCs w:val="21"/>
                <w:highlight w:val="none"/>
              </w:rPr>
              <w:t>按照安全文明施工要求，对施工场地周边围挡的响应承诺，对人员管理的措施进行打分。</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4.0</w:t>
            </w:r>
            <w:r>
              <w:rPr>
                <w:rFonts w:cs="宋体"/>
                <w:color w:val="auto"/>
                <w:sz w:val="21"/>
                <w:szCs w:val="21"/>
                <w:highlight w:val="none"/>
              </w:rPr>
              <w:t>-</w:t>
            </w:r>
            <w:r>
              <w:rPr>
                <w:rFonts w:hint="eastAsia" w:cs="宋体"/>
                <w:color w:val="auto"/>
                <w:sz w:val="21"/>
                <w:szCs w:val="21"/>
                <w:highlight w:val="none"/>
                <w:lang w:val="en-US" w:eastAsia="zh-CN"/>
              </w:rPr>
              <w:t>2.6</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2.5</w:t>
            </w:r>
            <w:r>
              <w:rPr>
                <w:rFonts w:cs="宋体"/>
                <w:color w:val="auto"/>
                <w:sz w:val="21"/>
                <w:szCs w:val="21"/>
                <w:highlight w:val="none"/>
              </w:rPr>
              <w:t>-</w:t>
            </w:r>
            <w:r>
              <w:rPr>
                <w:rFonts w:hint="eastAsia" w:cs="宋体"/>
                <w:color w:val="auto"/>
                <w:sz w:val="21"/>
                <w:szCs w:val="21"/>
                <w:highlight w:val="none"/>
                <w:lang w:val="en-US" w:eastAsia="zh-CN"/>
              </w:rPr>
              <w:t>1.3</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1.2</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r>
              <w:rPr>
                <w:rFonts w:hint="eastAsia" w:cs="宋体"/>
                <w:color w:val="auto"/>
                <w:kern w:val="2"/>
                <w:sz w:val="21"/>
                <w:szCs w:val="21"/>
                <w:highlight w:val="none"/>
                <w:lang w:val="en-US" w:eastAsia="zh-CN" w:bidi="ar"/>
              </w:rPr>
              <w:t>4</w:t>
            </w:r>
            <w:r>
              <w:rPr>
                <w:rFonts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lang w:bidi="ar"/>
              </w:rPr>
            </w:pPr>
          </w:p>
        </w:tc>
        <w:tc>
          <w:tcPr>
            <w:tcW w:w="761" w:type="pct"/>
            <w:vMerge w:val="continue"/>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施工现场的降噪措施合理、具有可操作性，</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4.0</w:t>
            </w:r>
            <w:r>
              <w:rPr>
                <w:rFonts w:cs="宋体"/>
                <w:color w:val="auto"/>
                <w:sz w:val="21"/>
                <w:szCs w:val="21"/>
                <w:highlight w:val="none"/>
              </w:rPr>
              <w:t>-</w:t>
            </w:r>
            <w:r>
              <w:rPr>
                <w:rFonts w:hint="eastAsia" w:cs="宋体"/>
                <w:color w:val="auto"/>
                <w:sz w:val="21"/>
                <w:szCs w:val="21"/>
                <w:highlight w:val="none"/>
                <w:lang w:val="en-US" w:eastAsia="zh-CN"/>
              </w:rPr>
              <w:t>2.6</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2.5</w:t>
            </w:r>
            <w:r>
              <w:rPr>
                <w:rFonts w:cs="宋体"/>
                <w:color w:val="auto"/>
                <w:sz w:val="21"/>
                <w:szCs w:val="21"/>
                <w:highlight w:val="none"/>
              </w:rPr>
              <w:t>-</w:t>
            </w:r>
            <w:r>
              <w:rPr>
                <w:rFonts w:hint="eastAsia" w:cs="宋体"/>
                <w:color w:val="auto"/>
                <w:sz w:val="21"/>
                <w:szCs w:val="21"/>
                <w:highlight w:val="none"/>
                <w:lang w:val="en-US" w:eastAsia="zh-CN"/>
              </w:rPr>
              <w:t>1.3</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1.2</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4</w:t>
            </w:r>
            <w:r>
              <w:rPr>
                <w:rFonts w:cs="宋体"/>
                <w:color w:val="auto"/>
                <w:kern w:val="2"/>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lang w:bidi="ar"/>
              </w:rPr>
            </w:pPr>
          </w:p>
        </w:tc>
        <w:tc>
          <w:tcPr>
            <w:tcW w:w="761" w:type="pct"/>
            <w:vMerge w:val="continue"/>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s="宋体"/>
                <w:color w:val="auto"/>
                <w:sz w:val="21"/>
                <w:szCs w:val="21"/>
                <w:highlight w:val="none"/>
              </w:rPr>
            </w:pPr>
            <w:r>
              <w:rPr>
                <w:rFonts w:cs="宋体"/>
                <w:color w:val="auto"/>
                <w:sz w:val="21"/>
                <w:szCs w:val="21"/>
                <w:highlight w:val="none"/>
              </w:rPr>
              <w:t>除尘、垃圾清运，施工现场管理的针对措施，</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4.0</w:t>
            </w:r>
            <w:r>
              <w:rPr>
                <w:rFonts w:cs="宋体"/>
                <w:color w:val="auto"/>
                <w:sz w:val="21"/>
                <w:szCs w:val="21"/>
                <w:highlight w:val="none"/>
              </w:rPr>
              <w:t>-</w:t>
            </w:r>
            <w:r>
              <w:rPr>
                <w:rFonts w:hint="eastAsia" w:cs="宋体"/>
                <w:color w:val="auto"/>
                <w:sz w:val="21"/>
                <w:szCs w:val="21"/>
                <w:highlight w:val="none"/>
                <w:lang w:val="en-US" w:eastAsia="zh-CN"/>
              </w:rPr>
              <w:t>2.6</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2.5</w:t>
            </w:r>
            <w:r>
              <w:rPr>
                <w:rFonts w:cs="宋体"/>
                <w:color w:val="auto"/>
                <w:sz w:val="21"/>
                <w:szCs w:val="21"/>
                <w:highlight w:val="none"/>
              </w:rPr>
              <w:t>-</w:t>
            </w:r>
            <w:r>
              <w:rPr>
                <w:rFonts w:hint="eastAsia" w:cs="宋体"/>
                <w:color w:val="auto"/>
                <w:sz w:val="21"/>
                <w:szCs w:val="21"/>
                <w:highlight w:val="none"/>
                <w:lang w:val="en-US" w:eastAsia="zh-CN"/>
              </w:rPr>
              <w:t>1.3</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1.2</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4</w:t>
            </w:r>
            <w:r>
              <w:rPr>
                <w:rFonts w:cs="宋体"/>
                <w:color w:val="auto"/>
                <w:kern w:val="2"/>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07"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Cs w:val="21"/>
                <w:highlight w:val="none"/>
                <w:lang w:eastAsia="zh-CN" w:bidi="ar"/>
              </w:rPr>
            </w:pPr>
            <w:r>
              <w:rPr>
                <w:rFonts w:hint="eastAsia" w:ascii="宋体" w:hAnsi="宋体" w:cs="宋体"/>
                <w:bCs/>
                <w:color w:val="auto"/>
                <w:szCs w:val="21"/>
                <w:highlight w:val="none"/>
                <w:lang w:val="en-US" w:eastAsia="zh-CN" w:bidi="ar"/>
              </w:rPr>
              <w:t>8</w:t>
            </w:r>
          </w:p>
        </w:tc>
        <w:tc>
          <w:tcPr>
            <w:tcW w:w="761" w:type="pct"/>
            <w:vMerge w:val="restar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default" w:cs="宋体"/>
                <w:color w:val="auto"/>
                <w:sz w:val="21"/>
                <w:szCs w:val="21"/>
                <w:highlight w:val="none"/>
              </w:rPr>
            </w:pPr>
            <w:r>
              <w:rPr>
                <w:rFonts w:cs="宋体"/>
                <w:color w:val="auto"/>
                <w:sz w:val="21"/>
                <w:szCs w:val="21"/>
                <w:highlight w:val="none"/>
              </w:rPr>
              <w:t>劳动力配置</w:t>
            </w:r>
            <w:r>
              <w:rPr>
                <w:rFonts w:hint="default" w:cs="宋体"/>
                <w:color w:val="auto"/>
                <w:sz w:val="21"/>
                <w:szCs w:val="21"/>
                <w:highlight w:val="none"/>
              </w:rPr>
              <w:t>、主要</w:t>
            </w:r>
            <w:r>
              <w:rPr>
                <w:rFonts w:cs="宋体"/>
                <w:color w:val="auto"/>
                <w:sz w:val="21"/>
                <w:szCs w:val="21"/>
                <w:highlight w:val="none"/>
              </w:rPr>
              <w:t>施工机具</w:t>
            </w:r>
            <w:r>
              <w:rPr>
                <w:rFonts w:hint="default" w:cs="宋体"/>
                <w:color w:val="auto"/>
                <w:sz w:val="21"/>
                <w:szCs w:val="21"/>
                <w:highlight w:val="none"/>
              </w:rPr>
              <w:t>配置进场计划</w:t>
            </w: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b/>
                <w:bCs/>
                <w:color w:val="auto"/>
                <w:sz w:val="21"/>
                <w:szCs w:val="21"/>
                <w:highlight w:val="none"/>
              </w:rPr>
            </w:pPr>
            <w:r>
              <w:rPr>
                <w:rFonts w:cs="宋体"/>
                <w:color w:val="auto"/>
                <w:sz w:val="21"/>
                <w:szCs w:val="21"/>
                <w:highlight w:val="none"/>
              </w:rPr>
              <w:t>拟投入本工程的管理人员及各专业工种劳动力配置的组织架构完善、</w:t>
            </w:r>
            <w:r>
              <w:rPr>
                <w:rFonts w:hint="default" w:cs="宋体"/>
                <w:color w:val="auto"/>
                <w:sz w:val="21"/>
                <w:szCs w:val="21"/>
                <w:highlight w:val="none"/>
              </w:rPr>
              <w:t>质量、安全、文明施工的相关人员配置和施工强度匹配</w:t>
            </w:r>
            <w:r>
              <w:rPr>
                <w:rFonts w:hint="eastAsia" w:cs="宋体"/>
                <w:color w:val="auto"/>
                <w:sz w:val="21"/>
                <w:szCs w:val="21"/>
                <w:highlight w:val="none"/>
                <w:lang w:eastAsia="zh-CN"/>
              </w:rPr>
              <w:t>进行打分</w:t>
            </w:r>
            <w:r>
              <w:rPr>
                <w:rFonts w:cs="宋体"/>
                <w:color w:val="auto"/>
                <w:sz w:val="21"/>
                <w:szCs w:val="21"/>
                <w:highlight w:val="none"/>
              </w:rPr>
              <w:t>。</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6.0</w:t>
            </w:r>
            <w:r>
              <w:rPr>
                <w:rFonts w:cs="宋体"/>
                <w:color w:val="auto"/>
                <w:sz w:val="21"/>
                <w:szCs w:val="21"/>
                <w:highlight w:val="none"/>
              </w:rPr>
              <w:t>-</w:t>
            </w:r>
            <w:r>
              <w:rPr>
                <w:rFonts w:hint="eastAsia" w:cs="宋体"/>
                <w:color w:val="auto"/>
                <w:sz w:val="21"/>
                <w:szCs w:val="21"/>
                <w:highlight w:val="none"/>
                <w:lang w:val="en-US" w:eastAsia="zh-CN"/>
              </w:rPr>
              <w:t>4.0</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3.9</w:t>
            </w:r>
            <w:r>
              <w:rPr>
                <w:rFonts w:cs="宋体"/>
                <w:color w:val="auto"/>
                <w:sz w:val="21"/>
                <w:szCs w:val="21"/>
                <w:highlight w:val="none"/>
              </w:rPr>
              <w:t>-</w:t>
            </w:r>
            <w:r>
              <w:rPr>
                <w:rFonts w:hint="eastAsia" w:cs="宋体"/>
                <w:color w:val="auto"/>
                <w:sz w:val="21"/>
                <w:szCs w:val="21"/>
                <w:highlight w:val="none"/>
                <w:lang w:val="en-US" w:eastAsia="zh-CN"/>
              </w:rPr>
              <w:t>2.0</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1.9</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kern w:val="2"/>
                <w:sz w:val="21"/>
                <w:szCs w:val="21"/>
                <w:highlight w:val="none"/>
                <w:lang w:bidi="ar"/>
              </w:rPr>
            </w:pPr>
            <w:r>
              <w:rPr>
                <w:rFonts w:hint="default" w:cs="宋体"/>
                <w:color w:val="auto"/>
                <w:kern w:val="2"/>
                <w:sz w:val="21"/>
                <w:szCs w:val="21"/>
                <w:highlight w:val="none"/>
                <w:lang w:bidi="ar"/>
              </w:rPr>
              <w:t>6</w:t>
            </w:r>
            <w:r>
              <w:rPr>
                <w:rFonts w:cs="宋体"/>
                <w:color w:val="auto"/>
                <w:kern w:val="2"/>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0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lang w:bidi="ar"/>
              </w:rPr>
            </w:pPr>
          </w:p>
        </w:tc>
        <w:tc>
          <w:tcPr>
            <w:tcW w:w="761" w:type="pct"/>
            <w:vMerge w:val="continue"/>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材料设备进场计划及施工计划情况：具有详细的材料设备进场计划且计划周密，材料数量、质量控制，时间安排合理，满足施工需要。</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6.0</w:t>
            </w:r>
            <w:r>
              <w:rPr>
                <w:rFonts w:cs="宋体"/>
                <w:color w:val="auto"/>
                <w:sz w:val="21"/>
                <w:szCs w:val="21"/>
                <w:highlight w:val="none"/>
              </w:rPr>
              <w:t>-</w:t>
            </w:r>
            <w:r>
              <w:rPr>
                <w:rFonts w:hint="eastAsia" w:cs="宋体"/>
                <w:color w:val="auto"/>
                <w:sz w:val="21"/>
                <w:szCs w:val="21"/>
                <w:highlight w:val="none"/>
                <w:lang w:val="en-US" w:eastAsia="zh-CN"/>
              </w:rPr>
              <w:t>4.0</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3.9</w:t>
            </w:r>
            <w:r>
              <w:rPr>
                <w:rFonts w:cs="宋体"/>
                <w:color w:val="auto"/>
                <w:sz w:val="21"/>
                <w:szCs w:val="21"/>
                <w:highlight w:val="none"/>
              </w:rPr>
              <w:t>-</w:t>
            </w:r>
            <w:r>
              <w:rPr>
                <w:rFonts w:hint="eastAsia" w:cs="宋体"/>
                <w:color w:val="auto"/>
                <w:sz w:val="21"/>
                <w:szCs w:val="21"/>
                <w:highlight w:val="none"/>
                <w:lang w:val="en-US" w:eastAsia="zh-CN"/>
              </w:rPr>
              <w:t>2.0</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1.9</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6</w:t>
            </w:r>
            <w:r>
              <w:rPr>
                <w:rFonts w:cs="宋体"/>
                <w:color w:val="auto"/>
                <w:kern w:val="2"/>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Cs/>
                <w:color w:val="auto"/>
                <w:szCs w:val="21"/>
                <w:highlight w:val="none"/>
                <w:lang w:bidi="ar"/>
              </w:rPr>
            </w:pPr>
          </w:p>
        </w:tc>
        <w:tc>
          <w:tcPr>
            <w:tcW w:w="761" w:type="pct"/>
            <w:vMerge w:val="continue"/>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cs="宋体"/>
                <w:color w:val="auto"/>
                <w:sz w:val="21"/>
                <w:szCs w:val="21"/>
                <w:highlight w:val="none"/>
              </w:rPr>
              <w:t>施工设备及检验仪器的投入是否满足工程质量进度要求。</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6.0</w:t>
            </w:r>
            <w:r>
              <w:rPr>
                <w:rFonts w:cs="宋体"/>
                <w:color w:val="auto"/>
                <w:sz w:val="21"/>
                <w:szCs w:val="21"/>
                <w:highlight w:val="none"/>
              </w:rPr>
              <w:t>-</w:t>
            </w:r>
            <w:r>
              <w:rPr>
                <w:rFonts w:hint="eastAsia" w:cs="宋体"/>
                <w:color w:val="auto"/>
                <w:sz w:val="21"/>
                <w:szCs w:val="21"/>
                <w:highlight w:val="none"/>
                <w:lang w:val="en-US" w:eastAsia="zh-CN"/>
              </w:rPr>
              <w:t>4.0</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3.9</w:t>
            </w:r>
            <w:r>
              <w:rPr>
                <w:rFonts w:cs="宋体"/>
                <w:color w:val="auto"/>
                <w:sz w:val="21"/>
                <w:szCs w:val="21"/>
                <w:highlight w:val="none"/>
              </w:rPr>
              <w:t>-</w:t>
            </w:r>
            <w:r>
              <w:rPr>
                <w:rFonts w:hint="eastAsia" w:cs="宋体"/>
                <w:color w:val="auto"/>
                <w:sz w:val="21"/>
                <w:szCs w:val="21"/>
                <w:highlight w:val="none"/>
                <w:lang w:val="en-US" w:eastAsia="zh-CN"/>
              </w:rPr>
              <w:t>2.0</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1.9</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6</w:t>
            </w:r>
            <w:r>
              <w:rPr>
                <w:rFonts w:cs="宋体"/>
                <w:color w:val="auto"/>
                <w:kern w:val="2"/>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07"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Cs w:val="21"/>
                <w:highlight w:val="none"/>
                <w:lang w:eastAsia="zh-CN" w:bidi="ar"/>
              </w:rPr>
            </w:pPr>
            <w:r>
              <w:rPr>
                <w:rFonts w:hint="eastAsia" w:ascii="宋体" w:hAnsi="宋体" w:cs="宋体"/>
                <w:bCs/>
                <w:color w:val="auto"/>
                <w:szCs w:val="21"/>
                <w:highlight w:val="none"/>
                <w:lang w:val="en-US" w:eastAsia="zh-CN" w:bidi="ar"/>
              </w:rPr>
              <w:t>9</w:t>
            </w:r>
          </w:p>
        </w:tc>
        <w:tc>
          <w:tcPr>
            <w:tcW w:w="761" w:type="pct"/>
            <w:tcBorders>
              <w:left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sz w:val="21"/>
                <w:szCs w:val="21"/>
                <w:highlight w:val="none"/>
              </w:rPr>
            </w:pPr>
            <w:r>
              <w:rPr>
                <w:rFonts w:hint="default" w:ascii="Times New Roman" w:hAnsi="Times New Roman"/>
                <w:color w:val="auto"/>
                <w:sz w:val="21"/>
                <w:szCs w:val="21"/>
                <w:highlight w:val="none"/>
              </w:rPr>
              <w:t>应急预案</w:t>
            </w:r>
          </w:p>
        </w:tc>
        <w:tc>
          <w:tcPr>
            <w:tcW w:w="3434"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1"/>
                <w:szCs w:val="21"/>
                <w:highlight w:val="none"/>
              </w:rPr>
            </w:pPr>
            <w:r>
              <w:rPr>
                <w:rFonts w:hAnsi="宋体"/>
                <w:color w:val="auto"/>
                <w:sz w:val="21"/>
                <w:szCs w:val="21"/>
                <w:highlight w:val="none"/>
              </w:rPr>
              <w:t>根据供应商提供的应急预案内容、突发情况的响应时效以及处理流程进行综合评价：</w:t>
            </w:r>
            <w:r>
              <w:rPr>
                <w:rFonts w:hint="eastAsia" w:cs="宋体"/>
                <w:color w:val="auto"/>
                <w:sz w:val="21"/>
                <w:szCs w:val="21"/>
                <w:highlight w:val="none"/>
                <w:lang w:eastAsia="zh-CN"/>
              </w:rPr>
              <w:t>一类</w:t>
            </w:r>
            <w:r>
              <w:rPr>
                <w:rFonts w:cs="宋体"/>
                <w:color w:val="auto"/>
                <w:sz w:val="21"/>
                <w:szCs w:val="21"/>
                <w:highlight w:val="none"/>
              </w:rPr>
              <w:t>得</w:t>
            </w:r>
            <w:r>
              <w:rPr>
                <w:rFonts w:hint="eastAsia" w:cs="宋体"/>
                <w:color w:val="auto"/>
                <w:sz w:val="21"/>
                <w:szCs w:val="21"/>
                <w:highlight w:val="none"/>
                <w:lang w:val="en-US" w:eastAsia="zh-CN"/>
              </w:rPr>
              <w:t>6.0</w:t>
            </w:r>
            <w:r>
              <w:rPr>
                <w:rFonts w:cs="宋体"/>
                <w:color w:val="auto"/>
                <w:sz w:val="21"/>
                <w:szCs w:val="21"/>
                <w:highlight w:val="none"/>
              </w:rPr>
              <w:t>-</w:t>
            </w:r>
            <w:r>
              <w:rPr>
                <w:rFonts w:hint="eastAsia" w:cs="宋体"/>
                <w:color w:val="auto"/>
                <w:sz w:val="21"/>
                <w:szCs w:val="21"/>
                <w:highlight w:val="none"/>
                <w:lang w:val="en-US" w:eastAsia="zh-CN"/>
              </w:rPr>
              <w:t>4.0</w:t>
            </w:r>
            <w:r>
              <w:rPr>
                <w:rFonts w:cs="宋体"/>
                <w:color w:val="auto"/>
                <w:sz w:val="21"/>
                <w:szCs w:val="21"/>
                <w:highlight w:val="none"/>
              </w:rPr>
              <w:t>分；</w:t>
            </w:r>
            <w:r>
              <w:rPr>
                <w:rFonts w:hint="eastAsia" w:cs="宋体"/>
                <w:color w:val="auto"/>
                <w:sz w:val="21"/>
                <w:szCs w:val="21"/>
                <w:highlight w:val="none"/>
                <w:lang w:eastAsia="zh-CN"/>
              </w:rPr>
              <w:t>二类</w:t>
            </w:r>
            <w:r>
              <w:rPr>
                <w:rFonts w:cs="宋体"/>
                <w:color w:val="auto"/>
                <w:sz w:val="21"/>
                <w:szCs w:val="21"/>
                <w:highlight w:val="none"/>
              </w:rPr>
              <w:t>得</w:t>
            </w:r>
            <w:r>
              <w:rPr>
                <w:rFonts w:hint="eastAsia" w:cs="宋体"/>
                <w:color w:val="auto"/>
                <w:sz w:val="21"/>
                <w:szCs w:val="21"/>
                <w:highlight w:val="none"/>
                <w:lang w:val="en-US" w:eastAsia="zh-CN"/>
              </w:rPr>
              <w:t>3.9</w:t>
            </w:r>
            <w:r>
              <w:rPr>
                <w:rFonts w:cs="宋体"/>
                <w:color w:val="auto"/>
                <w:sz w:val="21"/>
                <w:szCs w:val="21"/>
                <w:highlight w:val="none"/>
              </w:rPr>
              <w:t>-</w:t>
            </w:r>
            <w:r>
              <w:rPr>
                <w:rFonts w:hint="eastAsia" w:cs="宋体"/>
                <w:color w:val="auto"/>
                <w:sz w:val="21"/>
                <w:szCs w:val="21"/>
                <w:highlight w:val="none"/>
                <w:lang w:val="en-US" w:eastAsia="zh-CN"/>
              </w:rPr>
              <w:t>2.0</w:t>
            </w:r>
            <w:r>
              <w:rPr>
                <w:rFonts w:cs="宋体"/>
                <w:color w:val="auto"/>
                <w:sz w:val="21"/>
                <w:szCs w:val="21"/>
                <w:highlight w:val="none"/>
              </w:rPr>
              <w:t>分；</w:t>
            </w:r>
            <w:r>
              <w:rPr>
                <w:rFonts w:hint="eastAsia" w:cs="宋体"/>
                <w:color w:val="auto"/>
                <w:sz w:val="21"/>
                <w:szCs w:val="21"/>
                <w:highlight w:val="none"/>
                <w:lang w:eastAsia="zh-CN"/>
              </w:rPr>
              <w:t>三类</w:t>
            </w:r>
            <w:r>
              <w:rPr>
                <w:rFonts w:cs="宋体"/>
                <w:color w:val="auto"/>
                <w:sz w:val="21"/>
                <w:szCs w:val="21"/>
                <w:highlight w:val="none"/>
              </w:rPr>
              <w:t>得</w:t>
            </w:r>
            <w:r>
              <w:rPr>
                <w:rFonts w:hint="eastAsia" w:cs="宋体"/>
                <w:color w:val="auto"/>
                <w:sz w:val="21"/>
                <w:szCs w:val="21"/>
                <w:highlight w:val="none"/>
                <w:lang w:val="en-US" w:eastAsia="zh-CN"/>
              </w:rPr>
              <w:t>1.9</w:t>
            </w:r>
            <w:r>
              <w:rPr>
                <w:rFonts w:cs="宋体"/>
                <w:color w:val="auto"/>
                <w:sz w:val="21"/>
                <w:szCs w:val="21"/>
                <w:highlight w:val="none"/>
              </w:rPr>
              <w:t>-</w:t>
            </w:r>
            <w:r>
              <w:rPr>
                <w:rFonts w:hint="eastAsia" w:cs="宋体"/>
                <w:color w:val="auto"/>
                <w:sz w:val="21"/>
                <w:szCs w:val="21"/>
                <w:highlight w:val="none"/>
                <w:lang w:val="en-US" w:eastAsia="zh-CN"/>
              </w:rPr>
              <w:t>0</w:t>
            </w:r>
            <w:r>
              <w:rPr>
                <w:rFonts w:cs="宋体"/>
                <w:color w:val="auto"/>
                <w:sz w:val="21"/>
                <w:szCs w:val="21"/>
                <w:highlight w:val="none"/>
              </w:rPr>
              <w:t>分。</w:t>
            </w:r>
          </w:p>
        </w:tc>
        <w:tc>
          <w:tcPr>
            <w:tcW w:w="496" w:type="pct"/>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6</w:t>
            </w:r>
            <w:r>
              <w:rPr>
                <w:rFonts w:cs="宋体"/>
                <w:color w:val="auto"/>
                <w:kern w:val="2"/>
                <w:sz w:val="21"/>
                <w:szCs w:val="21"/>
                <w:highlight w:val="none"/>
                <w:lang w:bidi="ar"/>
              </w:rPr>
              <w:t>分</w:t>
            </w:r>
          </w:p>
        </w:tc>
      </w:tr>
    </w:tbl>
    <w:p>
      <w:pPr>
        <w:spacing w:line="360" w:lineRule="auto"/>
        <w:rPr>
          <w:rFonts w:hint="eastAsia" w:ascii="宋体" w:hAnsi="宋体"/>
          <w:szCs w:val="21"/>
          <w:highlight w:val="none"/>
        </w:rPr>
      </w:pPr>
    </w:p>
    <w:p>
      <w:pPr>
        <w:spacing w:line="360" w:lineRule="auto"/>
        <w:rPr>
          <w:rFonts w:ascii="宋体" w:hAnsi="宋体"/>
          <w:szCs w:val="21"/>
          <w:highlight w:val="none"/>
        </w:rPr>
      </w:pPr>
      <w:r>
        <w:rPr>
          <w:rFonts w:hint="eastAsia" w:ascii="宋体" w:hAnsi="宋体"/>
          <w:color w:val="auto"/>
          <w:szCs w:val="21"/>
          <w:highlight w:val="none"/>
        </w:rPr>
        <w:t>注：①合同、证书及其他相关证</w:t>
      </w:r>
      <w:r>
        <w:rPr>
          <w:rFonts w:hint="eastAsia" w:ascii="宋体" w:hAnsi="宋体"/>
          <w:szCs w:val="21"/>
          <w:highlight w:val="none"/>
        </w:rPr>
        <w:t>明材料，将原件扫描上传至响应文件，并加盖公章。</w:t>
      </w:r>
    </w:p>
    <w:p>
      <w:pPr>
        <w:pStyle w:val="19"/>
        <w:rPr>
          <w:rFonts w:ascii="宋体" w:hAnsi="宋体"/>
          <w:b/>
          <w:szCs w:val="21"/>
          <w:highlight w:val="none"/>
        </w:rPr>
      </w:pPr>
      <w:r>
        <w:rPr>
          <w:rFonts w:ascii="宋体" w:hAnsi="宋体"/>
          <w:b/>
          <w:szCs w:val="21"/>
          <w:highlight w:val="none"/>
        </w:rPr>
        <w:t>▲</w:t>
      </w:r>
      <w:r>
        <w:rPr>
          <w:rFonts w:ascii="宋体" w:hAnsi="宋体"/>
          <w:b/>
          <w:szCs w:val="21"/>
          <w:highlight w:val="none"/>
        </w:rPr>
        <w:fldChar w:fldCharType="begin"/>
      </w:r>
      <w:r>
        <w:rPr>
          <w:rFonts w:ascii="宋体" w:hAnsi="宋体"/>
          <w:b/>
          <w:szCs w:val="21"/>
          <w:highlight w:val="none"/>
        </w:rPr>
        <w:instrText xml:space="preserve"> </w:instrText>
      </w:r>
      <w:r>
        <w:rPr>
          <w:rFonts w:hint="eastAsia" w:ascii="宋体" w:hAnsi="宋体"/>
          <w:b/>
          <w:szCs w:val="21"/>
          <w:highlight w:val="none"/>
        </w:rPr>
        <w:instrText xml:space="preserve">= 2 \* GB3</w:instrText>
      </w:r>
      <w:r>
        <w:rPr>
          <w:rFonts w:ascii="宋体" w:hAnsi="宋体"/>
          <w:b/>
          <w:szCs w:val="21"/>
          <w:highlight w:val="none"/>
        </w:rPr>
        <w:instrText xml:space="preserve"> </w:instrText>
      </w:r>
      <w:r>
        <w:rPr>
          <w:rFonts w:ascii="宋体" w:hAnsi="宋体"/>
          <w:b/>
          <w:szCs w:val="21"/>
          <w:highlight w:val="none"/>
        </w:rPr>
        <w:fldChar w:fldCharType="separate"/>
      </w:r>
      <w:r>
        <w:rPr>
          <w:rFonts w:hint="eastAsia" w:ascii="宋体" w:hAnsi="宋体"/>
          <w:b/>
          <w:szCs w:val="21"/>
          <w:highlight w:val="none"/>
        </w:rPr>
        <w:t>②</w:t>
      </w:r>
      <w:r>
        <w:rPr>
          <w:rFonts w:ascii="宋体" w:hAnsi="宋体"/>
          <w:b/>
          <w:szCs w:val="21"/>
          <w:highlight w:val="none"/>
        </w:rPr>
        <w:fldChar w:fldCharType="end"/>
      </w:r>
      <w:r>
        <w:rPr>
          <w:rFonts w:hint="eastAsia" w:ascii="宋体" w:hAnsi="宋体"/>
          <w:b/>
          <w:szCs w:val="21"/>
          <w:highlight w:val="none"/>
        </w:rPr>
        <w:t>施工组织设计的内容总页数不得超过</w:t>
      </w:r>
      <w:r>
        <w:rPr>
          <w:rFonts w:hint="eastAsia" w:ascii="宋体" w:hAnsi="宋体"/>
          <w:b/>
          <w:szCs w:val="21"/>
          <w:highlight w:val="none"/>
          <w:lang w:val="en-US" w:eastAsia="zh-CN"/>
        </w:rPr>
        <w:t>20</w:t>
      </w:r>
      <w:r>
        <w:rPr>
          <w:rFonts w:hint="eastAsia" w:ascii="宋体" w:hAnsi="宋体"/>
          <w:b/>
          <w:szCs w:val="21"/>
          <w:highlight w:val="none"/>
        </w:rPr>
        <w:t>页。</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2.最后报价</w:t>
      </w:r>
      <w:r>
        <w:rPr>
          <w:rStyle w:val="48"/>
          <w:rFonts w:hint="eastAsia" w:ascii="宋体" w:hAnsi="宋体"/>
          <w:highlight w:val="none"/>
        </w:rPr>
        <w:t>（</w:t>
      </w:r>
      <w:r>
        <w:rPr>
          <w:rFonts w:hint="eastAsia" w:ascii="宋体" w:hAnsi="宋体"/>
          <w:szCs w:val="21"/>
          <w:highlight w:val="none"/>
        </w:rPr>
        <w:t>总价报价</w:t>
      </w:r>
      <w:r>
        <w:rPr>
          <w:rStyle w:val="48"/>
          <w:rFonts w:hint="eastAsia" w:ascii="宋体" w:hAnsi="宋体"/>
          <w:highlight w:val="none"/>
        </w:rPr>
        <w:t>）</w:t>
      </w:r>
    </w:p>
    <w:p>
      <w:pPr>
        <w:spacing w:line="360" w:lineRule="auto"/>
        <w:ind w:firstLine="417" w:firstLineChars="199"/>
        <w:rPr>
          <w:rFonts w:ascii="宋体" w:hAnsi="宋体" w:cs="宋体"/>
          <w:b/>
          <w:bCs/>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最终报价作为磋商响应文件的补充。如该</w:t>
      </w:r>
      <w:r>
        <w:rPr>
          <w:rFonts w:hint="eastAsia" w:ascii="宋体" w:hAnsi="宋体" w:cs="宋体"/>
          <w:b/>
          <w:bCs/>
          <w:color w:val="auto"/>
          <w:szCs w:val="21"/>
          <w:highlight w:val="none"/>
          <w:lang w:val="zh-CN"/>
        </w:rPr>
        <w:t>供应商</w:t>
      </w:r>
      <w:r>
        <w:rPr>
          <w:rFonts w:hint="eastAsia" w:ascii="宋体" w:hAnsi="宋体" w:cs="宋体"/>
          <w:b/>
          <w:bCs/>
          <w:color w:val="auto"/>
          <w:szCs w:val="21"/>
          <w:highlight w:val="none"/>
        </w:rPr>
        <w:t>成为成交供应商，则该</w:t>
      </w:r>
      <w:r>
        <w:rPr>
          <w:rFonts w:hint="eastAsia" w:ascii="宋体" w:hAnsi="宋体" w:cs="宋体"/>
          <w:b/>
          <w:bCs/>
          <w:color w:val="auto"/>
          <w:szCs w:val="21"/>
          <w:highlight w:val="none"/>
          <w:lang w:val="zh-CN"/>
        </w:rPr>
        <w:t>供应商</w:t>
      </w:r>
      <w:r>
        <w:rPr>
          <w:rFonts w:hint="eastAsia" w:ascii="宋体" w:hAnsi="宋体" w:cs="宋体"/>
          <w:b/>
          <w:bCs/>
          <w:color w:val="auto"/>
          <w:szCs w:val="21"/>
          <w:highlight w:val="none"/>
        </w:rPr>
        <w:t>的磋商响应文件（含所有补充资料）将作为合同的组成部分。（投标供应商首次报价和最终报价均不得超过最高限价）</w:t>
      </w:r>
    </w:p>
    <w:p>
      <w:pPr>
        <w:widowControl/>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rPr>
        <w:t>综合评分法中的价格分统一</w:t>
      </w:r>
      <w:r>
        <w:rPr>
          <w:rFonts w:hint="eastAsia" w:ascii="宋体" w:hAnsi="宋体" w:cs="宋体"/>
          <w:color w:val="auto"/>
          <w:szCs w:val="21"/>
          <w:highlight w:val="none"/>
          <w:lang w:val="zh-CN"/>
        </w:rPr>
        <w:t>采用低价优先法计算，即满足磋商文件要求且最后报价最低的供应商的价格作为磋商基准价，其报价得满分。其他供应商的价格分统一按照下列公式计算：</w:t>
      </w:r>
    </w:p>
    <w:p>
      <w:pPr>
        <w:widowControl/>
        <w:autoSpaceDE w:val="0"/>
        <w:autoSpaceDN w:val="0"/>
        <w:adjustRightInd w:val="0"/>
        <w:spacing w:line="360" w:lineRule="auto"/>
        <w:ind w:right="85"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磋商报价得分</w:t>
      </w:r>
      <w:r>
        <w:rPr>
          <w:rFonts w:ascii="宋体" w:hAnsi="宋体" w:cs="宋体"/>
          <w:color w:val="auto"/>
          <w:szCs w:val="21"/>
          <w:highlight w:val="none"/>
          <w:u w:val="single"/>
        </w:rPr>
        <w:t>=(</w:t>
      </w:r>
      <w:r>
        <w:rPr>
          <w:rFonts w:hint="eastAsia" w:ascii="宋体" w:hAnsi="宋体" w:cs="宋体"/>
          <w:color w:val="auto"/>
          <w:szCs w:val="21"/>
          <w:highlight w:val="none"/>
          <w:u w:val="single"/>
          <w:lang w:val="zh-CN"/>
        </w:rPr>
        <w:t>磋商基准价</w:t>
      </w:r>
      <w:r>
        <w:rPr>
          <w:rFonts w:hint="eastAsia" w:ascii="宋体" w:hAnsi="宋体" w:cs="宋体"/>
          <w:color w:val="auto"/>
          <w:szCs w:val="21"/>
          <w:highlight w:val="none"/>
          <w:u w:val="single"/>
        </w:rPr>
        <w:t>／最后磋商报价</w:t>
      </w:r>
      <w:r>
        <w:rPr>
          <w:rFonts w:ascii="宋体" w:hAnsi="宋体" w:cs="宋体"/>
          <w:color w:val="auto"/>
          <w:szCs w:val="21"/>
          <w:highlight w:val="none"/>
          <w:u w:val="single"/>
        </w:rPr>
        <w:t>)</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30</w:t>
      </w:r>
      <w:r>
        <w:rPr>
          <w:rFonts w:ascii="宋体" w:hAnsi="宋体" w:cs="宋体"/>
          <w:color w:val="auto"/>
          <w:szCs w:val="21"/>
          <w:highlight w:val="none"/>
          <w:u w:val="single"/>
        </w:rPr>
        <w:t>%</w:t>
      </w:r>
      <w:r>
        <w:rPr>
          <w:rFonts w:hint="eastAsia" w:ascii="宋体" w:hAnsi="宋体" w:cs="宋体"/>
          <w:color w:val="auto"/>
          <w:szCs w:val="21"/>
          <w:highlight w:val="none"/>
          <w:u w:val="single"/>
        </w:rPr>
        <w:t>×</w:t>
      </w:r>
      <w:r>
        <w:rPr>
          <w:rFonts w:ascii="宋体" w:hAnsi="宋体" w:cs="宋体"/>
          <w:color w:val="auto"/>
          <w:szCs w:val="21"/>
          <w:highlight w:val="none"/>
          <w:u w:val="single"/>
        </w:rPr>
        <w:t>100</w:t>
      </w:r>
      <w:r>
        <w:rPr>
          <w:rFonts w:hint="eastAsia" w:ascii="宋体" w:hAnsi="宋体" w:cs="宋体"/>
          <w:color w:val="auto"/>
          <w:szCs w:val="21"/>
          <w:highlight w:val="none"/>
          <w:u w:val="single"/>
        </w:rPr>
        <w:t>。（小数点后保留2小数）</w:t>
      </w:r>
    </w:p>
    <w:p>
      <w:pPr>
        <w:widowControl/>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zh-CN"/>
        </w:rPr>
        <w:t>对于投标报价明显低于成本价，且</w:t>
      </w:r>
      <w:r>
        <w:rPr>
          <w:rFonts w:hint="eastAsia" w:ascii="宋体" w:hAnsi="宋体" w:cs="宋体"/>
          <w:b/>
          <w:bCs/>
          <w:color w:val="auto"/>
          <w:szCs w:val="21"/>
          <w:highlight w:val="none"/>
        </w:rPr>
        <w:t>投标人不能合理说明原因并提供证明材料的</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评标</w:t>
      </w:r>
      <w:r>
        <w:rPr>
          <w:rFonts w:hint="eastAsia" w:ascii="宋体" w:hAnsi="宋体" w:cs="宋体"/>
          <w:b/>
          <w:bCs/>
          <w:color w:val="auto"/>
          <w:szCs w:val="21"/>
          <w:highlight w:val="none"/>
          <w:lang w:val="zh-CN"/>
        </w:rPr>
        <w:t>小组认为其有可能影响商品质量和不能诚信履约的</w:t>
      </w:r>
      <w:r>
        <w:rPr>
          <w:rFonts w:hint="eastAsia" w:ascii="宋体" w:hAnsi="宋体" w:cs="宋体"/>
          <w:b/>
          <w:bCs/>
          <w:color w:val="auto"/>
          <w:szCs w:val="21"/>
          <w:highlight w:val="none"/>
        </w:rPr>
        <w:t>作</w:t>
      </w:r>
      <w:r>
        <w:rPr>
          <w:rFonts w:hint="eastAsia" w:ascii="宋体" w:hAnsi="宋体" w:cs="宋体"/>
          <w:b/>
          <w:bCs/>
          <w:color w:val="auto"/>
          <w:szCs w:val="21"/>
          <w:highlight w:val="none"/>
          <w:lang w:val="zh-CN"/>
        </w:rPr>
        <w:t>无效标处理。</w:t>
      </w:r>
      <w:r>
        <w:rPr>
          <w:rFonts w:hint="eastAsia" w:ascii="宋体" w:hAnsi="宋体" w:cs="宋体"/>
          <w:b/>
          <w:bCs/>
          <w:color w:val="auto"/>
          <w:szCs w:val="21"/>
          <w:highlight w:val="none"/>
        </w:rPr>
        <w:t>同时采购人或采购代理机构将该情况报同级财政部门，并视情将其列入不良供应商名单。</w:t>
      </w:r>
    </w:p>
    <w:p>
      <w:pPr>
        <w:pStyle w:val="22"/>
        <w:snapToGrid w:val="0"/>
        <w:spacing w:line="360" w:lineRule="auto"/>
        <w:ind w:firstLine="422" w:firstLineChars="200"/>
        <w:rPr>
          <w:rFonts w:hAnsi="宋体"/>
          <w:b/>
          <w:color w:val="auto"/>
          <w:szCs w:val="21"/>
          <w:highlight w:val="none"/>
        </w:rPr>
      </w:pPr>
      <w:r>
        <w:rPr>
          <w:rFonts w:hint="eastAsia" w:hAnsi="宋体"/>
          <w:b/>
          <w:color w:val="auto"/>
          <w:szCs w:val="21"/>
          <w:highlight w:val="none"/>
        </w:rPr>
        <w:t>3.评审要求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(1)磋商小组应当按照磋商文件中规定的评审方法和标准，对符合性审查合格的响应文件的商务部分和技术部分进行综合比较与评价，其中</w:t>
      </w:r>
      <w:r>
        <w:rPr>
          <w:rFonts w:hint="eastAsia" w:ascii="宋体" w:hAnsi="宋体" w:cs="宋体"/>
          <w:szCs w:val="21"/>
          <w:highlight w:val="none"/>
          <w:lang w:val="zh-CN"/>
        </w:rPr>
        <w:t>客观</w:t>
      </w:r>
      <w:r>
        <w:rPr>
          <w:rFonts w:hint="eastAsia" w:ascii="宋体" w:hAnsi="宋体" w:cs="宋体"/>
          <w:szCs w:val="21"/>
          <w:highlight w:val="none"/>
        </w:rPr>
        <w:t>评分项的分值</w:t>
      </w:r>
      <w:r>
        <w:rPr>
          <w:rFonts w:hint="eastAsia" w:ascii="宋体" w:hAnsi="宋体" w:cs="宋体"/>
          <w:szCs w:val="21"/>
          <w:highlight w:val="none"/>
          <w:lang w:val="zh-CN"/>
        </w:rPr>
        <w:t>应当一致。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（2）对于磋商响应文件中含义不明确、同类问题表述不一致或者有明显文字和计算错误的内容，磋商小组应当要求供应商作出必要的澄清、说明或者补正。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（3）供应商的澄清（说明或者补正）采用书面形式，并加盖公章或者由法定代表人或授权代表签字，且不得超出磋商响应文件的范围或者改变磋商响应文件的实质性内容。</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（四）结果汇总及排序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磋商确定最终采购需求和提交最后报价的供应商后，由磋商小组采用综合评分法对提交最后报价的供应商的响应文件和最后报价进行综合比较与评价。根据综合评分情况，按评审得分由高到低顺序推荐3名成交候选供应商。评审得分相同的，按照最后报价由低到高的顺序推荐。评审得分且最后磋商报价相同的，按照技术指标优劣顺序推荐（施工组织设计得分高的优先），若均相同则由采购人抽签确定先后顺序。</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（五）编写评审报告</w:t>
      </w:r>
    </w:p>
    <w:p>
      <w:pPr>
        <w:spacing w:line="360" w:lineRule="auto"/>
        <w:ind w:firstLine="420" w:firstLineChars="200"/>
        <w:rPr>
          <w:rFonts w:ascii="Tahoma" w:hAnsi="Tahoma" w:eastAsia="微软雅黑" w:cstheme="minorBidi"/>
          <w:kern w:val="0"/>
          <w:sz w:val="22"/>
          <w:szCs w:val="22"/>
          <w:highlight w:val="none"/>
        </w:rPr>
      </w:pPr>
      <w:r>
        <w:rPr>
          <w:rFonts w:hint="eastAsia" w:ascii="宋体" w:hAnsi="宋体" w:cs="宋体"/>
          <w:szCs w:val="21"/>
          <w:highlight w:val="none"/>
        </w:rPr>
        <w:t>磋商小组根据全体评审人员签字的原始记录和得分情况编写评审报告。</w:t>
      </w:r>
      <w:r>
        <w:rPr>
          <w:highlight w:val="none"/>
        </w:rPr>
        <w:br w:type="page"/>
      </w:r>
    </w:p>
    <w:p>
      <w:pPr>
        <w:spacing w:before="120" w:after="120" w:line="400" w:lineRule="exact"/>
        <w:jc w:val="center"/>
        <w:outlineLvl w:val="0"/>
        <w:rPr>
          <w:rFonts w:eastAsia="黑体"/>
          <w:kern w:val="44"/>
          <w:sz w:val="32"/>
          <w:szCs w:val="44"/>
          <w:highlight w:val="none"/>
        </w:rPr>
      </w:pPr>
      <w:bookmarkStart w:id="11" w:name="_Toc152042387"/>
      <w:bookmarkStart w:id="12" w:name="_Toc144974577"/>
      <w:bookmarkStart w:id="13" w:name="_Toc68615905"/>
      <w:bookmarkStart w:id="14" w:name="_Toc152045609"/>
      <w:r>
        <w:rPr>
          <w:rFonts w:eastAsia="黑体"/>
          <w:kern w:val="44"/>
          <w:sz w:val="32"/>
          <w:szCs w:val="44"/>
          <w:highlight w:val="none"/>
        </w:rPr>
        <w:t>第</w:t>
      </w:r>
      <w:r>
        <w:rPr>
          <w:rFonts w:hint="eastAsia" w:eastAsia="黑体"/>
          <w:kern w:val="44"/>
          <w:sz w:val="32"/>
          <w:szCs w:val="44"/>
          <w:highlight w:val="none"/>
        </w:rPr>
        <w:t>五</w:t>
      </w:r>
      <w:r>
        <w:rPr>
          <w:rFonts w:eastAsia="黑体"/>
          <w:kern w:val="44"/>
          <w:sz w:val="32"/>
          <w:szCs w:val="44"/>
          <w:highlight w:val="none"/>
        </w:rPr>
        <w:t xml:space="preserve">章 </w:t>
      </w:r>
      <w:bookmarkEnd w:id="11"/>
      <w:bookmarkEnd w:id="12"/>
      <w:bookmarkEnd w:id="13"/>
      <w:bookmarkEnd w:id="14"/>
      <w:r>
        <w:rPr>
          <w:rFonts w:hint="eastAsia" w:eastAsia="黑体"/>
          <w:kern w:val="44"/>
          <w:sz w:val="32"/>
          <w:szCs w:val="44"/>
          <w:highlight w:val="none"/>
        </w:rPr>
        <w:t>拟</w:t>
      </w:r>
      <w:r>
        <w:rPr>
          <w:rFonts w:eastAsia="黑体"/>
          <w:kern w:val="44"/>
          <w:sz w:val="32"/>
          <w:szCs w:val="44"/>
          <w:highlight w:val="none"/>
        </w:rPr>
        <w:t>签订合同</w:t>
      </w:r>
    </w:p>
    <w:p>
      <w:pPr>
        <w:spacing w:line="360" w:lineRule="exact"/>
        <w:ind w:firstLine="420" w:firstLineChars="200"/>
        <w:rPr>
          <w:highlight w:val="none"/>
        </w:rPr>
      </w:pPr>
    </w:p>
    <w:p>
      <w:pPr>
        <w:keepLines/>
        <w:widowControl/>
        <w:snapToGrid w:val="0"/>
        <w:spacing w:beforeLines="50" w:line="360" w:lineRule="auto"/>
        <w:jc w:val="center"/>
        <w:outlineLvl w:val="2"/>
        <w:rPr>
          <w:rFonts w:ascii="宋体" w:cs="Arial"/>
          <w:b/>
          <w:color w:val="auto"/>
          <w:kern w:val="2"/>
          <w:highlight w:val="none"/>
        </w:rPr>
      </w:pPr>
      <w:bookmarkStart w:id="15" w:name="_Toc119251011"/>
      <w:bookmarkStart w:id="16" w:name="_Toc403733988"/>
      <w:bookmarkStart w:id="17" w:name="_Toc413830630"/>
      <w:bookmarkStart w:id="18" w:name="_Toc270512726"/>
      <w:bookmarkStart w:id="19" w:name="_Toc25207"/>
      <w:r>
        <w:rPr>
          <w:rFonts w:hint="eastAsia" w:ascii="宋体" w:hAnsi="宋体" w:cs="Arial"/>
          <w:b/>
          <w:color w:val="auto"/>
          <w:kern w:val="2"/>
          <w:highlight w:val="none"/>
        </w:rPr>
        <w:t>第</w:t>
      </w:r>
      <w:r>
        <w:rPr>
          <w:rFonts w:ascii="宋体" w:hAnsi="宋体" w:cs="Arial"/>
          <w:b/>
          <w:color w:val="auto"/>
          <w:kern w:val="2"/>
          <w:highlight w:val="none"/>
        </w:rPr>
        <w:t>1</w:t>
      </w:r>
      <w:r>
        <w:rPr>
          <w:rFonts w:hint="eastAsia" w:ascii="宋体" w:hAnsi="宋体" w:cs="Arial"/>
          <w:b/>
          <w:color w:val="auto"/>
          <w:kern w:val="2"/>
          <w:highlight w:val="none"/>
        </w:rPr>
        <w:t>节</w:t>
      </w:r>
      <w:r>
        <w:rPr>
          <w:rFonts w:ascii="宋体" w:hAnsi="宋体" w:cs="Arial"/>
          <w:b/>
          <w:color w:val="auto"/>
          <w:kern w:val="2"/>
          <w:highlight w:val="none"/>
        </w:rPr>
        <w:t xml:space="preserve"> </w:t>
      </w:r>
      <w:r>
        <w:rPr>
          <w:rFonts w:hint="eastAsia" w:ascii="宋体" w:hAnsi="宋体" w:cs="Arial"/>
          <w:b/>
          <w:color w:val="auto"/>
          <w:kern w:val="2"/>
          <w:highlight w:val="none"/>
        </w:rPr>
        <w:t>通用合同条款</w:t>
      </w:r>
      <w:bookmarkEnd w:id="15"/>
      <w:bookmarkEnd w:id="16"/>
      <w:bookmarkEnd w:id="17"/>
      <w:bookmarkEnd w:id="18"/>
      <w:bookmarkEnd w:id="19"/>
    </w:p>
    <w:p>
      <w:pPr>
        <w:spacing w:line="380" w:lineRule="exact"/>
        <w:ind w:firstLine="480"/>
        <w:rPr>
          <w:rFonts w:ascii="宋体"/>
          <w:color w:val="auto"/>
          <w:spacing w:val="0"/>
          <w:sz w:val="21"/>
          <w:szCs w:val="21"/>
          <w:highlight w:val="none"/>
        </w:rPr>
      </w:pPr>
      <w:bookmarkStart w:id="20" w:name="_Toc413830631"/>
      <w:bookmarkStart w:id="21" w:name="_Toc403733989"/>
      <w:bookmarkStart w:id="22" w:name="_Toc270512727"/>
      <w:r>
        <w:rPr>
          <w:rFonts w:hint="eastAsia" w:ascii="宋体" w:hAnsi="宋体"/>
          <w:color w:val="auto"/>
          <w:spacing w:val="0"/>
          <w:sz w:val="21"/>
          <w:szCs w:val="21"/>
          <w:highlight w:val="none"/>
        </w:rPr>
        <w:t>通用合同条款使用浙水建【</w:t>
      </w:r>
      <w:bookmarkStart w:id="23" w:name="_bookmark17"/>
      <w:bookmarkEnd w:id="23"/>
      <w:r>
        <w:rPr>
          <w:rFonts w:ascii="宋体" w:hAnsi="宋体"/>
          <w:color w:val="auto"/>
          <w:spacing w:val="0"/>
          <w:sz w:val="21"/>
          <w:szCs w:val="21"/>
          <w:highlight w:val="none"/>
        </w:rPr>
        <w:t>2022</w:t>
      </w:r>
      <w:r>
        <w:rPr>
          <w:rFonts w:hint="eastAsia" w:ascii="宋体" w:hAnsi="宋体"/>
          <w:color w:val="auto"/>
          <w:spacing w:val="0"/>
          <w:sz w:val="21"/>
          <w:szCs w:val="21"/>
          <w:highlight w:val="none"/>
        </w:rPr>
        <w:t>】</w:t>
      </w:r>
      <w:r>
        <w:rPr>
          <w:rFonts w:ascii="宋体" w:hAnsi="宋体"/>
          <w:color w:val="auto"/>
          <w:spacing w:val="0"/>
          <w:sz w:val="21"/>
          <w:szCs w:val="21"/>
          <w:highlight w:val="none"/>
        </w:rPr>
        <w:t>6</w:t>
      </w:r>
      <w:r>
        <w:rPr>
          <w:rFonts w:hint="eastAsia" w:ascii="宋体" w:hAnsi="宋体"/>
          <w:color w:val="auto"/>
          <w:spacing w:val="0"/>
          <w:sz w:val="21"/>
          <w:szCs w:val="21"/>
          <w:highlight w:val="none"/>
        </w:rPr>
        <w:t>号文</w:t>
      </w:r>
      <w:r>
        <w:rPr>
          <w:rFonts w:ascii="宋体" w:hAnsi="宋体"/>
          <w:color w:val="auto"/>
          <w:spacing w:val="0"/>
          <w:sz w:val="21"/>
          <w:szCs w:val="21"/>
          <w:highlight w:val="none"/>
        </w:rPr>
        <w:t xml:space="preserve"> </w:t>
      </w:r>
      <w:r>
        <w:rPr>
          <w:rFonts w:hint="eastAsia" w:ascii="宋体" w:hAnsi="宋体"/>
          <w:color w:val="auto"/>
          <w:spacing w:val="0"/>
          <w:sz w:val="21"/>
          <w:szCs w:val="21"/>
          <w:highlight w:val="none"/>
        </w:rPr>
        <w:t>《浙江省水利水电工程施工招标文件示范文本》</w:t>
      </w:r>
      <w:r>
        <w:rPr>
          <w:rFonts w:ascii="宋体" w:hAnsi="宋体"/>
          <w:color w:val="auto"/>
          <w:spacing w:val="0"/>
          <w:sz w:val="21"/>
          <w:szCs w:val="21"/>
          <w:highlight w:val="none"/>
        </w:rPr>
        <w:t xml:space="preserve"> (202</w:t>
      </w:r>
      <w:r>
        <w:rPr>
          <w:rFonts w:hint="eastAsia" w:ascii="宋体" w:hAnsi="宋体"/>
          <w:color w:val="auto"/>
          <w:spacing w:val="0"/>
          <w:sz w:val="21"/>
          <w:szCs w:val="21"/>
          <w:highlight w:val="none"/>
        </w:rPr>
        <w:t>2版</w:t>
      </w:r>
      <w:r>
        <w:rPr>
          <w:rFonts w:ascii="宋体" w:hAnsi="宋体"/>
          <w:color w:val="auto"/>
          <w:spacing w:val="0"/>
          <w:sz w:val="21"/>
          <w:szCs w:val="21"/>
          <w:highlight w:val="none"/>
        </w:rPr>
        <w:t xml:space="preserve">) </w:t>
      </w:r>
      <w:r>
        <w:rPr>
          <w:rFonts w:hint="eastAsia" w:ascii="宋体" w:hAnsi="宋体"/>
          <w:color w:val="auto"/>
          <w:spacing w:val="0"/>
          <w:sz w:val="21"/>
          <w:szCs w:val="21"/>
          <w:highlight w:val="none"/>
        </w:rPr>
        <w:t>中的第</w:t>
      </w:r>
      <w:r>
        <w:rPr>
          <w:rFonts w:ascii="宋体" w:hAnsi="宋体"/>
          <w:color w:val="auto"/>
          <w:spacing w:val="0"/>
          <w:sz w:val="21"/>
          <w:szCs w:val="21"/>
          <w:highlight w:val="none"/>
        </w:rPr>
        <w:t>4</w:t>
      </w:r>
      <w:r>
        <w:rPr>
          <w:rFonts w:hint="eastAsia" w:ascii="宋体" w:hAnsi="宋体"/>
          <w:color w:val="auto"/>
          <w:spacing w:val="0"/>
          <w:sz w:val="21"/>
          <w:szCs w:val="21"/>
          <w:highlight w:val="none"/>
        </w:rPr>
        <w:t>章第1节通用合同条款。</w:t>
      </w:r>
    </w:p>
    <w:bookmarkEnd w:id="20"/>
    <w:bookmarkEnd w:id="21"/>
    <w:bookmarkEnd w:id="22"/>
    <w:p>
      <w:pPr>
        <w:keepLines/>
        <w:widowControl/>
        <w:snapToGrid w:val="0"/>
        <w:spacing w:beforeLines="50" w:line="360" w:lineRule="auto"/>
        <w:jc w:val="center"/>
        <w:outlineLvl w:val="2"/>
        <w:rPr>
          <w:rFonts w:ascii="宋体" w:cs="Arial"/>
          <w:b/>
          <w:color w:val="auto"/>
          <w:spacing w:val="0"/>
          <w:highlight w:val="none"/>
        </w:rPr>
      </w:pPr>
      <w:bookmarkStart w:id="24" w:name="_Toc119251012"/>
      <w:bookmarkStart w:id="25" w:name="_Toc20254"/>
      <w:bookmarkStart w:id="26" w:name="_Toc119251015"/>
      <w:bookmarkStart w:id="27" w:name="_Toc426321894"/>
      <w:r>
        <w:rPr>
          <w:rFonts w:hint="eastAsia" w:ascii="宋体" w:hAnsi="宋体" w:cs="Arial"/>
          <w:b/>
          <w:color w:val="auto"/>
          <w:spacing w:val="0"/>
          <w:highlight w:val="none"/>
        </w:rPr>
        <w:t>第</w:t>
      </w:r>
      <w:r>
        <w:rPr>
          <w:rFonts w:ascii="宋体" w:hAnsi="宋体" w:cs="Arial"/>
          <w:b/>
          <w:color w:val="auto"/>
          <w:spacing w:val="0"/>
          <w:highlight w:val="none"/>
        </w:rPr>
        <w:t>2</w:t>
      </w:r>
      <w:r>
        <w:rPr>
          <w:rFonts w:hint="eastAsia" w:ascii="宋体" w:hAnsi="宋体" w:cs="Arial"/>
          <w:b/>
          <w:color w:val="auto"/>
          <w:spacing w:val="0"/>
          <w:highlight w:val="none"/>
        </w:rPr>
        <w:t>节</w:t>
      </w:r>
      <w:r>
        <w:rPr>
          <w:rFonts w:ascii="宋体" w:hAnsi="宋体" w:cs="Arial"/>
          <w:b/>
          <w:color w:val="auto"/>
          <w:spacing w:val="0"/>
          <w:highlight w:val="none"/>
        </w:rPr>
        <w:t xml:space="preserve"> </w:t>
      </w:r>
      <w:r>
        <w:rPr>
          <w:rFonts w:hint="eastAsia" w:ascii="宋体" w:hAnsi="宋体" w:cs="Arial"/>
          <w:b/>
          <w:color w:val="auto"/>
          <w:spacing w:val="0"/>
          <w:highlight w:val="none"/>
        </w:rPr>
        <w:t>专用合同条款</w:t>
      </w:r>
      <w:bookmarkEnd w:id="24"/>
      <w:bookmarkEnd w:id="25"/>
    </w:p>
    <w:p>
      <w:pPr>
        <w:pStyle w:val="9"/>
        <w:numPr>
          <w:ilvl w:val="3"/>
          <w:numId w:val="0"/>
        </w:numPr>
        <w:spacing w:line="380" w:lineRule="exact"/>
        <w:rPr>
          <w:rFonts w:hint="eastAsia" w:ascii="宋体" w:hAnsi="宋体" w:eastAsia="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 一般约定</w:t>
      </w:r>
    </w:p>
    <w:p>
      <w:pPr>
        <w:pStyle w:val="10"/>
        <w:tabs>
          <w:tab w:val="left" w:pos="0"/>
          <w:tab w:val="clear" w:pos="1008"/>
        </w:tabs>
        <w:suppressAutoHyphens/>
        <w:spacing w:before="0" w:after="0" w:line="380" w:lineRule="exact"/>
        <w:rPr>
          <w:rFonts w:hint="eastAsia" w:ascii="宋体" w:hAnsi="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1.1 词语定义</w:t>
      </w:r>
    </w:p>
    <w:p>
      <w:pPr>
        <w:pStyle w:val="2"/>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 合同当事人和人员</w:t>
      </w:r>
    </w:p>
    <w:p>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1.1.2.2 发包人：</w:t>
      </w:r>
      <w:r>
        <w:rPr>
          <w:rFonts w:hint="eastAsia" w:ascii="宋体" w:hAnsi="宋体" w:cs="宋体"/>
          <w:snapToGrid w:val="0"/>
          <w:color w:val="auto"/>
          <w:spacing w:val="0"/>
          <w:sz w:val="21"/>
          <w:szCs w:val="21"/>
          <w:highlight w:val="none"/>
          <w:u w:val="single"/>
          <w:lang w:eastAsia="zh-CN"/>
        </w:rPr>
        <w:t xml:space="preserve">三门县蛇蟠乡人民政府    </w:t>
      </w:r>
      <w:r>
        <w:rPr>
          <w:rFonts w:hint="eastAsia" w:ascii="宋体" w:hAnsi="宋体" w:cs="宋体"/>
          <w:snapToGrid w:val="0"/>
          <w:color w:val="auto"/>
          <w:spacing w:val="0"/>
          <w:sz w:val="21"/>
          <w:szCs w:val="21"/>
          <w:highlight w:val="none"/>
          <w:u w:val="single"/>
        </w:rPr>
        <w:t>。</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1.1.2.3 承包人：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snapToGrid w:val="0"/>
          <w:color w:val="auto"/>
          <w:spacing w:val="0"/>
          <w:sz w:val="21"/>
          <w:szCs w:val="21"/>
          <w:highlight w:val="none"/>
        </w:rPr>
        <w:t>（签约后填入）。</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1.1.2.5 分包人：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snapToGrid w:val="0"/>
          <w:color w:val="auto"/>
          <w:spacing w:val="0"/>
          <w:sz w:val="21"/>
          <w:szCs w:val="21"/>
          <w:highlight w:val="none"/>
        </w:rPr>
        <w:t>（签约后填入）。</w:t>
      </w:r>
    </w:p>
    <w:p>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1.1.2.6 监理人：</w:t>
      </w:r>
      <w:r>
        <w:rPr>
          <w:rFonts w:hint="eastAsia" w:ascii="宋体" w:hAnsi="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1.1.3 工程和设备</w:t>
      </w:r>
    </w:p>
    <w:p>
      <w:pPr>
        <w:tabs>
          <w:tab w:val="left" w:pos="36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1.1.3.4 单位工程：指经工程质量监督机构确认的工程项目划分表中确定的具有独立发挥作用或独立施工条件的永久建筑物。</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1.1.4 日期</w:t>
      </w:r>
    </w:p>
    <w:p>
      <w:pPr>
        <w:spacing w:line="380" w:lineRule="exact"/>
        <w:ind w:firstLine="420" w:firstLineChars="200"/>
        <w:rPr>
          <w:rFonts w:hint="eastAsia" w:ascii="宋体" w:hAnsi="宋体" w:cs="宋体"/>
          <w:b/>
          <w:bCs/>
          <w:color w:val="auto"/>
          <w:spacing w:val="0"/>
          <w:sz w:val="21"/>
          <w:szCs w:val="21"/>
          <w:highlight w:val="none"/>
        </w:rPr>
      </w:pPr>
      <w:r>
        <w:rPr>
          <w:rFonts w:hint="eastAsia" w:ascii="宋体" w:hAnsi="宋体" w:cs="宋体"/>
          <w:color w:val="auto"/>
          <w:spacing w:val="0"/>
          <w:sz w:val="21"/>
          <w:szCs w:val="21"/>
          <w:highlight w:val="none"/>
        </w:rPr>
        <w:t>1.1.4.5缺陷责任期（工程质量保修期）：</w:t>
      </w:r>
      <w:r>
        <w:rPr>
          <w:rFonts w:hint="eastAsia" w:ascii="宋体" w:hAnsi="宋体" w:cs="宋体"/>
          <w:b/>
          <w:bCs/>
          <w:snapToGrid w:val="0"/>
          <w:color w:val="auto"/>
          <w:spacing w:val="0"/>
          <w:sz w:val="21"/>
          <w:szCs w:val="21"/>
          <w:highlight w:val="none"/>
          <w:u w:val="single"/>
        </w:rPr>
        <w:t>本工程缺陷责任期为1年（完工验收合格之日起）</w:t>
      </w:r>
      <w:r>
        <w:rPr>
          <w:rFonts w:hint="eastAsia" w:ascii="宋体" w:hAnsi="宋体" w:cs="宋体"/>
          <w:b/>
          <w:bCs/>
          <w:color w:val="auto"/>
          <w:spacing w:val="0"/>
          <w:sz w:val="21"/>
          <w:szCs w:val="21"/>
          <w:highlight w:val="none"/>
        </w:rPr>
        <w:t>。</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1.1.6 其他</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1.1.6.2 完工验收：</w:t>
      </w:r>
      <w:r>
        <w:rPr>
          <w:rFonts w:hint="eastAsia" w:ascii="宋体" w:hAnsi="宋体" w:cs="宋体"/>
          <w:color w:val="auto"/>
          <w:spacing w:val="0"/>
          <w:sz w:val="21"/>
          <w:szCs w:val="21"/>
          <w:highlight w:val="none"/>
          <w:u w:val="single"/>
        </w:rPr>
        <w:t>指《水利水电建设工程验收规程》中的合同工程完工验收。通用合同条款中“竣工验收”一词具有相同含义。</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1.4 合同文件的优先顺序</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除合同另有规定外，解释合同文件的优先顺序如下：</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（1）协议书（包括补充协议书）；</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（2）中标通知书；</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（3）投标函及投标函附录；</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（4）招投标文件澄清问题、澄清问题的复函、补充通知等相关资料；</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（5）专用合同条款；</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（6）通用合同条款；</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（7）技术标准和要求； </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（8）图纸； </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（9）已标价的工程量清单</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（10）经双方确认进入合同的其他文件。</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1.7 联络</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1.7.2 来往函件均应按技术标准和要求（合同技术条款）约定的期限送达：</w:t>
      </w:r>
      <w:r>
        <w:rPr>
          <w:rFonts w:hint="eastAsia" w:ascii="宋体" w:hAnsi="宋体" w:cs="宋体"/>
          <w:snapToGrid w:val="0"/>
          <w:color w:val="auto"/>
          <w:spacing w:val="0"/>
          <w:sz w:val="21"/>
          <w:szCs w:val="21"/>
          <w:highlight w:val="none"/>
          <w:u w:val="single"/>
          <w:lang w:eastAsia="zh-CN"/>
        </w:rPr>
        <w:t xml:space="preserve">三门县蛇蟠乡人民政府    </w:t>
      </w:r>
      <w:r>
        <w:rPr>
          <w:rFonts w:hint="eastAsia" w:ascii="宋体" w:hAnsi="宋体" w:cs="宋体"/>
          <w:color w:val="auto"/>
          <w:spacing w:val="0"/>
          <w:sz w:val="21"/>
          <w:szCs w:val="21"/>
          <w:highlight w:val="none"/>
        </w:rPr>
        <w:t>。</w:t>
      </w:r>
    </w:p>
    <w:p>
      <w:pPr>
        <w:pStyle w:val="9"/>
        <w:numPr>
          <w:ilvl w:val="3"/>
          <w:numId w:val="0"/>
        </w:numPr>
        <w:spacing w:line="380" w:lineRule="exact"/>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2 发包人义务</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2.3 提供施工场地</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2.3.2发包人提供的用地范围：</w:t>
      </w:r>
      <w:r>
        <w:rPr>
          <w:rFonts w:hint="eastAsia" w:ascii="宋体" w:hAnsi="宋体" w:cs="宋体"/>
          <w:color w:val="auto"/>
          <w:spacing w:val="0"/>
          <w:sz w:val="21"/>
          <w:szCs w:val="21"/>
          <w:highlight w:val="none"/>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cs="宋体"/>
          <w:color w:val="auto"/>
          <w:spacing w:val="0"/>
          <w:sz w:val="21"/>
          <w:szCs w:val="21"/>
          <w:highlight w:val="none"/>
        </w:rPr>
        <w:t>承包人自行勘察的施工场地范围：</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 xml:space="preserve"> 。 </w:t>
      </w:r>
    </w:p>
    <w:p>
      <w:pPr>
        <w:pStyle w:val="9"/>
        <w:numPr>
          <w:ilvl w:val="3"/>
          <w:numId w:val="0"/>
        </w:numPr>
        <w:spacing w:line="380" w:lineRule="exact"/>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3 监理人</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3.1 监理人的职责和权力</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3.1.1监理人须根据发包人事先批准的权力范围行使权力，需经发包人批准的权利范围：</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（1）按第4.3款约定，批准工程的分包；</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（2）按第11.3款约定，确定延长完工期限；</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（3）按第15.4条规定，批准因变更而变动的单价和合价；</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（4）按第15.6款约定，批准</w:t>
      </w:r>
      <w:r>
        <w:rPr>
          <w:rFonts w:hint="eastAsia" w:ascii="宋体" w:hAnsi="宋体" w:cs="宋体"/>
          <w:snapToGrid w:val="0"/>
          <w:color w:val="auto"/>
          <w:spacing w:val="0"/>
          <w:sz w:val="21"/>
          <w:szCs w:val="21"/>
          <w:highlight w:val="none"/>
        </w:rPr>
        <w:t>预留金</w:t>
      </w:r>
      <w:r>
        <w:rPr>
          <w:rFonts w:hint="eastAsia" w:ascii="宋体" w:hAnsi="宋体" w:cs="宋体"/>
          <w:color w:val="auto"/>
          <w:spacing w:val="0"/>
          <w:sz w:val="21"/>
          <w:szCs w:val="21"/>
          <w:highlight w:val="none"/>
        </w:rPr>
        <w:t>的使用；</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（5）按第23款约定，作出索赔的处理的决定；</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（6）批准承包人主要管理人员（项目负责人、项目技术负责人、专职安全生产管理人员、安全员、质检员、施工员等）的调动和重要设备的调遣；</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（7）作出其他影响工期、质量、合同价格等其他重大决定。</w:t>
      </w:r>
    </w:p>
    <w:p>
      <w:pPr>
        <w:widowControl/>
        <w:spacing w:line="380" w:lineRule="exact"/>
        <w:ind w:firstLine="420" w:firstLineChars="200"/>
        <w:jc w:val="left"/>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4 承包人</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4.1 承包人一般义务</w:t>
      </w:r>
    </w:p>
    <w:p>
      <w:pPr>
        <w:spacing w:line="380" w:lineRule="exact"/>
        <w:ind w:firstLine="420" w:firstLineChars="200"/>
        <w:rPr>
          <w:rFonts w:hint="eastAsia" w:ascii="宋体" w:hAnsi="宋体" w:cs="宋体"/>
          <w:i/>
          <w:snapToGrid w:val="0"/>
          <w:color w:val="auto"/>
          <w:spacing w:val="0"/>
          <w:sz w:val="21"/>
          <w:szCs w:val="21"/>
          <w:highlight w:val="none"/>
        </w:rPr>
      </w:pPr>
      <w:r>
        <w:rPr>
          <w:rFonts w:hint="eastAsia" w:ascii="宋体" w:hAnsi="宋体" w:cs="宋体"/>
          <w:snapToGrid w:val="0"/>
          <w:color w:val="auto"/>
          <w:spacing w:val="0"/>
          <w:sz w:val="21"/>
          <w:szCs w:val="21"/>
          <w:highlight w:val="none"/>
        </w:rPr>
        <w:t>4.1.10 其它义务</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（2）承包人应根据工程施工情况及监理人的指令，及时向监理人提交开工报告、测量报告、试验检验报告、隐蔽工程验收通知、工程质量自检报告、竣工验收申请报告及工程事故报告等。</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（3）必须接受发包人、监理单位的管理，并为其开展工作和生活提供方便，按照要求提供完整真实的原始数据、检测记录等技术资料及各种报表。承包人应执行发包人对工程管理所制定的各项管理制度。</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4）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6）本工程完工验收通过后15日内，承包人应自行拆除施工临时设施，撤退施工机械设备并清理场地，修复场内的交通道路，撤离所有施工人员。如因承包人未按要求拆除施工临时设施，撤退施工机械设备并清理场地，将由发包人委托第三方对其清理，所发生的费用将从应付给承包人的任何款项内扣除。</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（7）承包人在工程实施中应按照水利部、台州市相关文件资料归档要求及时整理施工过程中的相关资料，做好资料归档工作，并根据发包人的要求按时提供（</w:t>
      </w:r>
      <w:r>
        <w:rPr>
          <w:rFonts w:hint="eastAsia" w:ascii="宋体" w:hAnsi="宋体" w:cs="宋体"/>
          <w:bCs/>
          <w:snapToGrid w:val="0"/>
          <w:color w:val="auto"/>
          <w:spacing w:val="0"/>
          <w:sz w:val="21"/>
          <w:szCs w:val="21"/>
          <w:highlight w:val="none"/>
        </w:rPr>
        <w:t>竣工资料提供4套</w:t>
      </w:r>
      <w:r>
        <w:rPr>
          <w:rFonts w:hint="eastAsia" w:ascii="宋体" w:hAnsi="宋体" w:cs="宋体"/>
          <w:snapToGrid w:val="0"/>
          <w:color w:val="auto"/>
          <w:spacing w:val="0"/>
          <w:sz w:val="21"/>
          <w:szCs w:val="21"/>
          <w:highlight w:val="none"/>
        </w:rPr>
        <w:t>），该项工作作为合同履约的组成部分。</w:t>
      </w:r>
      <w:r>
        <w:rPr>
          <w:rFonts w:hint="eastAsia" w:ascii="宋体" w:hAnsi="宋体" w:cs="宋体"/>
          <w:bCs/>
          <w:snapToGrid w:val="0"/>
          <w:color w:val="auto"/>
          <w:spacing w:val="0"/>
          <w:sz w:val="21"/>
          <w:szCs w:val="21"/>
          <w:highlight w:val="none"/>
        </w:rPr>
        <w:t xml:space="preserve"> </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（8）在保修期内要及时做好回访工作，需保修责任范围的事项应及时按质检标准修好。</w:t>
      </w:r>
    </w:p>
    <w:p>
      <w:pPr>
        <w:tabs>
          <w:tab w:val="left" w:pos="2790"/>
        </w:tabs>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9）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pPr>
        <w:tabs>
          <w:tab w:val="left" w:pos="2790"/>
        </w:tabs>
        <w:snapToGrid w:val="0"/>
        <w:spacing w:line="420" w:lineRule="exact"/>
        <w:ind w:firstLine="420" w:firstLineChars="200"/>
        <w:rPr>
          <w:rFonts w:hint="eastAsia" w:ascii="宋体" w:hAnsi="宋体" w:eastAsia="宋体" w:cs="宋体"/>
          <w:bCs/>
          <w:snapToGrid w:val="0"/>
          <w:color w:val="auto"/>
          <w:spacing w:val="0"/>
          <w:sz w:val="21"/>
          <w:szCs w:val="21"/>
          <w:highlight w:val="none"/>
          <w:lang w:eastAsia="zh-CN"/>
        </w:rPr>
      </w:pPr>
      <w:r>
        <w:rPr>
          <w:rFonts w:hint="eastAsia" w:ascii="宋体" w:hAnsi="宋体" w:eastAsia="宋体" w:cs="宋体"/>
          <w:bCs/>
          <w:snapToGrid w:val="0"/>
          <w:color w:val="auto"/>
          <w:spacing w:val="0"/>
          <w:sz w:val="21"/>
          <w:szCs w:val="21"/>
          <w:highlight w:val="none"/>
        </w:rPr>
        <w:t>（</w:t>
      </w:r>
      <w:r>
        <w:rPr>
          <w:rFonts w:hint="eastAsia" w:ascii="宋体" w:hAnsi="宋体" w:eastAsia="宋体" w:cs="宋体"/>
          <w:bCs/>
          <w:snapToGrid w:val="0"/>
          <w:color w:val="auto"/>
          <w:spacing w:val="0"/>
          <w:sz w:val="21"/>
          <w:szCs w:val="21"/>
          <w:highlight w:val="none"/>
          <w:lang w:val="en-US" w:eastAsia="zh-CN"/>
        </w:rPr>
        <w:t>10</w:t>
      </w:r>
      <w:r>
        <w:rPr>
          <w:rFonts w:hint="eastAsia" w:ascii="宋体" w:hAnsi="宋体" w:eastAsia="宋体" w:cs="宋体"/>
          <w:bCs/>
          <w:snapToGrid w:val="0"/>
          <w:color w:val="auto"/>
          <w:spacing w:val="0"/>
          <w:sz w:val="21"/>
          <w:szCs w:val="21"/>
          <w:highlight w:val="none"/>
        </w:rPr>
        <w:t>）</w:t>
      </w:r>
      <w:r>
        <w:rPr>
          <w:rFonts w:hint="eastAsia" w:ascii="宋体" w:hAnsi="宋体" w:eastAsia="宋体" w:cs="宋体"/>
          <w:bCs/>
          <w:snapToGrid w:val="0"/>
          <w:color w:val="auto"/>
          <w:spacing w:val="0"/>
          <w:sz w:val="21"/>
          <w:szCs w:val="21"/>
          <w:highlight w:val="none"/>
          <w:lang w:eastAsia="zh-CN"/>
        </w:rPr>
        <w:t>如采用库区利用料，承包人应考虑利用料的筛选、翻晒等相关措施，符合设计要求后再进行施工。</w:t>
      </w:r>
    </w:p>
    <w:p>
      <w:pPr>
        <w:tabs>
          <w:tab w:val="left" w:pos="2790"/>
        </w:tabs>
        <w:snapToGrid w:val="0"/>
        <w:spacing w:line="420" w:lineRule="exact"/>
        <w:ind w:firstLine="420" w:firstLineChars="200"/>
        <w:rPr>
          <w:rFonts w:hint="eastAsia"/>
          <w:color w:val="auto"/>
          <w:spacing w:val="0"/>
          <w:highlight w:val="none"/>
        </w:rPr>
      </w:pPr>
      <w:r>
        <w:rPr>
          <w:rFonts w:hint="eastAsia" w:ascii="宋体" w:hAnsi="宋体" w:eastAsia="宋体" w:cs="宋体"/>
          <w:bCs/>
          <w:snapToGrid w:val="0"/>
          <w:color w:val="auto"/>
          <w:spacing w:val="0"/>
          <w:sz w:val="21"/>
          <w:szCs w:val="21"/>
          <w:highlight w:val="none"/>
          <w:lang w:val="en-US" w:eastAsia="zh-CN"/>
        </w:rPr>
        <w:t>（11）配合做好虹吸管、水文、监测等安装，服从监理统一调度。</w:t>
      </w:r>
    </w:p>
    <w:p>
      <w:pPr>
        <w:tabs>
          <w:tab w:val="left" w:pos="2790"/>
        </w:tabs>
        <w:snapToGrid w:val="0"/>
        <w:spacing w:line="420" w:lineRule="exact"/>
        <w:ind w:firstLine="420" w:firstLineChars="200"/>
        <w:rPr>
          <w:rFonts w:hint="eastAsia" w:ascii="宋体" w:hAnsi="宋体" w:cs="宋体"/>
          <w:color w:val="auto"/>
          <w:spacing w:val="0"/>
          <w:sz w:val="21"/>
          <w:szCs w:val="21"/>
          <w:highlight w:val="none"/>
        </w:rPr>
      </w:pPr>
      <w:r>
        <w:rPr>
          <w:rFonts w:hint="eastAsia" w:ascii="宋体" w:hAnsi="宋体" w:cs="宋体"/>
          <w:bCs/>
          <w:snapToGrid w:val="0"/>
          <w:color w:val="auto"/>
          <w:spacing w:val="0"/>
          <w:sz w:val="21"/>
          <w:szCs w:val="21"/>
          <w:highlight w:val="none"/>
        </w:rPr>
        <w:t>（</w:t>
      </w:r>
      <w:r>
        <w:rPr>
          <w:rFonts w:hint="eastAsia" w:ascii="宋体" w:hAnsi="宋体" w:cs="宋体"/>
          <w:bCs/>
          <w:snapToGrid w:val="0"/>
          <w:color w:val="auto"/>
          <w:spacing w:val="0"/>
          <w:sz w:val="21"/>
          <w:szCs w:val="21"/>
          <w:highlight w:val="none"/>
          <w:lang w:val="en-US" w:eastAsia="zh-CN"/>
        </w:rPr>
        <w:t>12</w:t>
      </w:r>
      <w:r>
        <w:rPr>
          <w:rFonts w:hint="eastAsia" w:ascii="宋体" w:hAnsi="宋体" w:cs="宋体"/>
          <w:bCs/>
          <w:snapToGrid w:val="0"/>
          <w:color w:val="auto"/>
          <w:spacing w:val="0"/>
          <w:sz w:val="21"/>
          <w:szCs w:val="21"/>
          <w:highlight w:val="none"/>
        </w:rPr>
        <w:t>）</w:t>
      </w:r>
      <w:r>
        <w:rPr>
          <w:rFonts w:hint="eastAsia" w:ascii="宋体" w:hAnsi="宋体" w:cs="宋体"/>
          <w:color w:val="auto"/>
          <w:spacing w:val="0"/>
          <w:sz w:val="21"/>
          <w:szCs w:val="21"/>
          <w:highlight w:val="none"/>
        </w:rPr>
        <w:t>建设期间需配合上级检查，如因承包方原因导致工程存在隐患被上级通报，每次违约扣除2万。</w:t>
      </w:r>
    </w:p>
    <w:p>
      <w:pPr>
        <w:tabs>
          <w:tab w:val="left" w:pos="2790"/>
        </w:tabs>
        <w:snapToGrid w:val="0"/>
        <w:spacing w:line="420" w:lineRule="exact"/>
        <w:ind w:firstLine="420" w:firstLineChars="200"/>
        <w:rPr>
          <w:rFonts w:hint="eastAsia" w:ascii="宋体" w:hAnsi="宋体" w:eastAsia="宋体" w:cs="宋体"/>
          <w:bCs/>
          <w:snapToGrid w:val="0"/>
          <w:color w:val="auto"/>
          <w:spacing w:val="0"/>
          <w:sz w:val="21"/>
          <w:szCs w:val="21"/>
          <w:highlight w:val="none"/>
          <w:lang w:val="en-US" w:eastAsia="zh-CN"/>
        </w:rPr>
      </w:pPr>
      <w:r>
        <w:rPr>
          <w:rFonts w:hint="eastAsia" w:ascii="宋体" w:hAnsi="宋体" w:eastAsia="宋体" w:cs="宋体"/>
          <w:bCs/>
          <w:snapToGrid w:val="0"/>
          <w:color w:val="auto"/>
          <w:spacing w:val="0"/>
          <w:sz w:val="21"/>
          <w:szCs w:val="21"/>
          <w:highlight w:val="none"/>
          <w:lang w:val="en-US" w:eastAsia="zh-CN"/>
        </w:rPr>
        <w:t>（13）民工工资支付担保的相关约定： 按三人社〔2019〕41 号关于全面治理拖欠农民工工资问题的实施意见执行 。</w:t>
      </w:r>
    </w:p>
    <w:p>
      <w:pPr>
        <w:tabs>
          <w:tab w:val="left" w:pos="2790"/>
        </w:tabs>
        <w:snapToGrid w:val="0"/>
        <w:spacing w:line="420" w:lineRule="exact"/>
        <w:ind w:firstLine="420" w:firstLineChars="200"/>
        <w:rPr>
          <w:rFonts w:hint="eastAsia" w:ascii="宋体" w:hAnsi="宋体" w:cs="宋体"/>
          <w:color w:val="auto"/>
          <w:spacing w:val="0"/>
          <w:sz w:val="21"/>
          <w:szCs w:val="21"/>
          <w:highlight w:val="none"/>
        </w:rPr>
      </w:pPr>
      <w:r>
        <w:rPr>
          <w:rFonts w:hint="eastAsia" w:ascii="宋体" w:hAnsi="宋体" w:cs="宋体"/>
          <w:bCs/>
          <w:snapToGrid w:val="0"/>
          <w:color w:val="auto"/>
          <w:spacing w:val="0"/>
          <w:sz w:val="21"/>
          <w:szCs w:val="21"/>
          <w:highlight w:val="none"/>
        </w:rPr>
        <w:t>上述⑴至(</w:t>
      </w:r>
      <w:r>
        <w:rPr>
          <w:rFonts w:hint="eastAsia" w:ascii="宋体" w:hAnsi="宋体" w:cs="宋体"/>
          <w:bCs/>
          <w:snapToGrid w:val="0"/>
          <w:color w:val="auto"/>
          <w:spacing w:val="0"/>
          <w:sz w:val="21"/>
          <w:szCs w:val="21"/>
          <w:highlight w:val="none"/>
          <w:lang w:val="en-US" w:eastAsia="zh-CN"/>
        </w:rPr>
        <w:t>11</w:t>
      </w:r>
      <w:r>
        <w:rPr>
          <w:rFonts w:hint="eastAsia" w:ascii="宋体" w:hAnsi="宋体" w:cs="宋体"/>
          <w:bCs/>
          <w:snapToGrid w:val="0"/>
          <w:color w:val="auto"/>
          <w:spacing w:val="0"/>
          <w:sz w:val="21"/>
          <w:szCs w:val="21"/>
          <w:highlight w:val="none"/>
        </w:rPr>
        <w:t>)各条款涉及的各类费用均应列入相关报价中，发包人不再向承包人另行支付。如因此类原因导致工期延误，工期不予顺延，并由承包人承担相应的责任及费用。</w:t>
      </w:r>
    </w:p>
    <w:p>
      <w:pPr>
        <w:pStyle w:val="10"/>
        <w:tabs>
          <w:tab w:val="left" w:pos="0"/>
          <w:tab w:val="clear" w:pos="1008"/>
        </w:tabs>
        <w:suppressAutoHyphens/>
        <w:snapToGrid w:val="0"/>
        <w:spacing w:before="0" w:after="0" w:line="420" w:lineRule="exact"/>
        <w:rPr>
          <w:rFonts w:ascii="宋体" w:hAnsi="宋体"/>
          <w:snapToGrid w:val="0"/>
          <w:color w:val="auto"/>
          <w:spacing w:val="0"/>
          <w:sz w:val="21"/>
          <w:szCs w:val="21"/>
          <w:highlight w:val="none"/>
        </w:rPr>
      </w:pPr>
      <w:r>
        <w:rPr>
          <w:rStyle w:val="102"/>
          <w:rFonts w:ascii="宋体" w:hAnsi="宋体" w:eastAsia="宋体"/>
          <w:b w:val="0"/>
          <w:bCs/>
          <w:color w:val="auto"/>
          <w:spacing w:val="0"/>
          <w:sz w:val="21"/>
          <w:szCs w:val="21"/>
          <w:highlight w:val="none"/>
        </w:rPr>
        <w:t>4.2</w:t>
      </w:r>
      <w:r>
        <w:rPr>
          <w:rStyle w:val="102"/>
          <w:rFonts w:hint="eastAsia" w:ascii="宋体" w:hAnsi="宋体" w:eastAsia="宋体"/>
          <w:b w:val="0"/>
          <w:bCs/>
          <w:color w:val="auto"/>
          <w:spacing w:val="0"/>
          <w:sz w:val="21"/>
          <w:szCs w:val="21"/>
          <w:highlight w:val="none"/>
        </w:rPr>
        <w:t>履约担保</w:t>
      </w:r>
      <w:r>
        <w:rPr>
          <w:rStyle w:val="102"/>
          <w:rFonts w:hint="eastAsia" w:ascii="宋体" w:hAnsi="宋体"/>
          <w:b w:val="0"/>
          <w:bCs/>
          <w:color w:val="auto"/>
          <w:spacing w:val="0"/>
          <w:sz w:val="21"/>
          <w:szCs w:val="21"/>
          <w:highlight w:val="none"/>
        </w:rPr>
        <w:t>：</w:t>
      </w:r>
      <w:r>
        <w:rPr>
          <w:rStyle w:val="102"/>
          <w:rFonts w:hint="eastAsia" w:ascii="宋体" w:hAnsi="宋体"/>
          <w:b w:val="0"/>
          <w:bCs/>
          <w:color w:val="auto"/>
          <w:spacing w:val="0"/>
          <w:sz w:val="21"/>
          <w:szCs w:val="21"/>
          <w:highlight w:val="none"/>
          <w:lang w:val="en-US"/>
        </w:rPr>
        <w:t xml:space="preserve"> </w:t>
      </w:r>
      <w:r>
        <w:rPr>
          <w:rFonts w:hint="eastAsia" w:ascii="宋体" w:hAnsi="宋体" w:cs="宋体"/>
          <w:b w:val="0"/>
          <w:bCs w:val="0"/>
          <w:color w:val="auto"/>
          <w:spacing w:val="0"/>
          <w:kern w:val="2"/>
          <w:sz w:val="21"/>
          <w:szCs w:val="21"/>
          <w:highlight w:val="none"/>
          <w:u w:val="single"/>
          <w:lang w:val="en-US" w:eastAsia="zh-CN" w:bidi="ar-SA"/>
        </w:rPr>
        <w:t>/</w:t>
      </w:r>
      <w:r>
        <w:rPr>
          <w:rFonts w:hint="eastAsia" w:ascii="宋体" w:hAnsi="宋体" w:eastAsia="宋体" w:cs="宋体"/>
          <w:b w:val="0"/>
          <w:bCs w:val="0"/>
          <w:color w:val="auto"/>
          <w:spacing w:val="0"/>
          <w:kern w:val="2"/>
          <w:sz w:val="21"/>
          <w:szCs w:val="21"/>
          <w:highlight w:val="none"/>
          <w:u w:val="single"/>
          <w:lang w:val="en-US" w:eastAsia="zh-CN" w:bidi="ar-SA"/>
        </w:rPr>
        <w:t>。</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4.3 分包</w:t>
      </w:r>
    </w:p>
    <w:p>
      <w:pPr>
        <w:pStyle w:val="179"/>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4.3.2 允许承包人分包的工程项目、工作内容与分包金额限额为：</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（1）工程项目：</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pPr>
        <w:widowControl/>
        <w:spacing w:line="380" w:lineRule="exact"/>
        <w:ind w:firstLine="480"/>
        <w:textAlignment w:val="bottom"/>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（2）工作内容：</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pPr>
        <w:widowControl/>
        <w:spacing w:line="380" w:lineRule="exact"/>
        <w:ind w:firstLine="480"/>
        <w:textAlignment w:val="bottom"/>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（3）分包金额限额：</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4.3.10 分包人项目管理机构的设立：</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4.5 承包人项目负责人</w:t>
      </w:r>
    </w:p>
    <w:p>
      <w:pPr>
        <w:keepNext w:val="0"/>
        <w:keepLines w:val="0"/>
        <w:pageBreakBefore w:val="0"/>
        <w:widowControl w:val="0"/>
        <w:tabs>
          <w:tab w:val="left" w:pos="2790"/>
        </w:tabs>
        <w:kinsoku/>
        <w:wordWrap/>
        <w:overflowPunct/>
        <w:topLinePunct w:val="0"/>
        <w:autoSpaceDE w:val="0"/>
        <w:autoSpaceDN w:val="0"/>
        <w:bidi w:val="0"/>
        <w:adjustRightInd/>
        <w:snapToGrid/>
        <w:spacing w:line="380" w:lineRule="exact"/>
        <w:ind w:firstLine="48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本章4.5.5款补充：</w:t>
      </w:r>
    </w:p>
    <w:p>
      <w:pPr>
        <w:keepNext w:val="0"/>
        <w:keepLines w:val="0"/>
        <w:pageBreakBefore w:val="0"/>
        <w:widowControl w:val="0"/>
        <w:tabs>
          <w:tab w:val="left" w:pos="2790"/>
        </w:tabs>
        <w:kinsoku/>
        <w:wordWrap/>
        <w:overflowPunct/>
        <w:topLinePunct w:val="0"/>
        <w:autoSpaceDE w:val="0"/>
        <w:autoSpaceDN w:val="0"/>
        <w:bidi w:val="0"/>
        <w:adjustRightInd/>
        <w:snapToGrid/>
        <w:spacing w:line="380" w:lineRule="exact"/>
        <w:ind w:firstLine="482"/>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项目负责人每月驻工地的天数不少于22天，每少一天支付违约金</w:t>
      </w:r>
      <w:r>
        <w:rPr>
          <w:rFonts w:hint="eastAsia" w:ascii="宋体" w:hAnsi="宋体" w:cs="宋体"/>
          <w:color w:val="auto"/>
          <w:spacing w:val="0"/>
          <w:sz w:val="21"/>
          <w:szCs w:val="21"/>
          <w:highlight w:val="none"/>
          <w:lang w:val="en-US" w:eastAsia="zh-CN"/>
        </w:rPr>
        <w:t>10</w:t>
      </w:r>
      <w:r>
        <w:rPr>
          <w:rFonts w:hint="eastAsia" w:ascii="宋体" w:hAnsi="宋体" w:cs="宋体"/>
          <w:color w:val="auto"/>
          <w:spacing w:val="0"/>
          <w:sz w:val="21"/>
          <w:szCs w:val="21"/>
          <w:highlight w:val="none"/>
        </w:rPr>
        <w:t>00元，但扣款最终的累计总金额不应超过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 xml:space="preserve">万元。 </w:t>
      </w:r>
      <w:r>
        <w:rPr>
          <w:rFonts w:ascii="宋体" w:hAnsi="宋体"/>
          <w:color w:val="auto"/>
          <w:spacing w:val="0"/>
          <w:sz w:val="21"/>
          <w:szCs w:val="21"/>
          <w:highlight w:val="none"/>
        </w:rPr>
        <w:t>另遇有工程检查、验收或参观等活动时，无特殊原因不得离开施工现场。</w:t>
      </w:r>
    </w:p>
    <w:p>
      <w:pPr>
        <w:pStyle w:val="3"/>
        <w:keepNext w:val="0"/>
        <w:keepLines w:val="0"/>
        <w:pageBreakBefore w:val="0"/>
        <w:widowControl w:val="0"/>
        <w:kinsoku/>
        <w:wordWrap/>
        <w:overflowPunct/>
        <w:topLinePunct w:val="0"/>
        <w:autoSpaceDE w:val="0"/>
        <w:autoSpaceDN w:val="0"/>
        <w:bidi w:val="0"/>
        <w:adjustRightInd/>
        <w:snapToGrid/>
        <w:spacing w:after="0" w:line="380" w:lineRule="exact"/>
        <w:ind w:firstLine="482" w:firstLineChars="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上述违约金在当月工程进度款中直接扣除，在工地工作天数按监理人实际考勤记录为准。</w:t>
      </w:r>
    </w:p>
    <w:p>
      <w:pPr>
        <w:keepNext w:val="0"/>
        <w:keepLines w:val="0"/>
        <w:pageBreakBefore w:val="0"/>
        <w:widowControl w:val="0"/>
        <w:kinsoku/>
        <w:wordWrap/>
        <w:overflowPunct/>
        <w:topLinePunct w:val="0"/>
        <w:autoSpaceDE w:val="0"/>
        <w:autoSpaceDN w:val="0"/>
        <w:bidi w:val="0"/>
        <w:adjustRightInd/>
        <w:snapToGrid/>
        <w:spacing w:line="380" w:lineRule="exact"/>
        <w:ind w:firstLine="480"/>
        <w:textAlignment w:val="baseline"/>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承包人的项目负责人连续</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u w:val="single"/>
          <w:lang w:val="en-US" w:eastAsia="zh-CN"/>
        </w:rPr>
        <w:t>6</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个月及以上每月驻工地的天数少于</w:t>
      </w:r>
      <w:r>
        <w:rPr>
          <w:rFonts w:hint="eastAsia" w:ascii="宋体" w:hAnsi="宋体" w:cs="宋体"/>
          <w:color w:val="auto"/>
          <w:spacing w:val="0"/>
          <w:sz w:val="21"/>
          <w:szCs w:val="21"/>
          <w:highlight w:val="none"/>
          <w:u w:val="single"/>
        </w:rPr>
        <w:t xml:space="preserve"> 22 </w:t>
      </w:r>
      <w:r>
        <w:rPr>
          <w:rFonts w:hint="eastAsia" w:ascii="宋体" w:hAnsi="宋体" w:cs="宋体"/>
          <w:color w:val="auto"/>
          <w:spacing w:val="0"/>
          <w:sz w:val="21"/>
          <w:szCs w:val="21"/>
          <w:highlight w:val="none"/>
        </w:rPr>
        <w:t>天，发包人有权解除合同。</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4.6 承包人人员的管理</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补充4.6.5款补充：</w:t>
      </w:r>
    </w:p>
    <w:p>
      <w:pPr>
        <w:tabs>
          <w:tab w:val="left" w:pos="2790"/>
        </w:tabs>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项目技术负责人每月驻工地的天数不少于22天，每少一天支付违约金500元，但扣款最终的累计总金额不应超过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万元。</w:t>
      </w:r>
    </w:p>
    <w:p>
      <w:pPr>
        <w:tabs>
          <w:tab w:val="left" w:pos="2790"/>
        </w:tabs>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项目安全员、质检员、施工员、专职安全生产管理人员每人每月驻工地的天数不少于22天，每人每少一天支付违约金</w:t>
      </w:r>
      <w:r>
        <w:rPr>
          <w:rFonts w:hint="eastAsia" w:ascii="宋体" w:hAnsi="宋体" w:cs="宋体"/>
          <w:color w:val="auto"/>
          <w:spacing w:val="0"/>
          <w:sz w:val="21"/>
          <w:szCs w:val="21"/>
          <w:highlight w:val="none"/>
          <w:u w:val="single"/>
          <w:lang w:val="en-US" w:eastAsia="zh-CN"/>
        </w:rPr>
        <w:t>5</w:t>
      </w:r>
      <w:r>
        <w:rPr>
          <w:rFonts w:hint="eastAsia" w:ascii="宋体" w:hAnsi="宋体" w:cs="宋体"/>
          <w:color w:val="auto"/>
          <w:spacing w:val="0"/>
          <w:sz w:val="21"/>
          <w:szCs w:val="21"/>
          <w:highlight w:val="none"/>
          <w:u w:val="single"/>
        </w:rPr>
        <w:t>00</w:t>
      </w:r>
      <w:r>
        <w:rPr>
          <w:rFonts w:hint="eastAsia" w:ascii="宋体" w:hAnsi="宋体" w:cs="宋体"/>
          <w:color w:val="auto"/>
          <w:spacing w:val="0"/>
          <w:sz w:val="21"/>
          <w:szCs w:val="21"/>
          <w:highlight w:val="none"/>
        </w:rPr>
        <w:t>元，但扣款最终的累计总金额不应超过</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万元。</w:t>
      </w:r>
    </w:p>
    <w:p>
      <w:pPr>
        <w:pStyle w:val="3"/>
        <w:spacing w:line="380" w:lineRule="exact"/>
        <w:ind w:firstLine="482" w:firstLineChars="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上述违约金在当月工程进度款中直接扣除，在工地工作天数按监理人实际考勤记录为准。</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4.7 撤换承包人项目负责人和其他人员</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本款补充：</w:t>
      </w:r>
    </w:p>
    <w:p>
      <w:pPr>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项目负责人、技术负责人不得擅自更换。若承包人擅自更换的，除每人次需支付5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80" w:lineRule="exact"/>
        <w:ind w:firstLine="420" w:firstLineChars="200"/>
        <w:rPr>
          <w:rFonts w:hint="eastAsia" w:ascii="宋体" w:hAnsi="宋体" w:cs="宋体"/>
          <w:snapToGrid w:val="0"/>
          <w:color w:val="auto"/>
          <w:spacing w:val="0"/>
          <w:sz w:val="21"/>
          <w:szCs w:val="21"/>
          <w:highlight w:val="none"/>
        </w:rPr>
      </w:pPr>
      <w:r>
        <w:rPr>
          <w:rFonts w:hint="eastAsia" w:ascii="宋体" w:hAnsi="宋体" w:cs="宋体"/>
          <w:snapToGrid w:val="0"/>
          <w:color w:val="auto"/>
          <w:spacing w:val="0"/>
          <w:sz w:val="21"/>
          <w:szCs w:val="21"/>
          <w:highlight w:val="none"/>
        </w:rPr>
        <w:t>承包人的质量员、施工员、安全员擅自调换每一人次需支付违约金1万元。违约金在工程进度付款中扣除。</w:t>
      </w:r>
    </w:p>
    <w:p>
      <w:pPr>
        <w:snapToGrid w:val="0"/>
        <w:spacing w:line="360" w:lineRule="auto"/>
        <w:ind w:firstLine="420" w:firstLineChars="20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如果人员更换，更换后的人员必须</w:t>
      </w:r>
      <w:r>
        <w:rPr>
          <w:rFonts w:hint="eastAsia" w:ascii="宋体" w:hAnsi="宋体" w:cs="宋体"/>
          <w:snapToGrid w:val="0"/>
          <w:color w:val="auto"/>
          <w:spacing w:val="0"/>
          <w:sz w:val="21"/>
          <w:szCs w:val="21"/>
          <w:highlight w:val="none"/>
        </w:rPr>
        <w:t>浙江省水利厅“透明工程”应用（浙江省水利建设市场信息）上公示</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4.11 不利物质条件</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4.11.1 不利物质条件的范围：</w:t>
      </w:r>
      <w:r>
        <w:rPr>
          <w:rFonts w:hint="eastAsia" w:ascii="宋体" w:hAnsi="宋体" w:cs="宋体"/>
          <w:color w:val="auto"/>
          <w:spacing w:val="0"/>
          <w:sz w:val="21"/>
          <w:szCs w:val="21"/>
          <w:highlight w:val="none"/>
          <w:u w:val="single"/>
        </w:rPr>
        <w:t>施工中遇到文物或古迹</w:t>
      </w:r>
      <w:r>
        <w:rPr>
          <w:rFonts w:hint="eastAsia" w:ascii="宋体" w:hAnsi="宋体" w:cs="宋体"/>
          <w:color w:val="auto"/>
          <w:spacing w:val="0"/>
          <w:sz w:val="21"/>
          <w:szCs w:val="21"/>
          <w:highlight w:val="none"/>
        </w:rPr>
        <w:t>。</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5 材料和工程设备</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5.2.1发包人不提供材料和工程设备。</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6 施工设备和临时设施</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6.2 发包人提供的施工设备和临时设施</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删去本款全文，并代之以：</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发包人不提供施工设备和临时设施，均需由承包人自行提供</w:t>
      </w:r>
      <w:r>
        <w:rPr>
          <w:rFonts w:hint="eastAsia" w:ascii="宋体" w:hAnsi="宋体" w:cs="宋体"/>
          <w:color w:val="auto"/>
          <w:spacing w:val="0"/>
          <w:sz w:val="21"/>
          <w:szCs w:val="21"/>
          <w:highlight w:val="none"/>
        </w:rPr>
        <w:t>。</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7　交通运输</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7.1 道路通行权和场外设施</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道路通行权和场外设施的约定：</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（1）承包人自行协调场外道路、设施、行车干扰、道路维护修复、噪音粉尘扰民等所有不利的状况，所产生的费用和所有的风险由承包人自行在报价中综合考虑。</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（2）承包人负责场内过境车辆的协调和分流工作；</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（3）本条（1）～（2）款相关费用计入措施费，不再另行计费。</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8 测量放线</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8.1 施工控制网</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8.1.1 施工控制网的约定：发包人应在本合同协议书签订后的 14 天内，通过监理人向承包人提供首级施工控制网成果。承包人在接到首级施工控制网成果后 14天内完成施工控制网布设，并将施工控制网资料报送监理人审批。</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8.2.施工测量</w:t>
      </w:r>
    </w:p>
    <w:p>
      <w:pPr>
        <w:ind w:firstLine="420" w:firstLineChars="20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8.2.3承包人在开工前7日内完成原始地形的测量，提交监理人和发包人确认，逾期未提交，视同认同发包人的地形条件。</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9 施工安全、治安保卫和环境保护</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9.1 发包人的施工安全责任</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9.1.4 发包人提供</w:t>
      </w:r>
      <w:r>
        <w:rPr>
          <w:rFonts w:hint="eastAsia" w:ascii="宋体" w:hAnsi="宋体" w:cs="宋体"/>
          <w:color w:val="auto"/>
          <w:spacing w:val="0"/>
          <w:sz w:val="21"/>
          <w:szCs w:val="21"/>
          <w:highlight w:val="none"/>
          <w:u w:val="single"/>
        </w:rPr>
        <w:t xml:space="preserve"> 工程区域内的水文、地质 </w:t>
      </w:r>
      <w:r>
        <w:rPr>
          <w:rFonts w:hint="eastAsia" w:ascii="宋体" w:hAnsi="宋体" w:cs="宋体"/>
          <w:color w:val="auto"/>
          <w:spacing w:val="0"/>
          <w:sz w:val="21"/>
          <w:szCs w:val="21"/>
          <w:highlight w:val="none"/>
        </w:rPr>
        <w:t>资料，其余资料由承包人负责收集。</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9.2 承包人的施工安全责任</w:t>
      </w:r>
    </w:p>
    <w:p>
      <w:pPr>
        <w:snapToGrid w:val="0"/>
        <w:spacing w:line="360" w:lineRule="auto"/>
        <w:ind w:firstLine="420" w:firstLineChars="20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rPr>
        <w:t>9.2.5安全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施工费已列入承包人投标报价内，应用于施工安全防护工具及设施的采购和更新，安全施工措施的落实，安全生产条件的改善，不得挪作他用。包干使用，如有不足承包人自行负责。承包人在使用安全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施工费前须编制安全措施费使用计划，安全</w:t>
      </w:r>
      <w:r>
        <w:rPr>
          <w:rFonts w:hint="eastAsia" w:ascii="宋体" w:hAnsi="宋体" w:cs="宋体"/>
          <w:color w:val="auto"/>
          <w:spacing w:val="0"/>
          <w:sz w:val="21"/>
          <w:szCs w:val="21"/>
          <w:highlight w:val="none"/>
          <w:lang w:eastAsia="zh-CN"/>
        </w:rPr>
        <w:t>文明</w:t>
      </w:r>
      <w:r>
        <w:rPr>
          <w:rFonts w:hint="eastAsia" w:ascii="宋体" w:hAnsi="宋体" w:cs="宋体"/>
          <w:color w:val="auto"/>
          <w:spacing w:val="0"/>
          <w:sz w:val="21"/>
          <w:szCs w:val="21"/>
          <w:highlight w:val="none"/>
        </w:rPr>
        <w:t>施工费的支付由发包人在该项总价范围内凭票按实结算支付。承包人必须按国家有关规定，切实落实各项安全技术措施，确保施工现场的安全生产和文明施工。在施工过程中由于承包人原因而发生的人身伤亡、财产损失及其它一切事故，其责任全部由承包人承担。</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9.2.12 下列工程应编制专项施工方案：</w:t>
      </w:r>
      <w:r>
        <w:rPr>
          <w:rFonts w:hint="eastAsia" w:ascii="宋体" w:hAnsi="宋体" w:cs="宋体"/>
          <w:color w:val="auto"/>
          <w:spacing w:val="0"/>
          <w:sz w:val="21"/>
          <w:szCs w:val="21"/>
          <w:highlight w:val="none"/>
          <w:u w:val="single"/>
        </w:rPr>
        <w:t>无</w:t>
      </w:r>
      <w:r>
        <w:rPr>
          <w:rFonts w:hint="eastAsia" w:ascii="宋体" w:hAnsi="宋体" w:cs="宋体"/>
          <w:b/>
          <w:color w:val="auto"/>
          <w:spacing w:val="0"/>
          <w:sz w:val="21"/>
          <w:szCs w:val="21"/>
          <w:highlight w:val="none"/>
        </w:rPr>
        <w:t>。</w:t>
      </w:r>
    </w:p>
    <w:p>
      <w:pPr>
        <w:tabs>
          <w:tab w:val="left" w:pos="2790"/>
        </w:tabs>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施工合同签订时，承包人应同时与发包人签订安全生产协议书。</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9.4 环境保护</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补充以下条款：</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9.4.7 承包人应严格执行国家有关水域环境生态保护的规定，合理选择施工机械和施工工艺，采取有效措施，减少施工对周边水域的影响。</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9.4.8承包人应尽可能优化施工方案，严格限定施工活动范围，合理安排好施工时段和施工方式。加强水土流失防治，落实相应的工程措施、植物措施和临时措施。</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9.4.9承包人应做好施工区附近和施工公路沿线居民点的噪声和扬尘污染防治工作。选用低噪声设备，合理安排施工作业时间。建筑垃圾及施工人员生活垃圾须及时清运并妥善处理，禁止随意抛弃、排入水体。</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9.6 水土保持</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增加以下条款：</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9.7 文明工地</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本合同文明工地的约定：</w:t>
      </w:r>
      <w:r>
        <w:rPr>
          <w:rFonts w:hint="eastAsia" w:ascii="宋体" w:hAnsi="宋体" w:cs="宋体"/>
          <w:color w:val="auto"/>
          <w:spacing w:val="0"/>
          <w:sz w:val="21"/>
          <w:szCs w:val="21"/>
          <w:highlight w:val="none"/>
          <w:u w:val="single"/>
        </w:rPr>
        <w:t>有关标准按工程所在地的规定执行。</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增加以下条款：</w:t>
      </w:r>
    </w:p>
    <w:p>
      <w:pPr>
        <w:pStyle w:val="2"/>
        <w:spacing w:line="380" w:lineRule="exact"/>
        <w:ind w:firstLine="482"/>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u w:val="single"/>
        </w:rPr>
        <w:t>承包人在施工期间，应严格执行国家、省、市和三门县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cs="宋体"/>
          <w:color w:val="auto"/>
          <w:spacing w:val="0"/>
          <w:sz w:val="21"/>
          <w:szCs w:val="21"/>
          <w:highlight w:val="none"/>
        </w:rPr>
        <w:t>。</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11 开工和完工（竣工）</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11.1 开工</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本工程计划于</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年</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月</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日开工。具体开工日期以监理工程师发出的开工通知为准。</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11.2 完工（竣工）</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全部工程要求自监理工程师发出的开工通知起</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天内完工。</w:t>
      </w:r>
    </w:p>
    <w:p>
      <w:pPr>
        <w:pStyle w:val="10"/>
        <w:tabs>
          <w:tab w:val="left" w:pos="0"/>
          <w:tab w:val="clear" w:pos="1008"/>
        </w:tabs>
        <w:suppressAutoHyphens/>
        <w:spacing w:before="0" w:after="0"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11.4 异常恶劣的气候条件</w:t>
      </w:r>
    </w:p>
    <w:p>
      <w:pPr>
        <w:snapToGrid w:val="0"/>
        <w:spacing w:line="360" w:lineRule="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11.4.3 本合同工程界定异常恶劣的气候条件的范围为：</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（1）日降雨量大于</w:t>
      </w:r>
      <w:r>
        <w:rPr>
          <w:rFonts w:hint="eastAsia" w:ascii="宋体" w:hAnsi="宋体" w:cs="宋体"/>
          <w:color w:val="auto"/>
          <w:spacing w:val="0"/>
          <w:sz w:val="21"/>
          <w:szCs w:val="21"/>
          <w:highlight w:val="none"/>
          <w:u w:val="single"/>
        </w:rPr>
        <w:t xml:space="preserve">   50  </w:t>
      </w:r>
      <w:r>
        <w:rPr>
          <w:rFonts w:hint="eastAsia" w:ascii="宋体" w:hAnsi="宋体" w:cs="宋体"/>
          <w:color w:val="auto"/>
          <w:spacing w:val="0"/>
          <w:sz w:val="21"/>
          <w:szCs w:val="21"/>
          <w:highlight w:val="none"/>
        </w:rPr>
        <w:t xml:space="preserve"> mm的雨日超过</w:t>
      </w:r>
      <w:r>
        <w:rPr>
          <w:rFonts w:hint="eastAsia" w:ascii="宋体" w:hAnsi="宋体" w:cs="宋体"/>
          <w:color w:val="auto"/>
          <w:spacing w:val="0"/>
          <w:sz w:val="21"/>
          <w:szCs w:val="21"/>
          <w:highlight w:val="none"/>
          <w:u w:val="single"/>
        </w:rPr>
        <w:t xml:space="preserve">   1   </w:t>
      </w:r>
      <w:r>
        <w:rPr>
          <w:rFonts w:hint="eastAsia" w:ascii="宋体" w:hAnsi="宋体" w:cs="宋体"/>
          <w:color w:val="auto"/>
          <w:spacing w:val="0"/>
          <w:sz w:val="21"/>
          <w:szCs w:val="21"/>
          <w:highlight w:val="none"/>
        </w:rPr>
        <w:t>天；</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（2）风速大于</w:t>
      </w:r>
      <w:r>
        <w:rPr>
          <w:rFonts w:hint="eastAsia" w:ascii="宋体" w:hAnsi="宋体" w:cs="宋体"/>
          <w:color w:val="auto"/>
          <w:spacing w:val="0"/>
          <w:sz w:val="21"/>
          <w:szCs w:val="21"/>
          <w:highlight w:val="none"/>
          <w:u w:val="single"/>
        </w:rPr>
        <w:t xml:space="preserve">   14  </w:t>
      </w:r>
      <w:r>
        <w:rPr>
          <w:rFonts w:hint="eastAsia" w:ascii="宋体" w:hAnsi="宋体" w:cs="宋体"/>
          <w:color w:val="auto"/>
          <w:spacing w:val="0"/>
          <w:sz w:val="21"/>
          <w:szCs w:val="21"/>
          <w:highlight w:val="none"/>
        </w:rPr>
        <w:t xml:space="preserve"> m／s的 </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级以上台风灾害；</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（3）日气温超过</w:t>
      </w:r>
      <w:r>
        <w:rPr>
          <w:rFonts w:hint="eastAsia" w:ascii="宋体" w:hAnsi="宋体" w:cs="宋体"/>
          <w:color w:val="auto"/>
          <w:spacing w:val="0"/>
          <w:sz w:val="21"/>
          <w:szCs w:val="21"/>
          <w:highlight w:val="none"/>
          <w:u w:val="single"/>
        </w:rPr>
        <w:t xml:space="preserve">  40   </w:t>
      </w:r>
      <w:r>
        <w:rPr>
          <w:rFonts w:hint="eastAsia" w:ascii="宋体" w:hAnsi="宋体" w:cs="宋体"/>
          <w:color w:val="auto"/>
          <w:spacing w:val="0"/>
          <w:sz w:val="21"/>
          <w:szCs w:val="21"/>
          <w:highlight w:val="none"/>
          <w:shd w:val="clear" w:color="auto" w:fill="FFFFFF"/>
        </w:rPr>
        <w:t>°C</w:t>
      </w:r>
      <w:r>
        <w:rPr>
          <w:rFonts w:hint="eastAsia" w:ascii="宋体" w:hAnsi="宋体" w:cs="宋体"/>
          <w:color w:val="auto"/>
          <w:spacing w:val="0"/>
          <w:sz w:val="21"/>
          <w:szCs w:val="21"/>
          <w:highlight w:val="none"/>
        </w:rPr>
        <w:t>的高温大于</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天；</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（4）日气温低于</w:t>
      </w:r>
      <w:r>
        <w:rPr>
          <w:rFonts w:hint="eastAsia" w:ascii="宋体" w:hAnsi="宋体" w:cs="宋体"/>
          <w:color w:val="auto"/>
          <w:spacing w:val="0"/>
          <w:sz w:val="21"/>
          <w:szCs w:val="21"/>
          <w:highlight w:val="none"/>
          <w:u w:val="single"/>
        </w:rPr>
        <w:t xml:space="preserve">  -5   </w:t>
      </w:r>
      <w:r>
        <w:rPr>
          <w:rFonts w:hint="eastAsia" w:ascii="宋体" w:hAnsi="宋体" w:cs="宋体"/>
          <w:color w:val="auto"/>
          <w:spacing w:val="0"/>
          <w:sz w:val="21"/>
          <w:szCs w:val="21"/>
          <w:highlight w:val="none"/>
          <w:shd w:val="clear" w:color="auto" w:fill="FFFFFF"/>
        </w:rPr>
        <w:t>°C</w:t>
      </w:r>
      <w:r>
        <w:rPr>
          <w:rFonts w:hint="eastAsia" w:ascii="宋体" w:hAnsi="宋体" w:cs="宋体"/>
          <w:color w:val="auto"/>
          <w:spacing w:val="0"/>
          <w:sz w:val="21"/>
          <w:szCs w:val="21"/>
          <w:highlight w:val="none"/>
        </w:rPr>
        <w:t>的严寒大于</w:t>
      </w:r>
      <w:r>
        <w:rPr>
          <w:rFonts w:hint="eastAsia" w:ascii="宋体" w:hAnsi="宋体" w:cs="宋体"/>
          <w:color w:val="auto"/>
          <w:spacing w:val="0"/>
          <w:sz w:val="21"/>
          <w:szCs w:val="21"/>
          <w:highlight w:val="none"/>
          <w:u w:val="single"/>
        </w:rPr>
        <w:t xml:space="preserve">  3  </w:t>
      </w:r>
      <w:r>
        <w:rPr>
          <w:rFonts w:hint="eastAsia" w:ascii="宋体" w:hAnsi="宋体" w:cs="宋体"/>
          <w:color w:val="auto"/>
          <w:spacing w:val="0"/>
          <w:sz w:val="21"/>
          <w:szCs w:val="21"/>
          <w:highlight w:val="none"/>
        </w:rPr>
        <w:t>天；</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（5）造成工程损坏的冰雹和大雪灾害：；</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（6）其它异常恶劣气候灾害。</w:t>
      </w:r>
    </w:p>
    <w:p>
      <w:pPr>
        <w:pStyle w:val="10"/>
        <w:tabs>
          <w:tab w:val="left" w:pos="0"/>
          <w:tab w:val="clear" w:pos="1008"/>
        </w:tabs>
        <w:suppressAutoHyphens/>
        <w:spacing w:before="0" w:after="0" w:line="38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11.5 承包人的工期延误</w:t>
      </w:r>
    </w:p>
    <w:p>
      <w:pPr>
        <w:spacing w:line="38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（1）逾期完工违约金表</w:t>
      </w:r>
    </w:p>
    <w:p>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逾期完工违约金表</w:t>
      </w:r>
    </w:p>
    <w:tbl>
      <w:tblPr>
        <w:tblStyle w:val="41"/>
        <w:tblW w:w="8840" w:type="dxa"/>
        <w:tblInd w:w="0" w:type="dxa"/>
        <w:tblLayout w:type="fixed"/>
        <w:tblCellMar>
          <w:top w:w="0" w:type="dxa"/>
          <w:left w:w="28" w:type="dxa"/>
          <w:bottom w:w="0" w:type="dxa"/>
          <w:right w:w="28" w:type="dxa"/>
        </w:tblCellMar>
      </w:tblPr>
      <w:tblGrid>
        <w:gridCol w:w="700"/>
        <w:gridCol w:w="2873"/>
        <w:gridCol w:w="3789"/>
        <w:gridCol w:w="1478"/>
      </w:tblGrid>
      <w:tr>
        <w:tblPrEx>
          <w:tblCellMar>
            <w:top w:w="0" w:type="dxa"/>
            <w:left w:w="28" w:type="dxa"/>
            <w:bottom w:w="0" w:type="dxa"/>
            <w:right w:w="28" w:type="dxa"/>
          </w:tblCellMar>
        </w:tblPrEx>
        <w:trPr>
          <w:trHeight w:val="541" w:hRule="atLeast"/>
        </w:trPr>
        <w:tc>
          <w:tcPr>
            <w:tcW w:w="700" w:type="dxa"/>
            <w:tcBorders>
              <w:top w:val="single" w:color="000000" w:sz="8" w:space="0"/>
              <w:left w:val="single" w:color="000000" w:sz="8" w:space="0"/>
              <w:bottom w:val="single" w:color="auto" w:sz="4" w:space="0"/>
            </w:tcBorders>
            <w:noWrap w:val="0"/>
            <w:vAlign w:val="center"/>
          </w:tcPr>
          <w:p>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序号</w:t>
            </w:r>
          </w:p>
        </w:tc>
        <w:tc>
          <w:tcPr>
            <w:tcW w:w="2873" w:type="dxa"/>
            <w:tcBorders>
              <w:top w:val="single" w:color="000000" w:sz="8" w:space="0"/>
              <w:left w:val="single" w:color="000000" w:sz="4" w:space="0"/>
              <w:bottom w:val="single" w:color="auto" w:sz="4" w:space="0"/>
            </w:tcBorders>
            <w:noWrap w:val="0"/>
            <w:vAlign w:val="center"/>
          </w:tcPr>
          <w:p>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项目及其说明</w:t>
            </w:r>
          </w:p>
        </w:tc>
        <w:tc>
          <w:tcPr>
            <w:tcW w:w="3789" w:type="dxa"/>
            <w:tcBorders>
              <w:top w:val="single" w:color="000000" w:sz="8" w:space="0"/>
              <w:left w:val="single" w:color="000000" w:sz="4" w:space="0"/>
              <w:bottom w:val="single" w:color="auto" w:sz="4" w:space="0"/>
            </w:tcBorders>
            <w:noWrap w:val="0"/>
            <w:vAlign w:val="center"/>
          </w:tcPr>
          <w:p>
            <w:pPr>
              <w:snapToGrid w:val="0"/>
              <w:spacing w:line="42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要求完工日期</w:t>
            </w:r>
          </w:p>
        </w:tc>
        <w:tc>
          <w:tcPr>
            <w:tcW w:w="1478" w:type="dxa"/>
            <w:tcBorders>
              <w:top w:val="single" w:color="000000" w:sz="8" w:space="0"/>
              <w:left w:val="single" w:color="000000" w:sz="4" w:space="0"/>
              <w:bottom w:val="single" w:color="auto" w:sz="4" w:space="0"/>
              <w:right w:val="single" w:color="000000" w:sz="8" w:space="0"/>
            </w:tcBorders>
            <w:noWrap w:val="0"/>
            <w:vAlign w:val="center"/>
          </w:tcPr>
          <w:p>
            <w:pPr>
              <w:spacing w:line="30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违约金</w:t>
            </w:r>
          </w:p>
          <w:p>
            <w:pPr>
              <w:spacing w:line="300" w:lineRule="exact"/>
              <w:jc w:val="center"/>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（元/天）</w:t>
            </w:r>
          </w:p>
        </w:tc>
      </w:tr>
      <w:tr>
        <w:tblPrEx>
          <w:tblCellMar>
            <w:top w:w="0" w:type="dxa"/>
            <w:left w:w="28" w:type="dxa"/>
            <w:bottom w:w="0" w:type="dxa"/>
            <w:right w:w="28" w:type="dxa"/>
          </w:tblCellMar>
        </w:tblPrEx>
        <w:trPr>
          <w:trHeight w:val="541"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eastAsia="zh-CN"/>
              </w:rPr>
              <w:t>三门县全域幸福河湖建设-蛇蟠乡农村水系治理项目（一期）</w:t>
            </w:r>
            <w:r>
              <w:rPr>
                <w:rFonts w:hint="eastAsia" w:ascii="宋体" w:hAnsi="宋体" w:eastAsia="宋体" w:cs="宋体"/>
                <w:color w:val="auto"/>
                <w:spacing w:val="0"/>
                <w:sz w:val="21"/>
                <w:szCs w:val="21"/>
                <w:highlight w:val="none"/>
                <w:lang w:val="en-US" w:eastAsia="zh-CN"/>
              </w:rPr>
              <w:t>工期</w:t>
            </w:r>
          </w:p>
        </w:tc>
        <w:tc>
          <w:tcPr>
            <w:tcW w:w="37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开工通知发出后</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天</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宋体" w:hAnsi="宋体" w:eastAsia="宋体" w:cs="宋体"/>
                <w:color w:val="auto"/>
                <w:spacing w:val="0"/>
                <w:sz w:val="21"/>
                <w:szCs w:val="21"/>
                <w:highlight w:val="none"/>
                <w:lang w:val="en-US"/>
              </w:rPr>
            </w:pPr>
            <w:r>
              <w:rPr>
                <w:rFonts w:hint="eastAsia" w:ascii="宋体" w:hAnsi="宋体" w:cs="宋体"/>
                <w:color w:val="auto"/>
                <w:spacing w:val="0"/>
                <w:sz w:val="21"/>
                <w:szCs w:val="21"/>
                <w:highlight w:val="none"/>
                <w:lang w:val="en-US" w:eastAsia="zh-CN"/>
              </w:rPr>
              <w:t>500</w:t>
            </w:r>
          </w:p>
        </w:tc>
      </w:tr>
    </w:tbl>
    <w:p>
      <w:pPr>
        <w:pStyle w:val="22"/>
        <w:numPr>
          <w:ilvl w:val="0"/>
          <w:numId w:val="10"/>
        </w:numPr>
        <w:spacing w:line="360" w:lineRule="exact"/>
        <w:ind w:firstLine="480"/>
        <w:rPr>
          <w:rFonts w:hint="eastAsia"/>
          <w:color w:val="auto"/>
          <w:spacing w:val="0"/>
          <w:sz w:val="21"/>
          <w:highlight w:val="none"/>
        </w:rPr>
      </w:pPr>
      <w:r>
        <w:rPr>
          <w:rFonts w:hint="eastAsia" w:hAnsi="宋体" w:cs="宋体"/>
          <w:color w:val="auto"/>
          <w:spacing w:val="0"/>
          <w:sz w:val="21"/>
          <w:szCs w:val="21"/>
          <w:highlight w:val="none"/>
        </w:rPr>
        <w:t>全部逾期完工违约金的总限额为不超过签约合同价的</w:t>
      </w:r>
      <w:r>
        <w:rPr>
          <w:rFonts w:hint="eastAsia" w:hAnsi="宋体" w:cs="宋体"/>
          <w:color w:val="auto"/>
          <w:spacing w:val="0"/>
          <w:sz w:val="21"/>
          <w:szCs w:val="21"/>
          <w:highlight w:val="none"/>
          <w:u w:val="single"/>
        </w:rPr>
        <w:t>2</w:t>
      </w:r>
      <w:r>
        <w:rPr>
          <w:rFonts w:hint="eastAsia" w:hAnsi="宋体" w:cs="宋体"/>
          <w:color w:val="auto"/>
          <w:spacing w:val="0"/>
          <w:sz w:val="21"/>
          <w:szCs w:val="21"/>
          <w:highlight w:val="none"/>
        </w:rPr>
        <w:t xml:space="preserve"> %。</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11.6 工期提前</w:t>
      </w:r>
    </w:p>
    <w:p>
      <w:pPr>
        <w:tabs>
          <w:tab w:val="left" w:pos="567"/>
        </w:tabs>
        <w:spacing w:line="360" w:lineRule="exact"/>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     工期提前的奖金约定：</w:t>
      </w:r>
      <w:r>
        <w:rPr>
          <w:rFonts w:hint="eastAsia" w:ascii="宋体" w:hAnsi="宋体" w:cs="宋体"/>
          <w:color w:val="auto"/>
          <w:spacing w:val="0"/>
          <w:sz w:val="21"/>
          <w:szCs w:val="21"/>
          <w:highlight w:val="none"/>
          <w:u w:val="single"/>
        </w:rPr>
        <w:t>工期提前不奖励。</w:t>
      </w:r>
    </w:p>
    <w:p>
      <w:pPr>
        <w:pStyle w:val="9"/>
        <w:numPr>
          <w:ilvl w:val="3"/>
          <w:numId w:val="0"/>
        </w:numPr>
        <w:spacing w:line="36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11.7 工期顺延</w:t>
      </w:r>
    </w:p>
    <w:p>
      <w:pPr>
        <w:spacing w:line="380" w:lineRule="exact"/>
        <w:ind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rPr>
        <w:t>当发生合同规定的可以顺延工期的情形时，承包人应在工程工期顺延条件发生之日起14天内向监理人提交申请并附相关材料，监理人审核后给出意见并报发包人审批决定；若承包人未在上述时间内提出申请或申请所附材料不全不实等，视为承包人不需要工期顺延。</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12 暂停施工</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12.1 承包人暂停施工的责任</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（5）承包人承担暂停施工责任的其他情形：</w:t>
      </w:r>
      <w:r>
        <w:rPr>
          <w:rFonts w:hint="eastAsia" w:ascii="宋体" w:hAnsi="宋体" w:cs="宋体"/>
          <w:color w:val="auto"/>
          <w:spacing w:val="0"/>
          <w:sz w:val="21"/>
          <w:szCs w:val="21"/>
          <w:highlight w:val="none"/>
          <w:u w:val="single"/>
        </w:rPr>
        <w:t>现场气候条件导致的必要停工（第11.4.3项规定的异常恶劣的气候条件除外）</w:t>
      </w:r>
      <w:r>
        <w:rPr>
          <w:rFonts w:hint="eastAsia" w:ascii="宋体" w:hAnsi="宋体" w:cs="宋体"/>
          <w:color w:val="auto"/>
          <w:spacing w:val="0"/>
          <w:sz w:val="21"/>
          <w:szCs w:val="21"/>
          <w:highlight w:val="none"/>
        </w:rPr>
        <w:t>。</w:t>
      </w:r>
    </w:p>
    <w:p>
      <w:pPr>
        <w:pStyle w:val="10"/>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12.2 发包人暂停施工的责任</w:t>
      </w:r>
    </w:p>
    <w:p>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（3）发包人承担暂停施工责任的其他情形：</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pPr>
        <w:pStyle w:val="9"/>
        <w:pageBreakBefore w:val="0"/>
        <w:numPr>
          <w:ilvl w:val="3"/>
          <w:numId w:val="0"/>
        </w:numPr>
        <w:kinsoku/>
        <w:wordWrap/>
        <w:overflowPunct/>
        <w:topLinePunct w:val="0"/>
        <w:autoSpaceDE/>
        <w:autoSpaceDN/>
        <w:bidi w:val="0"/>
        <w:spacing w:line="380" w:lineRule="exact"/>
        <w:textAlignment w:val="auto"/>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13 工程质量</w:t>
      </w:r>
    </w:p>
    <w:p>
      <w:pPr>
        <w:pStyle w:val="10"/>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13.7 质量评定</w:t>
      </w:r>
    </w:p>
    <w:p>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13.7.4 重要隐蔽单元工程和关键部位单元工程质量评定的约定：</w:t>
      </w:r>
      <w:r>
        <w:rPr>
          <w:rFonts w:hint="eastAsia" w:ascii="宋体" w:hAnsi="宋体" w:cs="宋体"/>
          <w:color w:val="auto"/>
          <w:spacing w:val="0"/>
          <w:sz w:val="21"/>
          <w:szCs w:val="21"/>
          <w:highlight w:val="none"/>
          <w:u w:val="single"/>
        </w:rPr>
        <w:t xml:space="preserve">  合格   </w:t>
      </w:r>
      <w:r>
        <w:rPr>
          <w:rFonts w:hint="eastAsia" w:ascii="宋体" w:hAnsi="宋体" w:cs="宋体"/>
          <w:color w:val="auto"/>
          <w:spacing w:val="0"/>
          <w:sz w:val="21"/>
          <w:szCs w:val="21"/>
          <w:highlight w:val="none"/>
        </w:rPr>
        <w:t>。</w:t>
      </w:r>
    </w:p>
    <w:p>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13.7.7 工程质量标准为：</w:t>
      </w:r>
      <w:r>
        <w:rPr>
          <w:rFonts w:hint="eastAsia" w:ascii="宋体" w:hAnsi="宋体" w:cs="宋体"/>
          <w:color w:val="auto"/>
          <w:spacing w:val="0"/>
          <w:sz w:val="21"/>
          <w:szCs w:val="21"/>
          <w:highlight w:val="none"/>
          <w:u w:val="single"/>
        </w:rPr>
        <w:t>合格</w:t>
      </w:r>
      <w:r>
        <w:rPr>
          <w:rFonts w:hint="eastAsia" w:ascii="宋体" w:hAnsi="宋体" w:cs="宋体"/>
          <w:color w:val="auto"/>
          <w:spacing w:val="0"/>
          <w:sz w:val="21"/>
          <w:szCs w:val="21"/>
          <w:highlight w:val="none"/>
        </w:rPr>
        <w:t>，达到优良的奖金</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pPr>
        <w:pStyle w:val="9"/>
        <w:pageBreakBefore w:val="0"/>
        <w:numPr>
          <w:ilvl w:val="3"/>
          <w:numId w:val="0"/>
        </w:numPr>
        <w:kinsoku/>
        <w:wordWrap/>
        <w:overflowPunct/>
        <w:topLinePunct w:val="0"/>
        <w:autoSpaceDE/>
        <w:autoSpaceDN/>
        <w:bidi w:val="0"/>
        <w:spacing w:line="380" w:lineRule="exact"/>
        <w:textAlignment w:val="auto"/>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14 验收和检验</w:t>
      </w:r>
    </w:p>
    <w:p>
      <w:pPr>
        <w:pStyle w:val="10"/>
        <w:pageBreakBefore w:val="0"/>
        <w:tabs>
          <w:tab w:val="left" w:pos="0"/>
          <w:tab w:val="clear" w:pos="1008"/>
        </w:tabs>
        <w:suppressAutoHyphens/>
        <w:kinsoku/>
        <w:wordWrap/>
        <w:overflowPunct/>
        <w:topLinePunct w:val="0"/>
        <w:autoSpaceDE/>
        <w:autoSpaceDN/>
        <w:bidi w:val="0"/>
        <w:spacing w:before="0" w:after="0" w:line="380" w:lineRule="exact"/>
        <w:textAlignment w:val="auto"/>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14.1 材料、工程设备和工程的试验和检验</w:t>
      </w:r>
    </w:p>
    <w:p>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14.1.5 水工金属结构、启闭机及机电产品进场后的交货检查和验收中，承包人负责</w:t>
      </w:r>
      <w:r>
        <w:rPr>
          <w:rFonts w:hint="eastAsia" w:ascii="宋体" w:hAnsi="宋体" w:cs="宋体"/>
          <w:color w:val="auto"/>
          <w:spacing w:val="0"/>
          <w:sz w:val="21"/>
          <w:szCs w:val="21"/>
          <w:highlight w:val="none"/>
          <w:u w:val="single"/>
        </w:rPr>
        <w:t>按通用条款</w:t>
      </w:r>
      <w:r>
        <w:rPr>
          <w:rFonts w:hint="eastAsia" w:ascii="宋体" w:hAnsi="宋体" w:cs="宋体"/>
          <w:color w:val="auto"/>
          <w:spacing w:val="0"/>
          <w:sz w:val="21"/>
          <w:szCs w:val="21"/>
          <w:highlight w:val="none"/>
        </w:rPr>
        <w:t>。</w:t>
      </w:r>
    </w:p>
    <w:p>
      <w:pPr>
        <w:pageBreakBefore w:val="0"/>
        <w:kinsoku/>
        <w:wordWrap/>
        <w:overflowPunct/>
        <w:topLinePunct w:val="0"/>
        <w:autoSpaceDE/>
        <w:autoSpaceDN/>
        <w:bidi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14.1.6 本工程实行见证取样的试块、试件及有关材料：</w:t>
      </w:r>
      <w:r>
        <w:rPr>
          <w:rFonts w:hint="eastAsia" w:ascii="宋体" w:hAnsi="宋体" w:cs="宋体"/>
          <w:color w:val="auto"/>
          <w:spacing w:val="0"/>
          <w:sz w:val="21"/>
          <w:szCs w:val="21"/>
          <w:highlight w:val="none"/>
          <w:u w:val="single"/>
        </w:rPr>
        <w:t>水泥、砼、钢筋、砼骨料等（具体由监理人按有关规定确定）</w:t>
      </w:r>
      <w:r>
        <w:rPr>
          <w:rFonts w:hint="eastAsia" w:ascii="宋体" w:hAnsi="宋体" w:cs="宋体"/>
          <w:color w:val="auto"/>
          <w:spacing w:val="0"/>
          <w:sz w:val="21"/>
          <w:szCs w:val="21"/>
          <w:highlight w:val="none"/>
        </w:rPr>
        <w:t>。</w:t>
      </w:r>
    </w:p>
    <w:p>
      <w:pPr>
        <w:pStyle w:val="9"/>
        <w:pageBreakBefore w:val="0"/>
        <w:numPr>
          <w:ilvl w:val="3"/>
          <w:numId w:val="0"/>
        </w:numPr>
        <w:kinsoku/>
        <w:wordWrap/>
        <w:overflowPunct/>
        <w:topLinePunct w:val="0"/>
        <w:autoSpaceDE/>
        <w:autoSpaceDN/>
        <w:bidi w:val="0"/>
        <w:snapToGrid w:val="0"/>
        <w:spacing w:line="380" w:lineRule="exact"/>
        <w:ind w:leftChars="0"/>
        <w:textAlignment w:val="auto"/>
        <w:rPr>
          <w:rFonts w:hint="eastAsia" w:ascii="宋体" w:hAnsi="宋体" w:eastAsia="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15 变更</w:t>
      </w:r>
    </w:p>
    <w:p>
      <w:pPr>
        <w:pStyle w:val="10"/>
        <w:pageBreakBefore w:val="0"/>
        <w:tabs>
          <w:tab w:val="left" w:pos="0"/>
          <w:tab w:val="clear" w:pos="1008"/>
        </w:tabs>
        <w:suppressAutoHyphens/>
        <w:kinsoku/>
        <w:wordWrap/>
        <w:overflowPunct/>
        <w:topLinePunct w:val="0"/>
        <w:autoSpaceDE/>
        <w:autoSpaceDN/>
        <w:bidi w:val="0"/>
        <w:snapToGrid w:val="0"/>
        <w:spacing w:before="0" w:after="0" w:line="380" w:lineRule="exact"/>
        <w:textAlignment w:val="auto"/>
        <w:rPr>
          <w:rFonts w:hint="eastAsia" w:ascii="宋体" w:hAnsi="宋体" w:cs="宋体"/>
          <w:color w:val="auto"/>
          <w:spacing w:val="0"/>
          <w:sz w:val="21"/>
          <w:szCs w:val="21"/>
          <w:highlight w:val="none"/>
        </w:rPr>
      </w:pPr>
      <w:r>
        <w:rPr>
          <w:rStyle w:val="180"/>
          <w:rFonts w:hint="eastAsia" w:ascii="宋体" w:hAnsi="宋体" w:eastAsia="宋体" w:cs="宋体"/>
          <w:b w:val="0"/>
          <w:color w:val="auto"/>
          <w:spacing w:val="0"/>
          <w:sz w:val="21"/>
          <w:szCs w:val="21"/>
          <w:highlight w:val="none"/>
        </w:rPr>
        <w:t>15.1 变更的范围和内容</w:t>
      </w:r>
    </w:p>
    <w:p>
      <w:pPr>
        <w:pStyle w:val="107"/>
        <w:pageBreakBefore w:val="0"/>
        <w:kinsoku/>
        <w:wordWrap/>
        <w:overflowPunct/>
        <w:topLinePunct w:val="0"/>
        <w:autoSpaceDE/>
        <w:autoSpaceDN/>
        <w:bidi w:val="0"/>
        <w:spacing w:line="380" w:lineRule="exact"/>
        <w:ind w:firstLine="422" w:firstLineChars="200"/>
        <w:textAlignment w:val="auto"/>
        <w:rPr>
          <w:rFonts w:ascii="宋体" w:hAnsi="宋体"/>
          <w:color w:val="auto"/>
          <w:szCs w:val="21"/>
          <w:highlight w:val="none"/>
        </w:rPr>
      </w:pPr>
      <w:r>
        <w:rPr>
          <w:rFonts w:hint="eastAsia" w:ascii="宋体" w:hAnsi="宋体" w:cs="宋体"/>
          <w:b/>
          <w:color w:val="auto"/>
          <w:kern w:val="0"/>
          <w:szCs w:val="21"/>
          <w:highlight w:val="none"/>
          <w:lang w:val="zh-CN"/>
        </w:rPr>
        <w:t>项目实施过程中的变更，当事人应符合三门县人民政府文件三政办规〔2023〕4号和《浙江省财政厅关于印发浙江省政府采购合同暂行办法的通知》（浙财采监[</w:t>
      </w:r>
      <w:r>
        <w:rPr>
          <w:rFonts w:ascii="宋体" w:hAnsi="宋体" w:cs="宋体"/>
          <w:b/>
          <w:color w:val="auto"/>
          <w:kern w:val="0"/>
          <w:szCs w:val="21"/>
          <w:highlight w:val="none"/>
          <w:lang w:val="zh-CN"/>
        </w:rPr>
        <w:t>2017</w:t>
      </w:r>
      <w:r>
        <w:rPr>
          <w:rFonts w:hint="eastAsia" w:ascii="宋体" w:hAnsi="宋体" w:cs="宋体"/>
          <w:b/>
          <w:color w:val="auto"/>
          <w:kern w:val="0"/>
          <w:szCs w:val="21"/>
          <w:highlight w:val="none"/>
          <w:lang w:val="zh-CN"/>
        </w:rPr>
        <w:t>]</w:t>
      </w:r>
      <w:r>
        <w:rPr>
          <w:rFonts w:ascii="宋体" w:hAnsi="宋体" w:cs="宋体"/>
          <w:b/>
          <w:color w:val="auto"/>
          <w:kern w:val="0"/>
          <w:szCs w:val="21"/>
          <w:highlight w:val="none"/>
          <w:lang w:val="zh-CN"/>
        </w:rPr>
        <w:t>11号</w:t>
      </w:r>
      <w:r>
        <w:rPr>
          <w:rFonts w:hint="eastAsia" w:ascii="宋体" w:hAnsi="宋体" w:cs="宋体"/>
          <w:b/>
          <w:color w:val="auto"/>
          <w:kern w:val="0"/>
          <w:szCs w:val="21"/>
          <w:highlight w:val="none"/>
          <w:lang w:val="zh-CN"/>
        </w:rPr>
        <w:t>）的规定执行。</w:t>
      </w:r>
    </w:p>
    <w:p>
      <w:pPr>
        <w:pStyle w:val="10"/>
        <w:pageBreakBefore w:val="0"/>
        <w:tabs>
          <w:tab w:val="left" w:pos="0"/>
          <w:tab w:val="clear" w:pos="1008"/>
        </w:tabs>
        <w:suppressAutoHyphens/>
        <w:kinsoku/>
        <w:wordWrap/>
        <w:overflowPunct/>
        <w:topLinePunct w:val="0"/>
        <w:autoSpaceDE/>
        <w:autoSpaceDN/>
        <w:bidi w:val="0"/>
        <w:adjustRightInd w:val="0"/>
        <w:snapToGrid w:val="0"/>
        <w:spacing w:before="0" w:after="0" w:line="380" w:lineRule="exact"/>
        <w:textAlignment w:val="auto"/>
        <w:rPr>
          <w:rFonts w:hint="eastAsia" w:ascii="宋体" w:hAnsi="宋体" w:cs="宋体"/>
          <w:color w:val="auto"/>
          <w:spacing w:val="0"/>
          <w:sz w:val="21"/>
          <w:szCs w:val="21"/>
          <w:highlight w:val="none"/>
        </w:rPr>
      </w:pPr>
      <w:r>
        <w:rPr>
          <w:rStyle w:val="180"/>
          <w:rFonts w:hint="eastAsia" w:ascii="宋体" w:hAnsi="宋体" w:eastAsia="宋体" w:cs="宋体"/>
          <w:b w:val="0"/>
          <w:color w:val="auto"/>
          <w:spacing w:val="0"/>
          <w:sz w:val="21"/>
          <w:szCs w:val="21"/>
          <w:highlight w:val="none"/>
        </w:rPr>
        <w:t>15.4 变更的估价原则</w:t>
      </w:r>
    </w:p>
    <w:p>
      <w:pPr>
        <w:pageBreakBefore w:val="0"/>
        <w:kinsoku/>
        <w:wordWrap/>
        <w:overflowPunct/>
        <w:topLinePunct w:val="0"/>
        <w:autoSpaceDE/>
        <w:autoSpaceDN/>
        <w:bidi w:val="0"/>
        <w:adjustRightInd w:val="0"/>
        <w:snapToGrid w:val="0"/>
        <w:spacing w:line="380" w:lineRule="exact"/>
        <w:ind w:firstLine="420" w:firstLineChars="200"/>
        <w:textAlignment w:val="auto"/>
        <w:rPr>
          <w:b w:val="0"/>
          <w:bCs w:val="0"/>
          <w:color w:val="auto"/>
          <w:szCs w:val="21"/>
          <w:highlight w:val="none"/>
        </w:rPr>
      </w:pPr>
      <w:r>
        <w:rPr>
          <w:color w:val="auto"/>
          <w:szCs w:val="21"/>
          <w:highlight w:val="none"/>
        </w:rPr>
        <w:t>15.4.1适用于变更工作的子目单价，由发包人的</w:t>
      </w:r>
      <w:r>
        <w:rPr>
          <w:rFonts w:hint="eastAsia"/>
          <w:color w:val="auto"/>
          <w:szCs w:val="21"/>
          <w:highlight w:val="none"/>
        </w:rPr>
        <w:t>最高投标限价审核</w:t>
      </w:r>
      <w:r>
        <w:rPr>
          <w:color w:val="auto"/>
          <w:szCs w:val="21"/>
          <w:highlight w:val="none"/>
        </w:rPr>
        <w:t>单价并按承包人的中标下浮率下浮后确定</w:t>
      </w:r>
      <w:r>
        <w:rPr>
          <w:rFonts w:hint="eastAsia"/>
          <w:color w:val="auto"/>
          <w:szCs w:val="21"/>
          <w:highlight w:val="none"/>
          <w:lang w:eastAsia="zh-CN"/>
        </w:rPr>
        <w:t>，</w:t>
      </w:r>
      <w:r>
        <w:rPr>
          <w:rFonts w:hint="eastAsia"/>
          <w:b w:val="0"/>
          <w:bCs w:val="0"/>
          <w:color w:val="auto"/>
          <w:szCs w:val="21"/>
          <w:highlight w:val="none"/>
          <w:u w:val="none"/>
        </w:rPr>
        <w:t>下浮率同综合优惠率=[1-投标人最终投标报价/本标段预算审核价]×100%</w:t>
      </w:r>
      <w:r>
        <w:rPr>
          <w:b w:val="0"/>
          <w:bCs w:val="0"/>
          <w:color w:val="auto"/>
          <w:szCs w:val="21"/>
          <w:highlight w:val="none"/>
          <w:u w:val="none"/>
        </w:rPr>
        <w:t>。</w:t>
      </w:r>
    </w:p>
    <w:p>
      <w:pPr>
        <w:pageBreakBefore w:val="0"/>
        <w:kinsoku/>
        <w:wordWrap/>
        <w:overflowPunct/>
        <w:topLinePunct w:val="0"/>
        <w:autoSpaceDE/>
        <w:autoSpaceDN/>
        <w:bidi w:val="0"/>
        <w:adjustRightInd w:val="0"/>
        <w:snapToGrid w:val="0"/>
        <w:spacing w:line="380" w:lineRule="exact"/>
        <w:ind w:firstLine="420" w:firstLineChars="200"/>
        <w:textAlignment w:val="auto"/>
        <w:rPr>
          <w:color w:val="auto"/>
          <w:szCs w:val="21"/>
          <w:highlight w:val="none"/>
        </w:rPr>
      </w:pPr>
      <w:r>
        <w:rPr>
          <w:color w:val="auto"/>
          <w:szCs w:val="21"/>
          <w:highlight w:val="none"/>
        </w:rPr>
        <w:t>15.4.2类似的子目单价由发包人</w:t>
      </w:r>
      <w:r>
        <w:rPr>
          <w:rFonts w:hint="eastAsia"/>
          <w:color w:val="auto"/>
          <w:szCs w:val="21"/>
          <w:highlight w:val="none"/>
        </w:rPr>
        <w:t>最高投标限价审核</w:t>
      </w:r>
      <w:r>
        <w:rPr>
          <w:color w:val="auto"/>
          <w:szCs w:val="21"/>
          <w:highlight w:val="none"/>
        </w:rPr>
        <w:t>单价中的类似子目单价并按承包人的中标下浮率下浮后确定。</w:t>
      </w:r>
    </w:p>
    <w:p>
      <w:pPr>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cs="宋体"/>
          <w:color w:val="auto"/>
          <w:spacing w:val="0"/>
          <w:sz w:val="21"/>
          <w:szCs w:val="21"/>
          <w:highlight w:val="none"/>
          <w:u w:val="single"/>
        </w:rPr>
      </w:pPr>
      <w:r>
        <w:rPr>
          <w:color w:val="auto"/>
          <w:szCs w:val="21"/>
          <w:highlight w:val="none"/>
        </w:rPr>
        <w:t>15.4.3没有类似的子目单价的，由承包人参照</w:t>
      </w:r>
      <w:r>
        <w:rPr>
          <w:rFonts w:hint="eastAsia"/>
          <w:color w:val="auto"/>
          <w:szCs w:val="21"/>
          <w:highlight w:val="none"/>
        </w:rPr>
        <w:t>最高投标限价审核书</w:t>
      </w:r>
      <w:r>
        <w:rPr>
          <w:color w:val="auto"/>
          <w:szCs w:val="21"/>
          <w:highlight w:val="none"/>
        </w:rPr>
        <w:t>的组价方法、实际含量、市场价格</w:t>
      </w:r>
      <w:r>
        <w:rPr>
          <w:rFonts w:hint="eastAsia"/>
          <w:color w:val="auto"/>
          <w:szCs w:val="21"/>
          <w:highlight w:val="none"/>
        </w:rPr>
        <w:t>按</w:t>
      </w:r>
      <w:r>
        <w:rPr>
          <w:color w:val="auto"/>
          <w:szCs w:val="21"/>
          <w:highlight w:val="none"/>
        </w:rPr>
        <w:t>评标标底</w:t>
      </w:r>
      <w:r>
        <w:rPr>
          <w:rFonts w:hint="eastAsia"/>
          <w:color w:val="auto"/>
          <w:szCs w:val="21"/>
          <w:highlight w:val="none"/>
        </w:rPr>
        <w:t>下浮率</w:t>
      </w:r>
      <w:r>
        <w:rPr>
          <w:color w:val="auto"/>
          <w:szCs w:val="21"/>
          <w:highlight w:val="none"/>
        </w:rPr>
        <w:t>下浮幅度提出适当的单价，经发包人审定后执行。</w:t>
      </w:r>
    </w:p>
    <w:p>
      <w:pPr>
        <w:pageBreakBefore w:val="0"/>
        <w:kinsoku/>
        <w:wordWrap/>
        <w:overflowPunct/>
        <w:topLinePunct w:val="0"/>
        <w:autoSpaceDE/>
        <w:autoSpaceDN/>
        <w:bidi w:val="0"/>
        <w:snapToGrid w:val="0"/>
        <w:spacing w:line="380" w:lineRule="exact"/>
        <w:ind w:firstLine="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本款增加：</w:t>
      </w:r>
    </w:p>
    <w:p>
      <w:pPr>
        <w:pStyle w:val="179"/>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 xml:space="preserve">15.4.4 </w:t>
      </w:r>
      <w:r>
        <w:rPr>
          <w:rFonts w:hint="eastAsia" w:ascii="宋体" w:hAnsi="宋体" w:cs="宋体"/>
          <w:color w:val="auto"/>
          <w:spacing w:val="0"/>
          <w:sz w:val="21"/>
          <w:szCs w:val="21"/>
          <w:highlight w:val="none"/>
          <w:u w:val="single"/>
        </w:rPr>
        <w:t>本合同工程新增或变更工程金额，不论金额大小，均不得要求增加工程量清单中的总价承包部分的费用和合同约定不予调整的工程量。</w:t>
      </w:r>
    </w:p>
    <w:p>
      <w:pPr>
        <w:pStyle w:val="179"/>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15.4.5</w:t>
      </w:r>
      <w:r>
        <w:rPr>
          <w:rFonts w:hint="eastAsia" w:ascii="宋体" w:hAnsi="宋体" w:cs="宋体"/>
          <w:color w:val="auto"/>
          <w:spacing w:val="0"/>
          <w:sz w:val="21"/>
          <w:szCs w:val="21"/>
          <w:highlight w:val="none"/>
          <w:u w:val="single"/>
        </w:rPr>
        <w:t>承包人不得因本工程的工程量调整（增加或减少）原因而提出索赔或其他补偿要求。</w:t>
      </w:r>
    </w:p>
    <w:p>
      <w:pPr>
        <w:pStyle w:val="179"/>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 xml:space="preserve">15.4.6 </w:t>
      </w:r>
      <w:r>
        <w:rPr>
          <w:rFonts w:hint="eastAsia" w:ascii="宋体" w:hAnsi="宋体" w:cs="宋体"/>
          <w:color w:val="auto"/>
          <w:spacing w:val="0"/>
          <w:sz w:val="21"/>
          <w:szCs w:val="21"/>
          <w:highlight w:val="none"/>
        </w:rPr>
        <w:t>承包人应充分考虑施工现场实际情况，不得因本工程施工场地政策处理原因而提出索赔或其他补偿要求。</w:t>
      </w:r>
    </w:p>
    <w:p>
      <w:pPr>
        <w:pStyle w:val="10"/>
        <w:pageBreakBefore w:val="0"/>
        <w:tabs>
          <w:tab w:val="left" w:pos="0"/>
          <w:tab w:val="clear" w:pos="1008"/>
        </w:tabs>
        <w:suppressAutoHyphens/>
        <w:kinsoku/>
        <w:wordWrap/>
        <w:overflowPunct/>
        <w:topLinePunct w:val="0"/>
        <w:autoSpaceDE/>
        <w:autoSpaceDN/>
        <w:bidi w:val="0"/>
        <w:adjustRightInd w:val="0"/>
        <w:snapToGrid w:val="0"/>
        <w:spacing w:before="0" w:after="0" w:line="380" w:lineRule="exact"/>
        <w:textAlignment w:val="auto"/>
        <w:rPr>
          <w:rFonts w:hint="eastAsia" w:ascii="宋体" w:hAnsi="宋体" w:cs="宋体"/>
          <w:color w:val="auto"/>
          <w:spacing w:val="0"/>
          <w:sz w:val="21"/>
          <w:szCs w:val="21"/>
          <w:highlight w:val="none"/>
        </w:rPr>
      </w:pPr>
      <w:r>
        <w:rPr>
          <w:rStyle w:val="180"/>
          <w:rFonts w:hint="eastAsia" w:ascii="宋体" w:hAnsi="宋体" w:eastAsia="宋体" w:cs="宋体"/>
          <w:b w:val="0"/>
          <w:color w:val="auto"/>
          <w:spacing w:val="0"/>
          <w:sz w:val="21"/>
          <w:szCs w:val="21"/>
          <w:highlight w:val="none"/>
        </w:rPr>
        <w:t>15.5 承包人的合理化建议</w:t>
      </w:r>
    </w:p>
    <w:p>
      <w:pPr>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15.5.2 承包人实现合理化建议的奖励金额为：</w:t>
      </w:r>
      <w:r>
        <w:rPr>
          <w:rFonts w:hint="eastAsia" w:ascii="宋体" w:hAnsi="宋体" w:cs="宋体"/>
          <w:color w:val="auto"/>
          <w:spacing w:val="0"/>
          <w:sz w:val="21"/>
          <w:szCs w:val="21"/>
          <w:highlight w:val="none"/>
          <w:u w:val="single"/>
        </w:rPr>
        <w:t>如承包人提出的合理化建议被发包人采纳，发包人将视情况，给予承包人一定的工期延长奖励</w:t>
      </w:r>
      <w:r>
        <w:rPr>
          <w:rFonts w:hint="eastAsia" w:ascii="宋体" w:hAnsi="宋体" w:cs="宋体"/>
          <w:color w:val="auto"/>
          <w:spacing w:val="0"/>
          <w:sz w:val="21"/>
          <w:szCs w:val="21"/>
          <w:highlight w:val="none"/>
        </w:rPr>
        <w:t>。</w:t>
      </w:r>
    </w:p>
    <w:p>
      <w:pPr>
        <w:pStyle w:val="10"/>
        <w:pageBreakBefore w:val="0"/>
        <w:tabs>
          <w:tab w:val="left" w:pos="0"/>
          <w:tab w:val="clear" w:pos="1008"/>
        </w:tabs>
        <w:suppressAutoHyphens/>
        <w:kinsoku/>
        <w:wordWrap/>
        <w:overflowPunct/>
        <w:topLinePunct w:val="0"/>
        <w:autoSpaceDE/>
        <w:autoSpaceDN/>
        <w:bidi w:val="0"/>
        <w:adjustRightInd/>
        <w:snapToGrid w:val="0"/>
        <w:spacing w:before="0" w:after="0" w:line="380" w:lineRule="exact"/>
        <w:textAlignment w:val="auto"/>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15.8 暂估价</w:t>
      </w:r>
    </w:p>
    <w:p>
      <w:pPr>
        <w:pageBreakBefore w:val="0"/>
        <w:kinsoku/>
        <w:wordWrap/>
        <w:overflowPunct/>
        <w:topLinePunct w:val="0"/>
        <w:autoSpaceDE/>
        <w:autoSpaceDN/>
        <w:bidi w:val="0"/>
        <w:adjustRightInd/>
        <w:snapToGrid w:val="0"/>
        <w:spacing w:line="38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15.8.1</w:t>
      </w:r>
    </w:p>
    <w:p>
      <w:pPr>
        <w:pageBreakBefore w:val="0"/>
        <w:kinsoku/>
        <w:wordWrap/>
        <w:overflowPunct/>
        <w:topLinePunct w:val="0"/>
        <w:autoSpaceDE/>
        <w:autoSpaceDN/>
        <w:bidi w:val="0"/>
        <w:adjustRightInd/>
        <w:snapToGrid w:val="0"/>
        <w:spacing w:line="380" w:lineRule="exact"/>
        <w:ind w:firstLine="210" w:firstLineChars="1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发包人和承包人组织招标的暂估价项目：</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；发包人组织招标的暂估价项目：</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pPr>
        <w:pageBreakBefore w:val="0"/>
        <w:kinsoku/>
        <w:wordWrap/>
        <w:overflowPunct/>
        <w:topLinePunct w:val="0"/>
        <w:autoSpaceDE/>
        <w:autoSpaceDN/>
        <w:bidi w:val="0"/>
        <w:adjustRightInd/>
        <w:snapToGrid w:val="0"/>
        <w:spacing w:line="360" w:lineRule="exact"/>
        <w:ind w:firstLine="210" w:firstLineChars="10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⑵ 发包人和承包人以招标方式选择暂估价项目供应商或分包人时，双方的权利义务系：</w:t>
      </w:r>
      <w:r>
        <w:rPr>
          <w:rFonts w:hint="eastAsia" w:ascii="宋体" w:hAnsi="宋体" w:cs="宋体"/>
          <w:color w:val="auto"/>
          <w:spacing w:val="0"/>
          <w:sz w:val="21"/>
          <w:szCs w:val="21"/>
          <w:highlight w:val="none"/>
          <w:u w:val="single"/>
        </w:rPr>
        <w:t>无</w:t>
      </w:r>
      <w:r>
        <w:rPr>
          <w:rFonts w:hint="eastAsia" w:ascii="宋体" w:hAnsi="宋体" w:cs="宋体"/>
          <w:color w:val="auto"/>
          <w:spacing w:val="0"/>
          <w:sz w:val="21"/>
          <w:szCs w:val="21"/>
          <w:highlight w:val="none"/>
        </w:rPr>
        <w:t>。</w:t>
      </w:r>
    </w:p>
    <w:p>
      <w:pPr>
        <w:pStyle w:val="9"/>
        <w:pageBreakBefore w:val="0"/>
        <w:numPr>
          <w:ilvl w:val="3"/>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16 价格调整</w:t>
      </w:r>
    </w:p>
    <w:p>
      <w:pPr>
        <w:pStyle w:val="10"/>
        <w:pageBreakBefore w:val="0"/>
        <w:tabs>
          <w:tab w:val="left" w:pos="0"/>
          <w:tab w:val="clear" w:pos="1008"/>
        </w:tabs>
        <w:suppressAutoHyphens/>
        <w:kinsoku/>
        <w:wordWrap/>
        <w:overflowPunct/>
        <w:topLinePunct w:val="0"/>
        <w:autoSpaceDE/>
        <w:autoSpaceDN/>
        <w:bidi w:val="0"/>
        <w:adjustRightInd/>
        <w:snapToGrid w:val="0"/>
        <w:spacing w:before="0" w:after="0" w:line="360" w:lineRule="exact"/>
        <w:textAlignment w:val="auto"/>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16.1 物价波动引起的价格调整</w:t>
      </w:r>
    </w:p>
    <w:p>
      <w:pPr>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pacing w:val="0"/>
          <w:sz w:val="21"/>
          <w:szCs w:val="21"/>
          <w:highlight w:val="none"/>
          <w:lang w:eastAsia="zh-CN"/>
        </w:rPr>
      </w:pPr>
      <w:r>
        <w:rPr>
          <w:rFonts w:hint="eastAsia" w:ascii="宋体" w:hAnsi="宋体" w:cs="宋体"/>
          <w:color w:val="auto"/>
          <w:spacing w:val="0"/>
          <w:sz w:val="21"/>
          <w:szCs w:val="21"/>
          <w:highlight w:val="none"/>
        </w:rPr>
        <w:t>删去本条全文，并代之以</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本项目</w:t>
      </w:r>
      <w:r>
        <w:rPr>
          <w:rFonts w:hint="eastAsia" w:ascii="宋体" w:hAnsi="宋体" w:eastAsia="宋体" w:cs="宋体"/>
          <w:color w:val="auto"/>
          <w:spacing w:val="0"/>
          <w:sz w:val="21"/>
          <w:szCs w:val="21"/>
          <w:highlight w:val="none"/>
        </w:rPr>
        <w:t>物价波动引起的价格不予调整。</w:t>
      </w:r>
    </w:p>
    <w:p>
      <w:pPr>
        <w:pStyle w:val="9"/>
        <w:pageBreakBefore w:val="0"/>
        <w:numPr>
          <w:ilvl w:val="3"/>
          <w:numId w:val="0"/>
        </w:numPr>
        <w:kinsoku/>
        <w:wordWrap/>
        <w:overflowPunct/>
        <w:topLinePunct w:val="0"/>
        <w:autoSpaceDE/>
        <w:autoSpaceDN/>
        <w:bidi w:val="0"/>
        <w:adjustRightInd/>
        <w:spacing w:line="360" w:lineRule="exact"/>
        <w:textAlignment w:val="auto"/>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17 计量与支付</w:t>
      </w:r>
    </w:p>
    <w:p>
      <w:pPr>
        <w:pStyle w:val="10"/>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17.2 预付款</w:t>
      </w:r>
    </w:p>
    <w:p>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17.2.1</w:t>
      </w:r>
      <w:r>
        <w:rPr>
          <w:rFonts w:hint="eastAsia" w:ascii="宋体" w:hAnsi="宋体" w:cs="宋体"/>
          <w:color w:val="auto"/>
          <w:spacing w:val="0"/>
          <w:sz w:val="21"/>
          <w:szCs w:val="21"/>
          <w:highlight w:val="none"/>
        </w:rPr>
        <w:t xml:space="preserve"> 预付款：</w:t>
      </w:r>
    </w:p>
    <w:p>
      <w:pPr>
        <w:pageBreakBefore w:val="0"/>
        <w:kinsoku/>
        <w:wordWrap/>
        <w:overflowPunct/>
        <w:topLinePunct w:val="0"/>
        <w:autoSpaceDE/>
        <w:autoSpaceDN/>
        <w:bidi w:val="0"/>
        <w:adjustRightInd/>
        <w:spacing w:line="360" w:lineRule="exact"/>
        <w:textAlignment w:val="auto"/>
        <w:rPr>
          <w:rFonts w:hint="default" w:ascii="宋体" w:hAnsi="宋体" w:cs="宋体"/>
          <w:b/>
          <w:color w:val="FF0000"/>
          <w:spacing w:val="0"/>
          <w:sz w:val="21"/>
          <w:szCs w:val="21"/>
          <w:highlight w:val="none"/>
          <w:lang w:val="en-US"/>
        </w:rPr>
      </w:pPr>
      <w:r>
        <w:rPr>
          <w:rFonts w:hint="eastAsia" w:ascii="宋体" w:hAnsi="宋体" w:cs="宋体"/>
          <w:color w:val="auto"/>
          <w:spacing w:val="0"/>
          <w:sz w:val="21"/>
          <w:szCs w:val="21"/>
          <w:highlight w:val="none"/>
        </w:rPr>
        <w:t>⑴ 工程预付款：</w:t>
      </w:r>
      <w:r>
        <w:rPr>
          <w:rFonts w:hint="eastAsia" w:ascii="宋体" w:hAnsi="宋体" w:cs="宋体"/>
          <w:color w:val="auto"/>
          <w:spacing w:val="0"/>
          <w:sz w:val="21"/>
          <w:szCs w:val="21"/>
          <w:highlight w:val="none"/>
          <w:u w:val="single"/>
          <w:lang w:val="en-US" w:eastAsia="zh-CN"/>
        </w:rPr>
        <w:t xml:space="preserve">  合同价40%</w:t>
      </w:r>
      <w:r>
        <w:rPr>
          <w:rFonts w:hint="eastAsia" w:ascii="宋体" w:hAnsi="宋体"/>
          <w:color w:val="auto"/>
          <w:spacing w:val="0"/>
          <w:sz w:val="21"/>
          <w:szCs w:val="21"/>
          <w:highlight w:val="none"/>
          <w:u w:val="single"/>
          <w:lang w:val="en-US" w:eastAsia="zh-CN"/>
        </w:rPr>
        <w:t xml:space="preserve"> ；</w:t>
      </w:r>
    </w:p>
    <w:p>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⑵ 工程材料预付款的额度和预付办法约定为：</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pPr>
        <w:pageBreakBefore w:val="0"/>
        <w:kinsoku/>
        <w:wordWrap/>
        <w:overflowPunct/>
        <w:topLinePunct w:val="0"/>
        <w:autoSpaceDE/>
        <w:autoSpaceDN/>
        <w:bidi w:val="0"/>
        <w:adjustRightInd/>
        <w:spacing w:line="360" w:lineRule="exact"/>
        <w:textAlignment w:val="auto"/>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17.2.3</w:t>
      </w:r>
      <w:r>
        <w:rPr>
          <w:rFonts w:hint="eastAsia" w:ascii="宋体" w:hAnsi="宋体" w:cs="宋体"/>
          <w:color w:val="auto"/>
          <w:spacing w:val="0"/>
          <w:sz w:val="21"/>
          <w:szCs w:val="21"/>
          <w:highlight w:val="none"/>
        </w:rPr>
        <w:t xml:space="preserve"> 预付款的扣回与还清</w:t>
      </w:r>
    </w:p>
    <w:p>
      <w:pPr>
        <w:pStyle w:val="181"/>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 w:val="0"/>
          <w:bCs/>
          <w:snapToGrid w:val="0"/>
          <w:color w:val="auto"/>
          <w:spacing w:val="0"/>
          <w:kern w:val="0"/>
          <w:sz w:val="21"/>
          <w:szCs w:val="21"/>
          <w:highlight w:val="none"/>
          <w:lang w:val="en-US" w:eastAsia="zh-CN" w:bidi="ar-SA"/>
        </w:rPr>
      </w:pPr>
      <w:r>
        <w:rPr>
          <w:rFonts w:hint="eastAsia" w:ascii="宋体" w:hAnsi="宋体" w:eastAsia="宋体" w:cs="宋体"/>
          <w:b w:val="0"/>
          <w:bCs/>
          <w:snapToGrid w:val="0"/>
          <w:color w:val="auto"/>
          <w:spacing w:val="0"/>
          <w:kern w:val="0"/>
          <w:sz w:val="21"/>
          <w:szCs w:val="21"/>
          <w:highlight w:val="none"/>
          <w:lang w:val="en-US" w:eastAsia="zh-CN" w:bidi="ar-SA"/>
        </w:rPr>
        <w:t>(1) 工程预付款：</w:t>
      </w:r>
      <w:r>
        <w:rPr>
          <w:rFonts w:hint="eastAsia" w:ascii="宋体" w:hAnsi="宋体" w:eastAsia="宋体" w:cs="宋体"/>
          <w:b w:val="0"/>
          <w:bCs/>
          <w:snapToGrid w:val="0"/>
          <w:color w:val="auto"/>
          <w:spacing w:val="0"/>
          <w:kern w:val="0"/>
          <w:sz w:val="21"/>
          <w:szCs w:val="21"/>
          <w:highlight w:val="none"/>
          <w:u w:val="single"/>
          <w:lang w:val="en-US" w:eastAsia="zh-CN" w:bidi="ar-SA"/>
        </w:rPr>
        <w:t>不扣回</w:t>
      </w:r>
      <w:r>
        <w:rPr>
          <w:rFonts w:hint="eastAsia" w:ascii="宋体" w:hAnsi="宋体" w:cs="宋体"/>
          <w:b w:val="0"/>
          <w:bCs/>
          <w:snapToGrid w:val="0"/>
          <w:color w:val="auto"/>
          <w:spacing w:val="0"/>
          <w:kern w:val="0"/>
          <w:sz w:val="21"/>
          <w:szCs w:val="21"/>
          <w:highlight w:val="none"/>
          <w:u w:val="single"/>
          <w:lang w:val="en-US" w:eastAsia="zh-CN" w:bidi="ar-SA"/>
        </w:rPr>
        <w:t>。作为工程款，不抵扣每期应付进度款</w:t>
      </w:r>
      <w:r>
        <w:rPr>
          <w:rFonts w:hint="eastAsia" w:ascii="宋体" w:hAnsi="宋体" w:eastAsia="宋体" w:cs="宋体"/>
          <w:b w:val="0"/>
          <w:bCs/>
          <w:snapToGrid w:val="0"/>
          <w:color w:val="auto"/>
          <w:spacing w:val="0"/>
          <w:kern w:val="0"/>
          <w:sz w:val="21"/>
          <w:szCs w:val="21"/>
          <w:highlight w:val="none"/>
          <w:lang w:val="en-US" w:eastAsia="zh-CN" w:bidi="ar-SA"/>
        </w:rPr>
        <w:t>。</w:t>
      </w:r>
    </w:p>
    <w:p>
      <w:pPr>
        <w:pStyle w:val="10"/>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2"/>
          <w:rFonts w:hint="eastAsia" w:ascii="宋体" w:hAnsi="宋体" w:eastAsia="宋体" w:cs="宋体"/>
          <w:b w:val="0"/>
          <w:color w:val="auto"/>
          <w:spacing w:val="0"/>
          <w:sz w:val="21"/>
          <w:szCs w:val="21"/>
          <w:highlight w:val="none"/>
        </w:rPr>
      </w:pPr>
      <w:r>
        <w:rPr>
          <w:rFonts w:hint="eastAsia" w:ascii="宋体" w:hAnsi="宋体" w:cs="宋体"/>
          <w:b w:val="0"/>
          <w:snapToGrid w:val="0"/>
          <w:color w:val="auto"/>
          <w:spacing w:val="0"/>
          <w:sz w:val="21"/>
          <w:szCs w:val="21"/>
          <w:highlight w:val="none"/>
        </w:rPr>
        <w:t>(2) 工程材料预付款的扣回与还清约定为：</w:t>
      </w:r>
      <w:r>
        <w:rPr>
          <w:rFonts w:hint="eastAsia" w:ascii="宋体" w:hAnsi="宋体" w:cs="宋体"/>
          <w:b w:val="0"/>
          <w:snapToGrid w:val="0"/>
          <w:color w:val="auto"/>
          <w:spacing w:val="0"/>
          <w:sz w:val="21"/>
          <w:szCs w:val="21"/>
          <w:highlight w:val="none"/>
          <w:u w:val="single"/>
        </w:rPr>
        <w:t xml:space="preserve">  /  </w:t>
      </w:r>
      <w:r>
        <w:rPr>
          <w:rFonts w:hint="eastAsia" w:ascii="宋体" w:hAnsi="宋体" w:cs="宋体"/>
          <w:b w:val="0"/>
          <w:snapToGrid w:val="0"/>
          <w:color w:val="auto"/>
          <w:spacing w:val="0"/>
          <w:sz w:val="21"/>
          <w:szCs w:val="21"/>
          <w:highlight w:val="none"/>
        </w:rPr>
        <w:t>。</w:t>
      </w:r>
    </w:p>
    <w:p>
      <w:pPr>
        <w:pStyle w:val="10"/>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17.3 工程进度付款</w:t>
      </w:r>
    </w:p>
    <w:p>
      <w:pPr>
        <w:pStyle w:val="108"/>
        <w:pageBreakBefore w:val="0"/>
        <w:kinsoku/>
        <w:wordWrap/>
        <w:overflowPunct/>
        <w:topLinePunct w:val="0"/>
        <w:autoSpaceDE/>
        <w:autoSpaceDN/>
        <w:bidi w:val="0"/>
        <w:adjustRightInd/>
        <w:spacing w:line="360" w:lineRule="exact"/>
        <w:ind w:left="210" w:leftChars="100" w:firstLine="210" w:firstLineChars="100"/>
        <w:textAlignment w:val="auto"/>
        <w:rPr>
          <w:rFonts w:hint="eastAsia" w:ascii="宋体" w:hAnsi="宋体" w:cs="宋体"/>
          <w:snapToGrid w:val="0"/>
          <w:color w:val="auto"/>
          <w:spacing w:val="0"/>
          <w:sz w:val="21"/>
          <w:szCs w:val="21"/>
          <w:highlight w:val="none"/>
        </w:rPr>
      </w:pPr>
      <w:bookmarkStart w:id="28" w:name="_Toc518914412"/>
      <w:r>
        <w:rPr>
          <w:rFonts w:hint="eastAsia" w:ascii="宋体" w:hAnsi="宋体" w:cs="宋体"/>
          <w:color w:val="auto"/>
          <w:spacing w:val="0"/>
          <w:sz w:val="21"/>
          <w:szCs w:val="21"/>
          <w:highlight w:val="none"/>
        </w:rPr>
        <w:t xml:space="preserve">17.3.2 </w:t>
      </w:r>
      <w:r>
        <w:rPr>
          <w:rFonts w:hint="eastAsia" w:ascii="宋体" w:hAnsi="宋体" w:cs="宋体"/>
          <w:snapToGrid w:val="0"/>
          <w:color w:val="auto"/>
          <w:spacing w:val="0"/>
          <w:sz w:val="21"/>
          <w:szCs w:val="21"/>
          <w:highlight w:val="none"/>
        </w:rPr>
        <w:t>进度付款申请单</w:t>
      </w:r>
    </w:p>
    <w:p>
      <w:pPr>
        <w:pStyle w:val="108"/>
        <w:pageBreakBefore w:val="0"/>
        <w:kinsoku/>
        <w:wordWrap/>
        <w:overflowPunct/>
        <w:topLinePunct w:val="0"/>
        <w:autoSpaceDE/>
        <w:autoSpaceDN/>
        <w:bidi w:val="0"/>
        <w:adjustRightInd/>
        <w:spacing w:line="360" w:lineRule="exact"/>
        <w:ind w:left="210" w:leftChars="100" w:firstLine="210" w:firstLineChars="100"/>
        <w:textAlignment w:val="auto"/>
        <w:rPr>
          <w:rFonts w:hint="eastAsia" w:ascii="宋体" w:hAnsi="宋体" w:cs="宋体"/>
          <w:snapToGrid w:val="0"/>
          <w:color w:val="auto"/>
          <w:spacing w:val="0"/>
          <w:sz w:val="21"/>
          <w:szCs w:val="21"/>
          <w:highlight w:val="none"/>
          <w:u w:val="single"/>
        </w:rPr>
      </w:pPr>
      <w:r>
        <w:rPr>
          <w:rFonts w:hint="eastAsia" w:ascii="宋体" w:hAnsi="宋体" w:cs="宋体"/>
          <w:snapToGrid w:val="0"/>
          <w:color w:val="auto"/>
          <w:spacing w:val="0"/>
          <w:sz w:val="21"/>
          <w:szCs w:val="21"/>
          <w:highlight w:val="none"/>
        </w:rPr>
        <w:t>每个付款周期末为</w:t>
      </w:r>
      <w:r>
        <w:rPr>
          <w:rFonts w:hint="eastAsia" w:ascii="宋体" w:hAnsi="宋体" w:cs="宋体"/>
          <w:snapToGrid w:val="0"/>
          <w:color w:val="auto"/>
          <w:spacing w:val="0"/>
          <w:sz w:val="21"/>
          <w:szCs w:val="21"/>
          <w:highlight w:val="none"/>
          <w:u w:val="single"/>
        </w:rPr>
        <w:t>每月25日</w:t>
      </w:r>
      <w:r>
        <w:rPr>
          <w:rFonts w:hint="eastAsia" w:ascii="宋体" w:hAnsi="宋体" w:cs="宋体"/>
          <w:snapToGrid w:val="0"/>
          <w:color w:val="auto"/>
          <w:spacing w:val="0"/>
          <w:sz w:val="21"/>
          <w:szCs w:val="21"/>
          <w:highlight w:val="none"/>
        </w:rPr>
        <w:t>，份数为</w:t>
      </w:r>
      <w:r>
        <w:rPr>
          <w:rFonts w:hint="eastAsia" w:ascii="宋体" w:hAnsi="宋体" w:cs="宋体"/>
          <w:snapToGrid w:val="0"/>
          <w:color w:val="auto"/>
          <w:spacing w:val="0"/>
          <w:sz w:val="21"/>
          <w:szCs w:val="21"/>
          <w:highlight w:val="none"/>
          <w:u w:val="single"/>
        </w:rPr>
        <w:t xml:space="preserve"> 5 </w:t>
      </w:r>
      <w:r>
        <w:rPr>
          <w:rFonts w:hint="eastAsia" w:ascii="宋体" w:hAnsi="宋体" w:cs="宋体"/>
          <w:snapToGrid w:val="0"/>
          <w:color w:val="auto"/>
          <w:spacing w:val="0"/>
          <w:sz w:val="21"/>
          <w:szCs w:val="21"/>
          <w:highlight w:val="none"/>
        </w:rPr>
        <w:t>份。</w:t>
      </w:r>
    </w:p>
    <w:p>
      <w:pPr>
        <w:pageBreakBefore w:val="0"/>
        <w:kinsoku/>
        <w:wordWrap/>
        <w:overflowPunct/>
        <w:topLinePunct w:val="0"/>
        <w:autoSpaceDE/>
        <w:autoSpaceDN/>
        <w:bidi w:val="0"/>
        <w:adjustRightIn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 xml:space="preserve">17.3.3 进度付款证书和支付时间 </w:t>
      </w:r>
    </w:p>
    <w:p>
      <w:pPr>
        <w:pStyle w:val="179"/>
        <w:pageBreakBefore w:val="0"/>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细化为：</w:t>
      </w:r>
    </w:p>
    <w:p>
      <w:pPr>
        <w:pStyle w:val="100"/>
        <w:keepNext w:val="0"/>
        <w:keepLines w:val="0"/>
        <w:pageBreakBefore w:val="0"/>
        <w:numPr>
          <w:ilvl w:val="0"/>
          <w:numId w:val="0"/>
        </w:numPr>
        <w:kinsoku/>
        <w:wordWrap/>
        <w:overflowPunct/>
        <w:topLinePunct w:val="0"/>
        <w:autoSpaceDE/>
        <w:autoSpaceDN/>
        <w:bidi w:val="0"/>
        <w:adjustRightInd/>
        <w:snapToGrid/>
        <w:spacing w:line="360" w:lineRule="exact"/>
        <w:ind w:right="0" w:rightChars="0" w:firstLine="422" w:firstLineChars="200"/>
        <w:textAlignment w:val="auto"/>
        <w:rPr>
          <w:rFonts w:hint="eastAsia" w:ascii="宋体" w:hAnsi="宋体"/>
          <w:b/>
          <w:color w:val="auto"/>
          <w:szCs w:val="21"/>
          <w:highlight w:val="none"/>
          <w:lang w:val="en-US" w:eastAsia="zh-CN"/>
        </w:rPr>
      </w:pPr>
      <w:r>
        <w:rPr>
          <w:rFonts w:hint="eastAsia" w:ascii="宋体" w:hAnsi="宋体"/>
          <w:b/>
          <w:color w:val="auto"/>
          <w:szCs w:val="21"/>
          <w:highlight w:val="none"/>
        </w:rPr>
        <w:t>工程进度款,待工程竣工验收合格后付至合同价的80%，完成结算审计并通过财政备案后付至结算审核价的100%，发包人支付完成最后工程结算付款前，承包人提供1.5%的工程结算价款的质量保证金保函，待缺陷责任期（1年）满后退还。</w:t>
      </w:r>
    </w:p>
    <w:p>
      <w:pPr>
        <w:pStyle w:val="179"/>
        <w:pageBreakBefore w:val="0"/>
        <w:numPr>
          <w:ilvl w:val="0"/>
          <w:numId w:val="11"/>
        </w:numPr>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本款中规定的逾期付款违约金为按中国人民银行规定的同期贷款基准利率计算的逾期付款金额的利息。</w:t>
      </w:r>
    </w:p>
    <w:p>
      <w:pPr>
        <w:pStyle w:val="179"/>
        <w:pageBreakBefore w:val="0"/>
        <w:numPr>
          <w:ilvl w:val="0"/>
          <w:numId w:val="11"/>
        </w:numPr>
        <w:kinsoku/>
        <w:wordWrap/>
        <w:overflowPunct/>
        <w:topLinePunct w:val="0"/>
        <w:autoSpaceDE/>
        <w:autoSpaceDN/>
        <w:bidi w:val="0"/>
        <w:adjustRightInd/>
        <w:spacing w:line="360" w:lineRule="exact"/>
        <w:ind w:firstLine="561"/>
        <w:textAlignment w:val="auto"/>
        <w:rPr>
          <w:rFonts w:hint="eastAsia" w:ascii="宋体" w:hAnsi="宋体" w:eastAsia="宋体" w:cs="宋体"/>
          <w:color w:val="auto"/>
          <w:spacing w:val="0"/>
          <w:sz w:val="21"/>
          <w:szCs w:val="21"/>
          <w:highlight w:val="none"/>
        </w:rPr>
      </w:pPr>
      <w:r>
        <w:rPr>
          <w:rFonts w:hint="eastAsia" w:ascii="宋体" w:hAnsi="宋体" w:cs="宋体"/>
          <w:color w:val="auto"/>
          <w:spacing w:val="0"/>
          <w:sz w:val="21"/>
          <w:szCs w:val="21"/>
          <w:highlight w:val="none"/>
        </w:rPr>
        <w:t xml:space="preserve"> 如遇质量不合格，发包人可暂停支付工程进度款。</w:t>
      </w:r>
      <w:bookmarkEnd w:id="28"/>
    </w:p>
    <w:p>
      <w:pPr>
        <w:pStyle w:val="179"/>
        <w:pageBreakBefore w:val="0"/>
        <w:kinsoku/>
        <w:wordWrap/>
        <w:overflowPunct/>
        <w:topLinePunct w:val="0"/>
        <w:autoSpaceDE/>
        <w:autoSpaceDN/>
        <w:bidi w:val="0"/>
        <w:adjustRightInd/>
        <w:spacing w:line="360" w:lineRule="exact"/>
        <w:ind w:firstLine="561"/>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合同价款支付至合同协议书中约定的承包人帐户。</w:t>
      </w:r>
    </w:p>
    <w:p>
      <w:pPr>
        <w:pStyle w:val="10"/>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17.4 质量保证金</w:t>
      </w:r>
    </w:p>
    <w:p>
      <w:pPr>
        <w:pStyle w:val="179"/>
        <w:pageBreakBefore w:val="0"/>
        <w:kinsoku/>
        <w:wordWrap/>
        <w:overflowPunct/>
        <w:topLinePunct w:val="0"/>
        <w:autoSpaceDE/>
        <w:autoSpaceDN/>
        <w:bidi w:val="0"/>
        <w:adjustRightInd/>
        <w:spacing w:line="360" w:lineRule="exact"/>
        <w:ind w:firstLine="561"/>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17.4.1 质量保证金总额为完工结算价款总额的</w:t>
      </w:r>
      <w:r>
        <w:rPr>
          <w:rFonts w:hint="eastAsia" w:ascii="宋体" w:hAnsi="宋体" w:eastAsia="宋体" w:cs="宋体"/>
          <w:color w:val="auto"/>
          <w:spacing w:val="0"/>
          <w:sz w:val="21"/>
          <w:szCs w:val="21"/>
          <w:highlight w:val="none"/>
          <w:u w:val="single"/>
          <w:lang w:val="en-US" w:eastAsia="zh-CN"/>
        </w:rPr>
        <w:t>1.5</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r>
        <w:rPr>
          <w:rFonts w:hint="eastAsia" w:ascii="宋体" w:hAnsi="宋体" w:cs="宋体"/>
          <w:color w:val="auto"/>
          <w:spacing w:val="0"/>
          <w:sz w:val="21"/>
          <w:szCs w:val="21"/>
          <w:highlight w:val="none"/>
          <w:lang w:eastAsia="zh-CN"/>
        </w:rPr>
        <w:t>，提供质量保证金保函</w:t>
      </w:r>
      <w:r>
        <w:rPr>
          <w:rFonts w:hint="eastAsia" w:ascii="宋体" w:hAnsi="宋体" w:eastAsia="宋体" w:cs="宋体"/>
          <w:color w:val="auto"/>
          <w:spacing w:val="0"/>
          <w:sz w:val="21"/>
          <w:szCs w:val="21"/>
          <w:highlight w:val="none"/>
        </w:rPr>
        <w:t>。</w:t>
      </w:r>
    </w:p>
    <w:p>
      <w:pPr>
        <w:pStyle w:val="10"/>
        <w:pageBreakBefore w:val="0"/>
        <w:tabs>
          <w:tab w:val="left" w:pos="0"/>
          <w:tab w:val="clear" w:pos="1008"/>
        </w:tabs>
        <w:suppressAutoHyphens/>
        <w:kinsoku/>
        <w:wordWrap/>
        <w:overflowPunct/>
        <w:topLinePunct w:val="0"/>
        <w:autoSpaceDE/>
        <w:autoSpaceDN/>
        <w:bidi w:val="0"/>
        <w:adjustRightInd/>
        <w:spacing w:before="0" w:after="0" w:line="360" w:lineRule="exact"/>
        <w:textAlignment w:val="auto"/>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17.5 竣工（完工）结算</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highlight w:val="none"/>
        </w:rPr>
      </w:pPr>
      <w:r>
        <w:rPr>
          <w:rFonts w:hint="eastAsia" w:ascii="宋体" w:hAnsi="宋体" w:cs="宋体"/>
          <w:b/>
          <w:szCs w:val="21"/>
          <w:highlight w:val="none"/>
        </w:rPr>
        <w:t>本工程结算造价的编制，结算时的工程数量根据施工实际完成情况进行增减调整计算。</w:t>
      </w:r>
      <w:r>
        <w:rPr>
          <w:rFonts w:ascii="宋体" w:hAnsi="宋体" w:cs="宋体"/>
          <w:b/>
          <w:szCs w:val="21"/>
          <w:highlight w:val="none"/>
        </w:rPr>
        <w:t>结算总价</w:t>
      </w:r>
      <w:r>
        <w:rPr>
          <w:rFonts w:hint="eastAsia" w:ascii="宋体" w:hAnsi="宋体" w:cs="宋体"/>
          <w:b/>
          <w:szCs w:val="21"/>
          <w:highlight w:val="none"/>
        </w:rPr>
        <w:t>=实际</w:t>
      </w:r>
      <w:r>
        <w:rPr>
          <w:rFonts w:ascii="宋体" w:hAnsi="宋体" w:cs="宋体"/>
          <w:b/>
          <w:szCs w:val="21"/>
          <w:highlight w:val="none"/>
        </w:rPr>
        <w:t>完成工程量</w:t>
      </w:r>
      <w:r>
        <w:rPr>
          <w:rFonts w:hint="eastAsia" w:ascii="宋体" w:hAnsi="宋体" w:cs="宋体"/>
          <w:b/>
          <w:szCs w:val="21"/>
          <w:highlight w:val="none"/>
        </w:rPr>
        <w:t>*</w:t>
      </w:r>
      <w:r>
        <w:rPr>
          <w:rFonts w:hint="eastAsia" w:ascii="宋体" w:hAnsi="宋体" w:cs="宋体"/>
          <w:b/>
          <w:szCs w:val="21"/>
          <w:highlight w:val="none"/>
          <w:lang w:eastAsia="zh-CN"/>
        </w:rPr>
        <w:t>预算审核</w:t>
      </w:r>
      <w:r>
        <w:rPr>
          <w:rFonts w:hint="eastAsia" w:ascii="宋体" w:hAnsi="宋体" w:cs="宋体"/>
          <w:b/>
          <w:szCs w:val="21"/>
          <w:highlight w:val="none"/>
          <w:u w:val="none"/>
        </w:rPr>
        <w:t>单价</w:t>
      </w:r>
      <w:r>
        <w:rPr>
          <w:rFonts w:hint="eastAsia" w:ascii="宋体" w:hAnsi="宋体" w:cs="宋体"/>
          <w:b/>
          <w:szCs w:val="21"/>
          <w:highlight w:val="none"/>
          <w:u w:val="none"/>
          <w:lang w:val="en-US" w:eastAsia="zh-CN"/>
        </w:rPr>
        <w:t>*(1-</w:t>
      </w:r>
      <w:r>
        <w:rPr>
          <w:rFonts w:hint="eastAsia"/>
          <w:b/>
          <w:bCs/>
          <w:szCs w:val="21"/>
          <w:highlight w:val="none"/>
          <w:u w:val="none"/>
        </w:rPr>
        <w:t>综合优惠率</w:t>
      </w:r>
      <w:r>
        <w:rPr>
          <w:rFonts w:hint="eastAsia"/>
          <w:b/>
          <w:bCs/>
          <w:szCs w:val="21"/>
          <w:highlight w:val="none"/>
          <w:u w:val="none"/>
          <w:lang w:val="en-US" w:eastAsia="zh-CN"/>
        </w:rPr>
        <w:t>)</w:t>
      </w:r>
      <w:r>
        <w:rPr>
          <w:rFonts w:hint="eastAsia" w:ascii="宋体" w:hAnsi="宋体" w:cs="宋体"/>
          <w:b/>
          <w:szCs w:val="21"/>
          <w:highlight w:val="none"/>
          <w:u w:val="none"/>
          <w:lang w:eastAsia="zh-CN"/>
        </w:rPr>
        <w:t>。</w:t>
      </w:r>
      <w:r>
        <w:rPr>
          <w:rFonts w:hint="eastAsia"/>
          <w:b/>
          <w:bCs/>
          <w:color w:val="000000"/>
          <w:szCs w:val="21"/>
          <w:highlight w:val="none"/>
        </w:rPr>
        <w:t>本合同工程采用单价合同，</w:t>
      </w:r>
      <w:r>
        <w:rPr>
          <w:rFonts w:hint="eastAsia"/>
          <w:b/>
          <w:bCs/>
          <w:color w:val="000000"/>
          <w:szCs w:val="21"/>
          <w:highlight w:val="none"/>
          <w:lang w:eastAsia="zh-CN"/>
        </w:rPr>
        <w:t>总价下浮，</w:t>
      </w:r>
      <w:r>
        <w:rPr>
          <w:rFonts w:hint="eastAsia"/>
          <w:b/>
          <w:bCs/>
          <w:szCs w:val="21"/>
          <w:highlight w:val="none"/>
          <w:u w:val="single"/>
        </w:rPr>
        <w:t>{下浮率同综合优惠率=[1-投标人最终投标报价/本标段预算审核价]×100%}</w:t>
      </w:r>
      <w:r>
        <w:rPr>
          <w:rFonts w:hint="eastAsia"/>
          <w:b/>
          <w:bCs/>
          <w:szCs w:val="21"/>
          <w:highlight w:val="none"/>
          <w:u w:val="single"/>
          <w:lang w:eastAsia="zh-CN"/>
        </w:rPr>
        <w:t>，</w:t>
      </w:r>
      <w:r>
        <w:rPr>
          <w:rFonts w:hint="eastAsia"/>
          <w:b/>
          <w:bCs/>
          <w:color w:val="000000"/>
          <w:szCs w:val="21"/>
          <w:highlight w:val="none"/>
        </w:rPr>
        <w:t>在合同执行期间单价</w:t>
      </w:r>
      <w:r>
        <w:rPr>
          <w:rFonts w:hint="eastAsia"/>
          <w:b/>
          <w:bCs/>
          <w:color w:val="000000"/>
          <w:szCs w:val="21"/>
          <w:highlight w:val="none"/>
          <w:lang w:eastAsia="zh-CN"/>
        </w:rPr>
        <w:t>（同预算审核书）</w:t>
      </w:r>
      <w:r>
        <w:rPr>
          <w:rFonts w:hint="eastAsia"/>
          <w:b/>
          <w:bCs/>
          <w:color w:val="000000"/>
          <w:szCs w:val="21"/>
          <w:highlight w:val="none"/>
        </w:rPr>
        <w:t>不得调整，</w:t>
      </w:r>
      <w:r>
        <w:rPr>
          <w:b/>
          <w:bCs/>
          <w:szCs w:val="21"/>
          <w:highlight w:val="none"/>
        </w:rPr>
        <w:t>工程量按实</w:t>
      </w:r>
      <w:r>
        <w:rPr>
          <w:rFonts w:hint="eastAsia"/>
          <w:b/>
          <w:bCs/>
          <w:szCs w:val="21"/>
          <w:highlight w:val="none"/>
        </w:rPr>
        <w:t>结算</w:t>
      </w:r>
      <w:r>
        <w:rPr>
          <w:rFonts w:hint="eastAsia"/>
          <w:b/>
          <w:bCs/>
          <w:color w:val="0000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17.5.1 竣工（完工）付款申请单</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承包人应提交完工付款申请单一式</w:t>
      </w:r>
      <w:r>
        <w:rPr>
          <w:rFonts w:hint="eastAsia" w:ascii="宋体" w:hAnsi="宋体" w:cs="宋体"/>
          <w:color w:val="auto"/>
          <w:spacing w:val="0"/>
          <w:sz w:val="21"/>
          <w:szCs w:val="21"/>
          <w:highlight w:val="none"/>
          <w:u w:val="single"/>
        </w:rPr>
        <w:t>5</w:t>
      </w:r>
      <w:r>
        <w:rPr>
          <w:rFonts w:hint="eastAsia" w:ascii="宋体" w:hAnsi="宋体" w:cs="宋体"/>
          <w:color w:val="auto"/>
          <w:spacing w:val="0"/>
          <w:sz w:val="21"/>
          <w:szCs w:val="21"/>
          <w:highlight w:val="none"/>
        </w:rPr>
        <w:t>份。</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本款增加：</w:t>
      </w:r>
    </w:p>
    <w:p>
      <w:pPr>
        <w:pStyle w:val="179"/>
        <w:spacing w:line="360" w:lineRule="exact"/>
        <w:ind w:firstLine="561"/>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17.5.3工程价款必须经过有关部门或发包人委托的第三方审定后支付。</w:t>
      </w:r>
    </w:p>
    <w:p>
      <w:pPr>
        <w:pStyle w:val="179"/>
        <w:spacing w:before="60" w:after="60" w:line="420" w:lineRule="exact"/>
        <w:ind w:firstLine="561"/>
        <w:rPr>
          <w:rFonts w:hint="eastAsia" w:ascii="宋体" w:hAnsi="宋体" w:cs="宋体"/>
          <w:color w:val="auto"/>
          <w:spacing w:val="0"/>
          <w:sz w:val="21"/>
          <w:szCs w:val="21"/>
          <w:highlight w:val="none"/>
        </w:rPr>
      </w:pPr>
      <w:r>
        <w:rPr>
          <w:rFonts w:hint="eastAsia" w:ascii="宋体" w:hAnsi="宋体"/>
          <w:color w:val="auto"/>
          <w:spacing w:val="0"/>
          <w:sz w:val="21"/>
          <w:szCs w:val="21"/>
          <w:highlight w:val="none"/>
        </w:rPr>
        <w:t>工程结算按政府有关管理规定，由发包人委托中介机构或相关部门审核，审核费按《浙江省物价局关于进一步完善工程造价咨询服务收费的通知》（浙价服（20</w:t>
      </w:r>
      <w:r>
        <w:rPr>
          <w:rFonts w:hint="eastAsia" w:ascii="宋体" w:hAnsi="宋体"/>
          <w:color w:val="auto"/>
          <w:spacing w:val="0"/>
          <w:sz w:val="21"/>
          <w:szCs w:val="21"/>
          <w:highlight w:val="none"/>
          <w:lang w:val="en-US" w:eastAsia="zh-CN"/>
        </w:rPr>
        <w:t>21</w:t>
      </w:r>
      <w:r>
        <w:rPr>
          <w:rFonts w:hint="eastAsia" w:ascii="宋体" w:hAnsi="宋体"/>
          <w:color w:val="auto"/>
          <w:spacing w:val="0"/>
          <w:sz w:val="21"/>
          <w:szCs w:val="21"/>
          <w:highlight w:val="none"/>
        </w:rPr>
        <w:t>）</w:t>
      </w:r>
      <w:r>
        <w:rPr>
          <w:rFonts w:hint="eastAsia" w:ascii="宋体" w:hAnsi="宋体"/>
          <w:color w:val="auto"/>
          <w:spacing w:val="0"/>
          <w:sz w:val="21"/>
          <w:szCs w:val="21"/>
          <w:highlight w:val="none"/>
          <w:lang w:val="en-US" w:eastAsia="zh-CN"/>
        </w:rPr>
        <w:t>13</w:t>
      </w:r>
      <w:r>
        <w:rPr>
          <w:rFonts w:hint="eastAsia" w:ascii="宋体" w:hAnsi="宋体"/>
          <w:color w:val="auto"/>
          <w:spacing w:val="0"/>
          <w:sz w:val="21"/>
          <w:szCs w:val="21"/>
          <w:highlight w:val="none"/>
        </w:rPr>
        <w:t>号）计算，其中结算超过5%核减率（超过送审造价5%以外的核减额）和核增造价引起的追加收费（核增、核减不相互抵扣）由承包人承担。如遇国家审计的，审计结果以国家审核结果为准。</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17.6 最终结清</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b/>
          <w:color w:val="auto"/>
          <w:spacing w:val="0"/>
          <w:sz w:val="21"/>
          <w:szCs w:val="21"/>
          <w:highlight w:val="none"/>
        </w:rPr>
        <w:t>17. 6.1</w:t>
      </w:r>
      <w:r>
        <w:rPr>
          <w:rFonts w:hint="eastAsia" w:ascii="宋体" w:hAnsi="宋体" w:cs="宋体"/>
          <w:color w:val="auto"/>
          <w:spacing w:val="0"/>
          <w:sz w:val="21"/>
          <w:szCs w:val="21"/>
          <w:highlight w:val="none"/>
        </w:rPr>
        <w:t xml:space="preserve"> 最终结清申请单</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⑴ 承包人应提交最终结清申请单一式</w:t>
      </w:r>
      <w:r>
        <w:rPr>
          <w:rFonts w:hint="eastAsia" w:ascii="宋体" w:hAnsi="宋体" w:cs="宋体"/>
          <w:color w:val="auto"/>
          <w:spacing w:val="0"/>
          <w:sz w:val="21"/>
          <w:szCs w:val="21"/>
          <w:highlight w:val="none"/>
          <w:u w:val="single"/>
        </w:rPr>
        <w:t>5</w:t>
      </w:r>
      <w:r>
        <w:rPr>
          <w:rFonts w:hint="eastAsia" w:ascii="宋体" w:hAnsi="宋体" w:cs="宋体"/>
          <w:color w:val="auto"/>
          <w:spacing w:val="0"/>
          <w:sz w:val="21"/>
          <w:szCs w:val="21"/>
          <w:highlight w:val="none"/>
        </w:rPr>
        <w:t>份。</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本款补充：</w:t>
      </w:r>
      <w:r>
        <w:rPr>
          <w:rFonts w:hint="eastAsia" w:ascii="宋体" w:hAnsi="宋体" w:cs="宋体"/>
          <w:color w:val="auto"/>
          <w:spacing w:val="0"/>
          <w:sz w:val="21"/>
          <w:szCs w:val="21"/>
          <w:highlight w:val="none"/>
          <w:u w:val="single"/>
        </w:rPr>
        <w:t>以发包人委托的审价部门审定的工程造价办理最终工程结算</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17.7 竣工财务决算</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承包人应为竣工财务决算编制提供的资料：</w:t>
      </w:r>
      <w:r>
        <w:rPr>
          <w:rFonts w:hint="eastAsia" w:ascii="宋体" w:hAnsi="宋体" w:cs="宋体"/>
          <w:color w:val="auto"/>
          <w:spacing w:val="0"/>
          <w:sz w:val="21"/>
          <w:szCs w:val="21"/>
          <w:highlight w:val="none"/>
          <w:u w:val="single"/>
        </w:rPr>
        <w:t>财务决算所需的一切资料</w:t>
      </w:r>
      <w:r>
        <w:rPr>
          <w:rFonts w:hint="eastAsia" w:ascii="宋体" w:hAnsi="宋体" w:cs="宋体"/>
          <w:color w:val="auto"/>
          <w:spacing w:val="0"/>
          <w:sz w:val="21"/>
          <w:szCs w:val="21"/>
          <w:highlight w:val="none"/>
        </w:rPr>
        <w:t>。</w:t>
      </w:r>
    </w:p>
    <w:p>
      <w:pPr>
        <w:pStyle w:val="9"/>
        <w:numPr>
          <w:ilvl w:val="3"/>
          <w:numId w:val="0"/>
        </w:numPr>
        <w:spacing w:line="380" w:lineRule="exact"/>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18工程验收</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18.1 验收工作分类</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本工程法人验收包括：</w:t>
      </w:r>
      <w:r>
        <w:rPr>
          <w:rFonts w:hint="eastAsia" w:ascii="宋体" w:hAnsi="宋体" w:cs="宋体"/>
          <w:color w:val="auto"/>
          <w:spacing w:val="0"/>
          <w:sz w:val="21"/>
          <w:szCs w:val="21"/>
          <w:highlight w:val="none"/>
          <w:u w:val="single"/>
        </w:rPr>
        <w:t>分部工程验收、单位工程验收、合同工程完工验收等</w:t>
      </w:r>
      <w:r>
        <w:rPr>
          <w:rFonts w:hint="eastAsia" w:ascii="宋体" w:hAnsi="宋体" w:cs="宋体"/>
          <w:color w:val="auto"/>
          <w:spacing w:val="0"/>
          <w:sz w:val="21"/>
          <w:szCs w:val="21"/>
          <w:highlight w:val="none"/>
        </w:rPr>
        <w:t>；政府验收包括：</w:t>
      </w:r>
      <w:r>
        <w:rPr>
          <w:rFonts w:hint="eastAsia" w:ascii="宋体" w:hAnsi="宋体" w:cs="宋体"/>
          <w:color w:val="auto"/>
          <w:spacing w:val="0"/>
          <w:sz w:val="21"/>
          <w:szCs w:val="21"/>
          <w:highlight w:val="none"/>
          <w:u w:val="single"/>
        </w:rPr>
        <w:t>阶段验收、专项验收、竣工验收</w:t>
      </w:r>
      <w:r>
        <w:rPr>
          <w:rFonts w:hint="eastAsia" w:ascii="宋体" w:hAnsi="宋体" w:cs="宋体"/>
          <w:color w:val="auto"/>
          <w:spacing w:val="0"/>
          <w:sz w:val="21"/>
          <w:szCs w:val="21"/>
          <w:highlight w:val="none"/>
        </w:rPr>
        <w:t>。验收条件：</w:t>
      </w:r>
      <w:r>
        <w:rPr>
          <w:rFonts w:hint="eastAsia" w:ascii="宋体" w:hAnsi="宋体" w:cs="宋体"/>
          <w:color w:val="auto"/>
          <w:spacing w:val="0"/>
          <w:sz w:val="21"/>
          <w:szCs w:val="21"/>
          <w:highlight w:val="none"/>
          <w:u w:val="single"/>
        </w:rPr>
        <w:t>合格</w:t>
      </w:r>
      <w:r>
        <w:rPr>
          <w:rFonts w:hint="eastAsia" w:ascii="宋体" w:hAnsi="宋体" w:cs="宋体"/>
          <w:color w:val="auto"/>
          <w:spacing w:val="0"/>
          <w:sz w:val="21"/>
          <w:szCs w:val="21"/>
          <w:highlight w:val="none"/>
        </w:rPr>
        <w:t>，验收程序为：</w:t>
      </w:r>
      <w:r>
        <w:rPr>
          <w:rFonts w:hint="eastAsia" w:ascii="宋体" w:hAnsi="宋体" w:cs="宋体"/>
          <w:color w:val="auto"/>
          <w:spacing w:val="0"/>
          <w:sz w:val="21"/>
          <w:szCs w:val="21"/>
          <w:highlight w:val="none"/>
          <w:u w:val="single"/>
        </w:rPr>
        <w:t>按《水利水电建设工程验收规程》（SL223-2008）及浙江省现行有关规定执行</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18.2 分部工程验收</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18.2.2 本工程由监理人主持的分部工程验收在监理合同中约定，其余由发包人主持。</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18.3 单位工程验收</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18.3.4 提前投入使用的单位工程包括：</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18.5 阶段验收</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18.5.1 本合同工程阶段验收类别包括：</w:t>
      </w:r>
      <w:r>
        <w:rPr>
          <w:rFonts w:hint="eastAsia" w:ascii="宋体" w:hAnsi="宋体" w:cs="宋体"/>
          <w:color w:val="auto"/>
          <w:spacing w:val="0"/>
          <w:sz w:val="21"/>
          <w:szCs w:val="21"/>
          <w:highlight w:val="none"/>
          <w:u w:val="single"/>
        </w:rPr>
        <w:t xml:space="preserve">  /</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18.6 专项验收</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18.6.2 本合同工程专项验收类别包括：</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18.7 竣工验收</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18.7.3 本工程</w:t>
      </w:r>
      <w:r>
        <w:rPr>
          <w:rFonts w:hint="eastAsia" w:ascii="宋体" w:hAnsi="宋体" w:cs="宋体"/>
          <w:color w:val="auto"/>
          <w:spacing w:val="0"/>
          <w:sz w:val="21"/>
          <w:szCs w:val="21"/>
          <w:highlight w:val="none"/>
          <w:u w:val="single"/>
        </w:rPr>
        <w:t>不需要</w:t>
      </w:r>
      <w:r>
        <w:rPr>
          <w:rFonts w:hint="eastAsia" w:ascii="宋体" w:hAnsi="宋体" w:cs="宋体"/>
          <w:color w:val="auto"/>
          <w:spacing w:val="0"/>
          <w:sz w:val="21"/>
          <w:szCs w:val="21"/>
          <w:highlight w:val="none"/>
        </w:rPr>
        <w:t>竣工验收技术鉴定（蓄水安全鉴定）。</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18.8 施工期运行</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18.8.1 需要在施工期运行的单位工程或工程设备为：</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18.9 试运行</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18.9.1 试运行的组织：</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；费用承担：</w:t>
      </w:r>
      <w:r>
        <w:rPr>
          <w:rFonts w:hint="eastAsia" w:ascii="宋体" w:hAnsi="宋体" w:cs="宋体"/>
          <w:color w:val="auto"/>
          <w:spacing w:val="0"/>
          <w:sz w:val="21"/>
          <w:szCs w:val="21"/>
          <w:highlight w:val="none"/>
          <w:u w:val="single"/>
        </w:rPr>
        <w:t>/</w:t>
      </w:r>
      <w:r>
        <w:rPr>
          <w:rFonts w:hint="eastAsia" w:ascii="宋体" w:hAnsi="宋体" w:cs="宋体"/>
          <w:color w:val="auto"/>
          <w:spacing w:val="0"/>
          <w:sz w:val="21"/>
          <w:szCs w:val="21"/>
          <w:highlight w:val="none"/>
        </w:rPr>
        <w:t>。</w:t>
      </w:r>
    </w:p>
    <w:p>
      <w:pPr>
        <w:pStyle w:val="9"/>
        <w:numPr>
          <w:ilvl w:val="3"/>
          <w:numId w:val="0"/>
        </w:numPr>
        <w:spacing w:line="380" w:lineRule="exact"/>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19 缺陷责任与保修责任</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19.1 缺陷责任期（工程质量保修期）的起算时间</w:t>
      </w:r>
    </w:p>
    <w:p>
      <w:pPr>
        <w:spacing w:line="360" w:lineRule="exact"/>
        <w:ind w:left="86" w:firstLine="480"/>
        <w:rPr>
          <w:rFonts w:hint="eastAsia" w:ascii="宋体" w:hAnsi="宋体" w:cs="宋体"/>
          <w:color w:val="auto"/>
          <w:spacing w:val="0"/>
          <w:sz w:val="21"/>
          <w:szCs w:val="21"/>
          <w:highlight w:val="none"/>
          <w:u w:val="single"/>
        </w:rPr>
      </w:pPr>
      <w:r>
        <w:rPr>
          <w:rFonts w:hint="eastAsia" w:ascii="宋体" w:hAnsi="宋体" w:cs="宋体"/>
          <w:color w:val="auto"/>
          <w:spacing w:val="0"/>
          <w:sz w:val="21"/>
          <w:szCs w:val="21"/>
          <w:highlight w:val="none"/>
          <w:u w:val="single"/>
        </w:rPr>
        <w:t>本工程缺陷责任期（工程质量保修期）计算如下：从工程通过合同工程完工验收后开始计算，本工程缺陷责任期（工程质量保修期）为1年。</w:t>
      </w:r>
    </w:p>
    <w:p>
      <w:pPr>
        <w:pStyle w:val="9"/>
        <w:numPr>
          <w:ilvl w:val="3"/>
          <w:numId w:val="0"/>
        </w:numPr>
        <w:spacing w:line="380" w:lineRule="exact"/>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20 保险</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20.1 工程保险</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建筑工程一切险和（或）安装工程一切险投保人：</w:t>
      </w:r>
      <w:r>
        <w:rPr>
          <w:rFonts w:hint="eastAsia" w:ascii="宋体" w:hAnsi="宋体" w:cs="宋体"/>
          <w:color w:val="auto"/>
          <w:spacing w:val="0"/>
          <w:sz w:val="21"/>
          <w:szCs w:val="21"/>
          <w:highlight w:val="none"/>
          <w:u w:val="single"/>
        </w:rPr>
        <w:t>由承包人以发包人和承包人的名义投保</w:t>
      </w:r>
      <w:r>
        <w:rPr>
          <w:rFonts w:hint="eastAsia" w:ascii="宋体" w:hAnsi="宋体" w:cs="宋体"/>
          <w:color w:val="auto"/>
          <w:spacing w:val="0"/>
          <w:sz w:val="21"/>
          <w:szCs w:val="21"/>
          <w:highlight w:val="none"/>
        </w:rPr>
        <w:t>；</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投保内容：</w:t>
      </w:r>
      <w:r>
        <w:rPr>
          <w:rFonts w:hint="eastAsia" w:ascii="宋体" w:hAnsi="宋体" w:cs="宋体"/>
          <w:color w:val="auto"/>
          <w:spacing w:val="0"/>
          <w:sz w:val="21"/>
          <w:szCs w:val="21"/>
          <w:highlight w:val="none"/>
          <w:u w:val="single"/>
        </w:rPr>
        <w:t>为本合同工程的永久工程、临时工程及已运至施工工地用于永久工程的材料和设备所投的保险</w:t>
      </w:r>
      <w:r>
        <w:rPr>
          <w:rFonts w:hint="eastAsia" w:ascii="宋体" w:hAnsi="宋体" w:cs="宋体"/>
          <w:color w:val="auto"/>
          <w:spacing w:val="0"/>
          <w:sz w:val="21"/>
          <w:szCs w:val="21"/>
          <w:highlight w:val="none"/>
        </w:rPr>
        <w:t>；</w:t>
      </w:r>
    </w:p>
    <w:p>
      <w:pPr>
        <w:spacing w:line="360" w:lineRule="exact"/>
        <w:ind w:firstLine="420" w:firstLineChars="200"/>
        <w:rPr>
          <w:rFonts w:hint="eastAsia" w:ascii="宋体" w:hAnsi="宋体" w:cs="宋体"/>
          <w:b/>
          <w:color w:val="auto"/>
          <w:spacing w:val="0"/>
          <w:sz w:val="21"/>
          <w:szCs w:val="21"/>
          <w:highlight w:val="none"/>
          <w:u w:val="single"/>
        </w:rPr>
      </w:pPr>
      <w:r>
        <w:rPr>
          <w:rFonts w:hint="eastAsia" w:ascii="宋体" w:hAnsi="宋体" w:cs="宋体"/>
          <w:color w:val="auto"/>
          <w:spacing w:val="0"/>
          <w:sz w:val="21"/>
          <w:szCs w:val="21"/>
          <w:highlight w:val="none"/>
        </w:rPr>
        <w:t>保险金额、保险费率和保险期限：</w:t>
      </w:r>
      <w:r>
        <w:rPr>
          <w:rFonts w:hint="eastAsia" w:ascii="宋体" w:hAnsi="宋体" w:cs="宋体"/>
          <w:b/>
          <w:color w:val="auto"/>
          <w:spacing w:val="0"/>
          <w:sz w:val="21"/>
          <w:szCs w:val="21"/>
          <w:highlight w:val="none"/>
          <w:u w:val="single"/>
        </w:rPr>
        <w:t>保险费由承包人与保险人协商确定，</w:t>
      </w:r>
      <w:r>
        <w:rPr>
          <w:rFonts w:hint="eastAsia" w:ascii="宋体" w:hAnsi="宋体" w:cs="宋体"/>
          <w:b/>
          <w:bCs/>
          <w:color w:val="auto"/>
          <w:spacing w:val="0"/>
          <w:sz w:val="21"/>
          <w:szCs w:val="21"/>
          <w:highlight w:val="none"/>
          <w:u w:val="single"/>
        </w:rPr>
        <w:t>相应的保险费进入报价，结算时凭相应票据按实结算（最高不得超过</w:t>
      </w:r>
      <w:r>
        <w:rPr>
          <w:rFonts w:hint="eastAsia" w:ascii="宋体" w:hAnsi="宋体" w:cs="宋体"/>
          <w:b/>
          <w:bCs/>
          <w:color w:val="auto"/>
          <w:spacing w:val="0"/>
          <w:sz w:val="21"/>
          <w:szCs w:val="21"/>
          <w:highlight w:val="none"/>
          <w:u w:val="single"/>
          <w:lang w:eastAsia="zh-CN"/>
        </w:rPr>
        <w:t>预算审核书</w:t>
      </w:r>
      <w:r>
        <w:rPr>
          <w:rFonts w:hint="eastAsia" w:ascii="宋体" w:hAnsi="宋体" w:cs="宋体"/>
          <w:b/>
          <w:bCs/>
          <w:color w:val="auto"/>
          <w:spacing w:val="0"/>
          <w:sz w:val="21"/>
          <w:szCs w:val="21"/>
          <w:highlight w:val="none"/>
          <w:u w:val="single"/>
        </w:rPr>
        <w:t>中</w:t>
      </w:r>
      <w:r>
        <w:rPr>
          <w:rFonts w:hint="eastAsia" w:ascii="宋体" w:hAnsi="宋体" w:cs="宋体"/>
          <w:b/>
          <w:bCs/>
          <w:color w:val="auto"/>
          <w:spacing w:val="0"/>
          <w:sz w:val="21"/>
          <w:szCs w:val="21"/>
          <w:highlight w:val="none"/>
          <w:u w:val="single"/>
          <w:lang w:eastAsia="zh-CN"/>
        </w:rPr>
        <w:t>所列保险费用</w:t>
      </w:r>
      <w:r>
        <w:rPr>
          <w:rFonts w:hint="eastAsia" w:ascii="宋体" w:hAnsi="宋体" w:cs="宋体"/>
          <w:b/>
          <w:bCs/>
          <w:color w:val="auto"/>
          <w:spacing w:val="0"/>
          <w:sz w:val="21"/>
          <w:szCs w:val="21"/>
          <w:highlight w:val="none"/>
          <w:u w:val="single"/>
        </w:rPr>
        <w:t>）</w:t>
      </w:r>
      <w:r>
        <w:rPr>
          <w:rFonts w:hint="eastAsia" w:ascii="宋体" w:hAnsi="宋体" w:cs="宋体"/>
          <w:b/>
          <w:color w:val="auto"/>
          <w:spacing w:val="0"/>
          <w:sz w:val="21"/>
          <w:szCs w:val="21"/>
          <w:highlight w:val="none"/>
          <w:u w:val="single"/>
        </w:rPr>
        <w:t>，保额不足部分结算时扣回。保险期限：开工日起直至本合同工程签发缺陷责任终止证书止（即合同工期＋缺陷责任期）。</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20.4 第三者责任险</w:t>
      </w:r>
    </w:p>
    <w:p>
      <w:pPr>
        <w:spacing w:line="360" w:lineRule="exact"/>
        <w:ind w:firstLine="422" w:firstLineChars="200"/>
        <w:rPr>
          <w:rFonts w:hint="eastAsia" w:ascii="宋体" w:hAnsi="宋体" w:cs="宋体"/>
          <w:iCs/>
          <w:color w:val="FF0000"/>
          <w:spacing w:val="0"/>
          <w:sz w:val="21"/>
          <w:szCs w:val="21"/>
          <w:highlight w:val="none"/>
          <w:lang w:val="zh-CN"/>
        </w:rPr>
      </w:pPr>
      <w:r>
        <w:rPr>
          <w:rFonts w:hint="eastAsia" w:ascii="宋体" w:hAnsi="宋体" w:cs="宋体"/>
          <w:b/>
          <w:iCs/>
          <w:color w:val="auto"/>
          <w:spacing w:val="0"/>
          <w:sz w:val="21"/>
          <w:szCs w:val="21"/>
          <w:highlight w:val="none"/>
          <w:lang w:val="zh-CN"/>
        </w:rPr>
        <w:t xml:space="preserve">20.4.2 </w:t>
      </w:r>
      <w:r>
        <w:rPr>
          <w:rFonts w:hint="eastAsia" w:ascii="宋体" w:hAnsi="宋体" w:cs="宋体"/>
          <w:color w:val="auto"/>
          <w:spacing w:val="0"/>
          <w:sz w:val="21"/>
          <w:szCs w:val="21"/>
          <w:highlight w:val="none"/>
        </w:rPr>
        <w:t>第三者责任险保险费率：</w:t>
      </w:r>
      <w:r>
        <w:rPr>
          <w:rFonts w:hint="eastAsia" w:ascii="宋体" w:hAnsi="宋体" w:cs="宋体"/>
          <w:color w:val="auto"/>
          <w:spacing w:val="0"/>
          <w:sz w:val="21"/>
          <w:szCs w:val="21"/>
          <w:highlight w:val="none"/>
          <w:u w:val="single"/>
        </w:rPr>
        <w:t>保险费率按保险人规定</w:t>
      </w:r>
      <w:r>
        <w:rPr>
          <w:rFonts w:hint="eastAsia" w:ascii="宋体" w:hAnsi="宋体" w:cs="宋体"/>
          <w:color w:val="auto"/>
          <w:spacing w:val="0"/>
          <w:sz w:val="21"/>
          <w:szCs w:val="21"/>
          <w:highlight w:val="none"/>
        </w:rPr>
        <w:t>；第三者责任险最低保险金额：</w:t>
      </w:r>
      <w:r>
        <w:rPr>
          <w:rFonts w:hint="eastAsia" w:ascii="宋体" w:hAnsi="宋体" w:cs="宋体"/>
          <w:b/>
          <w:bCs/>
          <w:color w:val="auto"/>
          <w:spacing w:val="0"/>
          <w:sz w:val="21"/>
          <w:szCs w:val="21"/>
          <w:highlight w:val="none"/>
          <w:u w:val="single"/>
        </w:rPr>
        <w:t>相应的保险费进入报价，结算时凭相应票据按实结算（最高不得超过</w:t>
      </w:r>
      <w:r>
        <w:rPr>
          <w:rFonts w:hint="eastAsia" w:ascii="宋体" w:hAnsi="宋体" w:cs="宋体"/>
          <w:b/>
          <w:bCs/>
          <w:color w:val="auto"/>
          <w:spacing w:val="0"/>
          <w:sz w:val="21"/>
          <w:szCs w:val="21"/>
          <w:highlight w:val="none"/>
          <w:u w:val="single"/>
          <w:lang w:eastAsia="zh-CN"/>
        </w:rPr>
        <w:t>预算审核书</w:t>
      </w:r>
      <w:r>
        <w:rPr>
          <w:rFonts w:hint="eastAsia" w:ascii="宋体" w:hAnsi="宋体" w:cs="宋体"/>
          <w:b/>
          <w:bCs/>
          <w:color w:val="auto"/>
          <w:spacing w:val="0"/>
          <w:sz w:val="21"/>
          <w:szCs w:val="21"/>
          <w:highlight w:val="none"/>
          <w:u w:val="single"/>
        </w:rPr>
        <w:t>中</w:t>
      </w:r>
      <w:r>
        <w:rPr>
          <w:rFonts w:hint="eastAsia" w:ascii="宋体" w:hAnsi="宋体" w:cs="宋体"/>
          <w:b/>
          <w:bCs/>
          <w:color w:val="auto"/>
          <w:spacing w:val="0"/>
          <w:sz w:val="21"/>
          <w:szCs w:val="21"/>
          <w:highlight w:val="none"/>
          <w:u w:val="single"/>
          <w:lang w:eastAsia="zh-CN"/>
        </w:rPr>
        <w:t>所列保险费用</w:t>
      </w:r>
      <w:r>
        <w:rPr>
          <w:rFonts w:hint="eastAsia" w:ascii="宋体" w:hAnsi="宋体" w:cs="宋体"/>
          <w:b/>
          <w:bCs/>
          <w:color w:val="auto"/>
          <w:spacing w:val="0"/>
          <w:sz w:val="21"/>
          <w:szCs w:val="21"/>
          <w:highlight w:val="none"/>
          <w:u w:val="single"/>
        </w:rPr>
        <w:t>）</w:t>
      </w:r>
      <w:r>
        <w:rPr>
          <w:rFonts w:hint="eastAsia" w:ascii="宋体" w:hAnsi="宋体" w:cs="宋体"/>
          <w:color w:val="auto"/>
          <w:spacing w:val="0"/>
          <w:sz w:val="21"/>
          <w:szCs w:val="21"/>
          <w:highlight w:val="none"/>
          <w:u w:val="singl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20.5 其它保险</w:t>
      </w:r>
    </w:p>
    <w:p>
      <w:pPr>
        <w:pStyle w:val="22"/>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需要投保的其它内容：</w:t>
      </w:r>
      <w:r>
        <w:rPr>
          <w:rFonts w:hint="eastAsia" w:hAnsi="宋体" w:cs="宋体"/>
          <w:color w:val="auto"/>
          <w:spacing w:val="0"/>
          <w:sz w:val="21"/>
          <w:szCs w:val="21"/>
          <w:highlight w:val="none"/>
          <w:u w:val="single"/>
        </w:rPr>
        <w:t xml:space="preserve"> 由承包人自行决定。</w:t>
      </w:r>
    </w:p>
    <w:p>
      <w:pPr>
        <w:spacing w:line="360" w:lineRule="exact"/>
        <w:ind w:firstLine="480"/>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保险金额、保险费率和保险期限：</w:t>
      </w:r>
      <w:r>
        <w:rPr>
          <w:rFonts w:hint="eastAsia" w:ascii="宋体" w:hAnsi="宋体" w:cs="宋体"/>
          <w:color w:val="auto"/>
          <w:spacing w:val="0"/>
          <w:sz w:val="21"/>
          <w:szCs w:val="21"/>
          <w:highlight w:val="none"/>
          <w:u w:val="single"/>
        </w:rPr>
        <w:t xml:space="preserve">  / </w:t>
      </w:r>
      <w:r>
        <w:rPr>
          <w:rFonts w:hint="eastAsia" w:ascii="宋体" w:hAnsi="宋体" w:cs="宋体"/>
          <w:color w:val="auto"/>
          <w:spacing w:val="0"/>
          <w:sz w:val="21"/>
          <w:szCs w:val="21"/>
          <w:highlight w:val="none"/>
        </w:rPr>
        <w:t>。</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20.6 对各项保险的一般要求</w:t>
      </w:r>
    </w:p>
    <w:p>
      <w:pPr>
        <w:pStyle w:val="22"/>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20. 6.1 保险凭证</w:t>
      </w:r>
    </w:p>
    <w:p>
      <w:pPr>
        <w:pStyle w:val="22"/>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承包人提交保险凭证的期限：</w:t>
      </w:r>
      <w:r>
        <w:rPr>
          <w:rFonts w:hint="eastAsia" w:hAnsi="宋体" w:cs="宋体"/>
          <w:color w:val="auto"/>
          <w:spacing w:val="0"/>
          <w:sz w:val="21"/>
          <w:szCs w:val="21"/>
          <w:highlight w:val="none"/>
          <w:u w:val="single"/>
        </w:rPr>
        <w:t>保险手续办理完毕后7 天内提交；</w:t>
      </w:r>
    </w:p>
    <w:p>
      <w:pPr>
        <w:pStyle w:val="22"/>
        <w:spacing w:line="360" w:lineRule="exact"/>
        <w:ind w:firstLine="480"/>
        <w:rPr>
          <w:rFonts w:hint="eastAsia" w:hAnsi="宋体" w:cs="宋体"/>
          <w:color w:val="auto"/>
          <w:spacing w:val="0"/>
          <w:sz w:val="21"/>
          <w:szCs w:val="21"/>
          <w:highlight w:val="none"/>
        </w:rPr>
      </w:pPr>
      <w:r>
        <w:rPr>
          <w:rFonts w:hint="eastAsia" w:hAnsi="宋体" w:cs="宋体"/>
          <w:color w:val="auto"/>
          <w:spacing w:val="0"/>
          <w:sz w:val="21"/>
          <w:szCs w:val="21"/>
          <w:highlight w:val="none"/>
        </w:rPr>
        <w:t>保险条件：</w:t>
      </w:r>
      <w:r>
        <w:rPr>
          <w:rFonts w:hint="eastAsia" w:hAnsi="宋体" w:cs="宋体"/>
          <w:color w:val="auto"/>
          <w:spacing w:val="0"/>
          <w:sz w:val="21"/>
          <w:szCs w:val="21"/>
          <w:highlight w:val="none"/>
          <w:u w:val="single"/>
        </w:rPr>
        <w:t>满足合同条款的规定</w:t>
      </w:r>
      <w:r>
        <w:rPr>
          <w:rFonts w:hint="eastAsia" w:hAnsi="宋体" w:cs="宋体"/>
          <w:color w:val="auto"/>
          <w:spacing w:val="0"/>
          <w:sz w:val="21"/>
          <w:szCs w:val="21"/>
          <w:highlight w:val="none"/>
        </w:rPr>
        <w:t>。</w:t>
      </w:r>
    </w:p>
    <w:p>
      <w:pPr>
        <w:pStyle w:val="22"/>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20.6.4 保险金不足的补偿</w:t>
      </w:r>
    </w:p>
    <w:p>
      <w:pPr>
        <w:pStyle w:val="22"/>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承包人负责补偿的范围与金额：</w:t>
      </w:r>
      <w:r>
        <w:rPr>
          <w:rFonts w:hint="eastAsia" w:hAnsi="宋体" w:cs="宋体"/>
          <w:color w:val="auto"/>
          <w:spacing w:val="0"/>
          <w:szCs w:val="21"/>
          <w:highlight w:val="none"/>
          <w:u w:val="single"/>
        </w:rPr>
        <w:t>免赔额部分及保险金不足的补偿均由承包人负责</w:t>
      </w:r>
      <w:r>
        <w:rPr>
          <w:rFonts w:hint="eastAsia" w:hAnsi="宋体" w:cs="宋体"/>
          <w:color w:val="auto"/>
          <w:spacing w:val="0"/>
          <w:szCs w:val="21"/>
          <w:highlight w:val="none"/>
        </w:rPr>
        <w:t>。</w:t>
      </w:r>
    </w:p>
    <w:p>
      <w:pPr>
        <w:pStyle w:val="22"/>
        <w:spacing w:line="360" w:lineRule="exact"/>
        <w:ind w:firstLine="480"/>
        <w:rPr>
          <w:rFonts w:hint="eastAsia" w:hAnsi="宋体" w:cs="宋体"/>
          <w:color w:val="auto"/>
          <w:spacing w:val="0"/>
          <w:szCs w:val="21"/>
          <w:highlight w:val="none"/>
        </w:rPr>
      </w:pPr>
      <w:r>
        <w:rPr>
          <w:rFonts w:hint="eastAsia" w:hAnsi="宋体" w:cs="宋体"/>
          <w:color w:val="auto"/>
          <w:spacing w:val="0"/>
          <w:szCs w:val="21"/>
          <w:highlight w:val="none"/>
        </w:rPr>
        <w:t>发包人负责补偿的范围与金额：</w:t>
      </w:r>
      <w:r>
        <w:rPr>
          <w:rFonts w:hint="eastAsia" w:hAnsi="宋体" w:cs="宋体"/>
          <w:color w:val="auto"/>
          <w:spacing w:val="0"/>
          <w:szCs w:val="21"/>
          <w:highlight w:val="none"/>
          <w:u w:val="single"/>
        </w:rPr>
        <w:t>由于本工程一切保险均由承包人负责投保，其费用均列入报价，故发包人不承担保险金不足的补偿</w:t>
      </w:r>
      <w:r>
        <w:rPr>
          <w:rFonts w:hint="eastAsia" w:hAnsi="宋体" w:cs="宋体"/>
          <w:color w:val="auto"/>
          <w:spacing w:val="0"/>
          <w:szCs w:val="21"/>
          <w:highlight w:val="none"/>
        </w:rPr>
        <w:t>。</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22  违约</w:t>
      </w:r>
    </w:p>
    <w:p>
      <w:pPr>
        <w:spacing w:line="360" w:lineRule="auto"/>
        <w:rPr>
          <w:rFonts w:hint="eastAsia" w:ascii="宋体" w:hAnsi="宋体" w:cs="宋体"/>
          <w:b/>
          <w:iCs/>
          <w:color w:val="auto"/>
          <w:spacing w:val="0"/>
          <w:sz w:val="21"/>
          <w:szCs w:val="21"/>
          <w:highlight w:val="none"/>
        </w:rPr>
      </w:pPr>
      <w:r>
        <w:rPr>
          <w:rFonts w:hint="eastAsia" w:ascii="宋体" w:hAnsi="宋体" w:cs="宋体"/>
          <w:b/>
          <w:iCs/>
          <w:color w:val="auto"/>
          <w:spacing w:val="0"/>
          <w:sz w:val="21"/>
          <w:szCs w:val="21"/>
          <w:highlight w:val="none"/>
        </w:rPr>
        <w:t>22.1  承包人违约</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22.1.1  承包人违约的情形</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 xml:space="preserve">本项增加： </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（8）承包人未按未按招标文件的要求进行安全、文明施工。</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（9）承包人未按合同约定时间及时在规定期限内上交竣工资料。</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（10）连续三个月未完成监理人批准的施工月度计划。</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（11）项目经理和项目技术负责人连续三个月未按要求到岗的。</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22.1.2  对承包人违约的处理</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本项增加：</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（4）承包人发生第22.1.1(8)目约定的违约情形时，若发现问题且情节较轻，发包人第一次警告，并限期整改，情节较重的，扣除5000元整的违约金（具体按发包人制定的相关制度执行）；被二次发现问题，扣除</w:t>
      </w:r>
      <w:r>
        <w:rPr>
          <w:rFonts w:hint="eastAsia" w:ascii="宋体" w:hAnsi="宋体" w:cs="宋体"/>
          <w:b/>
          <w:iCs/>
          <w:color w:val="auto"/>
          <w:spacing w:val="0"/>
          <w:sz w:val="21"/>
          <w:szCs w:val="21"/>
          <w:highlight w:val="none"/>
        </w:rPr>
        <w:t>10</w:t>
      </w:r>
      <w:r>
        <w:rPr>
          <w:rFonts w:hint="eastAsia" w:ascii="宋体" w:hAnsi="宋体" w:cs="宋体"/>
          <w:b/>
          <w:iCs/>
          <w:color w:val="auto"/>
          <w:spacing w:val="0"/>
          <w:sz w:val="21"/>
          <w:szCs w:val="21"/>
          <w:highlight w:val="none"/>
          <w:lang w:val="zh-CN"/>
        </w:rPr>
        <w:t>000元整的违约金，若再次发生，加倍扣罚。若由于施工不文明、不安全、市场行为不规范等被媒体曝光或被有关管理部门检查通报，每次扣除承包人30000元整。</w:t>
      </w:r>
    </w:p>
    <w:p>
      <w:pPr>
        <w:spacing w:line="360" w:lineRule="auto"/>
        <w:ind w:firstLine="422" w:firstLineChars="200"/>
        <w:rPr>
          <w:rFonts w:hint="eastAsia" w:ascii="宋体" w:hAnsi="宋体" w:cs="宋体"/>
          <w:b/>
          <w:iCs/>
          <w:color w:val="auto"/>
          <w:spacing w:val="0"/>
          <w:sz w:val="21"/>
          <w:szCs w:val="21"/>
          <w:highlight w:val="none"/>
          <w:lang w:val="zh-CN"/>
        </w:rPr>
      </w:pPr>
      <w:r>
        <w:rPr>
          <w:rFonts w:hint="eastAsia" w:ascii="宋体" w:hAnsi="宋体" w:cs="宋体"/>
          <w:b/>
          <w:iCs/>
          <w:color w:val="auto"/>
          <w:spacing w:val="0"/>
          <w:sz w:val="21"/>
          <w:szCs w:val="21"/>
          <w:highlight w:val="none"/>
          <w:lang w:val="zh-CN"/>
        </w:rPr>
        <w:t>（5）承包人发生第22.1.1（9）目约定的违约情形时，上交竣工资料每延迟一天，在应支付工程款内扣罚1000元整，累计扣罚总额不超过50000元整。</w:t>
      </w:r>
    </w:p>
    <w:p>
      <w:pPr>
        <w:spacing w:line="360" w:lineRule="auto"/>
        <w:ind w:firstLine="422" w:firstLineChars="200"/>
        <w:rPr>
          <w:rFonts w:hint="eastAsia" w:ascii="宋体" w:hAnsi="宋体" w:cs="宋体"/>
          <w:iCs/>
          <w:color w:val="auto"/>
          <w:spacing w:val="0"/>
          <w:sz w:val="21"/>
          <w:szCs w:val="21"/>
          <w:highlight w:val="none"/>
        </w:rPr>
      </w:pPr>
      <w:r>
        <w:rPr>
          <w:rFonts w:hint="eastAsia" w:ascii="宋体" w:hAnsi="宋体" w:cs="宋体"/>
          <w:b/>
          <w:iCs/>
          <w:color w:val="auto"/>
          <w:spacing w:val="0"/>
          <w:sz w:val="21"/>
          <w:szCs w:val="21"/>
          <w:highlight w:val="none"/>
          <w:lang w:val="zh-CN"/>
        </w:rPr>
        <w:t>（6）承包人发生第22.1.1 （10）、（11）目约定的情形时，发包人按照不良行为记录上报市、省及行业主管部门。</w:t>
      </w:r>
    </w:p>
    <w:p>
      <w:pPr>
        <w:pStyle w:val="9"/>
        <w:numPr>
          <w:ilvl w:val="3"/>
          <w:numId w:val="0"/>
        </w:numPr>
        <w:spacing w:line="380" w:lineRule="exact"/>
        <w:rPr>
          <w:rStyle w:val="102"/>
          <w:rFonts w:hint="eastAsia" w:ascii="宋体" w:hAnsi="宋体" w:eastAsia="宋体" w:cs="宋体"/>
          <w:b/>
          <w:color w:val="auto"/>
          <w:spacing w:val="0"/>
          <w:sz w:val="21"/>
          <w:szCs w:val="21"/>
          <w:highlight w:val="none"/>
        </w:rPr>
      </w:pPr>
      <w:r>
        <w:rPr>
          <w:rStyle w:val="102"/>
          <w:rFonts w:hint="eastAsia" w:ascii="宋体" w:hAnsi="宋体" w:eastAsia="宋体" w:cs="宋体"/>
          <w:b w:val="0"/>
          <w:color w:val="auto"/>
          <w:spacing w:val="0"/>
          <w:sz w:val="21"/>
          <w:szCs w:val="21"/>
          <w:highlight w:val="none"/>
        </w:rPr>
        <w:t>24 争议的解决</w:t>
      </w:r>
    </w:p>
    <w:p>
      <w:pPr>
        <w:pStyle w:val="9"/>
        <w:numPr>
          <w:ilvl w:val="3"/>
          <w:numId w:val="0"/>
        </w:numPr>
        <w:spacing w:line="380" w:lineRule="exact"/>
        <w:rPr>
          <w:rStyle w:val="102"/>
          <w:rFonts w:hint="eastAsia" w:ascii="宋体" w:hAnsi="宋体" w:eastAsia="宋体" w:cs="宋体"/>
          <w:b w:val="0"/>
          <w:color w:val="auto"/>
          <w:spacing w:val="0"/>
          <w:sz w:val="21"/>
          <w:szCs w:val="21"/>
          <w:highlight w:val="none"/>
        </w:rPr>
      </w:pPr>
      <w:r>
        <w:rPr>
          <w:rStyle w:val="102"/>
          <w:rFonts w:hint="eastAsia" w:ascii="宋体" w:hAnsi="宋体" w:eastAsia="宋体" w:cs="宋体"/>
          <w:b w:val="0"/>
          <w:color w:val="auto"/>
          <w:spacing w:val="0"/>
          <w:sz w:val="21"/>
          <w:szCs w:val="21"/>
          <w:highlight w:val="none"/>
        </w:rPr>
        <w:t>24.1 争议的解决方式</w:t>
      </w:r>
    </w:p>
    <w:p>
      <w:pPr>
        <w:pStyle w:val="37"/>
        <w:spacing w:before="0" w:beforeAutospacing="0" w:after="0" w:afterAutospacing="0" w:line="360" w:lineRule="exact"/>
        <w:ind w:firstLine="480"/>
        <w:rPr>
          <w:rFonts w:hint="eastAsia"/>
          <w:b/>
          <w:bCs/>
          <w:color w:val="auto"/>
          <w:spacing w:val="0"/>
          <w:sz w:val="21"/>
          <w:szCs w:val="21"/>
          <w:highlight w:val="none"/>
        </w:rPr>
      </w:pPr>
      <w:r>
        <w:rPr>
          <w:rFonts w:hint="eastAsia"/>
          <w:color w:val="auto"/>
          <w:spacing w:val="0"/>
          <w:sz w:val="21"/>
          <w:szCs w:val="21"/>
          <w:highlight w:val="none"/>
        </w:rPr>
        <w:t>合同当事人友好协商解决不成、不愿提请争议评审或不接受争议评审组意见的，向三门县人民法院提起诉讼。</w:t>
      </w:r>
    </w:p>
    <w:p>
      <w:pPr>
        <w:pStyle w:val="10"/>
        <w:tabs>
          <w:tab w:val="left" w:pos="0"/>
          <w:tab w:val="clear" w:pos="1008"/>
        </w:tabs>
        <w:suppressAutoHyphens/>
        <w:spacing w:before="0" w:after="0" w:line="360" w:lineRule="exact"/>
        <w:rPr>
          <w:rFonts w:hint="eastAsia" w:ascii="宋体" w:hAnsi="宋体" w:cs="宋体"/>
          <w:color w:val="auto"/>
          <w:spacing w:val="0"/>
          <w:sz w:val="21"/>
          <w:szCs w:val="21"/>
          <w:highlight w:val="none"/>
        </w:rPr>
      </w:pPr>
      <w:r>
        <w:rPr>
          <w:rStyle w:val="102"/>
          <w:rFonts w:hint="eastAsia" w:ascii="宋体" w:hAnsi="宋体" w:eastAsia="宋体" w:cs="宋体"/>
          <w:b w:val="0"/>
          <w:color w:val="auto"/>
          <w:spacing w:val="0"/>
          <w:sz w:val="21"/>
          <w:szCs w:val="21"/>
          <w:highlight w:val="none"/>
        </w:rPr>
        <w:t>24.2 友好解决</w:t>
      </w:r>
    </w:p>
    <w:p>
      <w:pPr>
        <w:pStyle w:val="37"/>
        <w:spacing w:before="0" w:beforeAutospacing="0" w:after="0" w:afterAutospacing="0" w:line="360" w:lineRule="exact"/>
        <w:ind w:firstLine="480"/>
        <w:rPr>
          <w:rFonts w:hint="eastAsia"/>
          <w:color w:val="auto"/>
          <w:spacing w:val="0"/>
          <w:sz w:val="21"/>
          <w:szCs w:val="21"/>
          <w:highlight w:val="none"/>
        </w:rPr>
      </w:pPr>
      <w:r>
        <w:rPr>
          <w:rFonts w:hint="eastAsia"/>
          <w:color w:val="auto"/>
          <w:spacing w:val="0"/>
          <w:sz w:val="21"/>
          <w:szCs w:val="21"/>
          <w:highlight w:val="none"/>
        </w:rPr>
        <w:t>补充：合同当事人可以就争议请第三方或省水行政主管部门进行调解，调解达成协议的，经双方签字并盖章后作为合同补充文件，双方均应遵照执行。</w:t>
      </w:r>
    </w:p>
    <w:p>
      <w:pPr>
        <w:pStyle w:val="37"/>
        <w:spacing w:before="0" w:beforeAutospacing="0" w:after="0" w:afterAutospacing="0" w:line="360" w:lineRule="exact"/>
        <w:rPr>
          <w:rFonts w:hint="eastAsia"/>
          <w:color w:val="auto"/>
          <w:spacing w:val="0"/>
          <w:sz w:val="21"/>
          <w:szCs w:val="21"/>
          <w:highlight w:val="none"/>
        </w:rPr>
      </w:pPr>
      <w:r>
        <w:rPr>
          <w:rFonts w:hint="eastAsia"/>
          <w:color w:val="auto"/>
          <w:spacing w:val="0"/>
          <w:sz w:val="21"/>
          <w:szCs w:val="21"/>
          <w:highlight w:val="none"/>
        </w:rPr>
        <w:t>24.3争议评审</w:t>
      </w:r>
    </w:p>
    <w:p>
      <w:pPr>
        <w:pStyle w:val="37"/>
        <w:spacing w:before="0" w:beforeAutospacing="0" w:after="0" w:afterAutospacing="0" w:line="360" w:lineRule="exact"/>
        <w:rPr>
          <w:rFonts w:hint="eastAsia"/>
          <w:color w:val="auto"/>
          <w:spacing w:val="0"/>
          <w:sz w:val="21"/>
          <w:szCs w:val="21"/>
          <w:highlight w:val="none"/>
        </w:rPr>
      </w:pPr>
      <w:r>
        <w:rPr>
          <w:rFonts w:hint="eastAsia"/>
          <w:color w:val="auto"/>
          <w:spacing w:val="0"/>
          <w:sz w:val="21"/>
          <w:szCs w:val="21"/>
          <w:highlight w:val="none"/>
        </w:rPr>
        <w:t>24.3.7补充：发包人或承包人不接受评审意见，可请省水行政主管部门进行调解。</w:t>
      </w:r>
    </w:p>
    <w:p>
      <w:pPr>
        <w:pStyle w:val="9"/>
        <w:numPr>
          <w:ilvl w:val="0"/>
          <w:numId w:val="12"/>
        </w:numPr>
        <w:spacing w:line="380" w:lineRule="exact"/>
        <w:rPr>
          <w:rStyle w:val="102"/>
          <w:rFonts w:hint="eastAsia" w:ascii="宋体" w:hAnsi="宋体" w:eastAsia="宋体"/>
          <w:b w:val="0"/>
          <w:color w:val="auto"/>
          <w:spacing w:val="0"/>
          <w:sz w:val="21"/>
          <w:szCs w:val="21"/>
          <w:highlight w:val="none"/>
        </w:rPr>
      </w:pPr>
      <w:r>
        <w:rPr>
          <w:rStyle w:val="102"/>
          <w:rFonts w:hint="eastAsia" w:ascii="宋体" w:hAnsi="宋体" w:eastAsia="宋体"/>
          <w:b w:val="0"/>
          <w:color w:val="auto"/>
          <w:spacing w:val="0"/>
          <w:sz w:val="21"/>
          <w:szCs w:val="21"/>
          <w:highlight w:val="none"/>
        </w:rPr>
        <w:t>其他</w:t>
      </w:r>
    </w:p>
    <w:p>
      <w:pPr>
        <w:spacing w:before="72" w:beforeLines="30" w:after="72" w:afterLines="30" w:line="400" w:lineRule="exact"/>
        <w:ind w:firstLine="316" w:firstLineChars="150"/>
        <w:outlineLvl w:val="3"/>
        <w:rPr>
          <w:rFonts w:hint="eastAsia"/>
          <w:szCs w:val="21"/>
          <w:highlight w:val="none"/>
        </w:rPr>
      </w:pPr>
      <w:r>
        <w:rPr>
          <w:rFonts w:hint="eastAsia"/>
          <w:b/>
          <w:bCs/>
          <w:color w:val="000000"/>
          <w:szCs w:val="21"/>
          <w:highlight w:val="none"/>
        </w:rPr>
        <w:t>本合同工程采用单价合同，</w:t>
      </w:r>
      <w:r>
        <w:rPr>
          <w:rFonts w:hint="eastAsia"/>
          <w:b/>
          <w:bCs/>
          <w:color w:val="000000"/>
          <w:szCs w:val="21"/>
          <w:highlight w:val="none"/>
          <w:lang w:eastAsia="zh-CN"/>
        </w:rPr>
        <w:t>总价下浮，</w:t>
      </w:r>
      <w:r>
        <w:rPr>
          <w:rFonts w:hint="eastAsia"/>
          <w:b/>
          <w:bCs/>
          <w:szCs w:val="21"/>
          <w:highlight w:val="none"/>
          <w:u w:val="single"/>
        </w:rPr>
        <w:t>{下浮率同综合优惠率=[1-投标人最终投标报价/本标段预算审核价]×100%}</w:t>
      </w:r>
      <w:r>
        <w:rPr>
          <w:rFonts w:hint="eastAsia"/>
          <w:b/>
          <w:bCs/>
          <w:color w:val="000000"/>
          <w:szCs w:val="21"/>
          <w:highlight w:val="none"/>
        </w:rPr>
        <w:t>在合同执行期间单价</w:t>
      </w:r>
      <w:r>
        <w:rPr>
          <w:rFonts w:hint="eastAsia"/>
          <w:b/>
          <w:bCs/>
          <w:color w:val="000000"/>
          <w:szCs w:val="21"/>
          <w:highlight w:val="none"/>
          <w:lang w:eastAsia="zh-CN"/>
        </w:rPr>
        <w:t>（同预算审核书）</w:t>
      </w:r>
      <w:r>
        <w:rPr>
          <w:rFonts w:hint="eastAsia"/>
          <w:b/>
          <w:bCs/>
          <w:color w:val="000000"/>
          <w:szCs w:val="21"/>
          <w:highlight w:val="none"/>
        </w:rPr>
        <w:t>不得调整，</w:t>
      </w:r>
      <w:r>
        <w:rPr>
          <w:b/>
          <w:bCs/>
          <w:szCs w:val="21"/>
          <w:highlight w:val="none"/>
        </w:rPr>
        <w:t>工程量按实</w:t>
      </w:r>
      <w:r>
        <w:rPr>
          <w:rFonts w:hint="eastAsia"/>
          <w:b/>
          <w:bCs/>
          <w:szCs w:val="21"/>
          <w:highlight w:val="none"/>
        </w:rPr>
        <w:t>结算</w:t>
      </w:r>
      <w:r>
        <w:rPr>
          <w:rFonts w:hint="eastAsia"/>
          <w:b/>
          <w:bCs/>
          <w:color w:val="000000"/>
          <w:szCs w:val="21"/>
          <w:highlight w:val="none"/>
        </w:rPr>
        <w:t>。</w:t>
      </w:r>
      <w:r>
        <w:rPr>
          <w:rFonts w:hint="eastAsia"/>
          <w:szCs w:val="21"/>
          <w:highlight w:val="none"/>
        </w:rPr>
        <w:t>措施项目（含临时工程）及其他费用（不包括安全施工费和预留金）采用总价承包，在合同执行期间不作调整。</w:t>
      </w:r>
    </w:p>
    <w:p>
      <w:pPr>
        <w:adjustRightInd w:val="0"/>
        <w:snapToGrid w:val="0"/>
        <w:spacing w:line="400" w:lineRule="exact"/>
        <w:ind w:firstLine="420" w:firstLineChars="200"/>
        <w:rPr>
          <w:rFonts w:hint="eastAsia"/>
          <w:highlight w:val="none"/>
        </w:rPr>
      </w:pPr>
      <w:r>
        <w:rPr>
          <w:rFonts w:hint="eastAsia"/>
          <w:color w:val="000000"/>
          <w:szCs w:val="21"/>
          <w:highlight w:val="none"/>
        </w:rPr>
        <w:t>工程量计算按照实际完成施工图纸范围内和经发包人同意增加的施工内容按实计算，工程量计算规则按照</w:t>
      </w:r>
      <w:r>
        <w:rPr>
          <w:rFonts w:hint="eastAsia"/>
          <w:color w:val="000000"/>
          <w:szCs w:val="21"/>
          <w:highlight w:val="none"/>
          <w:lang w:val="en-US" w:eastAsia="zh-CN"/>
        </w:rPr>
        <w:t>《浙江省水利水电工程费用定额及概（预）算编制规定》（2021年、以下简称《21编规》）；《浙江省水利水电建筑工程预算定额》（2021年）；《浙江省水利水电工程机械台班费定额》（2021年）；《浙江省水利工程工程量清单计价办法》</w:t>
      </w:r>
      <w:r>
        <w:rPr>
          <w:rFonts w:hint="eastAsia"/>
          <w:color w:val="000000"/>
          <w:szCs w:val="21"/>
          <w:highlight w:val="none"/>
        </w:rPr>
        <w:t>以及其它工程造价补充规定的通知，由承包人计量、发包人及有关部门审核。</w:t>
      </w:r>
    </w:p>
    <w:p>
      <w:pPr>
        <w:pStyle w:val="37"/>
        <w:spacing w:before="0" w:beforeAutospacing="0" w:after="0" w:afterAutospacing="0" w:line="360" w:lineRule="exact"/>
        <w:rPr>
          <w:rFonts w:ascii="宋体" w:cs="宋体"/>
          <w:color w:val="auto"/>
          <w:spacing w:val="0"/>
          <w:szCs w:val="24"/>
          <w:highlight w:val="none"/>
        </w:rPr>
      </w:pPr>
      <w:r>
        <w:rPr>
          <w:rFonts w:hint="eastAsia" w:ascii="宋体" w:hAnsi="宋体" w:eastAsia="宋体" w:cs="宋体"/>
          <w:color w:val="auto"/>
          <w:spacing w:val="0"/>
          <w:sz w:val="21"/>
          <w:szCs w:val="21"/>
          <w:highlight w:val="none"/>
        </w:rPr>
        <w:br w:type="page"/>
      </w:r>
      <w:r>
        <w:rPr>
          <w:rFonts w:hint="eastAsia" w:ascii="宋体" w:hAnsi="宋体" w:cs="Arial"/>
          <w:b/>
          <w:color w:val="auto"/>
          <w:spacing w:val="0"/>
          <w:kern w:val="2"/>
          <w:highlight w:val="none"/>
        </w:rPr>
        <w:t>第</w:t>
      </w:r>
      <w:r>
        <w:rPr>
          <w:rFonts w:ascii="宋体" w:hAnsi="宋体" w:cs="Arial"/>
          <w:b/>
          <w:color w:val="auto"/>
          <w:spacing w:val="0"/>
          <w:kern w:val="2"/>
          <w:highlight w:val="none"/>
        </w:rPr>
        <w:t>3</w:t>
      </w:r>
      <w:r>
        <w:rPr>
          <w:rFonts w:hint="eastAsia" w:ascii="宋体" w:hAnsi="宋体" w:cs="Arial"/>
          <w:b/>
          <w:color w:val="auto"/>
          <w:spacing w:val="0"/>
          <w:kern w:val="2"/>
          <w:highlight w:val="none"/>
        </w:rPr>
        <w:t>节</w:t>
      </w:r>
      <w:r>
        <w:rPr>
          <w:rFonts w:ascii="宋体" w:hAnsi="宋体" w:cs="Arial"/>
          <w:b/>
          <w:color w:val="auto"/>
          <w:spacing w:val="0"/>
          <w:kern w:val="2"/>
          <w:highlight w:val="none"/>
        </w:rPr>
        <w:t xml:space="preserve"> </w:t>
      </w:r>
      <w:r>
        <w:rPr>
          <w:rFonts w:hint="eastAsia" w:ascii="宋体" w:hAnsi="宋体" w:cs="Arial"/>
          <w:b/>
          <w:color w:val="auto"/>
          <w:spacing w:val="0"/>
          <w:kern w:val="2"/>
          <w:highlight w:val="none"/>
        </w:rPr>
        <w:t>合同附件格式</w:t>
      </w:r>
      <w:bookmarkEnd w:id="26"/>
      <w:bookmarkEnd w:id="27"/>
    </w:p>
    <w:p>
      <w:pPr>
        <w:pStyle w:val="5"/>
        <w:rPr>
          <w:color w:val="auto"/>
          <w:spacing w:val="0"/>
          <w:highlight w:val="none"/>
        </w:rPr>
      </w:pPr>
    </w:p>
    <w:p>
      <w:pPr>
        <w:pStyle w:val="9"/>
        <w:numPr>
          <w:ilvl w:val="3"/>
          <w:numId w:val="0"/>
        </w:numPr>
        <w:snapToGrid w:val="0"/>
        <w:spacing w:line="360" w:lineRule="auto"/>
        <w:ind w:leftChars="0"/>
        <w:rPr>
          <w:rFonts w:ascii="Times New Roman" w:hAnsi="Times New Roman"/>
          <w:b w:val="0"/>
          <w:snapToGrid w:val="0"/>
          <w:color w:val="auto"/>
          <w:spacing w:val="0"/>
          <w:kern w:val="0"/>
          <w:sz w:val="24"/>
          <w:szCs w:val="24"/>
          <w:highlight w:val="none"/>
        </w:rPr>
      </w:pPr>
      <w:bookmarkStart w:id="29" w:name="_Toc426321895"/>
      <w:r>
        <w:rPr>
          <w:rStyle w:val="102"/>
          <w:rFonts w:hint="eastAsia" w:ascii="宋体" w:hAnsi="宋体" w:eastAsia="宋体"/>
          <w:b w:val="0"/>
          <w:snapToGrid/>
          <w:color w:val="auto"/>
          <w:spacing w:val="0"/>
          <w:highlight w:val="none"/>
        </w:rPr>
        <w:t>附件一</w:t>
      </w:r>
      <w:r>
        <w:rPr>
          <w:rStyle w:val="102"/>
          <w:rFonts w:ascii="宋体" w:hAnsi="宋体" w:eastAsia="宋体"/>
          <w:b w:val="0"/>
          <w:snapToGrid/>
          <w:color w:val="auto"/>
          <w:spacing w:val="0"/>
          <w:highlight w:val="none"/>
        </w:rPr>
        <w:t xml:space="preserve">  </w:t>
      </w:r>
      <w:r>
        <w:rPr>
          <w:rStyle w:val="102"/>
          <w:rFonts w:hint="eastAsia" w:ascii="宋体" w:hAnsi="宋体" w:eastAsia="宋体"/>
          <w:b w:val="0"/>
          <w:snapToGrid/>
          <w:color w:val="auto"/>
          <w:spacing w:val="0"/>
          <w:highlight w:val="none"/>
        </w:rPr>
        <w:t>合同协议书</w:t>
      </w:r>
      <w:bookmarkEnd w:id="29"/>
    </w:p>
    <w:p>
      <w:pPr>
        <w:pStyle w:val="22"/>
        <w:adjustRightInd w:val="0"/>
        <w:snapToGrid w:val="0"/>
        <w:spacing w:line="460" w:lineRule="exact"/>
        <w:ind w:firstLine="240"/>
        <w:jc w:val="center"/>
        <w:rPr>
          <w:rFonts w:ascii="Times New Roman" w:hAnsi="Times New Roman"/>
          <w:snapToGrid w:val="0"/>
          <w:color w:val="auto"/>
          <w:spacing w:val="0"/>
          <w:kern w:val="0"/>
          <w:sz w:val="24"/>
          <w:szCs w:val="24"/>
          <w:highlight w:val="none"/>
        </w:rPr>
      </w:pPr>
      <w:r>
        <w:rPr>
          <w:rFonts w:hint="eastAsia" w:ascii="Times New Roman" w:hAnsi="Times New Roman"/>
          <w:b/>
          <w:snapToGrid w:val="0"/>
          <w:color w:val="auto"/>
          <w:spacing w:val="0"/>
          <w:kern w:val="0"/>
          <w:sz w:val="24"/>
          <w:szCs w:val="24"/>
          <w:highlight w:val="none"/>
        </w:rPr>
        <w:t>合同协议书</w:t>
      </w:r>
    </w:p>
    <w:p>
      <w:pPr>
        <w:snapToGrid w:val="0"/>
        <w:spacing w:line="460" w:lineRule="exact"/>
        <w:ind w:firstLine="420" w:firstLineChars="200"/>
        <w:rPr>
          <w:rFonts w:ascii="宋体" w:hAnsi="宋体"/>
          <w:snapToGrid w:val="0"/>
          <w:color w:val="auto"/>
          <w:spacing w:val="0"/>
          <w:sz w:val="21"/>
          <w:szCs w:val="21"/>
          <w:highlight w:val="none"/>
        </w:rPr>
      </w:pPr>
      <w:r>
        <w:rPr>
          <w:rFonts w:ascii="宋体" w:hAnsi="宋体"/>
          <w:snapToGrid w:val="0"/>
          <w:color w:val="auto"/>
          <w:spacing w:val="0"/>
          <w:sz w:val="21"/>
          <w:szCs w:val="21"/>
          <w:highlight w:val="none"/>
          <w:u w:val="single"/>
        </w:rPr>
        <w:t>（发包人名称，以下简称</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发包人</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rPr>
        <w:t>为实施</w:t>
      </w:r>
      <w:r>
        <w:rPr>
          <w:rFonts w:ascii="宋体" w:hAnsi="宋体"/>
          <w:snapToGrid w:val="0"/>
          <w:color w:val="auto"/>
          <w:spacing w:val="0"/>
          <w:sz w:val="21"/>
          <w:szCs w:val="21"/>
          <w:highlight w:val="none"/>
          <w:u w:val="single"/>
        </w:rPr>
        <w:t>（项目名称）</w:t>
      </w:r>
      <w:r>
        <w:rPr>
          <w:rFonts w:ascii="宋体" w:hAnsi="宋体"/>
          <w:snapToGrid w:val="0"/>
          <w:color w:val="auto"/>
          <w:spacing w:val="0"/>
          <w:sz w:val="21"/>
          <w:szCs w:val="21"/>
          <w:highlight w:val="none"/>
        </w:rPr>
        <w:t>，已接受</w:t>
      </w:r>
      <w:r>
        <w:rPr>
          <w:rFonts w:ascii="宋体" w:hAnsi="宋体"/>
          <w:snapToGrid w:val="0"/>
          <w:color w:val="auto"/>
          <w:spacing w:val="0"/>
          <w:sz w:val="21"/>
          <w:szCs w:val="21"/>
          <w:highlight w:val="none"/>
          <w:u w:val="single"/>
        </w:rPr>
        <w:t>（承包人名称，以下简称</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承包人</w:t>
      </w:r>
      <w:r>
        <w:rPr>
          <w:rFonts w:hint="eastAsia"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u w:val="single"/>
        </w:rPr>
        <w:t>）</w:t>
      </w:r>
      <w:r>
        <w:rPr>
          <w:rFonts w:ascii="宋体" w:hAnsi="宋体"/>
          <w:snapToGrid w:val="0"/>
          <w:color w:val="auto"/>
          <w:spacing w:val="0"/>
          <w:sz w:val="21"/>
          <w:szCs w:val="21"/>
          <w:highlight w:val="none"/>
        </w:rPr>
        <w:t>对</w:t>
      </w:r>
      <w:r>
        <w:rPr>
          <w:rFonts w:ascii="宋体" w:hAnsi="宋体"/>
          <w:snapToGrid w:val="0"/>
          <w:color w:val="auto"/>
          <w:spacing w:val="0"/>
          <w:sz w:val="21"/>
          <w:szCs w:val="21"/>
          <w:highlight w:val="none"/>
          <w:u w:val="single"/>
        </w:rPr>
        <w:t>（项目名称）（标段名称）</w:t>
      </w:r>
      <w:r>
        <w:rPr>
          <w:rFonts w:ascii="宋体" w:hAnsi="宋体"/>
          <w:snapToGrid w:val="0"/>
          <w:color w:val="auto"/>
          <w:spacing w:val="0"/>
          <w:sz w:val="21"/>
          <w:szCs w:val="21"/>
          <w:highlight w:val="none"/>
        </w:rPr>
        <w:t>的投标，并确定其为中标人。发包人和承包人共同达成如下协议。</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1</w:t>
      </w:r>
      <w:r>
        <w:rPr>
          <w:rFonts w:hint="eastAsia" w:ascii="宋体" w:hAnsi="宋体"/>
          <w:snapToGrid w:val="0"/>
          <w:color w:val="auto"/>
          <w:spacing w:val="0"/>
          <w:sz w:val="21"/>
          <w:szCs w:val="21"/>
          <w:highlight w:val="none"/>
        </w:rPr>
        <w:t>．本协议书与下列文件一起构成合同文件：</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1</w:t>
      </w:r>
      <w:r>
        <w:rPr>
          <w:rFonts w:hint="eastAsia" w:ascii="宋体" w:hAnsi="宋体"/>
          <w:snapToGrid w:val="0"/>
          <w:color w:val="auto"/>
          <w:spacing w:val="0"/>
          <w:sz w:val="21"/>
          <w:szCs w:val="21"/>
          <w:highlight w:val="none"/>
        </w:rPr>
        <w:t>）协议书（包括补充协议书）；</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2</w:t>
      </w:r>
      <w:r>
        <w:rPr>
          <w:rFonts w:hint="eastAsia" w:ascii="宋体" w:hAnsi="宋体"/>
          <w:snapToGrid w:val="0"/>
          <w:color w:val="auto"/>
          <w:spacing w:val="0"/>
          <w:sz w:val="21"/>
          <w:szCs w:val="21"/>
          <w:highlight w:val="none"/>
        </w:rPr>
        <w:t>）中标通知书；</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3</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投标函及投标函附录；</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4</w:t>
      </w:r>
      <w:r>
        <w:rPr>
          <w:rFonts w:hint="eastAsia" w:ascii="宋体" w:hAnsi="宋体"/>
          <w:snapToGrid w:val="0"/>
          <w:color w:val="auto"/>
          <w:spacing w:val="0"/>
          <w:sz w:val="21"/>
          <w:szCs w:val="21"/>
          <w:highlight w:val="none"/>
        </w:rPr>
        <w:t>）招投标文件澄清问题、澄清问题的复函、补充通知等相关资料；</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5</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专用合同条款；</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6</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通用合同条款；</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7</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技术标准和要求；</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8</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图纸；</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9</w:t>
      </w: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 xml:space="preserve"> </w:t>
      </w:r>
      <w:r>
        <w:rPr>
          <w:rFonts w:hint="eastAsia" w:ascii="宋体" w:hAnsi="宋体"/>
          <w:snapToGrid w:val="0"/>
          <w:color w:val="auto"/>
          <w:spacing w:val="0"/>
          <w:sz w:val="21"/>
          <w:szCs w:val="21"/>
          <w:highlight w:val="none"/>
        </w:rPr>
        <w:t>已标价工程量清单；</w:t>
      </w:r>
    </w:p>
    <w:p>
      <w:pPr>
        <w:snapToGrid w:val="0"/>
        <w:spacing w:line="460" w:lineRule="exact"/>
        <w:ind w:firstLine="420" w:firstLineChars="200"/>
        <w:rPr>
          <w:rFonts w:ascii="宋体"/>
          <w:snapToGrid w:val="0"/>
          <w:color w:val="auto"/>
          <w:spacing w:val="0"/>
          <w:sz w:val="21"/>
          <w:szCs w:val="21"/>
          <w:highlight w:val="none"/>
        </w:rPr>
      </w:pPr>
      <w:r>
        <w:rPr>
          <w:rFonts w:hint="eastAsia" w:ascii="宋体" w:hAnsi="宋体"/>
          <w:snapToGrid w:val="0"/>
          <w:color w:val="auto"/>
          <w:spacing w:val="0"/>
          <w:sz w:val="21"/>
          <w:szCs w:val="21"/>
          <w:highlight w:val="none"/>
        </w:rPr>
        <w:t>（</w:t>
      </w:r>
      <w:r>
        <w:rPr>
          <w:rFonts w:ascii="宋体" w:hAnsi="宋体"/>
          <w:snapToGrid w:val="0"/>
          <w:color w:val="auto"/>
          <w:spacing w:val="0"/>
          <w:sz w:val="21"/>
          <w:szCs w:val="21"/>
          <w:highlight w:val="none"/>
        </w:rPr>
        <w:t>10</w:t>
      </w:r>
      <w:r>
        <w:rPr>
          <w:rFonts w:hint="eastAsia" w:ascii="宋体" w:hAnsi="宋体"/>
          <w:snapToGrid w:val="0"/>
          <w:color w:val="auto"/>
          <w:spacing w:val="0"/>
          <w:sz w:val="21"/>
          <w:szCs w:val="21"/>
          <w:highlight w:val="none"/>
        </w:rPr>
        <w:t>）经双方确认进入合同的其他文件。</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2</w:t>
      </w:r>
      <w:r>
        <w:rPr>
          <w:rFonts w:hint="eastAsia" w:ascii="宋体" w:hAnsi="宋体"/>
          <w:snapToGrid w:val="0"/>
          <w:color w:val="auto"/>
          <w:spacing w:val="0"/>
          <w:sz w:val="21"/>
          <w:szCs w:val="21"/>
          <w:highlight w:val="none"/>
        </w:rPr>
        <w:t>．上述文件互相补充和解释，如有不明确或不一致之处，以合同约定次序在先者为准。</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3</w:t>
      </w:r>
      <w:r>
        <w:rPr>
          <w:rFonts w:hint="eastAsia" w:ascii="宋体" w:hAnsi="宋体"/>
          <w:snapToGrid w:val="0"/>
          <w:color w:val="auto"/>
          <w:spacing w:val="0"/>
          <w:sz w:val="21"/>
          <w:szCs w:val="21"/>
          <w:highlight w:val="none"/>
        </w:rPr>
        <w:t>．签约合同价：</w:t>
      </w:r>
      <w:r>
        <w:rPr>
          <w:rFonts w:ascii="宋体" w:hAnsi="宋体"/>
          <w:snapToGrid w:val="0"/>
          <w:color w:val="auto"/>
          <w:spacing w:val="0"/>
          <w:sz w:val="21"/>
          <w:szCs w:val="21"/>
          <w:highlight w:val="none"/>
        </w:rPr>
        <w:t>人民币（大写）</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元（</w:t>
      </w:r>
      <w:r>
        <w:rPr>
          <w:rFonts w:hint="eastAsia"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w:t>
      </w:r>
    </w:p>
    <w:p>
      <w:pPr>
        <w:snapToGrid w:val="0"/>
        <w:spacing w:line="460" w:lineRule="exact"/>
        <w:ind w:firstLine="420" w:firstLineChars="200"/>
        <w:rPr>
          <w:rFonts w:ascii="宋体"/>
          <w:snapToGrid w:val="0"/>
          <w:color w:val="auto"/>
          <w:spacing w:val="0"/>
          <w:sz w:val="21"/>
          <w:szCs w:val="21"/>
          <w:highlight w:val="none"/>
          <w:u w:val="single"/>
        </w:rPr>
      </w:pPr>
      <w:r>
        <w:rPr>
          <w:rFonts w:ascii="宋体" w:hAnsi="宋体"/>
          <w:snapToGrid w:val="0"/>
          <w:color w:val="auto"/>
          <w:spacing w:val="0"/>
          <w:sz w:val="21"/>
          <w:szCs w:val="21"/>
          <w:highlight w:val="none"/>
        </w:rPr>
        <w:t>4</w:t>
      </w:r>
      <w:r>
        <w:rPr>
          <w:rFonts w:hint="eastAsia" w:ascii="宋体" w:hAnsi="宋体"/>
          <w:snapToGrid w:val="0"/>
          <w:color w:val="auto"/>
          <w:spacing w:val="0"/>
          <w:sz w:val="21"/>
          <w:szCs w:val="21"/>
          <w:highlight w:val="none"/>
        </w:rPr>
        <w:t>．承包人项目负责人：</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，项目技术负责人</w:t>
      </w:r>
      <w:r>
        <w:rPr>
          <w:rFonts w:hint="eastAsia"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5</w:t>
      </w:r>
      <w:r>
        <w:rPr>
          <w:rFonts w:hint="eastAsia" w:ascii="宋体" w:hAnsi="宋体"/>
          <w:snapToGrid w:val="0"/>
          <w:color w:val="auto"/>
          <w:spacing w:val="0"/>
          <w:sz w:val="21"/>
          <w:szCs w:val="21"/>
          <w:highlight w:val="none"/>
        </w:rPr>
        <w:t>．工程质量符合</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标准。</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6</w:t>
      </w:r>
      <w:r>
        <w:rPr>
          <w:rFonts w:hint="eastAsia" w:ascii="宋体" w:hAnsi="宋体"/>
          <w:snapToGrid w:val="0"/>
          <w:color w:val="auto"/>
          <w:spacing w:val="0"/>
          <w:sz w:val="21"/>
          <w:szCs w:val="21"/>
          <w:highlight w:val="none"/>
        </w:rPr>
        <w:t>．承包人承诺按合同约定承担工程的实施、完成及缺陷修复。</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7</w:t>
      </w:r>
      <w:r>
        <w:rPr>
          <w:rFonts w:hint="eastAsia" w:ascii="宋体" w:hAnsi="宋体"/>
          <w:snapToGrid w:val="0"/>
          <w:color w:val="auto"/>
          <w:spacing w:val="0"/>
          <w:sz w:val="21"/>
          <w:szCs w:val="21"/>
          <w:highlight w:val="none"/>
        </w:rPr>
        <w:t>．发包人承诺按合同约定的条件、时间和方式向承包人支付合同价款。</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8</w:t>
      </w:r>
      <w:r>
        <w:rPr>
          <w:rFonts w:hint="eastAsia" w:ascii="宋体" w:hAnsi="宋体"/>
          <w:snapToGrid w:val="0"/>
          <w:color w:val="auto"/>
          <w:spacing w:val="0"/>
          <w:sz w:val="21"/>
          <w:szCs w:val="21"/>
          <w:highlight w:val="none"/>
        </w:rPr>
        <w:t xml:space="preserve">．承包人承诺执行监理人开工通知，计划工期为个月 </w:t>
      </w:r>
      <w:r>
        <w:rPr>
          <w:rFonts w:ascii="宋体" w:hAnsi="宋体"/>
          <w:snapToGrid w:val="0"/>
          <w:color w:val="auto"/>
          <w:spacing w:val="0"/>
          <w:sz w:val="21"/>
          <w:szCs w:val="21"/>
          <w:highlight w:val="none"/>
        </w:rPr>
        <w:t>（</w:t>
      </w:r>
      <w:r>
        <w:rPr>
          <w:rFonts w:hint="eastAsia" w:ascii="宋体" w:hAnsi="宋体"/>
          <w:snapToGrid w:val="0"/>
          <w:color w:val="auto"/>
          <w:spacing w:val="0"/>
          <w:sz w:val="21"/>
          <w:szCs w:val="21"/>
          <w:highlight w:val="none"/>
          <w:u w:val="single"/>
        </w:rPr>
        <w:t xml:space="preserve">    </w:t>
      </w:r>
      <w:r>
        <w:rPr>
          <w:rFonts w:ascii="宋体" w:hAnsi="宋体"/>
          <w:snapToGrid w:val="0"/>
          <w:color w:val="auto"/>
          <w:spacing w:val="0"/>
          <w:sz w:val="21"/>
          <w:szCs w:val="21"/>
          <w:highlight w:val="none"/>
        </w:rPr>
        <w:t>日历天）。</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9</w:t>
      </w:r>
      <w:r>
        <w:rPr>
          <w:rFonts w:hint="eastAsia" w:ascii="宋体" w:hAnsi="宋体"/>
          <w:snapToGrid w:val="0"/>
          <w:color w:val="auto"/>
          <w:spacing w:val="0"/>
          <w:sz w:val="21"/>
          <w:szCs w:val="21"/>
          <w:highlight w:val="none"/>
        </w:rPr>
        <w:t>．本协议书正本一式</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贰</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rPr>
        <w:t>份，合同双方各执</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壹</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rPr>
        <w:t>份，副本</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rPr>
        <w:t>份，双方各执</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rPr>
        <w:t>份。经双方盖章签字后生效。</w:t>
      </w:r>
    </w:p>
    <w:p>
      <w:pPr>
        <w:snapToGrid w:val="0"/>
        <w:spacing w:line="460" w:lineRule="exact"/>
        <w:ind w:firstLine="420" w:firstLineChars="200"/>
        <w:rPr>
          <w:rFonts w:ascii="宋体"/>
          <w:snapToGrid w:val="0"/>
          <w:color w:val="auto"/>
          <w:spacing w:val="0"/>
          <w:sz w:val="21"/>
          <w:szCs w:val="21"/>
          <w:highlight w:val="none"/>
        </w:rPr>
      </w:pPr>
      <w:r>
        <w:rPr>
          <w:rFonts w:ascii="宋体" w:hAnsi="宋体"/>
          <w:snapToGrid w:val="0"/>
          <w:color w:val="auto"/>
          <w:spacing w:val="0"/>
          <w:sz w:val="21"/>
          <w:szCs w:val="21"/>
          <w:highlight w:val="none"/>
        </w:rPr>
        <w:t>10</w:t>
      </w:r>
      <w:r>
        <w:rPr>
          <w:rFonts w:hint="eastAsia" w:ascii="宋体" w:hAnsi="宋体"/>
          <w:snapToGrid w:val="0"/>
          <w:color w:val="auto"/>
          <w:spacing w:val="0"/>
          <w:sz w:val="21"/>
          <w:szCs w:val="21"/>
          <w:highlight w:val="none"/>
        </w:rPr>
        <w:t>．合同未尽事宜，双方另行签订补充协议。补充协议是合同的组成部分。</w:t>
      </w:r>
    </w:p>
    <w:p>
      <w:pPr>
        <w:snapToGrid w:val="0"/>
        <w:spacing w:line="460" w:lineRule="exact"/>
        <w:rPr>
          <w:rFonts w:ascii="宋体"/>
          <w:snapToGrid w:val="0"/>
          <w:color w:val="auto"/>
          <w:sz w:val="21"/>
          <w:szCs w:val="21"/>
          <w:highlight w:val="none"/>
        </w:rPr>
      </w:pPr>
    </w:p>
    <w:p>
      <w:pPr>
        <w:snapToGrid w:val="0"/>
        <w:spacing w:line="360" w:lineRule="auto"/>
        <w:rPr>
          <w:rFonts w:ascii="宋体"/>
          <w:snapToGrid w:val="0"/>
          <w:color w:val="auto"/>
          <w:sz w:val="21"/>
          <w:szCs w:val="21"/>
          <w:highlight w:val="none"/>
        </w:rPr>
      </w:pPr>
    </w:p>
    <w:p>
      <w:pPr>
        <w:snapToGrid w:val="0"/>
        <w:spacing w:line="360" w:lineRule="auto"/>
        <w:rPr>
          <w:rFonts w:ascii="宋体"/>
          <w:snapToGrid w:val="0"/>
          <w:color w:val="auto"/>
          <w:sz w:val="21"/>
          <w:szCs w:val="21"/>
          <w:highlight w:val="none"/>
        </w:rPr>
      </w:pPr>
    </w:p>
    <w:p>
      <w:pPr>
        <w:snapToGrid w:val="0"/>
        <w:spacing w:line="360" w:lineRule="auto"/>
        <w:jc w:val="left"/>
        <w:rPr>
          <w:rFonts w:ascii="宋体"/>
          <w:snapToGrid w:val="0"/>
          <w:color w:val="auto"/>
          <w:spacing w:val="0"/>
          <w:sz w:val="21"/>
          <w:szCs w:val="21"/>
          <w:highlight w:val="none"/>
          <w:u w:val="single"/>
        </w:rPr>
      </w:pPr>
      <w:r>
        <w:rPr>
          <w:rFonts w:hint="eastAsia" w:ascii="宋体" w:hAnsi="宋体"/>
          <w:snapToGrid w:val="0"/>
          <w:color w:val="auto"/>
          <w:spacing w:val="0"/>
          <w:sz w:val="21"/>
          <w:szCs w:val="21"/>
          <w:highlight w:val="none"/>
        </w:rPr>
        <w:t>发包人：</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（盖单位公章）</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hint="eastAsia" w:ascii="宋体" w:hAnsi="宋体"/>
          <w:snapToGrid w:val="0"/>
          <w:color w:val="auto"/>
          <w:spacing w:val="0"/>
          <w:sz w:val="21"/>
          <w:szCs w:val="21"/>
          <w:highlight w:val="none"/>
          <w:u w:val="none"/>
          <w:lang w:val="en-US" w:eastAsia="zh-CN"/>
        </w:rPr>
        <w:t xml:space="preserve">    </w:t>
      </w:r>
      <w:r>
        <w:rPr>
          <w:rFonts w:hint="eastAsia" w:ascii="宋体" w:hAnsi="宋体"/>
          <w:snapToGrid w:val="0"/>
          <w:color w:val="auto"/>
          <w:spacing w:val="0"/>
          <w:sz w:val="21"/>
          <w:szCs w:val="21"/>
          <w:highlight w:val="none"/>
        </w:rPr>
        <w:t>承包人：</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rPr>
        <w:t>（盖单位公章）</w:t>
      </w:r>
      <w:r>
        <w:rPr>
          <w:rFonts w:ascii="宋体" w:hAnsi="宋体"/>
          <w:snapToGrid w:val="0"/>
          <w:color w:val="auto"/>
          <w:spacing w:val="0"/>
          <w:sz w:val="21"/>
          <w:szCs w:val="21"/>
          <w:highlight w:val="none"/>
          <w:u w:val="single"/>
        </w:rPr>
        <w:t xml:space="preserve">  </w:t>
      </w:r>
      <w:r>
        <w:rPr>
          <w:rFonts w:hint="eastAsia" w:ascii="宋体" w:hAnsi="宋体"/>
          <w:snapToGrid w:val="0"/>
          <w:color w:val="auto"/>
          <w:spacing w:val="0"/>
          <w:sz w:val="21"/>
          <w:szCs w:val="21"/>
          <w:highlight w:val="none"/>
          <w:u w:val="single"/>
          <w:lang w:val="en-US" w:eastAsia="zh-CN"/>
        </w:rPr>
        <w:t xml:space="preserve"> </w:t>
      </w:r>
      <w:r>
        <w:rPr>
          <w:rFonts w:ascii="宋体" w:hAnsi="宋体"/>
          <w:snapToGrid w:val="0"/>
          <w:color w:val="auto"/>
          <w:spacing w:val="0"/>
          <w:sz w:val="21"/>
          <w:szCs w:val="21"/>
          <w:highlight w:val="none"/>
          <w:u w:val="single"/>
        </w:rPr>
        <w:t xml:space="preserve">  </w:t>
      </w:r>
    </w:p>
    <w:p>
      <w:pPr>
        <w:snapToGrid w:val="0"/>
        <w:spacing w:line="360" w:lineRule="auto"/>
        <w:ind w:firstLine="105" w:firstLineChars="50"/>
        <w:rPr>
          <w:rFonts w:asci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法定代表人</w:t>
      </w:r>
    </w:p>
    <w:p>
      <w:pPr>
        <w:snapToGrid w:val="0"/>
        <w:spacing w:line="360" w:lineRule="auto"/>
        <w:ind w:firstLine="105" w:firstLineChars="50"/>
        <w:rPr>
          <w:rFonts w:ascii="宋体"/>
          <w:snapToGrid w:val="0"/>
          <w:color w:val="auto"/>
          <w:sz w:val="21"/>
          <w:szCs w:val="21"/>
          <w:highlight w:val="none"/>
          <w:u w:val="single"/>
        </w:rPr>
      </w:pPr>
      <w:r>
        <w:rPr>
          <w:rFonts w:hint="eastAsia" w:ascii="宋体" w:hAnsi="宋体"/>
          <w:color w:val="auto"/>
          <w:sz w:val="21"/>
          <w:szCs w:val="21"/>
          <w:highlight w:val="none"/>
        </w:rPr>
        <w:t>或其委托代理人</w:t>
      </w:r>
      <w:r>
        <w:rPr>
          <w:rFonts w:hint="eastAsia" w:ascii="宋体" w:hAnsi="宋体"/>
          <w:snapToGrid w:val="0"/>
          <w:color w:val="auto"/>
          <w:sz w:val="21"/>
          <w:szCs w:val="21"/>
          <w:highlight w:val="none"/>
        </w:rPr>
        <w:t>：</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rPr>
        <w:t>（签字）</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lang w:val="en-US" w:eastAsia="zh-CN"/>
        </w:rPr>
        <w:t xml:space="preserve">         </w:t>
      </w:r>
      <w:r>
        <w:rPr>
          <w:rFonts w:hint="eastAsia" w:ascii="宋体" w:hAnsi="宋体"/>
          <w:snapToGrid w:val="0"/>
          <w:color w:val="auto"/>
          <w:sz w:val="21"/>
          <w:szCs w:val="21"/>
          <w:highlight w:val="none"/>
          <w:u w:val="none"/>
          <w:lang w:val="en-US" w:eastAsia="zh-CN"/>
        </w:rPr>
        <w:t xml:space="preserve">    </w:t>
      </w:r>
      <w:r>
        <w:rPr>
          <w:rFonts w:hint="eastAsia" w:ascii="宋体" w:hAnsi="宋体"/>
          <w:color w:val="auto"/>
          <w:sz w:val="21"/>
          <w:szCs w:val="21"/>
          <w:highlight w:val="none"/>
        </w:rPr>
        <w:t>或其委托代理人</w:t>
      </w:r>
      <w:r>
        <w:rPr>
          <w:rFonts w:hint="eastAsia" w:ascii="宋体" w:hAnsi="宋体"/>
          <w:snapToGrid w:val="0"/>
          <w:color w:val="auto"/>
          <w:sz w:val="21"/>
          <w:szCs w:val="21"/>
          <w:highlight w:val="none"/>
        </w:rPr>
        <w:t>：</w:t>
      </w:r>
      <w:r>
        <w:rPr>
          <w:rFonts w:ascii="宋体" w:hAnsi="宋体"/>
          <w:snapToGrid w:val="0"/>
          <w:color w:val="auto"/>
          <w:sz w:val="21"/>
          <w:szCs w:val="21"/>
          <w:highlight w:val="none"/>
          <w:u w:val="single"/>
        </w:rPr>
        <w:t xml:space="preserve"> </w:t>
      </w:r>
      <w:r>
        <w:rPr>
          <w:rFonts w:hint="eastAsia" w:ascii="宋体" w:hAnsi="宋体"/>
          <w:snapToGrid w:val="0"/>
          <w:color w:val="auto"/>
          <w:sz w:val="21"/>
          <w:szCs w:val="21"/>
          <w:highlight w:val="none"/>
          <w:u w:val="single"/>
        </w:rPr>
        <w:t>（签字）</w:t>
      </w:r>
      <w:r>
        <w:rPr>
          <w:rFonts w:hint="eastAsia" w:ascii="宋体" w:hAnsi="宋体"/>
          <w:snapToGrid w:val="0"/>
          <w:color w:val="auto"/>
          <w:sz w:val="21"/>
          <w:szCs w:val="21"/>
          <w:highlight w:val="none"/>
          <w:u w:val="single"/>
          <w:lang w:val="en-US" w:eastAsia="zh-CN"/>
        </w:rPr>
        <w:t xml:space="preserve">             </w:t>
      </w:r>
      <w:r>
        <w:rPr>
          <w:rFonts w:ascii="宋体" w:hAnsi="宋体"/>
          <w:snapToGrid w:val="0"/>
          <w:color w:val="auto"/>
          <w:sz w:val="21"/>
          <w:szCs w:val="21"/>
          <w:highlight w:val="none"/>
          <w:u w:val="single"/>
        </w:rPr>
        <w:t xml:space="preserve"> </w:t>
      </w:r>
    </w:p>
    <w:tbl>
      <w:tblPr>
        <w:tblStyle w:val="41"/>
        <w:tblW w:w="8509" w:type="dxa"/>
        <w:jc w:val="center"/>
        <w:tblLayout w:type="fixed"/>
        <w:tblCellMar>
          <w:top w:w="0" w:type="dxa"/>
          <w:left w:w="108" w:type="dxa"/>
          <w:bottom w:w="0" w:type="dxa"/>
          <w:right w:w="108" w:type="dxa"/>
        </w:tblCellMar>
      </w:tblPr>
      <w:tblGrid>
        <w:gridCol w:w="1497"/>
        <w:gridCol w:w="2648"/>
        <w:gridCol w:w="1410"/>
        <w:gridCol w:w="2954"/>
      </w:tblGrid>
      <w:tr>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联</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系</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人：</w:t>
            </w:r>
          </w:p>
        </w:tc>
        <w:tc>
          <w:tcPr>
            <w:tcW w:w="2648"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c>
          <w:tcPr>
            <w:tcW w:w="1410"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联</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系</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人：</w:t>
            </w:r>
          </w:p>
        </w:tc>
        <w:tc>
          <w:tcPr>
            <w:tcW w:w="2954"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地</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址：</w:t>
            </w:r>
          </w:p>
        </w:tc>
        <w:tc>
          <w:tcPr>
            <w:tcW w:w="2648"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c>
          <w:tcPr>
            <w:tcW w:w="1410"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地</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址：</w:t>
            </w:r>
          </w:p>
        </w:tc>
        <w:tc>
          <w:tcPr>
            <w:tcW w:w="2954"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电</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话：</w:t>
            </w:r>
          </w:p>
        </w:tc>
        <w:tc>
          <w:tcPr>
            <w:tcW w:w="2648"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c>
          <w:tcPr>
            <w:tcW w:w="1410"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电</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话：</w:t>
            </w:r>
          </w:p>
        </w:tc>
        <w:tc>
          <w:tcPr>
            <w:tcW w:w="2954"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传</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真：</w:t>
            </w:r>
          </w:p>
        </w:tc>
        <w:tc>
          <w:tcPr>
            <w:tcW w:w="2648"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c>
          <w:tcPr>
            <w:tcW w:w="1410"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传</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真：</w:t>
            </w:r>
          </w:p>
        </w:tc>
        <w:tc>
          <w:tcPr>
            <w:tcW w:w="2954"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邮</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编：</w:t>
            </w:r>
          </w:p>
        </w:tc>
        <w:tc>
          <w:tcPr>
            <w:tcW w:w="2648"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c>
          <w:tcPr>
            <w:tcW w:w="1410"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邮</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编：</w:t>
            </w:r>
          </w:p>
        </w:tc>
        <w:tc>
          <w:tcPr>
            <w:tcW w:w="2954"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pPr>
              <w:snapToGrid w:val="0"/>
              <w:spacing w:line="360" w:lineRule="auto"/>
              <w:ind w:firstLine="105" w:firstLineChars="50"/>
              <w:rPr>
                <w:rFonts w:ascii="宋体"/>
                <w:snapToGrid w:val="0"/>
                <w:color w:val="auto"/>
                <w:sz w:val="21"/>
                <w:szCs w:val="21"/>
                <w:highlight w:val="none"/>
              </w:rPr>
            </w:pPr>
            <w:r>
              <w:rPr>
                <w:rFonts w:hint="eastAsia" w:ascii="宋体" w:hAnsi="宋体"/>
                <w:snapToGrid w:val="0"/>
                <w:color w:val="auto"/>
                <w:sz w:val="21"/>
                <w:szCs w:val="21"/>
                <w:highlight w:val="none"/>
              </w:rPr>
              <w:t>开户银行：</w:t>
            </w:r>
          </w:p>
        </w:tc>
        <w:tc>
          <w:tcPr>
            <w:tcW w:w="2648" w:type="dxa"/>
            <w:noWrap w:val="0"/>
            <w:tcMar>
              <w:left w:w="28" w:type="dxa"/>
              <w:right w:w="28" w:type="dxa"/>
            </w:tcMar>
            <w:vAlign w:val="center"/>
          </w:tcPr>
          <w:p>
            <w:pPr>
              <w:snapToGrid w:val="0"/>
              <w:spacing w:line="360" w:lineRule="auto"/>
              <w:rPr>
                <w:rFonts w:ascii="宋体"/>
                <w:snapToGrid w:val="0"/>
                <w:color w:val="auto"/>
                <w:sz w:val="21"/>
                <w:szCs w:val="21"/>
                <w:highlight w:val="none"/>
              </w:rPr>
            </w:pPr>
          </w:p>
        </w:tc>
        <w:tc>
          <w:tcPr>
            <w:tcW w:w="1410" w:type="dxa"/>
            <w:noWrap w:val="0"/>
            <w:tcMar>
              <w:left w:w="28" w:type="dxa"/>
              <w:right w:w="28" w:type="dxa"/>
            </w:tcMar>
            <w:vAlign w:val="center"/>
          </w:tcPr>
          <w:p>
            <w:pPr>
              <w:snapToGrid w:val="0"/>
              <w:spacing w:line="360" w:lineRule="auto"/>
              <w:ind w:firstLine="105" w:firstLineChars="50"/>
              <w:rPr>
                <w:rFonts w:ascii="宋体"/>
                <w:snapToGrid w:val="0"/>
                <w:color w:val="auto"/>
                <w:sz w:val="21"/>
                <w:szCs w:val="21"/>
                <w:highlight w:val="none"/>
              </w:rPr>
            </w:pPr>
            <w:r>
              <w:rPr>
                <w:rFonts w:hint="eastAsia" w:ascii="宋体" w:hAnsi="宋体"/>
                <w:snapToGrid w:val="0"/>
                <w:color w:val="auto"/>
                <w:sz w:val="21"/>
                <w:szCs w:val="21"/>
                <w:highlight w:val="none"/>
              </w:rPr>
              <w:t>开户银行：</w:t>
            </w:r>
          </w:p>
        </w:tc>
        <w:tc>
          <w:tcPr>
            <w:tcW w:w="2954"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帐</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号：</w:t>
            </w:r>
          </w:p>
        </w:tc>
        <w:tc>
          <w:tcPr>
            <w:tcW w:w="2648"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c>
          <w:tcPr>
            <w:tcW w:w="1410"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r>
              <w:rPr>
                <w:rFonts w:hint="eastAsia" w:ascii="宋体" w:hAnsi="宋体"/>
                <w:snapToGrid w:val="0"/>
                <w:color w:val="auto"/>
                <w:sz w:val="21"/>
                <w:szCs w:val="21"/>
                <w:highlight w:val="none"/>
              </w:rPr>
              <w:t>帐</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号：</w:t>
            </w:r>
          </w:p>
        </w:tc>
        <w:tc>
          <w:tcPr>
            <w:tcW w:w="2954" w:type="dxa"/>
            <w:noWrap w:val="0"/>
            <w:tcMar>
              <w:left w:w="28" w:type="dxa"/>
              <w:right w:w="28" w:type="dxa"/>
            </w:tcMar>
            <w:vAlign w:val="center"/>
          </w:tcPr>
          <w:p>
            <w:pPr>
              <w:snapToGrid w:val="0"/>
              <w:spacing w:line="360" w:lineRule="auto"/>
              <w:jc w:val="center"/>
              <w:rPr>
                <w:rFonts w:ascii="宋体"/>
                <w:snapToGrid w:val="0"/>
                <w:color w:val="auto"/>
                <w:sz w:val="21"/>
                <w:szCs w:val="21"/>
                <w:highlight w:val="none"/>
              </w:rPr>
            </w:pPr>
          </w:p>
        </w:tc>
      </w:tr>
    </w:tbl>
    <w:p>
      <w:pPr>
        <w:pStyle w:val="22"/>
        <w:adjustRightInd w:val="0"/>
        <w:snapToGrid w:val="0"/>
        <w:spacing w:line="360" w:lineRule="auto"/>
        <w:ind w:left="1440" w:firstLine="1365" w:firstLineChars="650"/>
        <w:rPr>
          <w:rFonts w:hAnsi="宋体"/>
          <w:snapToGrid w:val="0"/>
          <w:color w:val="auto"/>
          <w:kern w:val="0"/>
          <w:szCs w:val="21"/>
          <w:highlight w:val="none"/>
        </w:rPr>
      </w:pPr>
    </w:p>
    <w:p>
      <w:pPr>
        <w:pStyle w:val="22"/>
        <w:adjustRightInd w:val="0"/>
        <w:snapToGrid w:val="0"/>
        <w:spacing w:line="360" w:lineRule="auto"/>
        <w:ind w:left="1440" w:firstLine="1365" w:firstLineChars="650"/>
        <w:jc w:val="right"/>
        <w:rPr>
          <w:rFonts w:hAnsi="宋体"/>
          <w:snapToGrid w:val="0"/>
          <w:color w:val="auto"/>
          <w:kern w:val="0"/>
          <w:szCs w:val="21"/>
          <w:highlight w:val="none"/>
        </w:rPr>
      </w:pPr>
      <w:r>
        <w:rPr>
          <w:rFonts w:hint="eastAsia" w:hAnsi="宋体"/>
          <w:snapToGrid w:val="0"/>
          <w:color w:val="auto"/>
          <w:kern w:val="0"/>
          <w:szCs w:val="21"/>
          <w:highlight w:val="none"/>
        </w:rPr>
        <w:t>签订日期：</w:t>
      </w:r>
      <w:r>
        <w:rPr>
          <w:rFonts w:hAnsi="宋体"/>
          <w:snapToGrid w:val="0"/>
          <w:color w:val="auto"/>
          <w:kern w:val="0"/>
          <w:szCs w:val="21"/>
          <w:highlight w:val="none"/>
        </w:rPr>
        <w:t xml:space="preserve">    </w:t>
      </w:r>
      <w:r>
        <w:rPr>
          <w:rFonts w:hint="eastAsia" w:hAnsi="宋体"/>
          <w:snapToGrid w:val="0"/>
          <w:color w:val="auto"/>
          <w:kern w:val="0"/>
          <w:szCs w:val="21"/>
          <w:highlight w:val="none"/>
        </w:rPr>
        <w:t>年</w:t>
      </w:r>
      <w:r>
        <w:rPr>
          <w:rFonts w:hint="eastAsia" w:hAnsi="宋体"/>
          <w:snapToGrid w:val="0"/>
          <w:color w:val="auto"/>
          <w:kern w:val="0"/>
          <w:szCs w:val="21"/>
          <w:highlight w:val="none"/>
          <w:lang w:val="en-US" w:eastAsia="zh-CN"/>
        </w:rPr>
        <w:t xml:space="preserve">   </w:t>
      </w:r>
      <w:r>
        <w:rPr>
          <w:rFonts w:hint="eastAsia" w:hAnsi="宋体"/>
          <w:snapToGrid w:val="0"/>
          <w:color w:val="auto"/>
          <w:kern w:val="0"/>
          <w:szCs w:val="21"/>
          <w:highlight w:val="none"/>
        </w:rPr>
        <w:t>月</w:t>
      </w:r>
      <w:r>
        <w:rPr>
          <w:rFonts w:hint="eastAsia" w:hAnsi="宋体"/>
          <w:snapToGrid w:val="0"/>
          <w:color w:val="auto"/>
          <w:kern w:val="0"/>
          <w:szCs w:val="21"/>
          <w:highlight w:val="none"/>
          <w:lang w:val="en-US" w:eastAsia="zh-CN"/>
        </w:rPr>
        <w:t xml:space="preserve">   </w:t>
      </w:r>
      <w:r>
        <w:rPr>
          <w:rFonts w:hint="eastAsia" w:hAnsi="宋体"/>
          <w:snapToGrid w:val="0"/>
          <w:color w:val="auto"/>
          <w:kern w:val="0"/>
          <w:szCs w:val="21"/>
          <w:highlight w:val="none"/>
        </w:rPr>
        <w:t>日</w:t>
      </w:r>
    </w:p>
    <w:p>
      <w:pPr>
        <w:pStyle w:val="9"/>
        <w:numPr>
          <w:ilvl w:val="3"/>
          <w:numId w:val="0"/>
        </w:numPr>
        <w:snapToGrid w:val="0"/>
        <w:spacing w:line="360" w:lineRule="auto"/>
        <w:ind w:leftChars="0"/>
        <w:rPr>
          <w:rStyle w:val="102"/>
          <w:rFonts w:ascii="宋体" w:hAnsi="宋体" w:eastAsia="宋体"/>
          <w:b/>
          <w:snapToGrid/>
          <w:color w:val="auto"/>
          <w:highlight w:val="none"/>
        </w:rPr>
      </w:pPr>
      <w:r>
        <w:rPr>
          <w:rFonts w:ascii="宋体" w:hAnsi="宋体" w:eastAsia="宋体"/>
          <w:color w:val="auto"/>
          <w:sz w:val="21"/>
          <w:szCs w:val="21"/>
          <w:highlight w:val="none"/>
        </w:rPr>
        <w:br w:type="page"/>
      </w:r>
      <w:bookmarkStart w:id="30" w:name="_Toc426321897"/>
      <w:r>
        <w:rPr>
          <w:rStyle w:val="102"/>
          <w:rFonts w:hint="eastAsia" w:ascii="宋体" w:hAnsi="宋体" w:eastAsia="宋体"/>
          <w:b w:val="0"/>
          <w:snapToGrid/>
          <w:color w:val="auto"/>
          <w:highlight w:val="none"/>
        </w:rPr>
        <w:t>附件二</w:t>
      </w:r>
      <w:r>
        <w:rPr>
          <w:rStyle w:val="102"/>
          <w:rFonts w:ascii="宋体" w:hAnsi="宋体" w:eastAsia="宋体"/>
          <w:b w:val="0"/>
          <w:snapToGrid/>
          <w:color w:val="auto"/>
          <w:highlight w:val="none"/>
        </w:rPr>
        <w:t xml:space="preserve">  </w:t>
      </w:r>
      <w:bookmarkEnd w:id="30"/>
      <w:bookmarkStart w:id="31" w:name="_Toc426321898"/>
      <w:r>
        <w:rPr>
          <w:rStyle w:val="102"/>
          <w:rFonts w:hint="eastAsia" w:ascii="宋体" w:hAnsi="宋体" w:eastAsia="宋体"/>
          <w:b w:val="0"/>
          <w:snapToGrid/>
          <w:color w:val="auto"/>
          <w:highlight w:val="none"/>
        </w:rPr>
        <w:t>廉政建设协议书（格式）</w:t>
      </w:r>
      <w:bookmarkEnd w:id="31"/>
    </w:p>
    <w:p>
      <w:pPr>
        <w:pStyle w:val="22"/>
        <w:adjustRightInd w:val="0"/>
        <w:snapToGrid w:val="0"/>
        <w:spacing w:line="360" w:lineRule="auto"/>
        <w:ind w:firstLine="240"/>
        <w:jc w:val="center"/>
        <w:rPr>
          <w:rFonts w:ascii="Times New Roman" w:hAnsi="Times New Roman"/>
          <w:b/>
          <w:bCs/>
          <w:snapToGrid w:val="0"/>
          <w:color w:val="auto"/>
          <w:kern w:val="0"/>
          <w:sz w:val="24"/>
          <w:szCs w:val="24"/>
          <w:highlight w:val="none"/>
        </w:rPr>
      </w:pPr>
      <w:r>
        <w:rPr>
          <w:rFonts w:hint="eastAsia" w:ascii="Times New Roman" w:hAnsi="Times New Roman"/>
          <w:snapToGrid w:val="0"/>
          <w:color w:val="auto"/>
          <w:kern w:val="0"/>
          <w:sz w:val="24"/>
          <w:szCs w:val="24"/>
          <w:highlight w:val="none"/>
        </w:rPr>
        <w:t>（本格式为廉政建设协议书标准格式，投标人不需填写）</w:t>
      </w:r>
    </w:p>
    <w:p>
      <w:pPr>
        <w:snapToGrid w:val="0"/>
        <w:spacing w:line="360" w:lineRule="auto"/>
        <w:jc w:val="center"/>
        <w:rPr>
          <w:b/>
          <w:snapToGrid w:val="0"/>
          <w:color w:val="auto"/>
          <w:szCs w:val="24"/>
          <w:highlight w:val="none"/>
        </w:rPr>
      </w:pPr>
      <w:r>
        <w:rPr>
          <w:rFonts w:hint="eastAsia"/>
          <w:b/>
          <w:snapToGrid w:val="0"/>
          <w:color w:val="auto"/>
          <w:szCs w:val="24"/>
          <w:highlight w:val="none"/>
        </w:rPr>
        <w:t>工程廉政责任书</w:t>
      </w:r>
    </w:p>
    <w:p>
      <w:pPr>
        <w:autoSpaceDE/>
        <w:autoSpaceDN/>
        <w:adjustRightInd/>
        <w:spacing w:line="360" w:lineRule="auto"/>
        <w:ind w:firstLine="420" w:firstLineChars="200"/>
        <w:jc w:val="left"/>
        <w:textAlignment w:val="auto"/>
        <w:rPr>
          <w:rFonts w:ascii="宋体"/>
          <w:snapToGrid w:val="0"/>
          <w:color w:val="auto"/>
          <w:sz w:val="21"/>
          <w:szCs w:val="21"/>
          <w:highlight w:val="none"/>
          <w:u w:val="single"/>
        </w:rPr>
      </w:pPr>
      <w:r>
        <w:rPr>
          <w:rFonts w:hint="eastAsia" w:ascii="宋体" w:hAnsi="宋体"/>
          <w:snapToGrid w:val="0"/>
          <w:color w:val="auto"/>
          <w:sz w:val="21"/>
          <w:szCs w:val="21"/>
          <w:highlight w:val="none"/>
        </w:rPr>
        <w:t>为加强工程建设中的廉政建设，保证工程建设高效优质完成。保证建设资金的安全和有效使用，</w:t>
      </w:r>
      <w:r>
        <w:rPr>
          <w:rFonts w:ascii="宋体" w:hAnsi="宋体"/>
          <w:snapToGrid w:val="0"/>
          <w:color w:val="auto"/>
          <w:sz w:val="21"/>
          <w:szCs w:val="21"/>
          <w:highlight w:val="none"/>
        </w:rPr>
        <w:t xml:space="preserve"> </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（项目名称）的发包人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（以下称甲方）与承包人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（以下称乙方），特订立如下责任书。</w:t>
      </w:r>
    </w:p>
    <w:p>
      <w:pPr>
        <w:pStyle w:val="78"/>
        <w:numPr>
          <w:ilvl w:val="0"/>
          <w:numId w:val="13"/>
        </w:numPr>
        <w:snapToGrid w:val="0"/>
        <w:spacing w:line="440" w:lineRule="exact"/>
        <w:rPr>
          <w:rFonts w:ascii="宋体"/>
          <w:snapToGrid w:val="0"/>
          <w:color w:val="auto"/>
          <w:sz w:val="21"/>
          <w:szCs w:val="21"/>
          <w:highlight w:val="none"/>
        </w:rPr>
      </w:pPr>
      <w:r>
        <w:rPr>
          <w:rFonts w:hint="eastAsia" w:ascii="宋体" w:hAnsi="宋体"/>
          <w:snapToGrid w:val="0"/>
          <w:color w:val="auto"/>
          <w:sz w:val="21"/>
          <w:szCs w:val="21"/>
          <w:highlight w:val="none"/>
        </w:rPr>
        <w:t>甲乙双方的权利和义务</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严格遵守党和国家工程建设的有关法律法规及水利部门的有关规定。</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严格执行的合同文件，自觉按合同办事。</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三</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双方的业务活动坚持公开、公平、公正、诚信、透明的原则</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除法律认定的商业秘密和合同文件另有规定之外</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，不得损害国家和集体利益，违反工程建设管理规定。</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建立健全廉政制度、监督制度和处罚制度，开展廉政教育，设立廉政告示牌，公布举报电话。</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发现对方在业务活动中有违反廉政规定为行为，有及时提醒对方纠正的权利和义务。</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六</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发现对方严重违反本责任书义务条款的行为，有向其上级有关部门举报、建议给子处理并要求告知处理结果的权利。</w:t>
      </w:r>
    </w:p>
    <w:p>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第二条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甲方的义务</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甲方及其工作人员不得索要或接受乙方的礼金、礼券、有价证券和物品，不得到乙方报销任何由甲方或个人支付的费用等。</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甲方不得有意刁难、</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拖延承包商工程款，不得违反规定批拨工程建设费用等。</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三</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甲方工作人员不得参加乙方安排的宴请和娱乐活动；不得接受乙方提供的通信工具、交通工具和高档办公用品等。</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甲方及其工作人员不得要求或者接受乙方为其住房装修、操办婚丧嫁娶、安排配偶子女的工作以及出国出境、旅游等。</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甲方工作人员的配偶、子女及下属单位不得从事与甲方工程有关的材料设备供应、工程分包、劳务等经济活动。</w:t>
      </w:r>
    </w:p>
    <w:p>
      <w:pPr>
        <w:snapToGrid w:val="0"/>
        <w:spacing w:line="440" w:lineRule="exact"/>
        <w:ind w:left="370" w:leftChars="176" w:firstLine="56" w:firstLineChars="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六</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甲方及其工作人员不得以任何理由向乙方推荐分包单位，不得要求乙方购买合同规定外的材料和设备。第三条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乙方义务</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乙方不得以任何理由向甲方及其工作人员行贿或馈赠礼金、礼券、有价证券、礼品。</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乙方不得以任何名义为甲方及其工作人员报销应由甲方单位或个人支付的任何费用。</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(E)</w:t>
      </w:r>
      <w:r>
        <w:rPr>
          <w:rFonts w:hint="eastAsia" w:ascii="宋体" w:hAnsi="宋体"/>
          <w:snapToGrid w:val="0"/>
          <w:color w:val="auto"/>
          <w:sz w:val="21"/>
          <w:szCs w:val="21"/>
          <w:highlight w:val="none"/>
        </w:rPr>
        <w:t>乙方不得要求甲方违反规定，批拨、追加工程建设费用等。</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四</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乙方不得以任何理由安排甲方工作人员参加宴请及娱乐活动。</w:t>
      </w:r>
    </w:p>
    <w:p>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五</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乙方不得为甲方单位和个人购置或提供通信工具、交通工具和高档办公室用品等。</w:t>
      </w:r>
    </w:p>
    <w:p>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第四条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违约责任</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一</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甲方及其工作人员违反本责任书第一、二条，按管理权限，依据有关规定给予党纪、政纪或组织处理</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涉嫌犯罪的，移送司法机关追衣刑事责任；给乙方单位造成经济损失的，应予以赔偿、</w:t>
      </w:r>
    </w:p>
    <w:p>
      <w:pPr>
        <w:snapToGrid w:val="0"/>
        <w:spacing w:line="440" w:lineRule="exact"/>
        <w:ind w:firstLine="476" w:firstLineChars="227"/>
        <w:rPr>
          <w:rFonts w:ascii="宋体"/>
          <w:snapToGrid w:val="0"/>
          <w:color w:val="auto"/>
          <w:sz w:val="21"/>
          <w:szCs w:val="21"/>
          <w:highlight w:val="none"/>
        </w:rPr>
      </w:pPr>
      <w:r>
        <w:rPr>
          <w:rFonts w:ascii="宋体" w:hAnsi="宋体"/>
          <w:snapToGrid w:val="0"/>
          <w:color w:val="auto"/>
          <w:sz w:val="21"/>
          <w:szCs w:val="21"/>
          <w:highlight w:val="none"/>
        </w:rPr>
        <w:t>(</w:t>
      </w:r>
      <w:r>
        <w:rPr>
          <w:rFonts w:hint="eastAsia" w:ascii="宋体" w:hAnsi="宋体"/>
          <w:snapToGrid w:val="0"/>
          <w:color w:val="auto"/>
          <w:sz w:val="21"/>
          <w:szCs w:val="21"/>
          <w:highlight w:val="none"/>
        </w:rPr>
        <w:t>二</w:t>
      </w:r>
      <w:r>
        <w:rPr>
          <w:rFonts w:ascii="宋体" w:hAnsi="宋体"/>
          <w:snapToGrid w:val="0"/>
          <w:color w:val="auto"/>
          <w:sz w:val="21"/>
          <w:szCs w:val="21"/>
          <w:highlight w:val="none"/>
        </w:rPr>
        <w:t>)</w:t>
      </w:r>
      <w:r>
        <w:rPr>
          <w:rFonts w:hint="eastAsia" w:ascii="宋体" w:hAnsi="宋体"/>
          <w:snapToGrid w:val="0"/>
          <w:color w:val="auto"/>
          <w:sz w:val="21"/>
          <w:szCs w:val="21"/>
          <w:highlight w:val="none"/>
        </w:rPr>
        <w:t>乙方及其工作人员违反本责任书第一、</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三条，按管理权限，</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依据有关规定，给予党纪、政纪、组织处理或停止承接业务处理；给甲方单位造成经济损失的，应予以赔偿；情节严重的，甲方建议有关工程建设主管部门给予乙方</w:t>
      </w:r>
      <w:r>
        <w:rPr>
          <w:rFonts w:ascii="宋体" w:hAnsi="宋体"/>
          <w:snapToGrid w:val="0"/>
          <w:color w:val="auto"/>
          <w:sz w:val="21"/>
          <w:szCs w:val="21"/>
          <w:highlight w:val="none"/>
        </w:rPr>
        <w:t>1~3</w:t>
      </w:r>
      <w:r>
        <w:rPr>
          <w:rFonts w:hint="eastAsia" w:ascii="宋体" w:hAnsi="宋体"/>
          <w:snapToGrid w:val="0"/>
          <w:color w:val="auto"/>
          <w:sz w:val="21"/>
          <w:szCs w:val="21"/>
          <w:highlight w:val="none"/>
        </w:rPr>
        <w:t>年内不得参与工程建设项目投标的处罚。</w:t>
      </w:r>
    </w:p>
    <w:p>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第五条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双方约定</w:t>
      </w:r>
    </w:p>
    <w:p>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本责任书由纪检监察机关负责监督执行。纪检监察机关对本责任书执行情况进行抽查。提出属于本责任书规定范围的处理意见。</w:t>
      </w:r>
    </w:p>
    <w:p>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第六条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本责任书有效期同甲乙双方签署之日起至该工程项目工程款支付完结时止。</w:t>
      </w:r>
    </w:p>
    <w:p>
      <w:pPr>
        <w:snapToGrid w:val="0"/>
        <w:spacing w:line="440" w:lineRule="exact"/>
        <w:ind w:firstLine="476" w:firstLineChars="227"/>
        <w:rPr>
          <w:rFonts w:ascii="宋体"/>
          <w:snapToGrid w:val="0"/>
          <w:color w:val="auto"/>
          <w:sz w:val="21"/>
          <w:szCs w:val="21"/>
          <w:highlight w:val="none"/>
        </w:rPr>
      </w:pPr>
      <w:r>
        <w:rPr>
          <w:rFonts w:hint="eastAsia" w:ascii="宋体" w:hAnsi="宋体"/>
          <w:snapToGrid w:val="0"/>
          <w:color w:val="auto"/>
          <w:sz w:val="21"/>
          <w:szCs w:val="21"/>
          <w:highlight w:val="none"/>
        </w:rPr>
        <w:t>第七条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本责任书作为本工程施工承包合同的附件，与工程施工合同具有同等的法律效力，经甲、乙</w:t>
      </w:r>
      <w:r>
        <w:rPr>
          <w:rFonts w:ascii="宋体"/>
          <w:snapToGrid w:val="0"/>
          <w:color w:val="auto"/>
          <w:sz w:val="21"/>
          <w:szCs w:val="21"/>
          <w:highlight w:val="none"/>
        </w:rPr>
        <w:t>.</w:t>
      </w:r>
      <w:r>
        <w:rPr>
          <w:rFonts w:hint="eastAsia" w:ascii="宋体" w:hAnsi="宋体"/>
          <w:snapToGrid w:val="0"/>
          <w:color w:val="auto"/>
          <w:sz w:val="21"/>
          <w:szCs w:val="21"/>
          <w:highlight w:val="none"/>
        </w:rPr>
        <w:t>双方签署后生效。</w:t>
      </w:r>
    </w:p>
    <w:p>
      <w:pPr>
        <w:snapToGrid w:val="0"/>
        <w:spacing w:line="440" w:lineRule="exact"/>
        <w:ind w:firstLine="476" w:firstLineChars="227"/>
        <w:rPr>
          <w:snapToGrid w:val="0"/>
          <w:color w:val="auto"/>
          <w:sz w:val="21"/>
          <w:szCs w:val="21"/>
          <w:highlight w:val="none"/>
        </w:rPr>
      </w:pPr>
      <w:r>
        <w:rPr>
          <w:rFonts w:hint="eastAsia" w:ascii="宋体" w:hAnsi="宋体"/>
          <w:snapToGrid w:val="0"/>
          <w:color w:val="auto"/>
          <w:sz w:val="21"/>
          <w:szCs w:val="21"/>
          <w:highlight w:val="none"/>
        </w:rPr>
        <w:t>第八条</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本责任书甲、</w:t>
      </w:r>
      <w:r>
        <w:rPr>
          <w:rFonts w:ascii="宋体" w:hAnsi="宋体"/>
          <w:snapToGrid w:val="0"/>
          <w:color w:val="auto"/>
          <w:sz w:val="21"/>
          <w:szCs w:val="21"/>
          <w:highlight w:val="none"/>
        </w:rPr>
        <w:t xml:space="preserve"> </w:t>
      </w:r>
      <w:r>
        <w:rPr>
          <w:rFonts w:hint="eastAsia" w:ascii="宋体" w:hAnsi="宋体"/>
          <w:snapToGrid w:val="0"/>
          <w:color w:val="auto"/>
          <w:sz w:val="21"/>
          <w:szCs w:val="21"/>
          <w:highlight w:val="none"/>
        </w:rPr>
        <w:t>乙双方各执一份，送交监督单位一份。</w:t>
      </w:r>
    </w:p>
    <w:tbl>
      <w:tblPr>
        <w:tblStyle w:val="41"/>
        <w:tblW w:w="8315" w:type="dxa"/>
        <w:tblInd w:w="0" w:type="dxa"/>
        <w:tblLayout w:type="fixed"/>
        <w:tblCellMar>
          <w:top w:w="0" w:type="dxa"/>
          <w:left w:w="108" w:type="dxa"/>
          <w:bottom w:w="0" w:type="dxa"/>
          <w:right w:w="108" w:type="dxa"/>
        </w:tblCellMar>
      </w:tblPr>
      <w:tblGrid>
        <w:gridCol w:w="4159"/>
        <w:gridCol w:w="4156"/>
      </w:tblGrid>
      <w:tr>
        <w:tblPrEx>
          <w:tblCellMar>
            <w:top w:w="0" w:type="dxa"/>
            <w:left w:w="108" w:type="dxa"/>
            <w:bottom w:w="0" w:type="dxa"/>
            <w:right w:w="108" w:type="dxa"/>
          </w:tblCellMar>
        </w:tblPrEx>
        <w:trPr>
          <w:trHeight w:val="567" w:hRule="atLeast"/>
        </w:trPr>
        <w:tc>
          <w:tcPr>
            <w:tcW w:w="4159" w:type="dxa"/>
            <w:noWrap w:val="0"/>
            <w:vAlign w:val="center"/>
          </w:tcPr>
          <w:p>
            <w:pPr>
              <w:snapToGrid w:val="0"/>
              <w:spacing w:line="420" w:lineRule="exact"/>
              <w:jc w:val="center"/>
              <w:rPr>
                <w:color w:val="auto"/>
                <w:sz w:val="21"/>
                <w:szCs w:val="21"/>
                <w:highlight w:val="none"/>
              </w:rPr>
            </w:pPr>
          </w:p>
          <w:p>
            <w:pPr>
              <w:snapToGrid w:val="0"/>
              <w:spacing w:line="420" w:lineRule="exact"/>
              <w:rPr>
                <w:color w:val="auto"/>
                <w:sz w:val="21"/>
                <w:szCs w:val="21"/>
                <w:highlight w:val="none"/>
              </w:rPr>
            </w:pPr>
          </w:p>
          <w:p>
            <w:pPr>
              <w:snapToGrid w:val="0"/>
              <w:spacing w:line="420" w:lineRule="exact"/>
              <w:rPr>
                <w:color w:val="auto"/>
                <w:sz w:val="21"/>
                <w:szCs w:val="21"/>
                <w:highlight w:val="none"/>
                <w:u w:val="single"/>
              </w:rPr>
            </w:pPr>
            <w:r>
              <w:rPr>
                <w:rFonts w:hint="eastAsia"/>
                <w:color w:val="auto"/>
                <w:sz w:val="21"/>
                <w:szCs w:val="21"/>
                <w:highlight w:val="none"/>
              </w:rPr>
              <w:t>甲</w:t>
            </w:r>
            <w:r>
              <w:rPr>
                <w:color w:val="auto"/>
                <w:sz w:val="21"/>
                <w:szCs w:val="21"/>
                <w:highlight w:val="none"/>
              </w:rPr>
              <w:t xml:space="preserve">  </w:t>
            </w:r>
            <w:r>
              <w:rPr>
                <w:rFonts w:hint="eastAsia"/>
                <w:color w:val="auto"/>
                <w:sz w:val="21"/>
                <w:szCs w:val="21"/>
                <w:highlight w:val="none"/>
              </w:rPr>
              <w:t>方：</w:t>
            </w:r>
            <w:r>
              <w:rPr>
                <w:color w:val="auto"/>
                <w:sz w:val="21"/>
                <w:szCs w:val="21"/>
                <w:highlight w:val="none"/>
                <w:u w:val="single"/>
              </w:rPr>
              <w:t xml:space="preserve">                      </w:t>
            </w:r>
            <w:r>
              <w:rPr>
                <w:rFonts w:hint="eastAsia"/>
                <w:color w:val="auto"/>
                <w:sz w:val="21"/>
                <w:szCs w:val="21"/>
                <w:highlight w:val="none"/>
                <w:u w:val="single"/>
              </w:rPr>
              <w:t>（盖章）</w:t>
            </w:r>
          </w:p>
        </w:tc>
        <w:tc>
          <w:tcPr>
            <w:tcW w:w="4156" w:type="dxa"/>
            <w:noWrap w:val="0"/>
            <w:vAlign w:val="center"/>
          </w:tcPr>
          <w:p>
            <w:pPr>
              <w:snapToGrid w:val="0"/>
              <w:spacing w:line="420" w:lineRule="exact"/>
              <w:rPr>
                <w:color w:val="auto"/>
                <w:sz w:val="21"/>
                <w:szCs w:val="21"/>
                <w:highlight w:val="none"/>
              </w:rPr>
            </w:pPr>
          </w:p>
          <w:p>
            <w:pPr>
              <w:snapToGrid w:val="0"/>
              <w:spacing w:line="420" w:lineRule="exact"/>
              <w:rPr>
                <w:color w:val="auto"/>
                <w:sz w:val="21"/>
                <w:szCs w:val="21"/>
                <w:highlight w:val="none"/>
              </w:rPr>
            </w:pPr>
          </w:p>
          <w:p>
            <w:pPr>
              <w:snapToGrid w:val="0"/>
              <w:spacing w:line="420" w:lineRule="exact"/>
              <w:rPr>
                <w:color w:val="auto"/>
                <w:sz w:val="21"/>
                <w:szCs w:val="21"/>
                <w:highlight w:val="none"/>
                <w:u w:val="single"/>
              </w:rPr>
            </w:pPr>
            <w:r>
              <w:rPr>
                <w:rFonts w:hint="eastAsia"/>
                <w:color w:val="auto"/>
                <w:sz w:val="21"/>
                <w:szCs w:val="21"/>
                <w:highlight w:val="none"/>
              </w:rPr>
              <w:t>乙</w:t>
            </w:r>
            <w:r>
              <w:rPr>
                <w:color w:val="auto"/>
                <w:sz w:val="21"/>
                <w:szCs w:val="21"/>
                <w:highlight w:val="none"/>
              </w:rPr>
              <w:t xml:space="preserve"> </w:t>
            </w:r>
            <w:r>
              <w:rPr>
                <w:rFonts w:hint="eastAsia"/>
                <w:color w:val="auto"/>
                <w:sz w:val="21"/>
                <w:szCs w:val="21"/>
                <w:highlight w:val="none"/>
              </w:rPr>
              <w:t>方：</w:t>
            </w:r>
            <w:r>
              <w:rPr>
                <w:color w:val="auto"/>
                <w:sz w:val="21"/>
                <w:szCs w:val="21"/>
                <w:highlight w:val="none"/>
                <w:u w:val="single"/>
              </w:rPr>
              <w:t xml:space="preserve">                        </w:t>
            </w:r>
            <w:r>
              <w:rPr>
                <w:rFonts w:hint="eastAsia"/>
                <w:color w:val="auto"/>
                <w:sz w:val="21"/>
                <w:szCs w:val="21"/>
                <w:highlight w:val="none"/>
                <w:u w:val="single"/>
              </w:rPr>
              <w:t>（盖章）</w:t>
            </w:r>
            <w:r>
              <w:rPr>
                <w:color w:val="auto"/>
                <w:sz w:val="21"/>
                <w:szCs w:val="21"/>
                <w:highlight w:val="none"/>
                <w:u w:val="single"/>
              </w:rPr>
              <w:t xml:space="preserve">    </w:t>
            </w:r>
          </w:p>
        </w:tc>
      </w:tr>
      <w:tr>
        <w:tblPrEx>
          <w:tblCellMar>
            <w:top w:w="0" w:type="dxa"/>
            <w:left w:w="108" w:type="dxa"/>
            <w:bottom w:w="0" w:type="dxa"/>
            <w:right w:w="108" w:type="dxa"/>
          </w:tblCellMar>
        </w:tblPrEx>
        <w:trPr>
          <w:trHeight w:val="567" w:hRule="atLeast"/>
        </w:trPr>
        <w:tc>
          <w:tcPr>
            <w:tcW w:w="4159" w:type="dxa"/>
            <w:noWrap w:val="0"/>
            <w:vAlign w:val="center"/>
          </w:tcPr>
          <w:p>
            <w:pPr>
              <w:snapToGrid w:val="0"/>
              <w:spacing w:line="420" w:lineRule="exact"/>
              <w:jc w:val="left"/>
              <w:rPr>
                <w:color w:val="auto"/>
                <w:sz w:val="21"/>
                <w:szCs w:val="21"/>
                <w:highlight w:val="none"/>
                <w:u w:val="single"/>
              </w:rPr>
            </w:pPr>
            <w:r>
              <w:rPr>
                <w:rFonts w:hint="eastAsia"/>
                <w:color w:val="auto"/>
                <w:sz w:val="21"/>
                <w:szCs w:val="21"/>
                <w:highlight w:val="none"/>
              </w:rPr>
              <w:t>代表人：</w:t>
            </w:r>
            <w:r>
              <w:rPr>
                <w:color w:val="auto"/>
                <w:sz w:val="21"/>
                <w:szCs w:val="21"/>
                <w:highlight w:val="none"/>
                <w:u w:val="single"/>
              </w:rPr>
              <w:t xml:space="preserve">                      </w:t>
            </w:r>
            <w:r>
              <w:rPr>
                <w:rFonts w:hint="eastAsia"/>
                <w:color w:val="auto"/>
                <w:sz w:val="21"/>
                <w:szCs w:val="21"/>
                <w:highlight w:val="none"/>
                <w:u w:val="single"/>
              </w:rPr>
              <w:t>（签字）</w:t>
            </w:r>
            <w:r>
              <w:rPr>
                <w:color w:val="auto"/>
                <w:sz w:val="21"/>
                <w:szCs w:val="21"/>
                <w:highlight w:val="none"/>
                <w:u w:val="single"/>
              </w:rPr>
              <w:t xml:space="preserve">            </w:t>
            </w:r>
          </w:p>
        </w:tc>
        <w:tc>
          <w:tcPr>
            <w:tcW w:w="4156" w:type="dxa"/>
            <w:noWrap w:val="0"/>
            <w:vAlign w:val="center"/>
          </w:tcPr>
          <w:p>
            <w:pPr>
              <w:snapToGrid w:val="0"/>
              <w:spacing w:line="420" w:lineRule="exact"/>
              <w:rPr>
                <w:color w:val="auto"/>
                <w:w w:val="90"/>
                <w:sz w:val="21"/>
                <w:szCs w:val="21"/>
                <w:highlight w:val="none"/>
                <w:u w:val="single"/>
              </w:rPr>
            </w:pPr>
            <w:r>
              <w:rPr>
                <w:rFonts w:hint="eastAsia"/>
                <w:color w:val="auto"/>
                <w:sz w:val="21"/>
                <w:szCs w:val="21"/>
                <w:highlight w:val="none"/>
              </w:rPr>
              <w:t>代表人：</w:t>
            </w:r>
            <w:r>
              <w:rPr>
                <w:color w:val="auto"/>
                <w:sz w:val="21"/>
                <w:szCs w:val="21"/>
                <w:highlight w:val="none"/>
                <w:u w:val="single"/>
              </w:rPr>
              <w:t xml:space="preserve">                       </w:t>
            </w:r>
            <w:r>
              <w:rPr>
                <w:rFonts w:hint="eastAsia"/>
                <w:color w:val="auto"/>
                <w:sz w:val="21"/>
                <w:szCs w:val="21"/>
                <w:highlight w:val="none"/>
                <w:u w:val="single"/>
              </w:rPr>
              <w:t>（签字）</w:t>
            </w:r>
          </w:p>
        </w:tc>
      </w:tr>
      <w:tr>
        <w:tblPrEx>
          <w:tblCellMar>
            <w:top w:w="0" w:type="dxa"/>
            <w:left w:w="108" w:type="dxa"/>
            <w:bottom w:w="0" w:type="dxa"/>
            <w:right w:w="108" w:type="dxa"/>
          </w:tblCellMar>
        </w:tblPrEx>
        <w:trPr>
          <w:trHeight w:val="567" w:hRule="atLeast"/>
        </w:trPr>
        <w:tc>
          <w:tcPr>
            <w:tcW w:w="4159" w:type="dxa"/>
            <w:noWrap w:val="0"/>
            <w:vAlign w:val="center"/>
          </w:tcPr>
          <w:p>
            <w:pPr>
              <w:snapToGrid w:val="0"/>
              <w:spacing w:line="420" w:lineRule="exact"/>
              <w:jc w:val="left"/>
              <w:rPr>
                <w:color w:val="auto"/>
                <w:sz w:val="21"/>
                <w:szCs w:val="21"/>
                <w:highlight w:val="none"/>
              </w:rPr>
            </w:pPr>
            <w:r>
              <w:rPr>
                <w:rFonts w:hint="eastAsia"/>
                <w:color w:val="auto"/>
                <w:sz w:val="21"/>
                <w:szCs w:val="21"/>
                <w:highlight w:val="none"/>
              </w:rPr>
              <w:t>地</w:t>
            </w:r>
            <w:r>
              <w:rPr>
                <w:color w:val="auto"/>
                <w:sz w:val="21"/>
                <w:szCs w:val="21"/>
                <w:highlight w:val="none"/>
              </w:rPr>
              <w:t xml:space="preserve">  </w:t>
            </w:r>
            <w:r>
              <w:rPr>
                <w:rFonts w:hint="eastAsia"/>
                <w:color w:val="auto"/>
                <w:sz w:val="21"/>
                <w:szCs w:val="21"/>
                <w:highlight w:val="none"/>
              </w:rPr>
              <w:t>址：</w:t>
            </w:r>
          </w:p>
        </w:tc>
        <w:tc>
          <w:tcPr>
            <w:tcW w:w="4156" w:type="dxa"/>
            <w:noWrap w:val="0"/>
            <w:vAlign w:val="center"/>
          </w:tcPr>
          <w:p>
            <w:pPr>
              <w:snapToGrid w:val="0"/>
              <w:spacing w:line="420" w:lineRule="exact"/>
              <w:rPr>
                <w:snapToGrid w:val="0"/>
                <w:color w:val="auto"/>
                <w:sz w:val="21"/>
                <w:szCs w:val="21"/>
                <w:highlight w:val="none"/>
                <w:u w:val="single"/>
              </w:rPr>
            </w:pPr>
            <w:r>
              <w:rPr>
                <w:rFonts w:hint="eastAsia"/>
                <w:color w:val="auto"/>
                <w:sz w:val="21"/>
                <w:szCs w:val="21"/>
                <w:highlight w:val="none"/>
              </w:rPr>
              <w:t>地</w:t>
            </w:r>
            <w:r>
              <w:rPr>
                <w:color w:val="auto"/>
                <w:sz w:val="21"/>
                <w:szCs w:val="21"/>
                <w:highlight w:val="none"/>
              </w:rPr>
              <w:t xml:space="preserve"> </w:t>
            </w:r>
            <w:r>
              <w:rPr>
                <w:rFonts w:hint="eastAsia"/>
                <w:color w:val="auto"/>
                <w:sz w:val="21"/>
                <w:szCs w:val="21"/>
                <w:highlight w:val="none"/>
              </w:rPr>
              <w:t>址：</w:t>
            </w:r>
          </w:p>
        </w:tc>
      </w:tr>
      <w:tr>
        <w:tblPrEx>
          <w:tblCellMar>
            <w:top w:w="0" w:type="dxa"/>
            <w:left w:w="108" w:type="dxa"/>
            <w:bottom w:w="0" w:type="dxa"/>
            <w:right w:w="108" w:type="dxa"/>
          </w:tblCellMar>
        </w:tblPrEx>
        <w:trPr>
          <w:trHeight w:val="567" w:hRule="atLeast"/>
        </w:trPr>
        <w:tc>
          <w:tcPr>
            <w:tcW w:w="4159" w:type="dxa"/>
            <w:noWrap w:val="0"/>
            <w:vAlign w:val="center"/>
          </w:tcPr>
          <w:p>
            <w:pPr>
              <w:snapToGrid w:val="0"/>
              <w:spacing w:line="420" w:lineRule="exact"/>
              <w:jc w:val="left"/>
              <w:rPr>
                <w:color w:val="auto"/>
                <w:sz w:val="21"/>
                <w:szCs w:val="21"/>
                <w:highlight w:val="none"/>
              </w:rPr>
            </w:pPr>
            <w:r>
              <w:rPr>
                <w:rFonts w:hint="eastAsia"/>
                <w:color w:val="auto"/>
                <w:sz w:val="21"/>
                <w:szCs w:val="21"/>
                <w:highlight w:val="none"/>
              </w:rPr>
              <w:t>电</w:t>
            </w:r>
            <w:r>
              <w:rPr>
                <w:color w:val="auto"/>
                <w:sz w:val="21"/>
                <w:szCs w:val="21"/>
                <w:highlight w:val="none"/>
              </w:rPr>
              <w:t xml:space="preserve">  </w:t>
            </w:r>
            <w:r>
              <w:rPr>
                <w:rFonts w:hint="eastAsia"/>
                <w:color w:val="auto"/>
                <w:sz w:val="21"/>
                <w:szCs w:val="21"/>
                <w:highlight w:val="none"/>
              </w:rPr>
              <w:t>话：</w:t>
            </w:r>
          </w:p>
        </w:tc>
        <w:tc>
          <w:tcPr>
            <w:tcW w:w="4156" w:type="dxa"/>
            <w:noWrap w:val="0"/>
            <w:vAlign w:val="center"/>
          </w:tcPr>
          <w:p>
            <w:pPr>
              <w:snapToGrid w:val="0"/>
              <w:spacing w:line="420" w:lineRule="exact"/>
              <w:rPr>
                <w:color w:val="auto"/>
                <w:sz w:val="21"/>
                <w:szCs w:val="21"/>
                <w:highlight w:val="none"/>
              </w:rPr>
            </w:pPr>
            <w:r>
              <w:rPr>
                <w:rFonts w:hint="eastAsia"/>
                <w:color w:val="auto"/>
                <w:sz w:val="21"/>
                <w:szCs w:val="21"/>
                <w:highlight w:val="none"/>
              </w:rPr>
              <w:t>电</w:t>
            </w:r>
            <w:r>
              <w:rPr>
                <w:color w:val="auto"/>
                <w:sz w:val="21"/>
                <w:szCs w:val="21"/>
                <w:highlight w:val="none"/>
              </w:rPr>
              <w:t xml:space="preserve"> </w:t>
            </w:r>
            <w:r>
              <w:rPr>
                <w:rFonts w:hint="eastAsia"/>
                <w:color w:val="auto"/>
                <w:sz w:val="21"/>
                <w:szCs w:val="21"/>
                <w:highlight w:val="none"/>
              </w:rPr>
              <w:t>话：</w:t>
            </w:r>
          </w:p>
        </w:tc>
      </w:tr>
    </w:tbl>
    <w:p>
      <w:pPr>
        <w:pStyle w:val="22"/>
        <w:adjustRightInd w:val="0"/>
        <w:snapToGrid w:val="0"/>
        <w:spacing w:line="420" w:lineRule="exact"/>
        <w:ind w:right="420"/>
        <w:jc w:val="right"/>
        <w:rPr>
          <w:rFonts w:ascii="Times New Roman" w:hAnsi="Times New Roman"/>
          <w:b/>
          <w:color w:val="auto"/>
          <w:szCs w:val="21"/>
          <w:highlight w:val="none"/>
        </w:rPr>
      </w:pPr>
      <w:r>
        <w:rPr>
          <w:rFonts w:hint="eastAsia" w:ascii="Times New Roman" w:hAnsi="Times New Roman"/>
          <w:color w:val="auto"/>
          <w:szCs w:val="21"/>
          <w:highlight w:val="none"/>
        </w:rPr>
        <w:t>签订日期：</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日</w:t>
      </w:r>
    </w:p>
    <w:p>
      <w:pPr>
        <w:pStyle w:val="5"/>
        <w:snapToGrid w:val="0"/>
        <w:spacing w:line="360" w:lineRule="auto"/>
        <w:ind w:firstLine="3675" w:firstLineChars="1750"/>
        <w:rPr>
          <w:snapToGrid w:val="0"/>
          <w:color w:val="auto"/>
          <w:szCs w:val="24"/>
          <w:highlight w:val="none"/>
        </w:rPr>
      </w:pPr>
    </w:p>
    <w:p>
      <w:pPr>
        <w:pStyle w:val="9"/>
        <w:numPr>
          <w:ilvl w:val="3"/>
          <w:numId w:val="0"/>
        </w:numPr>
        <w:snapToGrid w:val="0"/>
        <w:spacing w:line="480" w:lineRule="auto"/>
        <w:ind w:leftChars="0"/>
        <w:rPr>
          <w:rStyle w:val="102"/>
          <w:rFonts w:ascii="宋体" w:hAnsi="宋体" w:eastAsia="宋体"/>
          <w:b w:val="0"/>
          <w:snapToGrid/>
          <w:color w:val="auto"/>
          <w:highlight w:val="none"/>
        </w:rPr>
      </w:pPr>
      <w:r>
        <w:rPr>
          <w:color w:val="auto"/>
          <w:szCs w:val="24"/>
          <w:highlight w:val="none"/>
        </w:rPr>
        <w:br w:type="page"/>
      </w:r>
      <w:bookmarkStart w:id="32" w:name="_Toc426321899"/>
      <w:r>
        <w:rPr>
          <w:rStyle w:val="102"/>
          <w:rFonts w:hint="eastAsia" w:ascii="宋体" w:hAnsi="宋体" w:eastAsia="宋体"/>
          <w:b w:val="0"/>
          <w:snapToGrid/>
          <w:color w:val="auto"/>
          <w:highlight w:val="none"/>
        </w:rPr>
        <w:t>附件三</w:t>
      </w:r>
      <w:r>
        <w:rPr>
          <w:rStyle w:val="102"/>
          <w:rFonts w:ascii="宋体" w:hAnsi="宋体" w:eastAsia="宋体"/>
          <w:b w:val="0"/>
          <w:snapToGrid/>
          <w:color w:val="auto"/>
          <w:highlight w:val="none"/>
        </w:rPr>
        <w:t xml:space="preserve">  </w:t>
      </w:r>
      <w:r>
        <w:rPr>
          <w:rStyle w:val="102"/>
          <w:rFonts w:hint="eastAsia" w:ascii="宋体" w:hAnsi="宋体" w:eastAsia="宋体"/>
          <w:b w:val="0"/>
          <w:snapToGrid/>
          <w:color w:val="auto"/>
          <w:highlight w:val="none"/>
        </w:rPr>
        <w:t>安全生产协议书</w:t>
      </w:r>
      <w:bookmarkEnd w:id="32"/>
      <w:r>
        <w:rPr>
          <w:rStyle w:val="102"/>
          <w:rFonts w:hint="eastAsia" w:ascii="宋体" w:hAnsi="宋体" w:eastAsia="宋体"/>
          <w:b w:val="0"/>
          <w:snapToGrid/>
          <w:color w:val="auto"/>
          <w:highlight w:val="none"/>
        </w:rPr>
        <w:t>（格式）</w:t>
      </w:r>
    </w:p>
    <w:p>
      <w:pPr>
        <w:pStyle w:val="22"/>
        <w:adjustRightInd w:val="0"/>
        <w:snapToGrid w:val="0"/>
        <w:spacing w:line="480" w:lineRule="auto"/>
        <w:ind w:firstLine="240"/>
        <w:jc w:val="center"/>
        <w:rPr>
          <w:rFonts w:ascii="Times New Roman" w:hAnsi="Times New Roman"/>
          <w:b/>
          <w:bCs/>
          <w:snapToGrid w:val="0"/>
          <w:color w:val="auto"/>
          <w:kern w:val="0"/>
          <w:sz w:val="24"/>
          <w:szCs w:val="24"/>
          <w:highlight w:val="none"/>
        </w:rPr>
      </w:pPr>
      <w:r>
        <w:rPr>
          <w:rFonts w:hint="eastAsia" w:ascii="Times New Roman" w:hAnsi="Times New Roman"/>
          <w:snapToGrid w:val="0"/>
          <w:color w:val="auto"/>
          <w:kern w:val="0"/>
          <w:sz w:val="24"/>
          <w:szCs w:val="24"/>
          <w:highlight w:val="none"/>
        </w:rPr>
        <w:t>（本格式为安全生产协议书标准格式，投标人不需填写）</w:t>
      </w:r>
    </w:p>
    <w:p>
      <w:pPr>
        <w:snapToGrid w:val="0"/>
        <w:spacing w:line="480" w:lineRule="auto"/>
        <w:jc w:val="center"/>
        <w:rPr>
          <w:b/>
          <w:snapToGrid w:val="0"/>
          <w:color w:val="auto"/>
          <w:szCs w:val="24"/>
          <w:highlight w:val="none"/>
        </w:rPr>
      </w:pPr>
      <w:r>
        <w:rPr>
          <w:rFonts w:hint="eastAsia"/>
          <w:b/>
          <w:snapToGrid w:val="0"/>
          <w:color w:val="auto"/>
          <w:szCs w:val="24"/>
          <w:highlight w:val="none"/>
        </w:rPr>
        <w:t>安全生产协议书</w:t>
      </w:r>
    </w:p>
    <w:p>
      <w:pPr>
        <w:autoSpaceDE/>
        <w:autoSpaceDN/>
        <w:adjustRightInd/>
        <w:spacing w:line="360" w:lineRule="auto"/>
        <w:ind w:firstLine="420" w:firstLineChars="200"/>
        <w:jc w:val="left"/>
        <w:textAlignment w:val="auto"/>
        <w:rPr>
          <w:rFonts w:hint="eastAsia" w:ascii="宋体" w:hAnsi="宋体" w:cs="宋体"/>
          <w:color w:val="auto"/>
          <w:sz w:val="21"/>
          <w:szCs w:val="21"/>
          <w:highlight w:val="none"/>
          <w:lang w:bidi="en-US"/>
        </w:rPr>
      </w:pPr>
      <w:r>
        <w:rPr>
          <w:rFonts w:hint="eastAsia" w:ascii="宋体" w:hAnsi="宋体" w:cs="宋体"/>
          <w:color w:val="auto"/>
          <w:sz w:val="21"/>
          <w:szCs w:val="21"/>
          <w:highlight w:val="none"/>
          <w:lang w:bidi="en-US"/>
        </w:rPr>
        <w:t>为在</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 xml:space="preserve">（项目名称） </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（标段名称）施工合同的实施过程中创造安全、髙效的施工环境，切实做好本项目的安全管理工作，本项目的发包人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（以下简称“</w:t>
      </w:r>
      <w:r>
        <w:rPr>
          <w:rFonts w:hint="eastAsia" w:ascii="宋体" w:hAnsi="宋体" w:cs="宋体"/>
          <w:color w:val="auto"/>
          <w:sz w:val="21"/>
          <w:szCs w:val="21"/>
          <w:highlight w:val="none"/>
          <w:lang w:val="zh-CN" w:bidi="en-US"/>
        </w:rPr>
        <w:t>甲</w:t>
      </w:r>
      <w:r>
        <w:rPr>
          <w:rFonts w:hint="eastAsia" w:ascii="宋体" w:hAnsi="宋体" w:cs="宋体"/>
          <w:color w:val="auto"/>
          <w:sz w:val="21"/>
          <w:szCs w:val="21"/>
          <w:highlight w:val="none"/>
          <w:lang w:bidi="en-US"/>
        </w:rPr>
        <w:t>方”）与承包人</w:t>
      </w:r>
      <w:r>
        <w:rPr>
          <w:rFonts w:hint="eastAsia" w:ascii="宋体" w:hAnsi="宋体" w:cs="宋体"/>
          <w:color w:val="auto"/>
          <w:sz w:val="21"/>
          <w:szCs w:val="21"/>
          <w:highlight w:val="none"/>
          <w:u w:val="single"/>
          <w:lang w:bidi="en-US"/>
        </w:rPr>
        <w:t xml:space="preserve">             </w:t>
      </w:r>
      <w:r>
        <w:rPr>
          <w:rFonts w:hint="eastAsia" w:ascii="宋体" w:hAnsi="宋体" w:cs="宋体"/>
          <w:color w:val="auto"/>
          <w:sz w:val="21"/>
          <w:szCs w:val="21"/>
          <w:highlight w:val="none"/>
          <w:lang w:bidi="en-US"/>
        </w:rPr>
        <w:t>（以下简称</w:t>
      </w:r>
      <w:r>
        <w:rPr>
          <w:rFonts w:hint="eastAsia" w:ascii="宋体" w:hAnsi="宋体" w:cs="宋体"/>
          <w:color w:val="auto"/>
          <w:sz w:val="21"/>
          <w:szCs w:val="21"/>
          <w:highlight w:val="none"/>
          <w:lang w:val="zh-CN" w:bidi="en-US"/>
        </w:rPr>
        <w:t>“乙</w:t>
      </w:r>
      <w:r>
        <w:rPr>
          <w:rFonts w:hint="eastAsia" w:ascii="宋体" w:hAnsi="宋体" w:cs="宋体"/>
          <w:color w:val="auto"/>
          <w:sz w:val="21"/>
          <w:szCs w:val="21"/>
          <w:highlight w:val="none"/>
          <w:lang w:bidi="en-US"/>
        </w:rPr>
        <w:t>方”），特此签订安全生产协议书：</w:t>
      </w:r>
    </w:p>
    <w:p>
      <w:pPr>
        <w:snapToGrid w:val="0"/>
        <w:spacing w:line="360" w:lineRule="auto"/>
        <w:ind w:firstLine="422" w:firstLineChars="200"/>
        <w:rPr>
          <w:snapToGrid w:val="0"/>
          <w:color w:val="auto"/>
          <w:sz w:val="21"/>
          <w:szCs w:val="21"/>
          <w:highlight w:val="none"/>
        </w:rPr>
      </w:pPr>
      <w:r>
        <w:rPr>
          <w:rFonts w:hint="eastAsia"/>
          <w:b/>
          <w:snapToGrid w:val="0"/>
          <w:color w:val="auto"/>
          <w:sz w:val="21"/>
          <w:szCs w:val="21"/>
          <w:highlight w:val="none"/>
        </w:rPr>
        <w:t>一、甲方职责</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（一）严格遵守国家有关安全生产的法律法规，认真执行工程承包合同中的有关安全要求。</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（二）按照“安全第一、预防为主、综合治理”和坚持“管生产必须管安全”的原则进行安全生产管理，做到生产与安全工作同时计划、布置、检查、总结和评比。</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（三）重要的安全设施必须坚持与主体工程“三同时”的原则，即：同时设计、审批；同时施工，同时验收，投入使用。</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（四）定期召开安全生产调度会，及时传达中央及地方有关安全生产的精神。</w:t>
      </w:r>
    </w:p>
    <w:p>
      <w:pPr>
        <w:snapToGrid w:val="0"/>
        <w:spacing w:line="360" w:lineRule="auto"/>
        <w:ind w:firstLine="420" w:firstLineChars="200"/>
        <w:rPr>
          <w:snapToGrid w:val="0"/>
          <w:color w:val="auto"/>
          <w:spacing w:val="-8"/>
          <w:sz w:val="21"/>
          <w:szCs w:val="21"/>
          <w:highlight w:val="none"/>
        </w:rPr>
      </w:pPr>
      <w:r>
        <w:rPr>
          <w:rFonts w:hint="eastAsia" w:ascii="宋体" w:hAnsi="宋体"/>
          <w:color w:val="auto"/>
          <w:sz w:val="21"/>
          <w:szCs w:val="21"/>
          <w:highlight w:val="none"/>
        </w:rPr>
        <w:t>（五）组织对乙方施工现场安全生产检查，监督乙方及时处理发现的各种安全隐患。</w:t>
      </w:r>
    </w:p>
    <w:p>
      <w:pPr>
        <w:autoSpaceDE/>
        <w:autoSpaceDN/>
        <w:snapToGrid w:val="0"/>
        <w:spacing w:line="360" w:lineRule="auto"/>
        <w:ind w:left="482"/>
        <w:textAlignment w:val="auto"/>
        <w:rPr>
          <w:b/>
          <w:snapToGrid w:val="0"/>
          <w:color w:val="auto"/>
          <w:sz w:val="21"/>
          <w:szCs w:val="21"/>
          <w:highlight w:val="none"/>
        </w:rPr>
      </w:pPr>
      <w:r>
        <w:rPr>
          <w:rFonts w:hint="eastAsia"/>
          <w:b/>
          <w:snapToGrid w:val="0"/>
          <w:color w:val="auto"/>
          <w:sz w:val="21"/>
          <w:szCs w:val="21"/>
          <w:highlight w:val="none"/>
        </w:rPr>
        <w:t>二、乙方职责</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（一）严格遵守国家有关安全生产的法律法规、有关安全生产的规定，认真执行工程承包合同中的有关安全要求。</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（四）乙方在任何时侯都应采取各种合理的预防措施，防止其员工发生任何违法、违禁、暴力或妨碍治安的行为。</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（七）操作人员上岗，必须按规定穿戴防护用品。施工负责人和安全检查员应随时检查劳动防护用品的穿戴情况，不按规定穿戴防护用品的人员不得上岗。</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（八）所有施工机具设备和高空作业的设备均应定期检查，并有项目专职安全员的签字记录，保证其处于完好状态；不合格的机具、设备和劳动保护用品严禁使用。</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（九）所有施工中采用新技术、新工艺、新设备、新材料时，必须制定相应的安全技术措施，施工现场必须具有相关的安全标志牌。</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napToGrid w:val="0"/>
        <w:spacing w:line="360" w:lineRule="auto"/>
        <w:ind w:firstLine="420" w:firstLineChars="200"/>
        <w:rPr>
          <w:rFonts w:ascii="宋体"/>
          <w:color w:val="auto"/>
          <w:sz w:val="21"/>
          <w:szCs w:val="21"/>
          <w:highlight w:val="none"/>
        </w:rPr>
      </w:pPr>
      <w:r>
        <w:rPr>
          <w:rFonts w:hint="eastAsia" w:ascii="宋体" w:hAnsi="宋体"/>
          <w:color w:val="auto"/>
          <w:sz w:val="21"/>
          <w:szCs w:val="21"/>
          <w:highlight w:val="none"/>
        </w:rPr>
        <w:t>（十一）为确保承包人安全投入，安全文明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pPr>
        <w:snapToGrid w:val="0"/>
        <w:spacing w:line="360" w:lineRule="auto"/>
        <w:ind w:firstLine="480"/>
        <w:rPr>
          <w:rFonts w:ascii="宋体"/>
          <w:b/>
          <w:color w:val="auto"/>
          <w:sz w:val="21"/>
          <w:szCs w:val="21"/>
          <w:highlight w:val="none"/>
        </w:rPr>
      </w:pPr>
      <w:r>
        <w:rPr>
          <w:rFonts w:hint="eastAsia" w:ascii="宋体" w:hAnsi="宋体"/>
          <w:b/>
          <w:color w:val="auto"/>
          <w:sz w:val="21"/>
          <w:szCs w:val="21"/>
          <w:highlight w:val="none"/>
        </w:rPr>
        <w:t>第三条</w:t>
      </w:r>
      <w:r>
        <w:rPr>
          <w:rFonts w:ascii="宋体" w:hAnsi="宋体"/>
          <w:b/>
          <w:color w:val="auto"/>
          <w:sz w:val="21"/>
          <w:szCs w:val="21"/>
          <w:highlight w:val="none"/>
        </w:rPr>
        <w:t xml:space="preserve"> </w:t>
      </w:r>
      <w:r>
        <w:rPr>
          <w:rFonts w:hint="eastAsia" w:ascii="宋体" w:hAnsi="宋体"/>
          <w:b/>
          <w:color w:val="auto"/>
          <w:sz w:val="21"/>
          <w:szCs w:val="21"/>
          <w:highlight w:val="none"/>
        </w:rPr>
        <w:t>违约责任</w:t>
      </w:r>
    </w:p>
    <w:p>
      <w:pPr>
        <w:snapToGrid w:val="0"/>
        <w:spacing w:line="360" w:lineRule="auto"/>
        <w:ind w:firstLine="480"/>
        <w:rPr>
          <w:rFonts w:ascii="宋体"/>
          <w:color w:val="auto"/>
          <w:sz w:val="21"/>
          <w:szCs w:val="21"/>
          <w:highlight w:val="none"/>
        </w:rPr>
      </w:pPr>
      <w:r>
        <w:rPr>
          <w:rFonts w:hint="eastAsia" w:ascii="宋体" w:hAnsi="宋体"/>
          <w:color w:val="auto"/>
          <w:sz w:val="21"/>
          <w:szCs w:val="21"/>
          <w:highlight w:val="none"/>
        </w:rPr>
        <w:t>如因甲方或乙方违约造成安全事故，将依法追究责任，并视事故轻重承担相应的经济赔偿责任。</w:t>
      </w:r>
    </w:p>
    <w:p>
      <w:pPr>
        <w:snapToGrid w:val="0"/>
        <w:spacing w:line="360" w:lineRule="auto"/>
        <w:ind w:firstLine="420" w:firstLineChars="200"/>
        <w:rPr>
          <w:snapToGrid w:val="0"/>
          <w:color w:val="auto"/>
          <w:sz w:val="21"/>
          <w:szCs w:val="21"/>
          <w:highlight w:val="none"/>
        </w:rPr>
      </w:pPr>
      <w:r>
        <w:rPr>
          <w:rFonts w:hint="eastAsia" w:ascii="宋体" w:hAnsi="宋体"/>
          <w:color w:val="auto"/>
          <w:sz w:val="21"/>
          <w:szCs w:val="21"/>
          <w:highlight w:val="none"/>
        </w:rPr>
        <w:t>本合同</w:t>
      </w:r>
      <w:r>
        <w:rPr>
          <w:rFonts w:hint="eastAsia"/>
          <w:snapToGrid w:val="0"/>
          <w:color w:val="auto"/>
          <w:sz w:val="21"/>
          <w:szCs w:val="21"/>
          <w:highlight w:val="none"/>
        </w:rPr>
        <w:t>壹式</w:t>
      </w:r>
      <w:r>
        <w:rPr>
          <w:rFonts w:hint="eastAsia"/>
          <w:snapToGrid w:val="0"/>
          <w:color w:val="auto"/>
          <w:sz w:val="21"/>
          <w:szCs w:val="21"/>
          <w:highlight w:val="none"/>
          <w:u w:val="single"/>
          <w:lang w:val="en-US" w:eastAsia="zh-CN"/>
        </w:rPr>
        <w:t xml:space="preserve">  </w:t>
      </w:r>
      <w:r>
        <w:rPr>
          <w:rFonts w:hint="eastAsia"/>
          <w:snapToGrid w:val="0"/>
          <w:color w:val="auto"/>
          <w:sz w:val="21"/>
          <w:szCs w:val="21"/>
          <w:highlight w:val="none"/>
        </w:rPr>
        <w:t>份，</w:t>
      </w:r>
      <w:r>
        <w:rPr>
          <w:rFonts w:hint="eastAsia"/>
          <w:color w:val="auto"/>
          <w:sz w:val="21"/>
          <w:szCs w:val="21"/>
          <w:highlight w:val="none"/>
        </w:rPr>
        <w:t>其中正本</w:t>
      </w:r>
      <w:r>
        <w:rPr>
          <w:rFonts w:hint="eastAsia"/>
          <w:b/>
          <w:color w:val="auto"/>
          <w:sz w:val="21"/>
          <w:szCs w:val="21"/>
          <w:highlight w:val="none"/>
          <w:u w:val="single"/>
        </w:rPr>
        <w:t>贰</w:t>
      </w:r>
      <w:r>
        <w:rPr>
          <w:rFonts w:hint="eastAsia"/>
          <w:color w:val="auto"/>
          <w:sz w:val="21"/>
          <w:szCs w:val="21"/>
          <w:highlight w:val="none"/>
        </w:rPr>
        <w:t>份，双方各执</w:t>
      </w:r>
      <w:r>
        <w:rPr>
          <w:rFonts w:hint="eastAsia"/>
          <w:b/>
          <w:color w:val="auto"/>
          <w:sz w:val="21"/>
          <w:szCs w:val="21"/>
          <w:highlight w:val="none"/>
          <w:u w:val="single"/>
        </w:rPr>
        <w:t>壹</w:t>
      </w:r>
      <w:r>
        <w:rPr>
          <w:rFonts w:hint="eastAsia"/>
          <w:color w:val="auto"/>
          <w:sz w:val="21"/>
          <w:szCs w:val="21"/>
          <w:highlight w:val="none"/>
        </w:rPr>
        <w:t>份，副本</w:t>
      </w:r>
      <w:r>
        <w:rPr>
          <w:rFonts w:hint="eastAsia"/>
          <w:color w:val="auto"/>
          <w:sz w:val="21"/>
          <w:szCs w:val="21"/>
          <w:highlight w:val="none"/>
          <w:u w:val="single"/>
          <w:lang w:val="en-US" w:eastAsia="zh-CN"/>
        </w:rPr>
        <w:t xml:space="preserve">   </w:t>
      </w:r>
      <w:r>
        <w:rPr>
          <w:rFonts w:hint="eastAsia"/>
          <w:color w:val="auto"/>
          <w:sz w:val="21"/>
          <w:szCs w:val="21"/>
          <w:highlight w:val="none"/>
        </w:rPr>
        <w:t>份，甲方执</w:t>
      </w:r>
      <w:r>
        <w:rPr>
          <w:rFonts w:hint="eastAsia"/>
          <w:color w:val="auto"/>
          <w:sz w:val="21"/>
          <w:szCs w:val="21"/>
          <w:highlight w:val="none"/>
          <w:u w:val="single"/>
          <w:lang w:val="en-US" w:eastAsia="zh-CN"/>
        </w:rPr>
        <w:t xml:space="preserve">  </w:t>
      </w:r>
      <w:r>
        <w:rPr>
          <w:rFonts w:hint="eastAsia"/>
          <w:color w:val="auto"/>
          <w:sz w:val="21"/>
          <w:szCs w:val="21"/>
          <w:highlight w:val="none"/>
        </w:rPr>
        <w:t>份，乙方执</w:t>
      </w:r>
      <w:r>
        <w:rPr>
          <w:rFonts w:hint="eastAsia"/>
          <w:color w:val="auto"/>
          <w:sz w:val="21"/>
          <w:szCs w:val="21"/>
          <w:highlight w:val="none"/>
          <w:u w:val="single"/>
          <w:lang w:val="en-US" w:eastAsia="zh-CN"/>
        </w:rPr>
        <w:t xml:space="preserve">  </w:t>
      </w:r>
      <w:r>
        <w:rPr>
          <w:rFonts w:hint="eastAsia"/>
          <w:color w:val="auto"/>
          <w:sz w:val="21"/>
          <w:szCs w:val="21"/>
          <w:highlight w:val="none"/>
        </w:rPr>
        <w:t>份</w:t>
      </w:r>
      <w:r>
        <w:rPr>
          <w:rFonts w:hint="eastAsia"/>
          <w:snapToGrid w:val="0"/>
          <w:color w:val="auto"/>
          <w:sz w:val="21"/>
          <w:szCs w:val="21"/>
          <w:highlight w:val="none"/>
        </w:rPr>
        <w:t>。</w:t>
      </w:r>
      <w:r>
        <w:rPr>
          <w:rFonts w:hint="eastAsia" w:ascii="宋体" w:hAnsi="宋体"/>
          <w:color w:val="auto"/>
          <w:sz w:val="21"/>
          <w:szCs w:val="21"/>
          <w:highlight w:val="none"/>
        </w:rPr>
        <w:t>由双方法定代表人或其授权的代理人签署与加盖单位公章后生效，全部工程竣工验收后失效。</w:t>
      </w:r>
    </w:p>
    <w:p>
      <w:pPr>
        <w:rPr>
          <w:rFonts w:hint="eastAsia"/>
          <w:color w:val="auto"/>
          <w:sz w:val="21"/>
          <w:szCs w:val="21"/>
          <w:highlight w:val="none"/>
        </w:rPr>
      </w:pPr>
      <w:bookmarkStart w:id="33" w:name="_Toc119250973"/>
      <w:bookmarkStart w:id="34" w:name="_Toc119251016"/>
    </w:p>
    <w:p>
      <w:pPr>
        <w:rPr>
          <w:color w:val="auto"/>
          <w:sz w:val="21"/>
          <w:szCs w:val="21"/>
          <w:highlight w:val="none"/>
        </w:rPr>
      </w:pPr>
      <w:r>
        <w:rPr>
          <w:rFonts w:hint="eastAsia"/>
          <w:color w:val="auto"/>
          <w:sz w:val="21"/>
          <w:szCs w:val="21"/>
          <w:highlight w:val="none"/>
        </w:rPr>
        <w:t>甲方：</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rPr>
        <w:t>（盖章）</w:t>
      </w:r>
      <w:r>
        <w:rPr>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乙方：</w:t>
      </w:r>
      <w:r>
        <w:rPr>
          <w:color w:val="auto"/>
          <w:sz w:val="21"/>
          <w:szCs w:val="21"/>
          <w:highlight w:val="none"/>
          <w:u w:val="single"/>
        </w:rPr>
        <w:t xml:space="preserve">       </w:t>
      </w:r>
      <w:r>
        <w:rPr>
          <w:rFonts w:hint="eastAsia"/>
          <w:color w:val="auto"/>
          <w:sz w:val="21"/>
          <w:szCs w:val="21"/>
          <w:highlight w:val="none"/>
        </w:rPr>
        <w:t>（盖章）</w:t>
      </w:r>
      <w:bookmarkEnd w:id="33"/>
      <w:bookmarkEnd w:id="34"/>
    </w:p>
    <w:p>
      <w:pPr>
        <w:outlineLvl w:val="9"/>
        <w:rPr>
          <w:rFonts w:hint="eastAsia"/>
          <w:b w:val="0"/>
          <w:bCs w:val="0"/>
          <w:color w:val="auto"/>
          <w:sz w:val="21"/>
          <w:szCs w:val="21"/>
          <w:highlight w:val="none"/>
        </w:rPr>
      </w:pPr>
      <w:bookmarkStart w:id="35" w:name="_Toc119251017"/>
      <w:bookmarkStart w:id="36" w:name="_Toc119250974"/>
    </w:p>
    <w:p>
      <w:pPr>
        <w:outlineLvl w:val="9"/>
        <w:rPr>
          <w:b w:val="0"/>
          <w:bCs w:val="0"/>
          <w:color w:val="auto"/>
          <w:sz w:val="21"/>
          <w:szCs w:val="21"/>
          <w:highlight w:val="none"/>
          <w:u w:val="single"/>
        </w:rPr>
      </w:pPr>
      <w:r>
        <w:rPr>
          <w:rFonts w:hint="eastAsia"/>
          <w:b w:val="0"/>
          <w:bCs w:val="0"/>
          <w:color w:val="auto"/>
          <w:sz w:val="21"/>
          <w:szCs w:val="21"/>
          <w:highlight w:val="none"/>
        </w:rPr>
        <w:t>法定代表人或</w:t>
      </w:r>
      <w:bookmarkEnd w:id="35"/>
      <w:bookmarkEnd w:id="36"/>
      <w:bookmarkStart w:id="37" w:name="_Toc119251018"/>
      <w:bookmarkStart w:id="38" w:name="_Toc119250975"/>
      <w:r>
        <w:rPr>
          <w:rFonts w:hint="eastAsia"/>
          <w:b w:val="0"/>
          <w:bCs w:val="0"/>
          <w:color w:val="auto"/>
          <w:sz w:val="21"/>
          <w:szCs w:val="21"/>
          <w:highlight w:val="none"/>
        </w:rPr>
        <w:t>其委托代理人：</w:t>
      </w:r>
      <w:r>
        <w:rPr>
          <w:b w:val="0"/>
          <w:bCs w:val="0"/>
          <w:color w:val="auto"/>
          <w:sz w:val="21"/>
          <w:szCs w:val="21"/>
          <w:highlight w:val="none"/>
          <w:u w:val="single"/>
        </w:rPr>
        <w:t xml:space="preserve">      </w:t>
      </w:r>
      <w:r>
        <w:rPr>
          <w:rFonts w:hint="eastAsia"/>
          <w:b w:val="0"/>
          <w:bCs w:val="0"/>
          <w:color w:val="auto"/>
          <w:sz w:val="21"/>
          <w:szCs w:val="21"/>
          <w:highlight w:val="none"/>
          <w:u w:val="single"/>
        </w:rPr>
        <w:t>（签字）</w:t>
      </w:r>
      <w:r>
        <w:rPr>
          <w:rFonts w:hint="eastAsia"/>
          <w:b w:val="0"/>
          <w:bCs w:val="0"/>
          <w:color w:val="auto"/>
          <w:sz w:val="21"/>
          <w:szCs w:val="21"/>
          <w:highlight w:val="none"/>
          <w:u w:val="none"/>
          <w:lang w:val="en-US" w:eastAsia="zh-CN"/>
        </w:rPr>
        <w:t xml:space="preserve">  </w:t>
      </w:r>
      <w:r>
        <w:rPr>
          <w:rFonts w:hint="eastAsia"/>
          <w:b w:val="0"/>
          <w:bCs w:val="0"/>
          <w:color w:val="auto"/>
          <w:sz w:val="21"/>
          <w:szCs w:val="21"/>
          <w:highlight w:val="none"/>
        </w:rPr>
        <w:t>法定代表人或其委托代理人：</w:t>
      </w:r>
      <w:r>
        <w:rPr>
          <w:b w:val="0"/>
          <w:bCs w:val="0"/>
          <w:color w:val="auto"/>
          <w:sz w:val="21"/>
          <w:szCs w:val="21"/>
          <w:highlight w:val="none"/>
          <w:u w:val="single"/>
        </w:rPr>
        <w:t xml:space="preserve">      </w:t>
      </w:r>
      <w:r>
        <w:rPr>
          <w:rFonts w:hint="eastAsia"/>
          <w:b w:val="0"/>
          <w:bCs w:val="0"/>
          <w:color w:val="auto"/>
          <w:sz w:val="21"/>
          <w:szCs w:val="21"/>
          <w:highlight w:val="none"/>
          <w:u w:val="single"/>
        </w:rPr>
        <w:t>（签字）</w:t>
      </w:r>
      <w:bookmarkEnd w:id="37"/>
      <w:bookmarkEnd w:id="38"/>
    </w:p>
    <w:p>
      <w:pPr>
        <w:jc w:val="center"/>
        <w:outlineLvl w:val="9"/>
        <w:rPr>
          <w:rFonts w:hint="eastAsia"/>
          <w:b w:val="0"/>
          <w:bCs w:val="0"/>
          <w:color w:val="auto"/>
          <w:sz w:val="21"/>
          <w:szCs w:val="21"/>
          <w:highlight w:val="none"/>
        </w:rPr>
      </w:pPr>
    </w:p>
    <w:p>
      <w:pPr>
        <w:rPr>
          <w:highlight w:val="none"/>
        </w:rPr>
      </w:pP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签订日期：</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年</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月</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日</w:t>
      </w:r>
      <w:r>
        <w:rPr>
          <w:color w:val="auto"/>
          <w:highlight w:val="none"/>
        </w:rPr>
        <w:br w:type="page"/>
      </w:r>
    </w:p>
    <w:p>
      <w:pPr>
        <w:rPr>
          <w:highlight w:val="none"/>
        </w:rPr>
      </w:pPr>
    </w:p>
    <w:p>
      <w:pPr>
        <w:spacing w:line="360" w:lineRule="auto"/>
        <w:jc w:val="center"/>
        <w:outlineLvl w:val="0"/>
        <w:rPr>
          <w:rFonts w:asciiTheme="minorEastAsia" w:hAnsiTheme="minorEastAsia" w:eastAsiaTheme="minorEastAsia"/>
          <w:b/>
          <w:sz w:val="36"/>
          <w:szCs w:val="36"/>
          <w:highlight w:val="none"/>
        </w:rPr>
      </w:pPr>
      <w:bookmarkStart w:id="39" w:name="_Toc93048456"/>
      <w:r>
        <w:rPr>
          <w:rFonts w:hint="eastAsia" w:asciiTheme="minorEastAsia" w:hAnsiTheme="minorEastAsia" w:eastAsiaTheme="minorEastAsia"/>
          <w:b/>
          <w:sz w:val="36"/>
          <w:szCs w:val="36"/>
          <w:highlight w:val="none"/>
        </w:rPr>
        <w:t>第六章 响应文件格式</w:t>
      </w:r>
      <w:bookmarkEnd w:id="39"/>
    </w:p>
    <w:p>
      <w:pPr>
        <w:rPr>
          <w:rFonts w:ascii="宋体" w:hAnsi="宋体"/>
          <w:b/>
          <w:sz w:val="30"/>
          <w:szCs w:val="30"/>
          <w:highlight w:val="none"/>
        </w:rPr>
      </w:pPr>
    </w:p>
    <w:p>
      <w:pPr>
        <w:rPr>
          <w:rFonts w:ascii="宋体" w:hAnsi="宋体"/>
          <w:b/>
          <w:kern w:val="0"/>
          <w:sz w:val="28"/>
          <w:szCs w:val="28"/>
          <w:highlight w:val="none"/>
        </w:rPr>
      </w:pPr>
      <w:r>
        <w:rPr>
          <w:rFonts w:hint="eastAsia" w:ascii="宋体" w:hAnsi="宋体"/>
          <w:sz w:val="30"/>
          <w:szCs w:val="30"/>
          <w:highlight w:val="none"/>
        </w:rPr>
        <w:t xml:space="preserve"> 　　　</w:t>
      </w:r>
    </w:p>
    <w:p>
      <w:pPr>
        <w:jc w:val="center"/>
        <w:rPr>
          <w:sz w:val="52"/>
          <w:szCs w:val="52"/>
          <w:highlight w:val="none"/>
        </w:rPr>
      </w:pPr>
      <w:bookmarkStart w:id="40" w:name="_Toc19093_WPSOffice_Level1"/>
      <w:bookmarkStart w:id="41" w:name="_Toc4956_WPSOffice_Level1"/>
      <w:bookmarkStart w:id="42" w:name="_Toc32372_WPSOffice_Level1"/>
      <w:bookmarkStart w:id="43" w:name="_Toc3063"/>
      <w:bookmarkStart w:id="44" w:name="_Toc20250"/>
      <w:r>
        <w:rPr>
          <w:rFonts w:hint="eastAsia"/>
          <w:sz w:val="52"/>
          <w:szCs w:val="52"/>
          <w:highlight w:val="none"/>
        </w:rPr>
        <w:t>项目名称</w:t>
      </w:r>
      <w:bookmarkEnd w:id="40"/>
      <w:bookmarkEnd w:id="41"/>
      <w:bookmarkEnd w:id="42"/>
      <w:bookmarkEnd w:id="43"/>
      <w:bookmarkEnd w:id="44"/>
    </w:p>
    <w:p>
      <w:pPr>
        <w:jc w:val="center"/>
        <w:rPr>
          <w:rFonts w:ascii="宋体" w:hAnsi="宋体"/>
          <w:sz w:val="36"/>
          <w:szCs w:val="36"/>
          <w:highlight w:val="none"/>
        </w:rPr>
      </w:pPr>
      <w:bookmarkStart w:id="45" w:name="_Toc1927"/>
      <w:bookmarkStart w:id="46" w:name="_Toc7698"/>
    </w:p>
    <w:p>
      <w:pPr>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lang w:val="en-US" w:eastAsia="zh-CN"/>
        </w:rPr>
        <w:t xml:space="preserve"> </w:t>
      </w:r>
      <w:r>
        <w:rPr>
          <w:rFonts w:hint="eastAsia" w:ascii="宋体" w:hAnsi="宋体"/>
          <w:sz w:val="36"/>
          <w:szCs w:val="36"/>
          <w:highlight w:val="none"/>
        </w:rPr>
        <w:t>（标项</w:t>
      </w:r>
      <w:r>
        <w:rPr>
          <w:rFonts w:hint="eastAsia" w:ascii="宋体" w:hAnsi="宋体"/>
          <w:sz w:val="36"/>
          <w:szCs w:val="36"/>
          <w:highlight w:val="none"/>
          <w:lang w:val="en-US" w:eastAsia="zh-CN"/>
        </w:rPr>
        <w:t xml:space="preserve">  </w:t>
      </w:r>
      <w:r>
        <w:rPr>
          <w:rFonts w:hint="eastAsia" w:ascii="宋体" w:hAnsi="宋体"/>
          <w:sz w:val="36"/>
          <w:szCs w:val="36"/>
          <w:highlight w:val="none"/>
        </w:rPr>
        <w:t>）</w:t>
      </w:r>
      <w:bookmarkEnd w:id="45"/>
      <w:bookmarkEnd w:id="46"/>
    </w:p>
    <w:p>
      <w:pPr>
        <w:pStyle w:val="77"/>
        <w:rPr>
          <w:rFonts w:asciiTheme="majorEastAsia" w:hAnsiTheme="majorEastAsia" w:eastAsiaTheme="majorEastAsia"/>
          <w:sz w:val="28"/>
          <w:szCs w:val="28"/>
          <w:highlight w:val="none"/>
        </w:rPr>
      </w:pPr>
    </w:p>
    <w:p>
      <w:pPr>
        <w:jc w:val="center"/>
        <w:rPr>
          <w:sz w:val="84"/>
          <w:szCs w:val="84"/>
          <w:highlight w:val="none"/>
        </w:rPr>
      </w:pPr>
      <w:bookmarkStart w:id="47" w:name="_Toc11088"/>
      <w:bookmarkStart w:id="48" w:name="_Toc14815"/>
      <w:r>
        <w:rPr>
          <w:rFonts w:hint="eastAsia"/>
          <w:sz w:val="84"/>
          <w:szCs w:val="84"/>
          <w:highlight w:val="none"/>
        </w:rPr>
        <w:t>磋</w:t>
      </w:r>
      <w:bookmarkEnd w:id="47"/>
      <w:bookmarkEnd w:id="48"/>
    </w:p>
    <w:p>
      <w:pPr>
        <w:jc w:val="center"/>
        <w:rPr>
          <w:sz w:val="84"/>
          <w:szCs w:val="84"/>
          <w:highlight w:val="none"/>
        </w:rPr>
      </w:pPr>
      <w:bookmarkStart w:id="49" w:name="_Toc21047"/>
      <w:bookmarkStart w:id="50" w:name="_Toc6603"/>
      <w:r>
        <w:rPr>
          <w:rFonts w:hint="eastAsia"/>
          <w:sz w:val="84"/>
          <w:szCs w:val="84"/>
          <w:highlight w:val="none"/>
        </w:rPr>
        <w:t>商</w:t>
      </w:r>
      <w:bookmarkEnd w:id="49"/>
      <w:bookmarkEnd w:id="50"/>
    </w:p>
    <w:p>
      <w:pPr>
        <w:jc w:val="center"/>
        <w:rPr>
          <w:sz w:val="84"/>
          <w:szCs w:val="84"/>
          <w:highlight w:val="none"/>
        </w:rPr>
      </w:pPr>
      <w:bookmarkStart w:id="51" w:name="_Toc26026"/>
      <w:bookmarkStart w:id="52" w:name="_Toc14271"/>
      <w:r>
        <w:rPr>
          <w:rFonts w:hint="eastAsia"/>
          <w:sz w:val="84"/>
          <w:szCs w:val="84"/>
          <w:highlight w:val="none"/>
        </w:rPr>
        <w:t>响</w:t>
      </w:r>
      <w:bookmarkEnd w:id="51"/>
      <w:bookmarkEnd w:id="52"/>
    </w:p>
    <w:p>
      <w:pPr>
        <w:jc w:val="center"/>
        <w:rPr>
          <w:sz w:val="84"/>
          <w:szCs w:val="84"/>
          <w:highlight w:val="none"/>
        </w:rPr>
      </w:pPr>
      <w:bookmarkStart w:id="53" w:name="_Toc23977"/>
      <w:bookmarkStart w:id="54" w:name="_Toc5645"/>
      <w:r>
        <w:rPr>
          <w:rFonts w:hint="eastAsia"/>
          <w:sz w:val="84"/>
          <w:szCs w:val="84"/>
          <w:highlight w:val="none"/>
        </w:rPr>
        <w:t>应</w:t>
      </w:r>
      <w:bookmarkEnd w:id="53"/>
      <w:bookmarkEnd w:id="54"/>
    </w:p>
    <w:p>
      <w:pPr>
        <w:jc w:val="center"/>
        <w:rPr>
          <w:sz w:val="84"/>
          <w:szCs w:val="84"/>
          <w:highlight w:val="none"/>
        </w:rPr>
      </w:pPr>
      <w:bookmarkStart w:id="55" w:name="_Toc464"/>
      <w:bookmarkStart w:id="56" w:name="_Toc31521"/>
      <w:r>
        <w:rPr>
          <w:rFonts w:hint="eastAsia"/>
          <w:sz w:val="84"/>
          <w:szCs w:val="84"/>
          <w:highlight w:val="none"/>
          <w:lang w:val="zh-CN"/>
        </w:rPr>
        <w:t>文</w:t>
      </w:r>
      <w:bookmarkEnd w:id="55"/>
      <w:bookmarkEnd w:id="56"/>
    </w:p>
    <w:p>
      <w:pPr>
        <w:jc w:val="center"/>
        <w:rPr>
          <w:sz w:val="84"/>
          <w:szCs w:val="84"/>
          <w:highlight w:val="none"/>
          <w:lang w:val="zh-CN"/>
        </w:rPr>
      </w:pPr>
      <w:bookmarkStart w:id="57" w:name="_Toc1495"/>
      <w:bookmarkStart w:id="58" w:name="_Toc21531"/>
      <w:r>
        <w:rPr>
          <w:rFonts w:hint="eastAsia"/>
          <w:sz w:val="84"/>
          <w:szCs w:val="84"/>
          <w:highlight w:val="none"/>
          <w:lang w:val="zh-CN"/>
        </w:rPr>
        <w:t>件</w:t>
      </w:r>
      <w:bookmarkEnd w:id="57"/>
      <w:bookmarkEnd w:id="58"/>
    </w:p>
    <w:p>
      <w:pPr>
        <w:pStyle w:val="77"/>
        <w:rPr>
          <w:highlight w:val="none"/>
        </w:rPr>
      </w:pPr>
    </w:p>
    <w:p>
      <w:pPr>
        <w:pStyle w:val="77"/>
        <w:rPr>
          <w:highlight w:val="none"/>
        </w:rPr>
      </w:pPr>
    </w:p>
    <w:p>
      <w:pPr>
        <w:pStyle w:val="77"/>
        <w:rPr>
          <w:highlight w:val="none"/>
        </w:rPr>
      </w:pPr>
    </w:p>
    <w:p>
      <w:pPr>
        <w:ind w:firstLine="640" w:firstLineChars="200"/>
        <w:jc w:val="left"/>
        <w:rPr>
          <w:rFonts w:ascii="宋体" w:hAnsi="宋体"/>
          <w:sz w:val="32"/>
          <w:szCs w:val="32"/>
          <w:highlight w:val="none"/>
        </w:rPr>
      </w:pPr>
      <w:bookmarkStart w:id="59" w:name="_Toc24490"/>
      <w:bookmarkStart w:id="60" w:name="_Toc8656"/>
      <w:r>
        <w:rPr>
          <w:rFonts w:hint="eastAsia" w:ascii="宋体" w:hAnsi="宋体"/>
          <w:sz w:val="32"/>
          <w:szCs w:val="32"/>
          <w:highlight w:val="none"/>
        </w:rPr>
        <w:t>供应商全称（公章）：</w:t>
      </w:r>
      <w:bookmarkEnd w:id="59"/>
      <w:bookmarkEnd w:id="60"/>
    </w:p>
    <w:p>
      <w:pPr>
        <w:ind w:firstLine="640" w:firstLineChars="200"/>
        <w:rPr>
          <w:rFonts w:ascii="宋体" w:hAnsi="宋体"/>
          <w:sz w:val="32"/>
          <w:szCs w:val="32"/>
          <w:highlight w:val="none"/>
        </w:rPr>
      </w:pPr>
      <w:bookmarkStart w:id="61" w:name="_Toc14748"/>
      <w:bookmarkStart w:id="62" w:name="_Toc7108"/>
      <w:r>
        <w:rPr>
          <w:rFonts w:hint="eastAsia" w:ascii="宋体" w:hAnsi="宋体"/>
          <w:sz w:val="32"/>
          <w:szCs w:val="32"/>
          <w:highlight w:val="none"/>
        </w:rPr>
        <w:t>地    址：</w:t>
      </w:r>
      <w:bookmarkEnd w:id="61"/>
      <w:bookmarkEnd w:id="62"/>
    </w:p>
    <w:p>
      <w:pPr>
        <w:ind w:firstLine="640" w:firstLineChars="200"/>
        <w:rPr>
          <w:rFonts w:ascii="宋体" w:hAnsi="宋体"/>
          <w:sz w:val="32"/>
          <w:szCs w:val="32"/>
          <w:highlight w:val="none"/>
        </w:rPr>
      </w:pPr>
      <w:bookmarkStart w:id="63" w:name="_Toc32187"/>
      <w:bookmarkStart w:id="64" w:name="_Toc27160"/>
      <w:r>
        <w:rPr>
          <w:rFonts w:hint="eastAsia" w:ascii="宋体" w:hAnsi="宋体"/>
          <w:sz w:val="32"/>
          <w:szCs w:val="32"/>
          <w:highlight w:val="none"/>
        </w:rPr>
        <w:t>时    间：</w:t>
      </w:r>
      <w:bookmarkEnd w:id="63"/>
      <w:bookmarkEnd w:id="64"/>
    </w:p>
    <w:p>
      <w:pPr>
        <w:pStyle w:val="40"/>
        <w:rPr>
          <w:highlight w:val="none"/>
        </w:rPr>
      </w:pPr>
    </w:p>
    <w:p>
      <w:pPr>
        <w:widowControl/>
        <w:jc w:val="left"/>
        <w:rPr>
          <w:b/>
          <w:bCs/>
          <w:sz w:val="32"/>
          <w:szCs w:val="40"/>
          <w:highlight w:val="none"/>
        </w:rPr>
      </w:pPr>
      <w:r>
        <w:rPr>
          <w:b/>
          <w:bCs/>
          <w:sz w:val="32"/>
          <w:szCs w:val="40"/>
          <w:highlight w:val="none"/>
        </w:rPr>
        <w:br w:type="page"/>
      </w:r>
    </w:p>
    <w:p>
      <w:pPr>
        <w:adjustRightInd w:val="0"/>
        <w:snapToGrid w:val="0"/>
        <w:spacing w:line="312" w:lineRule="auto"/>
        <w:ind w:right="480"/>
        <w:jc w:val="center"/>
        <w:rPr>
          <w:rFonts w:ascii="宋体" w:hAnsi="宋体"/>
          <w:b/>
          <w:kern w:val="0"/>
          <w:sz w:val="32"/>
          <w:szCs w:val="32"/>
          <w:highlight w:val="none"/>
        </w:rPr>
      </w:pPr>
      <w:bookmarkStart w:id="65" w:name="_Toc31763"/>
      <w:bookmarkStart w:id="66" w:name="_Toc16668"/>
      <w:r>
        <w:rPr>
          <w:rFonts w:hint="eastAsia" w:ascii="宋体" w:hAnsi="宋体"/>
          <w:b/>
          <w:kern w:val="0"/>
          <w:sz w:val="32"/>
          <w:szCs w:val="32"/>
          <w:highlight w:val="none"/>
        </w:rPr>
        <w:t>资格证明内容目录</w:t>
      </w:r>
      <w:bookmarkEnd w:id="65"/>
      <w:bookmarkEnd w:id="66"/>
    </w:p>
    <w:p>
      <w:pPr>
        <w:pStyle w:val="5"/>
        <w:rPr>
          <w:highlight w:val="none"/>
        </w:rPr>
      </w:pPr>
    </w:p>
    <w:p>
      <w:pPr>
        <w:rPr>
          <w:highlight w:val="none"/>
        </w:rPr>
      </w:pPr>
    </w:p>
    <w:p>
      <w:pPr>
        <w:pStyle w:val="35"/>
        <w:keepNext w:val="0"/>
        <w:keepLines w:val="0"/>
        <w:pageBreakBefore w:val="0"/>
        <w:widowControl w:val="0"/>
        <w:kinsoku/>
        <w:wordWrap/>
        <w:overflowPunct/>
        <w:topLinePunct w:val="0"/>
        <w:autoSpaceDE/>
        <w:autoSpaceDN/>
        <w:bidi w:val="0"/>
        <w:adjustRightInd/>
        <w:snapToGrid/>
        <w:spacing w:line="480" w:lineRule="exact"/>
        <w:ind w:left="0" w:leftChars="0" w:firstLine="47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（1）磋商声明书；（附件1）</w:t>
      </w:r>
    </w:p>
    <w:p>
      <w:pPr>
        <w:pStyle w:val="35"/>
        <w:keepNext w:val="0"/>
        <w:keepLines w:val="0"/>
        <w:pageBreakBefore w:val="0"/>
        <w:widowControl w:val="0"/>
        <w:kinsoku/>
        <w:wordWrap/>
        <w:overflowPunct/>
        <w:topLinePunct w:val="0"/>
        <w:autoSpaceDE/>
        <w:autoSpaceDN/>
        <w:bidi w:val="0"/>
        <w:adjustRightInd/>
        <w:snapToGrid/>
        <w:spacing w:line="480" w:lineRule="exact"/>
        <w:ind w:left="0" w:leftChars="0" w:firstLine="47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（2）授权委托书（法定代表人亲自办理磋商响应事宜的，则无需提交)；（附件2）</w:t>
      </w:r>
    </w:p>
    <w:p>
      <w:pPr>
        <w:pStyle w:val="35"/>
        <w:keepNext w:val="0"/>
        <w:keepLines w:val="0"/>
        <w:pageBreakBefore w:val="0"/>
        <w:widowControl w:val="0"/>
        <w:kinsoku/>
        <w:wordWrap/>
        <w:overflowPunct/>
        <w:topLinePunct w:val="0"/>
        <w:autoSpaceDE/>
        <w:autoSpaceDN/>
        <w:bidi w:val="0"/>
        <w:adjustRightInd/>
        <w:snapToGrid/>
        <w:spacing w:line="480" w:lineRule="exact"/>
        <w:ind w:left="0" w:leftChars="0" w:firstLine="47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（3）法人或者其他组织的营业执照等证明文件，自然人的身份证明；</w:t>
      </w:r>
    </w:p>
    <w:p>
      <w:pPr>
        <w:pStyle w:val="35"/>
        <w:keepNext w:val="0"/>
        <w:keepLines w:val="0"/>
        <w:pageBreakBefore w:val="0"/>
        <w:widowControl w:val="0"/>
        <w:kinsoku/>
        <w:wordWrap/>
        <w:overflowPunct/>
        <w:topLinePunct w:val="0"/>
        <w:autoSpaceDE/>
        <w:autoSpaceDN/>
        <w:bidi w:val="0"/>
        <w:adjustRightInd/>
        <w:snapToGrid/>
        <w:spacing w:line="480" w:lineRule="exact"/>
        <w:ind w:left="0" w:leftChars="0" w:firstLine="47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（4）</w:t>
      </w:r>
      <w:r>
        <w:rPr>
          <w:rStyle w:val="47"/>
          <w:rFonts w:hint="eastAsia" w:ascii="宋体" w:hAnsi="宋体" w:eastAsia="宋体" w:cs="宋体"/>
          <w:b w:val="0"/>
          <w:color w:val="auto"/>
          <w:sz w:val="24"/>
          <w:szCs w:val="24"/>
          <w:highlight w:val="none"/>
          <w:u w:val="none"/>
        </w:rPr>
        <w:t>符合参加政府采购活动应当具备的一般条件的承诺函</w:t>
      </w:r>
      <w:r>
        <w:rPr>
          <w:rStyle w:val="47"/>
          <w:rFonts w:hint="eastAsia" w:ascii="宋体" w:hAnsi="宋体" w:eastAsia="宋体" w:cs="宋体"/>
          <w:b w:val="0"/>
          <w:color w:val="auto"/>
          <w:sz w:val="24"/>
          <w:szCs w:val="24"/>
          <w:highlight w:val="none"/>
          <w:u w:val="none"/>
          <w:lang w:eastAsia="zh-CN"/>
        </w:rPr>
        <w:t>；</w:t>
      </w:r>
      <w:r>
        <w:rPr>
          <w:rStyle w:val="47"/>
          <w:rFonts w:hint="eastAsia" w:ascii="宋体" w:hAnsi="宋体" w:eastAsia="宋体" w:cs="宋体"/>
          <w:b w:val="0"/>
          <w:color w:val="auto"/>
          <w:sz w:val="24"/>
          <w:szCs w:val="24"/>
          <w:highlight w:val="none"/>
          <w:u w:val="none"/>
        </w:rPr>
        <w:t>（附件</w:t>
      </w:r>
      <w:r>
        <w:rPr>
          <w:rStyle w:val="47"/>
          <w:rFonts w:hint="eastAsia" w:ascii="宋体" w:hAnsi="宋体" w:eastAsia="宋体" w:cs="宋体"/>
          <w:b w:val="0"/>
          <w:color w:val="auto"/>
          <w:sz w:val="24"/>
          <w:szCs w:val="24"/>
          <w:highlight w:val="none"/>
          <w:u w:val="none"/>
          <w:lang w:val="en-US" w:eastAsia="zh-CN"/>
        </w:rPr>
        <w:t>3</w:t>
      </w:r>
      <w:r>
        <w:rPr>
          <w:rStyle w:val="47"/>
          <w:rFonts w:hint="eastAsia" w:ascii="宋体" w:hAnsi="宋体" w:eastAsia="宋体" w:cs="宋体"/>
          <w:b w:val="0"/>
          <w:color w:val="auto"/>
          <w:sz w:val="24"/>
          <w:szCs w:val="24"/>
          <w:highlight w:val="none"/>
          <w:u w:val="none"/>
        </w:rPr>
        <w:t>）</w:t>
      </w:r>
    </w:p>
    <w:p>
      <w:pPr>
        <w:pStyle w:val="35"/>
        <w:keepNext w:val="0"/>
        <w:keepLines w:val="0"/>
        <w:pageBreakBefore w:val="0"/>
        <w:widowControl w:val="0"/>
        <w:kinsoku/>
        <w:wordWrap/>
        <w:overflowPunct/>
        <w:topLinePunct w:val="0"/>
        <w:autoSpaceDE/>
        <w:autoSpaceDN/>
        <w:bidi w:val="0"/>
        <w:adjustRightInd/>
        <w:snapToGrid/>
        <w:spacing w:line="480" w:lineRule="exact"/>
        <w:ind w:left="0" w:leftChars="0" w:firstLine="47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（5）中小企业声明函（附件4）；</w:t>
      </w:r>
    </w:p>
    <w:p>
      <w:pPr>
        <w:pStyle w:val="35"/>
        <w:keepNext w:val="0"/>
        <w:keepLines w:val="0"/>
        <w:pageBreakBefore w:val="0"/>
        <w:widowControl w:val="0"/>
        <w:kinsoku/>
        <w:wordWrap/>
        <w:overflowPunct/>
        <w:topLinePunct w:val="0"/>
        <w:autoSpaceDE/>
        <w:autoSpaceDN/>
        <w:bidi w:val="0"/>
        <w:adjustRightInd/>
        <w:snapToGrid/>
        <w:spacing w:line="480" w:lineRule="exact"/>
        <w:ind w:left="0" w:leftChars="0" w:firstLine="47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（6）提供采购公告中符合供应商特定条件的有效资质证书（磋商供应商特定条件中有要求的必须提供），以及需要说明的其他资料。</w:t>
      </w:r>
    </w:p>
    <w:p>
      <w:pPr>
        <w:pStyle w:val="35"/>
        <w:ind w:left="0" w:leftChars="0"/>
        <w:rPr>
          <w:rStyle w:val="47"/>
          <w:color w:val="auto"/>
          <w:highlight w:val="none"/>
          <w:u w:val="none"/>
        </w:rPr>
      </w:pPr>
    </w:p>
    <w:p>
      <w:pPr>
        <w:spacing w:line="360" w:lineRule="auto"/>
        <w:ind w:firstLine="482" w:firstLineChars="200"/>
        <w:rPr>
          <w:rFonts w:ascii="宋体" w:hAnsi="宋体"/>
          <w:b/>
          <w:sz w:val="24"/>
          <w:highlight w:val="none"/>
        </w:rPr>
      </w:pPr>
    </w:p>
    <w:p>
      <w:pPr>
        <w:pStyle w:val="77"/>
        <w:rPr>
          <w:rFonts w:ascii="宋体" w:hAnsi="宋体"/>
          <w:b/>
          <w:sz w:val="28"/>
          <w:highlight w:val="none"/>
        </w:rPr>
      </w:pPr>
    </w:p>
    <w:p>
      <w:pPr>
        <w:pStyle w:val="77"/>
        <w:rPr>
          <w:rFonts w:ascii="宋体" w:hAnsi="宋体"/>
          <w:b/>
          <w:sz w:val="28"/>
          <w:highlight w:val="none"/>
        </w:rPr>
      </w:pPr>
    </w:p>
    <w:p>
      <w:pPr>
        <w:spacing w:line="360" w:lineRule="auto"/>
        <w:ind w:left="420"/>
        <w:rPr>
          <w:rFonts w:ascii="宋体" w:hAnsi="宋体"/>
          <w:b/>
          <w:sz w:val="28"/>
          <w:highlight w:val="none"/>
        </w:rPr>
      </w:pPr>
    </w:p>
    <w:p>
      <w:pPr>
        <w:pStyle w:val="19"/>
        <w:rPr>
          <w:rFonts w:ascii="宋体" w:hAnsi="宋体"/>
          <w:b/>
          <w:sz w:val="28"/>
          <w:highlight w:val="none"/>
        </w:rPr>
      </w:pPr>
    </w:p>
    <w:p>
      <w:pPr>
        <w:rPr>
          <w:rFonts w:ascii="宋体" w:hAnsi="宋体"/>
          <w:b/>
          <w:sz w:val="28"/>
          <w:highlight w:val="none"/>
        </w:rPr>
      </w:pPr>
    </w:p>
    <w:p>
      <w:pPr>
        <w:pStyle w:val="19"/>
        <w:rPr>
          <w:rFonts w:ascii="宋体" w:hAnsi="宋体"/>
          <w:b/>
          <w:sz w:val="28"/>
          <w:highlight w:val="none"/>
        </w:rPr>
      </w:pPr>
    </w:p>
    <w:p>
      <w:pPr>
        <w:rPr>
          <w:rFonts w:ascii="宋体" w:hAnsi="宋体"/>
          <w:b/>
          <w:sz w:val="28"/>
          <w:highlight w:val="none"/>
        </w:rPr>
      </w:pPr>
    </w:p>
    <w:p>
      <w:pPr>
        <w:widowControl/>
        <w:jc w:val="left"/>
        <w:rPr>
          <w:rFonts w:ascii="宋体" w:hAnsi="宋体"/>
          <w:b/>
          <w:sz w:val="28"/>
          <w:highlight w:val="none"/>
        </w:rPr>
      </w:pPr>
      <w:r>
        <w:rPr>
          <w:rFonts w:ascii="宋体" w:hAnsi="宋体"/>
          <w:b/>
          <w:sz w:val="28"/>
          <w:highlight w:val="none"/>
        </w:rPr>
        <w:br w:type="page"/>
      </w:r>
    </w:p>
    <w:p>
      <w:pPr>
        <w:spacing w:line="312" w:lineRule="auto"/>
        <w:outlineLvl w:val="0"/>
        <w:rPr>
          <w:rFonts w:ascii="宋体" w:hAnsi="宋体"/>
          <w:b/>
          <w:sz w:val="28"/>
          <w:highlight w:val="none"/>
        </w:rPr>
      </w:pPr>
      <w:bookmarkStart w:id="67" w:name="_Toc1587"/>
      <w:bookmarkStart w:id="68" w:name="_Toc10129"/>
      <w:bookmarkStart w:id="69" w:name="_Toc11317"/>
      <w:bookmarkStart w:id="70" w:name="_Toc93048457"/>
      <w:r>
        <w:rPr>
          <w:rFonts w:hint="eastAsia" w:ascii="宋体" w:hAnsi="宋体"/>
          <w:b/>
          <w:sz w:val="28"/>
          <w:highlight w:val="none"/>
        </w:rPr>
        <w:t>附件</w:t>
      </w:r>
      <w:bookmarkEnd w:id="67"/>
      <w:r>
        <w:rPr>
          <w:rFonts w:hint="eastAsia" w:ascii="宋体" w:hAnsi="宋体"/>
          <w:b/>
          <w:sz w:val="28"/>
          <w:highlight w:val="none"/>
        </w:rPr>
        <w:t>1</w:t>
      </w:r>
      <w:bookmarkEnd w:id="68"/>
      <w:bookmarkEnd w:id="69"/>
      <w:bookmarkEnd w:id="70"/>
    </w:p>
    <w:p>
      <w:pPr>
        <w:adjustRightInd w:val="0"/>
        <w:snapToGrid w:val="0"/>
        <w:spacing w:line="312" w:lineRule="auto"/>
        <w:ind w:right="480"/>
        <w:jc w:val="center"/>
        <w:rPr>
          <w:rFonts w:ascii="宋体" w:hAnsi="宋体" w:cstheme="minorBidi"/>
          <w:sz w:val="24"/>
          <w:highlight w:val="none"/>
          <w:u w:val="single"/>
        </w:rPr>
      </w:pPr>
      <w:bookmarkStart w:id="71" w:name="_Toc30723_WPSOffice_Level1"/>
      <w:bookmarkStart w:id="72" w:name="_Toc31708_WPSOffice_Level1"/>
      <w:r>
        <w:rPr>
          <w:rFonts w:hint="eastAsia" w:ascii="宋体" w:hAnsi="宋体"/>
          <w:b/>
          <w:kern w:val="0"/>
          <w:sz w:val="32"/>
          <w:szCs w:val="32"/>
          <w:highlight w:val="none"/>
        </w:rPr>
        <w:t>磋商</w:t>
      </w:r>
      <w:r>
        <w:rPr>
          <w:rFonts w:hint="eastAsia" w:ascii="宋体" w:hAnsi="宋体"/>
          <w:b/>
          <w:kern w:val="0"/>
          <w:sz w:val="32"/>
          <w:szCs w:val="32"/>
          <w:highlight w:val="none"/>
          <w:lang w:val="zh-CN"/>
        </w:rPr>
        <w:t>声明书</w:t>
      </w:r>
      <w:bookmarkEnd w:id="71"/>
      <w:bookmarkEnd w:id="72"/>
    </w:p>
    <w:p>
      <w:pPr>
        <w:snapToGrid w:val="0"/>
        <w:spacing w:before="120" w:beforeLines="50" w:after="50" w:line="312" w:lineRule="auto"/>
        <w:rPr>
          <w:rFonts w:ascii="宋体" w:hAnsi="宋体" w:cs="宋体"/>
          <w:kern w:val="0"/>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w:t>
      </w:r>
      <w:r>
        <w:rPr>
          <w:rFonts w:hint="eastAsia" w:asciiTheme="minorEastAsia" w:hAnsiTheme="minorEastAsia" w:eastAsiaTheme="minorEastAsia"/>
          <w:sz w:val="24"/>
          <w:highlight w:val="none"/>
        </w:rPr>
        <w:t>采购组织机构名称</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（供应商名称）系中华人民共和国合法企业，经营地址。</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项目名称</w:t>
      </w:r>
      <w:r>
        <w:rPr>
          <w:rFonts w:hint="eastAsia" w:ascii="宋体" w:hAnsi="宋体" w:cs="宋体"/>
          <w:kern w:val="0"/>
          <w:sz w:val="24"/>
          <w:highlight w:val="none"/>
        </w:rPr>
        <w:t>）（编号为）的磋商，为此，我公司就本次磋商有关事项郑重声明如下：</w:t>
      </w:r>
    </w:p>
    <w:p>
      <w:pPr>
        <w:numPr>
          <w:ilvl w:val="0"/>
          <w:numId w:val="14"/>
        </w:num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14"/>
        </w:num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14"/>
        </w:numPr>
        <w:snapToGrid w:val="0"/>
        <w:spacing w:line="360" w:lineRule="auto"/>
        <w:ind w:firstLine="480" w:firstLineChars="200"/>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磋商报价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w:t>
      </w:r>
      <w:r>
        <w:rPr>
          <w:rFonts w:hint="eastAsia" w:ascii="宋体" w:hAnsi="宋体"/>
          <w:kern w:val="0"/>
          <w:sz w:val="24"/>
          <w:highlight w:val="none"/>
          <w:lang w:val="af-ZA"/>
        </w:rPr>
        <w:t>货物</w:t>
      </w:r>
      <w:r>
        <w:rPr>
          <w:rFonts w:hint="eastAsia" w:ascii="宋体" w:hAnsi="宋体" w:cs="宋体"/>
          <w:kern w:val="0"/>
          <w:sz w:val="24"/>
          <w:highlight w:val="none"/>
          <w:lang w:val="af-ZA"/>
        </w:rPr>
        <w:t>质量和服务，不擅自变更、中止、终止合同，或拒绝履行合同义务。除响应文件中明确拒绝的之外，均接受采购文件中的全部条件。</w:t>
      </w:r>
    </w:p>
    <w:p>
      <w:pPr>
        <w:snapToGrid w:val="0"/>
        <w:spacing w:line="360"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0" w:firstLineChars="200"/>
        <w:rPr>
          <w:rFonts w:ascii="宋体" w:hAnsi="宋体" w:cs="仿宋_GB2312"/>
          <w:kern w:val="0"/>
          <w:sz w:val="24"/>
          <w:highlight w:val="none"/>
        </w:rPr>
      </w:pPr>
    </w:p>
    <w:p>
      <w:pPr>
        <w:adjustRightInd w:val="0"/>
        <w:snapToGrid w:val="0"/>
        <w:spacing w:line="360" w:lineRule="auto"/>
        <w:ind w:firstLine="480" w:firstLineChars="20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w:t>
      </w:r>
      <w:r>
        <w:rPr>
          <w:rFonts w:hint="eastAsia" w:ascii="宋体" w:hAnsi="宋体" w:cs="仿宋_GB2312"/>
          <w:kern w:val="0"/>
          <w:sz w:val="24"/>
          <w:highlight w:val="none"/>
        </w:rPr>
        <w:t>供应商</w:t>
      </w:r>
      <w:r>
        <w:rPr>
          <w:rFonts w:hint="eastAsia" w:ascii="宋体" w:hAnsi="宋体" w:cs="仿宋_GB2312"/>
          <w:kern w:val="0"/>
          <w:sz w:val="24"/>
          <w:highlight w:val="none"/>
          <w:lang w:val="zh-CN"/>
        </w:rPr>
        <w:t>名称(公章)：</w:t>
      </w:r>
    </w:p>
    <w:p>
      <w:pPr>
        <w:adjustRightInd w:val="0"/>
        <w:snapToGrid w:val="0"/>
        <w:spacing w:line="360" w:lineRule="auto"/>
        <w:ind w:firstLine="480" w:firstLineChars="200"/>
        <w:jc w:val="center"/>
        <w:rPr>
          <w:rFonts w:ascii="宋体" w:hAnsi="宋体" w:cs="仿宋_GB2312"/>
          <w:kern w:val="0"/>
          <w:sz w:val="24"/>
          <w:highlight w:val="none"/>
        </w:rPr>
      </w:pPr>
      <w:r>
        <w:rPr>
          <w:rFonts w:hint="eastAsia" w:ascii="宋体" w:hAnsi="宋体" w:cs="仿宋_GB2312"/>
          <w:kern w:val="0"/>
          <w:sz w:val="24"/>
          <w:highlight w:val="none"/>
        </w:rPr>
        <w:t xml:space="preserve">                             </w:t>
      </w:r>
      <w:r>
        <w:rPr>
          <w:rFonts w:hint="eastAsia" w:ascii="宋体" w:hAnsi="宋体" w:cs="仿宋_GB2312"/>
          <w:kern w:val="0"/>
          <w:sz w:val="24"/>
          <w:highlight w:val="none"/>
          <w:lang w:val="zh-CN"/>
        </w:rPr>
        <w:t xml:space="preserve">法定代表人或授权委托人签字或电子印章：                                       </w:t>
      </w:r>
      <w:r>
        <w:rPr>
          <w:rFonts w:hint="eastAsia" w:ascii="宋体" w:hAnsi="宋体" w:cs="仿宋_GB2312"/>
          <w:kern w:val="0"/>
          <w:sz w:val="24"/>
          <w:highlight w:val="none"/>
        </w:rPr>
        <w:t xml:space="preserve">               </w:t>
      </w:r>
    </w:p>
    <w:p>
      <w:pPr>
        <w:adjustRightInd w:val="0"/>
        <w:snapToGrid w:val="0"/>
        <w:spacing w:line="360" w:lineRule="auto"/>
        <w:ind w:firstLine="480" w:firstLineChars="200"/>
        <w:jc w:val="center"/>
        <w:rPr>
          <w:rFonts w:ascii="宋体" w:hAnsi="宋体" w:cs="仿宋_GB2312"/>
          <w:kern w:val="0"/>
          <w:sz w:val="24"/>
          <w:highlight w:val="none"/>
        </w:rPr>
      </w:pPr>
      <w:r>
        <w:rPr>
          <w:rFonts w:hint="eastAsia" w:ascii="宋体" w:hAnsi="宋体" w:cs="仿宋_GB2312"/>
          <w:kern w:val="0"/>
          <w:sz w:val="24"/>
          <w:highlight w:val="none"/>
        </w:rPr>
        <w:t xml:space="preserve">                             </w:t>
      </w:r>
      <w:r>
        <w:rPr>
          <w:rFonts w:hint="eastAsia" w:ascii="宋体" w:hAnsi="宋体" w:cs="仿宋_GB2312"/>
          <w:kern w:val="0"/>
          <w:sz w:val="24"/>
          <w:highlight w:val="none"/>
          <w:lang w:val="zh-CN"/>
        </w:rPr>
        <w:t>日期</w:t>
      </w:r>
      <w:r>
        <w:rPr>
          <w:rFonts w:hint="eastAsia" w:ascii="宋体" w:hAnsi="宋体" w:cs="仿宋_GB2312"/>
          <w:kern w:val="0"/>
          <w:sz w:val="24"/>
          <w:highlight w:val="none"/>
        </w:rPr>
        <w:t>：</w:t>
      </w:r>
      <w:r>
        <w:rPr>
          <w:rFonts w:hint="eastAsia" w:ascii="宋体" w:hAnsi="宋体" w:cstheme="minorBidi"/>
          <w:sz w:val="24"/>
          <w:highlight w:val="none"/>
        </w:rPr>
        <w:t>××</w:t>
      </w:r>
      <w:r>
        <w:rPr>
          <w:rFonts w:hint="eastAsia" w:ascii="宋体" w:hAnsi="宋体" w:cs="仿宋_GB2312"/>
          <w:kern w:val="0"/>
          <w:sz w:val="24"/>
          <w:highlight w:val="none"/>
          <w:lang w:val="zh-CN"/>
        </w:rPr>
        <w:t>年</w:t>
      </w:r>
      <w:r>
        <w:rPr>
          <w:rFonts w:hint="eastAsia" w:ascii="宋体" w:hAnsi="宋体" w:cs="仿宋_GB2312"/>
          <w:kern w:val="0"/>
          <w:sz w:val="24"/>
          <w:highlight w:val="none"/>
        </w:rPr>
        <w:t xml:space="preserve"> </w:t>
      </w:r>
      <w:r>
        <w:rPr>
          <w:rFonts w:hint="eastAsia" w:ascii="宋体" w:hAnsi="宋体" w:cstheme="minorBidi"/>
          <w:sz w:val="24"/>
          <w:highlight w:val="none"/>
        </w:rPr>
        <w:t>××</w:t>
      </w:r>
      <w:r>
        <w:rPr>
          <w:rFonts w:hint="eastAsia" w:ascii="宋体" w:hAnsi="宋体" w:cs="仿宋_GB2312"/>
          <w:kern w:val="0"/>
          <w:sz w:val="24"/>
          <w:highlight w:val="none"/>
        </w:rPr>
        <w:t xml:space="preserve"> </w:t>
      </w:r>
      <w:r>
        <w:rPr>
          <w:rFonts w:hint="eastAsia" w:ascii="宋体" w:hAnsi="宋体" w:cs="仿宋_GB2312"/>
          <w:kern w:val="0"/>
          <w:sz w:val="24"/>
          <w:highlight w:val="none"/>
          <w:lang w:val="zh-CN"/>
        </w:rPr>
        <w:t>月</w:t>
      </w:r>
      <w:r>
        <w:rPr>
          <w:rFonts w:hint="eastAsia" w:ascii="宋体" w:hAnsi="宋体" w:cs="仿宋_GB2312"/>
          <w:kern w:val="0"/>
          <w:sz w:val="24"/>
          <w:highlight w:val="none"/>
        </w:rPr>
        <w:t xml:space="preserve"> </w:t>
      </w:r>
      <w:r>
        <w:rPr>
          <w:rFonts w:hint="eastAsia" w:ascii="宋体" w:hAnsi="宋体" w:cstheme="minorBidi"/>
          <w:sz w:val="24"/>
          <w:highlight w:val="none"/>
        </w:rPr>
        <w:t>××</w:t>
      </w:r>
      <w:r>
        <w:rPr>
          <w:rFonts w:hint="eastAsia" w:ascii="宋体" w:hAnsi="宋体" w:cs="仿宋_GB2312"/>
          <w:kern w:val="0"/>
          <w:sz w:val="24"/>
          <w:highlight w:val="none"/>
        </w:rPr>
        <w:t xml:space="preserve"> </w:t>
      </w:r>
      <w:r>
        <w:rPr>
          <w:rFonts w:hint="eastAsia" w:ascii="宋体" w:hAnsi="宋体" w:cs="仿宋_GB2312"/>
          <w:kern w:val="0"/>
          <w:sz w:val="24"/>
          <w:highlight w:val="none"/>
          <w:lang w:val="zh-CN"/>
        </w:rPr>
        <w:t>日</w:t>
      </w:r>
    </w:p>
    <w:p>
      <w:pPr>
        <w:rPr>
          <w:rFonts w:hint="eastAsia" w:ascii="宋体" w:hAnsi="宋体"/>
          <w:b/>
          <w:sz w:val="28"/>
          <w:highlight w:val="none"/>
        </w:rPr>
      </w:pPr>
      <w:bookmarkStart w:id="73" w:name="_Toc32143"/>
      <w:bookmarkStart w:id="74" w:name="_Toc23765"/>
      <w:bookmarkStart w:id="75" w:name="_Toc93048458"/>
      <w:bookmarkStart w:id="76" w:name="_Toc2002"/>
      <w:r>
        <w:rPr>
          <w:rFonts w:hint="eastAsia" w:ascii="宋体" w:hAnsi="宋体"/>
          <w:b/>
          <w:sz w:val="28"/>
          <w:highlight w:val="none"/>
        </w:rPr>
        <w:br w:type="page"/>
      </w:r>
    </w:p>
    <w:p>
      <w:pPr>
        <w:adjustRightInd w:val="0"/>
        <w:snapToGrid w:val="0"/>
        <w:spacing w:line="360" w:lineRule="auto"/>
        <w:ind w:right="480"/>
        <w:outlineLvl w:val="0"/>
        <w:rPr>
          <w:rFonts w:ascii="宋体"/>
          <w:b/>
          <w:sz w:val="30"/>
          <w:szCs w:val="30"/>
          <w:highlight w:val="none"/>
        </w:rPr>
      </w:pPr>
      <w:r>
        <w:rPr>
          <w:rFonts w:hint="eastAsia" w:ascii="宋体" w:hAnsi="宋体"/>
          <w:b/>
          <w:sz w:val="28"/>
          <w:highlight w:val="none"/>
        </w:rPr>
        <w:t>附件</w:t>
      </w:r>
      <w:bookmarkEnd w:id="73"/>
      <w:r>
        <w:rPr>
          <w:rFonts w:hint="eastAsia" w:ascii="宋体" w:hAnsi="宋体"/>
          <w:b/>
          <w:sz w:val="28"/>
          <w:highlight w:val="none"/>
        </w:rPr>
        <w:t>2</w:t>
      </w:r>
      <w:bookmarkEnd w:id="74"/>
      <w:bookmarkEnd w:id="75"/>
      <w:bookmarkEnd w:id="76"/>
    </w:p>
    <w:p>
      <w:pPr>
        <w:spacing w:line="360" w:lineRule="auto"/>
        <w:ind w:firstLine="321" w:firstLineChars="100"/>
        <w:jc w:val="center"/>
        <w:rPr>
          <w:rFonts w:hAnsi="宋体"/>
          <w:b/>
          <w:sz w:val="24"/>
          <w:highlight w:val="none"/>
          <w:u w:val="single"/>
        </w:rPr>
      </w:pPr>
      <w:bookmarkStart w:id="77" w:name="_Toc24373_WPSOffice_Level1"/>
      <w:bookmarkStart w:id="78"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77"/>
      <w:bookmarkEnd w:id="78"/>
    </w:p>
    <w:p>
      <w:pPr>
        <w:pStyle w:val="22"/>
        <w:spacing w:line="360" w:lineRule="auto"/>
        <w:rPr>
          <w:rFonts w:hAnsi="宋体"/>
          <w:b/>
          <w:sz w:val="24"/>
          <w:highlight w:val="none"/>
        </w:rPr>
      </w:pPr>
      <w:r>
        <w:rPr>
          <w:rFonts w:hint="eastAsia" w:hAnsi="宋体"/>
          <w:b/>
          <w:sz w:val="24"/>
          <w:highlight w:val="none"/>
          <w:u w:val="single"/>
        </w:rPr>
        <w:t>×××</w:t>
      </w:r>
      <w:r>
        <w:rPr>
          <w:rFonts w:hint="eastAsia" w:hAnsi="宋体" w:cs="宋体"/>
          <w:kern w:val="0"/>
          <w:sz w:val="24"/>
          <w:highlight w:val="none"/>
          <w:u w:val="single"/>
        </w:rPr>
        <w:t>（采购代理机构名称）</w:t>
      </w:r>
      <w:r>
        <w:rPr>
          <w:rFonts w:hAnsi="宋体"/>
          <w:b/>
          <w:sz w:val="24"/>
          <w:highlight w:val="none"/>
        </w:rPr>
        <w:t>：</w:t>
      </w:r>
    </w:p>
    <w:p>
      <w:pPr>
        <w:pStyle w:val="22"/>
        <w:spacing w:line="360" w:lineRule="auto"/>
        <w:ind w:firstLine="480" w:firstLineChars="200"/>
        <w:rPr>
          <w:rFonts w:hAnsi="宋体"/>
          <w:sz w:val="24"/>
          <w:highlight w:val="none"/>
        </w:rPr>
      </w:pPr>
      <w:r>
        <w:rPr>
          <w:rFonts w:hAnsi="宋体"/>
          <w:sz w:val="24"/>
          <w:highlight w:val="none"/>
          <w:u w:val="single"/>
        </w:rPr>
        <w:t xml:space="preserve">  （</w:t>
      </w:r>
      <w:r>
        <w:rPr>
          <w:rFonts w:hint="eastAsia" w:hAnsi="宋体"/>
          <w:sz w:val="24"/>
          <w:highlight w:val="none"/>
          <w:u w:val="single"/>
        </w:rPr>
        <w:t>供应商</w:t>
      </w:r>
      <w:r>
        <w:rPr>
          <w:rFonts w:hAnsi="宋体"/>
          <w:sz w:val="24"/>
          <w:highlight w:val="none"/>
          <w:u w:val="single"/>
        </w:rPr>
        <w:t xml:space="preserve">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项目的采购活动，并代表我方全权办理针对上述项目的磋商、签约等具体事务和签署相关文件。</w:t>
      </w:r>
      <w:r>
        <w:rPr>
          <w:rFonts w:hint="eastAsia" w:hAnsi="宋体"/>
          <w:sz w:val="24"/>
          <w:highlight w:val="none"/>
        </w:rPr>
        <w:t>我方对全权代表的签字事项负全部责任。</w:t>
      </w:r>
    </w:p>
    <w:p>
      <w:pPr>
        <w:pStyle w:val="22"/>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22"/>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ind w:firstLine="480" w:firstLineChars="200"/>
        <w:rPr>
          <w:sz w:val="24"/>
          <w:highlight w:val="none"/>
        </w:rPr>
      </w:pPr>
    </w:p>
    <w:p>
      <w:pPr>
        <w:spacing w:line="360" w:lineRule="auto"/>
        <w:rPr>
          <w:sz w:val="24"/>
          <w:highlight w:val="none"/>
        </w:rPr>
      </w:pPr>
      <w:r>
        <w:rPr>
          <w:rFonts w:hint="eastAsia" w:ascii="宋体"/>
          <w:sz w:val="24"/>
          <w:highlight w:val="none"/>
        </w:rPr>
        <w:t>法定代表人签字</w:t>
      </w:r>
      <w:r>
        <w:rPr>
          <w:rFonts w:hint="eastAsia" w:ascii="宋体" w:hAnsi="宋体" w:cs="仿宋_GB2312"/>
          <w:kern w:val="0"/>
          <w:sz w:val="24"/>
          <w:highlight w:val="none"/>
          <w:lang w:val="zh-CN"/>
        </w:rPr>
        <w:t>或电子印章</w:t>
      </w:r>
      <w:r>
        <w:rPr>
          <w:rFonts w:hint="eastAsia" w:ascii="宋体"/>
          <w:sz w:val="24"/>
          <w:highlight w:val="none"/>
        </w:rPr>
        <w:t>：</w:t>
      </w:r>
    </w:p>
    <w:p>
      <w:pPr>
        <w:spacing w:line="360" w:lineRule="auto"/>
        <w:rPr>
          <w:sz w:val="24"/>
          <w:highlight w:val="none"/>
        </w:rPr>
      </w:pPr>
      <w:r>
        <w:rPr>
          <w:rFonts w:hint="eastAsia" w:ascii="宋体"/>
          <w:sz w:val="24"/>
          <w:highlight w:val="none"/>
        </w:rPr>
        <w:t>供应商全称（公章）：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法定代表身份证</w:t>
            </w:r>
            <w:r>
              <w:rPr>
                <w:rFonts w:hint="eastAsia" w:ascii="宋体"/>
                <w:b/>
                <w:sz w:val="24"/>
                <w:highlight w:val="none"/>
                <w:lang w:val="en-US" w:eastAsia="zh-CN"/>
              </w:rPr>
              <w:t xml:space="preserve"> 正反面</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 xml:space="preserve"> 正反面</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rPr>
          <w:rFonts w:ascii="宋体" w:hAnsi="宋体"/>
          <w:b/>
          <w:sz w:val="28"/>
          <w:highlight w:val="none"/>
        </w:rPr>
      </w:pPr>
      <w:r>
        <w:rPr>
          <w:rFonts w:hint="eastAsia" w:ascii="宋体" w:hAnsi="宋体"/>
          <w:b/>
          <w:sz w:val="28"/>
          <w:highlight w:val="none"/>
        </w:rPr>
        <w:br w:type="page"/>
      </w:r>
      <w:bookmarkStart w:id="79" w:name="_Toc5889_WPSOffice_Level1"/>
      <w:bookmarkStart w:id="80" w:name="_Toc11308_WPSOffice_Level1"/>
    </w:p>
    <w:p>
      <w:pPr>
        <w:adjustRightInd w:val="0"/>
        <w:snapToGrid w:val="0"/>
        <w:spacing w:line="360" w:lineRule="auto"/>
        <w:ind w:right="480"/>
        <w:outlineLvl w:val="0"/>
        <w:rPr>
          <w:rFonts w:hint="eastAsia" w:ascii="宋体" w:hAnsi="宋体" w:eastAsia="宋体"/>
          <w:b/>
          <w:sz w:val="28"/>
          <w:highlight w:val="none"/>
          <w:lang w:eastAsia="zh-CN"/>
        </w:rPr>
      </w:pPr>
      <w:bookmarkStart w:id="81" w:name="_Toc93048463"/>
      <w:r>
        <w:rPr>
          <w:rFonts w:ascii="宋体" w:hAnsi="宋体"/>
          <w:b/>
          <w:sz w:val="28"/>
          <w:highlight w:val="none"/>
        </w:rPr>
        <w:t>附件</w:t>
      </w:r>
      <w:bookmarkEnd w:id="81"/>
      <w:r>
        <w:rPr>
          <w:rFonts w:hint="eastAsia" w:ascii="宋体" w:hAnsi="宋体"/>
          <w:b/>
          <w:sz w:val="28"/>
          <w:highlight w:val="none"/>
          <w:lang w:val="en-US" w:eastAsia="zh-CN"/>
        </w:rPr>
        <w:t>3</w:t>
      </w:r>
    </w:p>
    <w:p>
      <w:pPr>
        <w:adjustRightInd w:val="0"/>
        <w:snapToGrid w:val="0"/>
        <w:spacing w:line="288" w:lineRule="auto"/>
        <w:jc w:val="center"/>
        <w:outlineLvl w:val="2"/>
        <w:rPr>
          <w:b/>
          <w:bCs/>
          <w:sz w:val="28"/>
          <w:szCs w:val="28"/>
          <w:highlight w:val="none"/>
          <w:shd w:val="clear" w:color="auto" w:fill="FFFFFF"/>
        </w:rPr>
      </w:pPr>
      <w:bookmarkStart w:id="82" w:name="_Toc93048464"/>
      <w:r>
        <w:rPr>
          <w:rFonts w:hint="eastAsia"/>
          <w:b/>
          <w:bCs/>
          <w:sz w:val="28"/>
          <w:szCs w:val="28"/>
          <w:highlight w:val="none"/>
        </w:rPr>
        <w:t>符合参加政府采购活动应当具备的一般条件的承诺函</w:t>
      </w:r>
    </w:p>
    <w:p>
      <w:pPr>
        <w:adjustRightInd w:val="0"/>
        <w:snapToGrid w:val="0"/>
        <w:spacing w:line="288" w:lineRule="auto"/>
        <w:rPr>
          <w:szCs w:val="21"/>
          <w:highlight w:val="none"/>
          <w:shd w:val="clear" w:color="auto" w:fill="FFFFFF"/>
        </w:rPr>
      </w:pPr>
    </w:p>
    <w:p>
      <w:pPr>
        <w:keepNext w:val="0"/>
        <w:keepLines w:val="0"/>
        <w:pageBreakBefore w:val="0"/>
        <w:widowControl w:val="0"/>
        <w:kinsoku/>
        <w:wordWrap/>
        <w:overflowPunct/>
        <w:topLinePunct w:val="0"/>
        <w:autoSpaceDE/>
        <w:autoSpaceDN/>
        <w:bidi w:val="0"/>
        <w:snapToGrid w:val="0"/>
        <w:spacing w:before="120" w:beforeLines="50" w:after="50" w:line="360" w:lineRule="auto"/>
        <w:textAlignment w:val="auto"/>
        <w:rPr>
          <w:rFonts w:hint="eastAsia" w:ascii="宋体" w:hAnsi="宋体" w:eastAsia="宋体" w:cs="宋体"/>
          <w:b/>
          <w:bCs/>
          <w:spacing w:val="-6"/>
          <w:sz w:val="24"/>
          <w:highlight w:val="none"/>
        </w:rPr>
      </w:pPr>
      <w:r>
        <w:rPr>
          <w:rFonts w:hint="eastAsia" w:ascii="宋体" w:hAnsi="宋体" w:eastAsia="宋体" w:cs="宋体"/>
          <w:sz w:val="24"/>
          <w:highlight w:val="none"/>
          <w:u w:val="single"/>
        </w:rPr>
        <w:t>××</w:t>
      </w:r>
      <w:r>
        <w:rPr>
          <w:rFonts w:hint="eastAsia" w:ascii="宋体" w:hAnsi="宋体" w:eastAsia="宋体" w:cs="宋体"/>
          <w:kern w:val="0"/>
          <w:sz w:val="24"/>
          <w:highlight w:val="none"/>
        </w:rPr>
        <w:t>（</w:t>
      </w:r>
      <w:r>
        <w:rPr>
          <w:rFonts w:hint="eastAsia" w:ascii="宋体" w:hAnsi="宋体" w:eastAsia="宋体" w:cs="宋体"/>
          <w:sz w:val="24"/>
          <w:highlight w:val="none"/>
        </w:rPr>
        <w:t>采购组织机构名称</w:t>
      </w:r>
      <w:r>
        <w:rPr>
          <w:rFonts w:hint="eastAsia" w:ascii="宋体" w:hAnsi="宋体" w:eastAsia="宋体" w:cs="宋体"/>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我方</w:t>
      </w:r>
      <w:r>
        <w:rPr>
          <w:rFonts w:hint="eastAsia" w:ascii="宋体" w:hAnsi="宋体" w:eastAsia="宋体" w:cs="宋体"/>
          <w:sz w:val="24"/>
          <w:highlight w:val="none"/>
          <w:u w:val="single"/>
        </w:rPr>
        <w:t>（投标人全称）</w:t>
      </w:r>
      <w:r>
        <w:rPr>
          <w:rFonts w:hint="eastAsia" w:ascii="宋体" w:hAnsi="宋体" w:eastAsia="宋体" w:cs="宋体"/>
          <w:spacing w:val="-6"/>
          <w:sz w:val="24"/>
          <w:highlight w:val="none"/>
        </w:rPr>
        <w:t>参加项目的采购活动并承诺如下：</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一、我方满足《中华人民共和国政府采购法》第二十二条规定：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（五）参加本项目政府采购活动前三年内，在经营活动中</w:t>
      </w:r>
      <w:r>
        <w:rPr>
          <w:rFonts w:hint="eastAsia" w:ascii="宋体" w:hAnsi="宋体" w:eastAsia="宋体" w:cs="宋体"/>
          <w:b/>
          <w:spacing w:val="-6"/>
          <w:sz w:val="24"/>
          <w:highlight w:val="none"/>
          <w:u w:val="single"/>
        </w:rPr>
        <w:t xml:space="preserve">  没有  </w:t>
      </w:r>
      <w:r>
        <w:rPr>
          <w:rFonts w:hint="eastAsia" w:ascii="宋体" w:hAnsi="宋体" w:eastAsia="宋体" w:cs="宋体"/>
          <w:spacing w:val="-6"/>
          <w:sz w:val="24"/>
          <w:highlight w:val="none"/>
        </w:rPr>
        <w:t>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四、以上事项如有虚假或隐瞒，我方愿意承担一切后果和责任。</w:t>
      </w:r>
    </w:p>
    <w:p>
      <w:pPr>
        <w:adjustRightInd w:val="0"/>
        <w:snapToGrid w:val="0"/>
        <w:spacing w:line="288" w:lineRule="auto"/>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cs="宋体"/>
          <w:sz w:val="24"/>
          <w:highlight w:val="none"/>
        </w:rPr>
      </w:pPr>
      <w:r>
        <w:rPr>
          <w:rFonts w:hint="eastAsia" w:ascii="宋体" w:hAnsi="宋体" w:cs="宋体"/>
          <w:sz w:val="24"/>
          <w:highlight w:val="none"/>
        </w:rPr>
        <w:t xml:space="preserve">供应商名称（电子印章）：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sz w:val="24"/>
          <w:highlight w:val="none"/>
        </w:rPr>
      </w:pPr>
      <w:r>
        <w:rPr>
          <w:rFonts w:hint="eastAsia" w:ascii="宋体" w:hAnsi="宋体" w:cs="宋体"/>
          <w:sz w:val="24"/>
          <w:highlight w:val="none"/>
          <w:lang w:eastAsia="zh-CN"/>
        </w:rPr>
        <w:t>法定代表人或全权代表（签字或电子印章）</w:t>
      </w:r>
      <w:r>
        <w:rPr>
          <w:rFonts w:hint="eastAsia" w:ascii="宋体" w:hAnsi="宋体" w:cs="宋体"/>
          <w:sz w:val="24"/>
          <w:highlight w:val="none"/>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Ansi="宋体" w:cs="宋体"/>
          <w:sz w:val="24"/>
          <w:highlight w:val="none"/>
        </w:rPr>
      </w:pPr>
    </w:p>
    <w:p>
      <w:pPr>
        <w:pStyle w:val="19"/>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asciiTheme="minorEastAsia" w:hAnsiTheme="minorEastAsia" w:eastAsiaTheme="minorEastAsia"/>
          <w:sz w:val="24"/>
          <w:highlight w:val="none"/>
        </w:rPr>
      </w:pPr>
      <w:r>
        <w:rPr>
          <w:rFonts w:hint="eastAsia" w:hAnsi="宋体" w:cs="宋体"/>
          <w:sz w:val="24"/>
          <w:highlight w:val="none"/>
        </w:rPr>
        <w:t>日    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pPr>
        <w:adjustRightInd w:val="0"/>
        <w:snapToGrid w:val="0"/>
        <w:spacing w:line="360" w:lineRule="auto"/>
        <w:ind w:right="480"/>
        <w:outlineLvl w:val="0"/>
        <w:rPr>
          <w:rFonts w:hint="eastAsia" w:ascii="宋体" w:hAnsi="宋体"/>
          <w:b/>
          <w:sz w:val="28"/>
          <w:highlight w:val="none"/>
        </w:rPr>
      </w:pPr>
    </w:p>
    <w:p>
      <w:pPr>
        <w:adjustRightInd w:val="0"/>
        <w:snapToGrid w:val="0"/>
        <w:spacing w:line="360" w:lineRule="auto"/>
        <w:ind w:right="480"/>
        <w:outlineLvl w:val="0"/>
        <w:rPr>
          <w:rFonts w:hint="eastAsia" w:ascii="宋体" w:hAnsi="宋体"/>
          <w:b/>
          <w:sz w:val="28"/>
          <w:highlight w:val="none"/>
        </w:rPr>
      </w:pPr>
    </w:p>
    <w:bookmarkEnd w:id="82"/>
    <w:p>
      <w:pPr>
        <w:widowControl/>
        <w:jc w:val="left"/>
        <w:rPr>
          <w:rFonts w:asciiTheme="minorEastAsia" w:hAnsiTheme="minorEastAsia" w:eastAsiaTheme="minorEastAsia" w:cstheme="minorBidi"/>
          <w:sz w:val="24"/>
          <w:highlight w:val="none"/>
        </w:rPr>
      </w:pPr>
      <w:r>
        <w:rPr>
          <w:rFonts w:asciiTheme="minorEastAsia" w:hAnsiTheme="minorEastAsia" w:eastAsiaTheme="minorEastAsia"/>
          <w:sz w:val="24"/>
          <w:highlight w:val="none"/>
        </w:rPr>
        <w:br w:type="page"/>
      </w:r>
    </w:p>
    <w:p>
      <w:pPr>
        <w:adjustRightInd w:val="0"/>
        <w:snapToGrid w:val="0"/>
        <w:spacing w:line="360" w:lineRule="auto"/>
        <w:ind w:right="480"/>
        <w:outlineLvl w:val="0"/>
        <w:rPr>
          <w:rFonts w:ascii="宋体" w:hAnsi="宋体"/>
          <w:b/>
          <w:sz w:val="28"/>
          <w:highlight w:val="none"/>
        </w:rPr>
      </w:pPr>
      <w:bookmarkStart w:id="83" w:name="_Toc93048466"/>
      <w:r>
        <w:rPr>
          <w:rFonts w:hint="eastAsia" w:ascii="宋体" w:hAnsi="宋体"/>
          <w:b/>
          <w:sz w:val="28"/>
          <w:highlight w:val="none"/>
        </w:rPr>
        <w:t>附件</w:t>
      </w:r>
      <w:r>
        <w:rPr>
          <w:rFonts w:hint="eastAsia" w:ascii="宋体" w:hAnsi="宋体"/>
          <w:b/>
          <w:sz w:val="28"/>
          <w:highlight w:val="none"/>
          <w:lang w:val="en-US" w:eastAsia="zh-CN"/>
        </w:rPr>
        <w:t>4</w:t>
      </w:r>
      <w:r>
        <w:rPr>
          <w:rFonts w:hint="eastAsia" w:ascii="宋体" w:hAnsi="宋体"/>
          <w:b/>
          <w:sz w:val="28"/>
          <w:highlight w:val="none"/>
        </w:rPr>
        <w:t>-</w:t>
      </w:r>
      <w:r>
        <w:rPr>
          <w:rFonts w:ascii="宋体" w:hAnsi="宋体"/>
          <w:b/>
          <w:sz w:val="28"/>
          <w:highlight w:val="none"/>
        </w:rPr>
        <w:t>1</w:t>
      </w:r>
      <w:bookmarkEnd w:id="83"/>
    </w:p>
    <w:p>
      <w:pPr>
        <w:widowControl/>
        <w:autoSpaceDE w:val="0"/>
        <w:autoSpaceDN w:val="0"/>
        <w:spacing w:line="480" w:lineRule="auto"/>
        <w:ind w:firstLine="241" w:firstLineChars="100"/>
        <w:outlineLvl w:val="2"/>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sz w:val="24"/>
          <w:highlight w:val="none"/>
          <w:u w:val="single"/>
        </w:rPr>
        <w:t>建筑业。</w:t>
      </w:r>
    </w:p>
    <w:p>
      <w:pPr>
        <w:widowControl/>
        <w:autoSpaceDE w:val="0"/>
        <w:autoSpaceDN w:val="0"/>
        <w:spacing w:line="480" w:lineRule="auto"/>
        <w:ind w:firstLine="241" w:firstLineChars="100"/>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中小企业声明函</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本公司郑重声明，根据《政府采购促进中小企业发展管理办法》（财库</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2020</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46 号）的规定，本公司参加</w:t>
      </w:r>
      <w:r>
        <w:rPr>
          <w:rFonts w:hint="eastAsia" w:asciiTheme="minorEastAsia" w:hAnsiTheme="minorEastAsia" w:eastAsiaTheme="minorEastAsia"/>
          <w:b/>
          <w:bCs/>
          <w:sz w:val="24"/>
          <w:highlight w:val="none"/>
          <w:u w:val="single"/>
          <w:lang w:eastAsia="zh-CN"/>
        </w:rPr>
        <w:t xml:space="preserve">三门县蛇蟠乡人民政府    </w:t>
      </w:r>
      <w:r>
        <w:rPr>
          <w:rFonts w:hint="eastAsia" w:asciiTheme="minorEastAsia" w:hAnsiTheme="minorEastAsia" w:eastAsiaTheme="minorEastAsia"/>
          <w:sz w:val="24"/>
          <w:highlight w:val="none"/>
        </w:rPr>
        <w:t>的</w:t>
      </w:r>
      <w:r>
        <w:rPr>
          <w:rFonts w:hint="eastAsia" w:cs="Times New Roman" w:asciiTheme="minorEastAsia" w:hAnsiTheme="minorEastAsia" w:eastAsiaTheme="minorEastAsia"/>
          <w:b/>
          <w:bCs/>
          <w:sz w:val="24"/>
          <w:highlight w:val="none"/>
          <w:u w:val="single"/>
        </w:rPr>
        <w:t xml:space="preserve"> </w:t>
      </w:r>
      <w:r>
        <w:rPr>
          <w:rFonts w:hint="eastAsia" w:cs="Times New Roman" w:asciiTheme="minorEastAsia" w:hAnsiTheme="minorEastAsia" w:eastAsiaTheme="minorEastAsia"/>
          <w:b/>
          <w:bCs/>
          <w:sz w:val="24"/>
          <w:highlight w:val="none"/>
          <w:u w:val="single"/>
          <w:lang w:eastAsia="zh-CN"/>
        </w:rPr>
        <w:t>三门县全域幸福河湖建设-蛇蟠乡农村水系治理项目（一期）</w:t>
      </w:r>
      <w:r>
        <w:rPr>
          <w:rFonts w:hint="eastAsia" w:asciiTheme="minorEastAsia" w:hAnsiTheme="minorEastAsia" w:eastAsiaTheme="minorEastAsia"/>
          <w:b/>
          <w:bCs/>
          <w:sz w:val="24"/>
          <w:highlight w:val="none"/>
          <w:u w:val="single"/>
          <w:lang w:eastAsia="zh-CN"/>
        </w:rPr>
        <w:t xml:space="preserve"> </w:t>
      </w:r>
      <w:r>
        <w:rPr>
          <w:rFonts w:asciiTheme="minorEastAsia" w:hAnsiTheme="minorEastAsia" w:eastAsiaTheme="minorEastAsia"/>
          <w:sz w:val="24"/>
          <w:highlight w:val="none"/>
        </w:rPr>
        <w:t>采购活动，工程的施工单位全部为符合政策要求的中小企业。企业具体情况如下：</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cs="Times New Roman" w:asciiTheme="minorEastAsia" w:hAnsiTheme="minorEastAsia" w:eastAsiaTheme="minorEastAsia"/>
          <w:b/>
          <w:bCs/>
          <w:sz w:val="24"/>
          <w:highlight w:val="none"/>
          <w:u w:val="single"/>
          <w:lang w:eastAsia="zh-CN"/>
        </w:rPr>
        <w:t>三门县全域幸福河湖建设-蛇蟠乡农村水系治理项目（一期）</w:t>
      </w:r>
      <w:r>
        <w:rPr>
          <w:rFonts w:hint="eastAsia" w:asciiTheme="minorEastAsia" w:hAnsiTheme="minorEastAsia" w:eastAsiaTheme="minorEastAsia"/>
          <w:b/>
          <w:bCs/>
          <w:i/>
          <w:iCs/>
          <w:sz w:val="24"/>
          <w:highlight w:val="none"/>
          <w:u w:val="single"/>
          <w:lang w:eastAsia="zh-CN"/>
        </w:rPr>
        <w:t xml:space="preserve"> </w:t>
      </w:r>
      <w:r>
        <w:rPr>
          <w:rFonts w:hint="eastAsia" w:asciiTheme="minorEastAsia" w:hAnsiTheme="minorEastAsia" w:eastAsiaTheme="minorEastAsia"/>
          <w:sz w:val="24"/>
          <w:highlight w:val="none"/>
        </w:rPr>
        <w:t>，属于</w:t>
      </w:r>
      <w:r>
        <w:rPr>
          <w:rFonts w:hint="eastAsia" w:asciiTheme="minorEastAsia" w:hAnsiTheme="minorEastAsia" w:eastAsiaTheme="minorEastAsia"/>
          <w:sz w:val="24"/>
          <w:highlight w:val="none"/>
          <w:u w:val="single"/>
        </w:rPr>
        <w:t>建筑业</w:t>
      </w:r>
      <w:r>
        <w:rPr>
          <w:rFonts w:hint="eastAsia" w:asciiTheme="minorEastAsia" w:hAnsiTheme="minorEastAsia" w:eastAsiaTheme="minorEastAsia"/>
          <w:sz w:val="24"/>
          <w:highlight w:val="none"/>
        </w:rPr>
        <w:t>；承建（承接）企业为</w:t>
      </w:r>
      <w:r>
        <w:rPr>
          <w:rFonts w:hint="eastAsia" w:asciiTheme="minorEastAsia" w:hAnsiTheme="minorEastAsia" w:eastAsiaTheme="minorEastAsia"/>
          <w:i/>
          <w:iCs/>
          <w:sz w:val="24"/>
          <w:highlight w:val="none"/>
          <w:u w:val="single"/>
        </w:rPr>
        <w:t>（企业名称）</w:t>
      </w:r>
      <w:r>
        <w:rPr>
          <w:rFonts w:hint="eastAsia" w:asciiTheme="minorEastAsia" w:hAnsiTheme="minorEastAsia" w:eastAsiaTheme="minorEastAsia"/>
          <w:sz w:val="24"/>
          <w:highlight w:val="none"/>
        </w:rPr>
        <w:t>，从业人员</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人，营业收入为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万元，资产总额为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rPr>
        <w:t>万元，属于</w:t>
      </w:r>
      <w:r>
        <w:rPr>
          <w:rFonts w:hint="eastAsia" w:asciiTheme="minorEastAsia" w:hAnsiTheme="minorEastAsia" w:eastAsiaTheme="minorEastAsia"/>
          <w:i/>
          <w:iCs/>
          <w:sz w:val="24"/>
          <w:highlight w:val="none"/>
          <w:u w:val="single"/>
        </w:rPr>
        <w:t>（中型企业、小型企业、微型企业）</w:t>
      </w:r>
      <w:r>
        <w:rPr>
          <w:rFonts w:hint="eastAsia" w:asciiTheme="minorEastAsia" w:hAnsiTheme="minorEastAsia" w:eastAsiaTheme="minorEastAsia"/>
          <w:sz w:val="24"/>
          <w:highlight w:val="none"/>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以上企业，不属于大企业的分支机构，不存在控股股东为大企业的情形，也不存在与大企业的负责人为同一人的情形。</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本企业对上述声明内容的真实性负责。如有虚假，将依法承担相应责任。</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企业名称（盖章）：</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日期：</w:t>
      </w:r>
    </w:p>
    <w:p>
      <w:pPr>
        <w:widowControl/>
        <w:autoSpaceDE w:val="0"/>
        <w:autoSpaceDN w:val="0"/>
        <w:spacing w:line="300" w:lineRule="auto"/>
        <w:ind w:firstLine="482" w:firstLineChars="200"/>
        <w:jc w:val="left"/>
        <w:outlineLvl w:val="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备注：1、从业人员、营业收入、资产总额填报上一年度数据，无上一年度数据的新成立企业可不填报。</w:t>
      </w:r>
    </w:p>
    <w:p>
      <w:pPr>
        <w:rPr>
          <w:rFonts w:asciiTheme="minorEastAsia" w:hAnsiTheme="minorEastAsia" w:eastAsiaTheme="minorEastAsia"/>
          <w:sz w:val="24"/>
          <w:highlight w:val="none"/>
        </w:rPr>
      </w:pPr>
    </w:p>
    <w:p>
      <w:pPr>
        <w:pStyle w:val="101"/>
        <w:rPr>
          <w:rFonts w:asciiTheme="minorEastAsia" w:hAnsiTheme="minorEastAsia" w:eastAsiaTheme="minorEastAsia"/>
          <w:sz w:val="24"/>
          <w:szCs w:val="24"/>
          <w:highlight w:val="none"/>
        </w:rPr>
      </w:pPr>
    </w:p>
    <w:p>
      <w:pPr>
        <w:pStyle w:val="2"/>
        <w:rPr>
          <w:rFonts w:asciiTheme="minorEastAsia" w:hAnsiTheme="minorEastAsia" w:eastAsiaTheme="minorEastAsia"/>
          <w:highlight w:val="none"/>
        </w:rPr>
      </w:pPr>
    </w:p>
    <w:p>
      <w:pPr>
        <w:rPr>
          <w:rFonts w:asciiTheme="minorEastAsia" w:hAnsiTheme="minorEastAsia" w:eastAsiaTheme="minorEastAsia"/>
          <w:sz w:val="24"/>
          <w:highlight w:val="none"/>
        </w:rPr>
      </w:pPr>
    </w:p>
    <w:p>
      <w:pPr>
        <w:pStyle w:val="101"/>
        <w:rPr>
          <w:rFonts w:asciiTheme="minorEastAsia" w:hAnsiTheme="minorEastAsia" w:eastAsiaTheme="minorEastAsia"/>
          <w:sz w:val="24"/>
          <w:szCs w:val="24"/>
          <w:highlight w:val="none"/>
        </w:rPr>
      </w:pPr>
    </w:p>
    <w:p>
      <w:pPr>
        <w:rPr>
          <w:rFonts w:asciiTheme="minorEastAsia" w:hAnsiTheme="minorEastAsia" w:eastAsiaTheme="minorEastAsia"/>
          <w:sz w:val="24"/>
          <w:highlight w:val="none"/>
        </w:rPr>
      </w:pPr>
    </w:p>
    <w:p>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pPr>
        <w:adjustRightInd w:val="0"/>
        <w:snapToGrid w:val="0"/>
        <w:spacing w:line="360" w:lineRule="auto"/>
        <w:ind w:right="480"/>
        <w:outlineLvl w:val="0"/>
        <w:rPr>
          <w:rFonts w:ascii="宋体" w:hAnsi="宋体"/>
          <w:b/>
          <w:sz w:val="28"/>
          <w:highlight w:val="none"/>
        </w:rPr>
      </w:pPr>
      <w:bookmarkStart w:id="84" w:name="_Toc93048467"/>
      <w:r>
        <w:rPr>
          <w:rFonts w:hint="eastAsia" w:ascii="宋体" w:hAnsi="宋体"/>
          <w:b/>
          <w:sz w:val="28"/>
          <w:highlight w:val="none"/>
        </w:rPr>
        <w:t>附件</w:t>
      </w:r>
      <w:r>
        <w:rPr>
          <w:rFonts w:hint="eastAsia" w:ascii="宋体" w:hAnsi="宋体"/>
          <w:b/>
          <w:sz w:val="28"/>
          <w:highlight w:val="none"/>
          <w:lang w:val="en-US" w:eastAsia="zh-CN"/>
        </w:rPr>
        <w:t>4</w:t>
      </w:r>
      <w:r>
        <w:rPr>
          <w:rFonts w:hint="eastAsia" w:ascii="宋体" w:hAnsi="宋体"/>
          <w:b/>
          <w:sz w:val="28"/>
          <w:highlight w:val="none"/>
        </w:rPr>
        <w:t>-</w:t>
      </w:r>
      <w:r>
        <w:rPr>
          <w:rFonts w:ascii="宋体" w:hAnsi="宋体"/>
          <w:b/>
          <w:sz w:val="28"/>
          <w:highlight w:val="none"/>
        </w:rPr>
        <w:t>2</w:t>
      </w:r>
      <w:bookmarkEnd w:id="84"/>
    </w:p>
    <w:p>
      <w:pPr>
        <w:widowControl/>
        <w:autoSpaceDE w:val="0"/>
        <w:autoSpaceDN w:val="0"/>
        <w:spacing w:line="300" w:lineRule="auto"/>
        <w:ind w:firstLine="241" w:firstLineChars="100"/>
        <w:jc w:val="center"/>
        <w:outlineLvl w:val="2"/>
        <w:rPr>
          <w:rFonts w:asciiTheme="minorEastAsia" w:hAnsiTheme="minorEastAsia" w:eastAsiaTheme="minorEastAsia"/>
          <w:b/>
          <w:sz w:val="24"/>
          <w:highlight w:val="none"/>
        </w:rPr>
      </w:pPr>
    </w:p>
    <w:p>
      <w:pPr>
        <w:widowControl/>
        <w:autoSpaceDE w:val="0"/>
        <w:autoSpaceDN w:val="0"/>
        <w:spacing w:line="300" w:lineRule="auto"/>
        <w:ind w:firstLine="241" w:firstLineChars="100"/>
        <w:jc w:val="center"/>
        <w:outlineLvl w:val="2"/>
        <w:rPr>
          <w:rFonts w:asciiTheme="minorEastAsia" w:hAnsiTheme="minorEastAsia" w:eastAsiaTheme="minorEastAsia"/>
          <w:b/>
          <w:sz w:val="24"/>
          <w:highlight w:val="none"/>
        </w:rPr>
      </w:pPr>
      <w:r>
        <w:rPr>
          <w:rFonts w:asciiTheme="minorEastAsia" w:hAnsiTheme="minorEastAsia" w:eastAsiaTheme="minorEastAsia"/>
          <w:b/>
          <w:sz w:val="24"/>
          <w:highlight w:val="none"/>
        </w:rPr>
        <w:t>监狱企业</w:t>
      </w:r>
      <w:r>
        <w:rPr>
          <w:rFonts w:hint="eastAsia" w:asciiTheme="minorEastAsia" w:hAnsiTheme="minorEastAsia" w:eastAsiaTheme="minorEastAsia"/>
          <w:b/>
          <w:sz w:val="24"/>
          <w:highlight w:val="none"/>
        </w:rPr>
        <w:t>证明文件</w:t>
      </w:r>
    </w:p>
    <w:p>
      <w:pPr>
        <w:widowControl/>
        <w:autoSpaceDE w:val="0"/>
        <w:autoSpaceDN w:val="0"/>
        <w:spacing w:line="300" w:lineRule="auto"/>
        <w:ind w:firstLine="241" w:firstLineChars="100"/>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不属于监狱企业的无需填写</w:t>
      </w:r>
      <w:r>
        <w:rPr>
          <w:rFonts w:hint="eastAsia" w:asciiTheme="minorEastAsia" w:hAnsiTheme="minorEastAsia" w:eastAsiaTheme="minorEastAsia"/>
          <w:b/>
          <w:bCs/>
          <w:sz w:val="24"/>
          <w:highlight w:val="none"/>
        </w:rPr>
        <w:t>）</w:t>
      </w:r>
    </w:p>
    <w:tbl>
      <w:tblPr>
        <w:tblStyle w:val="4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ind w:firstLine="426" w:firstLineChars="177"/>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备注:（1）根据《关于政府采购支持监狱企业发展有关问题的通知》（财库[2014]68号）的规定，符合规定要求的供应商视同为小型和微型企业。</w:t>
            </w:r>
          </w:p>
          <w:p>
            <w:pPr>
              <w:spacing w:line="360" w:lineRule="auto"/>
              <w:ind w:firstLine="426" w:firstLineChars="177"/>
              <w:rPr>
                <w:rFonts w:cs="Arial" w:asciiTheme="minorEastAsia" w:hAnsiTheme="minorEastAsia" w:eastAsiaTheme="minorEastAsia"/>
                <w:b/>
                <w:i/>
                <w:kern w:val="0"/>
                <w:sz w:val="24"/>
                <w:highlight w:val="none"/>
              </w:rPr>
            </w:pPr>
            <w:r>
              <w:rPr>
                <w:rFonts w:hint="eastAsia" w:asciiTheme="minorEastAsia" w:hAnsiTheme="minorEastAsia" w:eastAsiaTheme="minorEastAsia"/>
                <w:b/>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autoSpaceDE w:val="0"/>
        <w:autoSpaceDN w:val="0"/>
        <w:spacing w:line="300" w:lineRule="auto"/>
        <w:ind w:firstLine="241" w:firstLineChars="100"/>
        <w:jc w:val="center"/>
        <w:outlineLvl w:val="2"/>
        <w:rPr>
          <w:rFonts w:asciiTheme="minorEastAsia" w:hAnsiTheme="minorEastAsia" w:eastAsiaTheme="minorEastAsia"/>
          <w:b/>
          <w:bCs/>
          <w:sz w:val="24"/>
          <w:highlight w:val="none"/>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highlight w:val="none"/>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highlight w:val="none"/>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highlight w:val="none"/>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highlight w:val="none"/>
        </w:rPr>
      </w:pPr>
    </w:p>
    <w:p>
      <w:pPr>
        <w:widowControl/>
        <w:autoSpaceDE w:val="0"/>
        <w:autoSpaceDN w:val="0"/>
        <w:spacing w:line="300" w:lineRule="auto"/>
        <w:ind w:firstLine="241" w:firstLineChars="100"/>
        <w:jc w:val="center"/>
        <w:outlineLvl w:val="2"/>
        <w:rPr>
          <w:rFonts w:asciiTheme="minorEastAsia" w:hAnsiTheme="minorEastAsia" w:eastAsiaTheme="minorEastAsia"/>
          <w:b/>
          <w:sz w:val="24"/>
          <w:highlight w:val="none"/>
        </w:rPr>
      </w:pPr>
    </w:p>
    <w:p>
      <w:pPr>
        <w:widowControl/>
        <w:autoSpaceDE w:val="0"/>
        <w:autoSpaceDN w:val="0"/>
        <w:spacing w:line="300" w:lineRule="auto"/>
        <w:ind w:firstLine="240" w:firstLineChars="100"/>
        <w:jc w:val="center"/>
        <w:outlineLvl w:val="2"/>
        <w:rPr>
          <w:rFonts w:asciiTheme="minorEastAsia" w:hAnsiTheme="minorEastAsia" w:eastAsiaTheme="minorEastAsia"/>
          <w:sz w:val="24"/>
          <w:highlight w:val="none"/>
        </w:rPr>
      </w:pPr>
    </w:p>
    <w:p>
      <w:pPr>
        <w:widowControl/>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br w:type="page"/>
      </w:r>
    </w:p>
    <w:p>
      <w:pPr>
        <w:adjustRightInd w:val="0"/>
        <w:snapToGrid w:val="0"/>
        <w:spacing w:line="360" w:lineRule="auto"/>
        <w:ind w:right="480"/>
        <w:outlineLvl w:val="0"/>
        <w:rPr>
          <w:rFonts w:ascii="宋体" w:hAnsi="宋体"/>
          <w:b/>
          <w:sz w:val="28"/>
          <w:highlight w:val="none"/>
        </w:rPr>
      </w:pPr>
      <w:bookmarkStart w:id="85" w:name="_Toc93048468"/>
      <w:r>
        <w:rPr>
          <w:rFonts w:hint="eastAsia" w:ascii="宋体" w:hAnsi="宋体"/>
          <w:b/>
          <w:sz w:val="28"/>
          <w:highlight w:val="none"/>
        </w:rPr>
        <w:t>附件</w:t>
      </w:r>
      <w:r>
        <w:rPr>
          <w:rFonts w:hint="eastAsia" w:ascii="宋体" w:hAnsi="宋体"/>
          <w:b/>
          <w:sz w:val="28"/>
          <w:highlight w:val="none"/>
          <w:lang w:val="en-US" w:eastAsia="zh-CN"/>
        </w:rPr>
        <w:t>4</w:t>
      </w:r>
      <w:r>
        <w:rPr>
          <w:rFonts w:hint="eastAsia" w:ascii="宋体" w:hAnsi="宋体"/>
          <w:b/>
          <w:sz w:val="28"/>
          <w:highlight w:val="none"/>
        </w:rPr>
        <w:t>-</w:t>
      </w:r>
      <w:r>
        <w:rPr>
          <w:rFonts w:ascii="宋体" w:hAnsi="宋体"/>
          <w:b/>
          <w:sz w:val="28"/>
          <w:highlight w:val="none"/>
        </w:rPr>
        <w:t>3</w:t>
      </w:r>
      <w:bookmarkEnd w:id="85"/>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highlight w:val="none"/>
        </w:rPr>
      </w:pPr>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残疾人福利性单位声明函</w:t>
      </w:r>
    </w:p>
    <w:p>
      <w:pPr>
        <w:pStyle w:val="19"/>
        <w:jc w:val="center"/>
        <w:rPr>
          <w:highlight w:val="none"/>
        </w:rPr>
      </w:pP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不属于</w:t>
      </w:r>
      <w:r>
        <w:rPr>
          <w:rFonts w:hint="eastAsia" w:asciiTheme="minorEastAsia" w:hAnsiTheme="minorEastAsia" w:eastAsiaTheme="minorEastAsia"/>
          <w:b/>
          <w:sz w:val="24"/>
          <w:highlight w:val="none"/>
        </w:rPr>
        <w:t>残疾人福利性单位</w:t>
      </w:r>
      <w:r>
        <w:rPr>
          <w:rFonts w:asciiTheme="minorEastAsia" w:hAnsiTheme="minorEastAsia" w:eastAsiaTheme="minorEastAsia"/>
          <w:b/>
          <w:bCs/>
          <w:sz w:val="24"/>
          <w:highlight w:val="none"/>
        </w:rPr>
        <w:t>的无需填写</w:t>
      </w:r>
      <w:r>
        <w:rPr>
          <w:rFonts w:hint="eastAsia" w:asciiTheme="minorEastAsia" w:hAnsiTheme="minorEastAsia" w:eastAsiaTheme="minorEastAsia"/>
          <w:b/>
          <w:bCs/>
          <w:sz w:val="24"/>
          <w:highlight w:val="none"/>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项目采购活动提供本单位制造的货物（由本单位承担工程/提供服务），</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highlight w:val="none"/>
        </w:rPr>
      </w:pPr>
      <w:r>
        <w:rPr>
          <w:rFonts w:asciiTheme="minorEastAsia" w:hAnsiTheme="minorEastAsia" w:eastAsiaTheme="minorEastAsia"/>
          <w:sz w:val="24"/>
          <w:highlight w:val="none"/>
        </w:rPr>
        <w:t>本单位对上述声明的真实性负责。如有虚假，将依法承担相应责任。</w:t>
      </w:r>
    </w:p>
    <w:p>
      <w:pPr>
        <w:pStyle w:val="19"/>
        <w:rPr>
          <w:highlight w:val="none"/>
        </w:rPr>
      </w:pPr>
    </w:p>
    <w:p>
      <w:pPr>
        <w:rPr>
          <w:highlight w:val="none"/>
        </w:rPr>
      </w:pPr>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磋商响应供应商</w:t>
      </w:r>
      <w:r>
        <w:rPr>
          <w:rFonts w:asciiTheme="minorEastAsia" w:hAnsiTheme="minorEastAsia" w:eastAsiaTheme="minorEastAsia"/>
          <w:b/>
          <w:bCs/>
          <w:sz w:val="24"/>
          <w:highlight w:val="none"/>
        </w:rPr>
        <w:t>名称（盖章）：</w:t>
      </w:r>
    </w:p>
    <w:p>
      <w:pPr>
        <w:pStyle w:val="19"/>
        <w:rPr>
          <w:highlight w:val="none"/>
        </w:rPr>
      </w:pPr>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日期：</w:t>
      </w:r>
    </w:p>
    <w:p>
      <w:pPr>
        <w:widowControl/>
        <w:jc w:val="left"/>
        <w:rPr>
          <w:rFonts w:asciiTheme="minorEastAsia" w:hAnsiTheme="minorEastAsia" w:eastAsiaTheme="minorEastAsia"/>
          <w:b/>
          <w:bCs/>
          <w:sz w:val="24"/>
          <w:highlight w:val="none"/>
        </w:rPr>
      </w:pPr>
      <w:r>
        <w:rPr>
          <w:rFonts w:asciiTheme="minorEastAsia" w:hAnsiTheme="minorEastAsia" w:eastAsiaTheme="minorEastAsia"/>
          <w:sz w:val="24"/>
          <w:highlight w:val="none"/>
        </w:rPr>
        <w:br w:type="page"/>
      </w:r>
    </w:p>
    <w:p>
      <w:pPr>
        <w:widowControl/>
        <w:jc w:val="center"/>
        <w:rPr>
          <w:b/>
          <w:bCs/>
          <w:sz w:val="36"/>
          <w:szCs w:val="36"/>
          <w:highlight w:val="none"/>
          <w:lang w:val="zh-CN"/>
        </w:rPr>
      </w:pPr>
      <w:r>
        <w:rPr>
          <w:rFonts w:hint="eastAsia"/>
          <w:b/>
          <w:bCs/>
          <w:sz w:val="36"/>
          <w:szCs w:val="36"/>
          <w:highlight w:val="none"/>
          <w:lang w:val="zh-CN"/>
        </w:rPr>
        <w:t>商务与技术内容目录</w:t>
      </w:r>
      <w:bookmarkEnd w:id="79"/>
      <w:bookmarkEnd w:id="80"/>
    </w:p>
    <w:p>
      <w:pPr>
        <w:pStyle w:val="40"/>
        <w:ind w:left="0" w:leftChars="0" w:firstLine="0"/>
        <w:rPr>
          <w:b/>
          <w:bCs/>
          <w:sz w:val="36"/>
          <w:szCs w:val="36"/>
          <w:highlight w:val="none"/>
          <w:lang w:val="zh-CN"/>
        </w:rPr>
      </w:pPr>
    </w:p>
    <w:p>
      <w:pPr>
        <w:pStyle w:val="35"/>
        <w:ind w:left="0" w:leftChars="0" w:firstLine="470"/>
        <w:rPr>
          <w:rStyle w:val="47"/>
          <w:b w:val="0"/>
          <w:color w:val="auto"/>
          <w:highlight w:val="none"/>
          <w:u w:val="none"/>
        </w:rPr>
      </w:pP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（1）供应商基本情况表；（附件</w:t>
      </w:r>
      <w:r>
        <w:rPr>
          <w:rFonts w:hint="eastAsia" w:cs="Times New Roman"/>
          <w:b w:val="0"/>
          <w:color w:val="auto"/>
          <w:kern w:val="0"/>
          <w:sz w:val="24"/>
          <w:szCs w:val="24"/>
          <w:highlight w:val="none"/>
          <w:lang w:val="en-US" w:eastAsia="zh-CN" w:bidi="ar-SA"/>
        </w:rPr>
        <w:t>5</w:t>
      </w:r>
      <w:r>
        <w:rPr>
          <w:rFonts w:hint="eastAsia" w:ascii="宋体" w:hAnsi="宋体" w:eastAsia="宋体" w:cs="Times New Roman"/>
          <w:b w:val="0"/>
          <w:color w:val="auto"/>
          <w:kern w:val="0"/>
          <w:sz w:val="24"/>
          <w:szCs w:val="24"/>
          <w:highlight w:val="none"/>
          <w:lang w:val="en-US" w:eastAsia="zh-CN" w:bidi="ar-SA"/>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（2）法定代表人诚信投标承诺书；（附件</w:t>
      </w:r>
      <w:r>
        <w:rPr>
          <w:rFonts w:hint="eastAsia" w:cs="Times New Roman"/>
          <w:b w:val="0"/>
          <w:color w:val="auto"/>
          <w:kern w:val="0"/>
          <w:sz w:val="24"/>
          <w:szCs w:val="24"/>
          <w:highlight w:val="none"/>
          <w:lang w:val="en-US" w:eastAsia="zh-CN" w:bidi="ar-SA"/>
        </w:rPr>
        <w:t>6</w:t>
      </w:r>
      <w:r>
        <w:rPr>
          <w:rFonts w:hint="eastAsia" w:ascii="宋体" w:hAnsi="宋体" w:eastAsia="宋体" w:cs="Times New Roman"/>
          <w:b w:val="0"/>
          <w:color w:val="auto"/>
          <w:kern w:val="0"/>
          <w:sz w:val="24"/>
          <w:szCs w:val="24"/>
          <w:highlight w:val="none"/>
          <w:lang w:val="en-US" w:eastAsia="zh-CN" w:bidi="ar-SA"/>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（3）供应商类似项目实施情况一览表；(附件</w:t>
      </w:r>
      <w:r>
        <w:rPr>
          <w:rFonts w:hint="eastAsia" w:cs="Times New Roman"/>
          <w:b w:val="0"/>
          <w:color w:val="auto"/>
          <w:kern w:val="0"/>
          <w:sz w:val="24"/>
          <w:szCs w:val="24"/>
          <w:highlight w:val="none"/>
          <w:lang w:val="en-US" w:eastAsia="zh-CN" w:bidi="ar-SA"/>
        </w:rPr>
        <w:t>7</w:t>
      </w:r>
      <w:r>
        <w:rPr>
          <w:rFonts w:hint="eastAsia" w:ascii="宋体" w:hAnsi="宋体" w:eastAsia="宋体" w:cs="Times New Roman"/>
          <w:b w:val="0"/>
          <w:color w:val="auto"/>
          <w:kern w:val="0"/>
          <w:sz w:val="24"/>
          <w:szCs w:val="24"/>
          <w:highlight w:val="none"/>
          <w:lang w:val="en-US" w:eastAsia="zh-CN" w:bidi="ar-SA"/>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（4）项目负责人简历表；（附件</w:t>
      </w:r>
      <w:r>
        <w:rPr>
          <w:rFonts w:hint="eastAsia" w:cs="Times New Roman"/>
          <w:b w:val="0"/>
          <w:color w:val="auto"/>
          <w:kern w:val="0"/>
          <w:sz w:val="24"/>
          <w:szCs w:val="24"/>
          <w:highlight w:val="none"/>
          <w:lang w:val="en-US" w:eastAsia="zh-CN" w:bidi="ar-SA"/>
        </w:rPr>
        <w:t>8</w:t>
      </w:r>
      <w:r>
        <w:rPr>
          <w:rFonts w:hint="eastAsia" w:ascii="宋体" w:hAnsi="宋体" w:eastAsia="宋体" w:cs="Times New Roman"/>
          <w:b w:val="0"/>
          <w:color w:val="auto"/>
          <w:kern w:val="0"/>
          <w:sz w:val="24"/>
          <w:szCs w:val="24"/>
          <w:highlight w:val="none"/>
          <w:lang w:val="en-US" w:eastAsia="zh-CN" w:bidi="ar-SA"/>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（5）项目实施人员一览表；（附件</w:t>
      </w:r>
      <w:r>
        <w:rPr>
          <w:rFonts w:hint="eastAsia" w:cs="Times New Roman"/>
          <w:b w:val="0"/>
          <w:color w:val="auto"/>
          <w:kern w:val="0"/>
          <w:sz w:val="24"/>
          <w:szCs w:val="24"/>
          <w:highlight w:val="none"/>
          <w:lang w:val="en-US" w:eastAsia="zh-CN" w:bidi="ar-SA"/>
        </w:rPr>
        <w:t>9</w:t>
      </w:r>
      <w:r>
        <w:rPr>
          <w:rFonts w:hint="eastAsia" w:ascii="宋体" w:hAnsi="宋体" w:eastAsia="宋体" w:cs="Times New Roman"/>
          <w:b w:val="0"/>
          <w:color w:val="auto"/>
          <w:kern w:val="0"/>
          <w:sz w:val="24"/>
          <w:szCs w:val="24"/>
          <w:highlight w:val="none"/>
          <w:lang w:val="en-US" w:eastAsia="zh-CN" w:bidi="ar-SA"/>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（6）拟投入设备一览表（附件1</w:t>
      </w:r>
      <w:r>
        <w:rPr>
          <w:rFonts w:hint="eastAsia" w:cs="Times New Roman"/>
          <w:b w:val="0"/>
          <w:color w:val="auto"/>
          <w:kern w:val="0"/>
          <w:sz w:val="24"/>
          <w:szCs w:val="24"/>
          <w:highlight w:val="none"/>
          <w:lang w:val="en-US" w:eastAsia="zh-CN" w:bidi="ar-SA"/>
        </w:rPr>
        <w:t>0</w:t>
      </w:r>
      <w:r>
        <w:rPr>
          <w:rFonts w:hint="eastAsia" w:ascii="宋体" w:hAnsi="宋体" w:eastAsia="宋体" w:cs="Times New Roman"/>
          <w:b w:val="0"/>
          <w:color w:val="auto"/>
          <w:kern w:val="0"/>
          <w:sz w:val="24"/>
          <w:szCs w:val="24"/>
          <w:highlight w:val="none"/>
          <w:lang w:val="en-US" w:eastAsia="zh-CN" w:bidi="ar-SA"/>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（7）施工组织设计方案。</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70"/>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（8）投标人需要说明的其他内容（包括可能影响投标人技术性能评分项的各类证明材料）</w:t>
      </w: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pStyle w:val="82"/>
        <w:spacing w:before="0" w:beforeAutospacing="0" w:after="0" w:afterAutospacing="0" w:line="360" w:lineRule="auto"/>
        <w:ind w:firstLine="482" w:firstLineChars="200"/>
        <w:jc w:val="both"/>
        <w:rPr>
          <w:b/>
          <w:highlight w:val="none"/>
        </w:rPr>
      </w:pPr>
    </w:p>
    <w:p>
      <w:pPr>
        <w:widowControl/>
        <w:jc w:val="left"/>
        <w:rPr>
          <w:rFonts w:ascii="宋体" w:hAnsi="宋体"/>
          <w:b/>
          <w:sz w:val="24"/>
          <w:highlight w:val="none"/>
        </w:rPr>
      </w:pPr>
      <w:r>
        <w:rPr>
          <w:rFonts w:ascii="宋体" w:hAnsi="宋体"/>
          <w:b/>
          <w:sz w:val="24"/>
          <w:highlight w:val="none"/>
        </w:rPr>
        <w:br w:type="page"/>
      </w:r>
    </w:p>
    <w:p>
      <w:pPr>
        <w:adjustRightInd w:val="0"/>
        <w:snapToGrid w:val="0"/>
        <w:spacing w:line="360" w:lineRule="auto"/>
        <w:ind w:right="480"/>
        <w:outlineLvl w:val="0"/>
        <w:rPr>
          <w:rFonts w:hint="eastAsia" w:ascii="宋体" w:hAnsi="宋体" w:eastAsia="宋体"/>
          <w:b/>
          <w:sz w:val="28"/>
          <w:highlight w:val="none"/>
          <w:lang w:eastAsia="zh-CN"/>
        </w:rPr>
      </w:pPr>
      <w:bookmarkStart w:id="86" w:name="_Toc93048470"/>
      <w:bookmarkStart w:id="87" w:name="_Toc14261_WPSOffice_Level1"/>
      <w:bookmarkStart w:id="88" w:name="_Toc13307_WPSOffice_Level1"/>
      <w:r>
        <w:rPr>
          <w:rFonts w:hint="eastAsia" w:ascii="宋体" w:hAnsi="宋体"/>
          <w:b/>
          <w:sz w:val="28"/>
          <w:highlight w:val="none"/>
        </w:rPr>
        <w:t>附件</w:t>
      </w:r>
      <w:bookmarkEnd w:id="86"/>
      <w:r>
        <w:rPr>
          <w:rFonts w:hint="eastAsia" w:ascii="宋体" w:hAnsi="宋体"/>
          <w:b/>
          <w:sz w:val="28"/>
          <w:highlight w:val="none"/>
          <w:lang w:val="en-US" w:eastAsia="zh-CN"/>
        </w:rPr>
        <w:t>5</w:t>
      </w:r>
    </w:p>
    <w:p>
      <w:pPr>
        <w:pStyle w:val="82"/>
        <w:spacing w:before="0" w:beforeAutospacing="0" w:after="0" w:afterAutospacing="0" w:line="360" w:lineRule="auto"/>
        <w:jc w:val="center"/>
        <w:rPr>
          <w:rFonts w:eastAsia="微软雅黑"/>
          <w:sz w:val="36"/>
          <w:szCs w:val="36"/>
          <w:highlight w:val="none"/>
        </w:rPr>
      </w:pPr>
      <w:r>
        <w:rPr>
          <w:rFonts w:hint="eastAsia"/>
          <w:b/>
          <w:sz w:val="32"/>
          <w:szCs w:val="32"/>
          <w:highlight w:val="none"/>
        </w:rPr>
        <w:t>供应商</w:t>
      </w:r>
      <w:r>
        <w:rPr>
          <w:rFonts w:hint="eastAsia"/>
          <w:b/>
          <w:bCs/>
          <w:spacing w:val="21"/>
          <w:sz w:val="32"/>
          <w:szCs w:val="32"/>
          <w:highlight w:val="none"/>
        </w:rPr>
        <w:t>基本情况表</w:t>
      </w:r>
      <w:bookmarkEnd w:id="87"/>
      <w:bookmarkEnd w:id="88"/>
    </w:p>
    <w:tbl>
      <w:tblPr>
        <w:tblStyle w:val="41"/>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pPr>
              <w:pStyle w:val="82"/>
              <w:spacing w:before="0" w:beforeAutospacing="0" w:after="0" w:afterAutospacing="0" w:line="280" w:lineRule="exact"/>
              <w:rPr>
                <w:bCs/>
                <w:sz w:val="21"/>
                <w:szCs w:val="21"/>
                <w:highlight w:val="none"/>
              </w:rPr>
            </w:pPr>
            <w:r>
              <w:rPr>
                <w:rFonts w:hint="eastAsia"/>
                <w:bCs/>
                <w:spacing w:val="27"/>
                <w:sz w:val="21"/>
                <w:szCs w:val="21"/>
                <w:highlight w:val="none"/>
              </w:rPr>
              <w:t>企业名称</w:t>
            </w:r>
          </w:p>
        </w:tc>
        <w:tc>
          <w:tcPr>
            <w:tcW w:w="4678" w:type="dxa"/>
            <w:gridSpan w:val="7"/>
            <w:vAlign w:val="center"/>
          </w:tcPr>
          <w:p>
            <w:pPr>
              <w:pStyle w:val="82"/>
              <w:spacing w:before="0" w:beforeAutospacing="0" w:after="0" w:afterAutospacing="0" w:line="280" w:lineRule="exact"/>
              <w:rPr>
                <w:bCs/>
                <w:sz w:val="21"/>
                <w:szCs w:val="21"/>
                <w:highlight w:val="none"/>
              </w:rPr>
            </w:pPr>
          </w:p>
        </w:tc>
        <w:tc>
          <w:tcPr>
            <w:tcW w:w="1723" w:type="dxa"/>
            <w:gridSpan w:val="2"/>
            <w:vAlign w:val="center"/>
          </w:tcPr>
          <w:p>
            <w:pPr>
              <w:pStyle w:val="82"/>
              <w:spacing w:before="0" w:beforeAutospacing="0" w:after="0" w:afterAutospacing="0" w:line="280" w:lineRule="exact"/>
              <w:ind w:firstLine="484"/>
              <w:rPr>
                <w:bCs/>
                <w:sz w:val="21"/>
                <w:szCs w:val="21"/>
                <w:highlight w:val="none"/>
              </w:rPr>
            </w:pPr>
            <w:r>
              <w:rPr>
                <w:rFonts w:hint="eastAsia"/>
                <w:bCs/>
                <w:spacing w:val="16"/>
                <w:sz w:val="21"/>
                <w:szCs w:val="21"/>
                <w:highlight w:val="none"/>
              </w:rPr>
              <w:t>法人代表</w:t>
            </w:r>
          </w:p>
        </w:tc>
        <w:tc>
          <w:tcPr>
            <w:tcW w:w="2258" w:type="dxa"/>
            <w:gridSpan w:val="2"/>
            <w:vAlign w:val="center"/>
          </w:tcPr>
          <w:p>
            <w:pPr>
              <w:pStyle w:val="82"/>
              <w:spacing w:before="0" w:beforeAutospacing="0" w:after="0" w:afterAutospacing="0" w:line="280" w:lineRule="exact"/>
              <w:rPr>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pPr>
              <w:pStyle w:val="82"/>
              <w:spacing w:before="0" w:beforeAutospacing="0" w:after="0" w:afterAutospacing="0" w:line="280" w:lineRule="exact"/>
              <w:rPr>
                <w:bCs/>
                <w:spacing w:val="16"/>
                <w:sz w:val="21"/>
                <w:szCs w:val="21"/>
                <w:highlight w:val="none"/>
              </w:rPr>
            </w:pPr>
            <w:r>
              <w:rPr>
                <w:rFonts w:hint="eastAsia"/>
                <w:bCs/>
                <w:spacing w:val="27"/>
                <w:sz w:val="21"/>
                <w:szCs w:val="21"/>
                <w:highlight w:val="none"/>
              </w:rPr>
              <w:t>地址</w:t>
            </w:r>
          </w:p>
        </w:tc>
        <w:tc>
          <w:tcPr>
            <w:tcW w:w="4678" w:type="dxa"/>
            <w:gridSpan w:val="7"/>
            <w:tcBorders>
              <w:bottom w:val="single" w:color="auto" w:sz="4" w:space="0"/>
            </w:tcBorders>
            <w:vAlign w:val="center"/>
          </w:tcPr>
          <w:p>
            <w:pPr>
              <w:pStyle w:val="82"/>
              <w:spacing w:before="0" w:beforeAutospacing="0" w:after="0" w:afterAutospacing="0" w:line="280" w:lineRule="exact"/>
              <w:ind w:firstLine="484"/>
              <w:rPr>
                <w:bCs/>
                <w:spacing w:val="16"/>
                <w:sz w:val="21"/>
                <w:szCs w:val="21"/>
                <w:highlight w:val="none"/>
              </w:rPr>
            </w:pPr>
          </w:p>
        </w:tc>
        <w:tc>
          <w:tcPr>
            <w:tcW w:w="1723" w:type="dxa"/>
            <w:gridSpan w:val="2"/>
            <w:vAlign w:val="center"/>
          </w:tcPr>
          <w:p>
            <w:pPr>
              <w:pStyle w:val="82"/>
              <w:spacing w:before="0" w:beforeAutospacing="0" w:after="0" w:afterAutospacing="0" w:line="280" w:lineRule="exact"/>
              <w:ind w:firstLine="484"/>
              <w:rPr>
                <w:bCs/>
                <w:spacing w:val="16"/>
                <w:sz w:val="21"/>
                <w:szCs w:val="21"/>
                <w:highlight w:val="none"/>
              </w:rPr>
            </w:pPr>
            <w:r>
              <w:rPr>
                <w:rFonts w:hint="eastAsia"/>
                <w:bCs/>
                <w:spacing w:val="16"/>
                <w:sz w:val="21"/>
                <w:szCs w:val="21"/>
                <w:highlight w:val="none"/>
              </w:rPr>
              <w:t>企业性质</w:t>
            </w:r>
          </w:p>
        </w:tc>
        <w:tc>
          <w:tcPr>
            <w:tcW w:w="2258" w:type="dxa"/>
            <w:gridSpan w:val="2"/>
            <w:vAlign w:val="center"/>
          </w:tcPr>
          <w:p>
            <w:pPr>
              <w:pStyle w:val="82"/>
              <w:spacing w:before="0" w:beforeAutospacing="0" w:after="0" w:afterAutospacing="0" w:line="280" w:lineRule="exact"/>
              <w:ind w:firstLine="484"/>
              <w:rPr>
                <w:bCs/>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pPr>
              <w:pStyle w:val="82"/>
              <w:spacing w:before="0" w:beforeAutospacing="0" w:after="0" w:afterAutospacing="0" w:line="280" w:lineRule="exact"/>
              <w:ind w:right="-107" w:rightChars="-51"/>
              <w:rPr>
                <w:bCs/>
                <w:spacing w:val="16"/>
                <w:sz w:val="21"/>
                <w:szCs w:val="21"/>
                <w:highlight w:val="none"/>
              </w:rPr>
            </w:pPr>
            <w:r>
              <w:rPr>
                <w:rFonts w:hint="eastAsia"/>
                <w:bCs/>
                <w:spacing w:val="27"/>
                <w:sz w:val="21"/>
                <w:szCs w:val="21"/>
                <w:highlight w:val="none"/>
              </w:rPr>
              <w:t>股东姓名</w:t>
            </w:r>
          </w:p>
        </w:tc>
        <w:tc>
          <w:tcPr>
            <w:tcW w:w="860" w:type="dxa"/>
            <w:tcBorders>
              <w:bottom w:val="single" w:color="auto" w:sz="4" w:space="0"/>
            </w:tcBorders>
            <w:vAlign w:val="center"/>
          </w:tcPr>
          <w:p>
            <w:pPr>
              <w:pStyle w:val="82"/>
              <w:spacing w:before="0" w:beforeAutospacing="0" w:after="0" w:afterAutospacing="0" w:line="280" w:lineRule="exact"/>
              <w:ind w:firstLine="484"/>
              <w:jc w:val="center"/>
              <w:rPr>
                <w:bCs/>
                <w:spacing w:val="16"/>
                <w:sz w:val="21"/>
                <w:szCs w:val="21"/>
                <w:highlight w:val="none"/>
              </w:rPr>
            </w:pPr>
          </w:p>
        </w:tc>
        <w:tc>
          <w:tcPr>
            <w:tcW w:w="1267" w:type="dxa"/>
            <w:gridSpan w:val="2"/>
            <w:tcBorders>
              <w:bottom w:val="single" w:color="auto" w:sz="4" w:space="0"/>
            </w:tcBorders>
            <w:vAlign w:val="center"/>
          </w:tcPr>
          <w:p>
            <w:pPr>
              <w:pStyle w:val="82"/>
              <w:spacing w:before="0" w:beforeAutospacing="0" w:after="0" w:afterAutospacing="0" w:line="280" w:lineRule="exact"/>
              <w:rPr>
                <w:bCs/>
                <w:spacing w:val="16"/>
                <w:sz w:val="21"/>
                <w:szCs w:val="21"/>
                <w:highlight w:val="none"/>
              </w:rPr>
            </w:pPr>
            <w:r>
              <w:rPr>
                <w:rFonts w:hint="eastAsia"/>
                <w:bCs/>
                <w:spacing w:val="16"/>
                <w:sz w:val="21"/>
                <w:szCs w:val="21"/>
                <w:highlight w:val="none"/>
              </w:rPr>
              <w:t>股权结构（%）</w:t>
            </w:r>
          </w:p>
        </w:tc>
        <w:tc>
          <w:tcPr>
            <w:tcW w:w="2551" w:type="dxa"/>
            <w:gridSpan w:val="4"/>
            <w:tcBorders>
              <w:bottom w:val="single" w:color="auto" w:sz="4" w:space="0"/>
            </w:tcBorders>
            <w:vAlign w:val="center"/>
          </w:tcPr>
          <w:p>
            <w:pPr>
              <w:widowControl/>
              <w:spacing w:line="280" w:lineRule="exact"/>
              <w:jc w:val="left"/>
              <w:rPr>
                <w:rFonts w:ascii="宋体" w:hAnsi="宋体" w:cs="宋体"/>
                <w:bCs/>
                <w:spacing w:val="16"/>
                <w:kern w:val="0"/>
                <w:szCs w:val="21"/>
                <w:highlight w:val="none"/>
              </w:rPr>
            </w:pPr>
          </w:p>
          <w:p>
            <w:pPr>
              <w:pStyle w:val="82"/>
              <w:spacing w:before="0" w:beforeAutospacing="0" w:after="0" w:afterAutospacing="0" w:line="280" w:lineRule="exact"/>
              <w:ind w:firstLine="484"/>
              <w:rPr>
                <w:bCs/>
                <w:spacing w:val="16"/>
                <w:sz w:val="21"/>
                <w:szCs w:val="21"/>
                <w:highlight w:val="none"/>
              </w:rPr>
            </w:pPr>
          </w:p>
        </w:tc>
        <w:tc>
          <w:tcPr>
            <w:tcW w:w="1723" w:type="dxa"/>
            <w:gridSpan w:val="2"/>
            <w:vAlign w:val="center"/>
          </w:tcPr>
          <w:p>
            <w:pPr>
              <w:pStyle w:val="82"/>
              <w:spacing w:before="0" w:beforeAutospacing="0" w:after="0" w:afterAutospacing="0" w:line="280" w:lineRule="exact"/>
              <w:ind w:firstLine="484"/>
              <w:rPr>
                <w:bCs/>
                <w:spacing w:val="16"/>
                <w:sz w:val="21"/>
                <w:szCs w:val="21"/>
                <w:highlight w:val="none"/>
              </w:rPr>
            </w:pPr>
            <w:r>
              <w:rPr>
                <w:rFonts w:hint="eastAsia"/>
                <w:bCs/>
                <w:spacing w:val="16"/>
                <w:sz w:val="21"/>
                <w:szCs w:val="21"/>
                <w:highlight w:val="none"/>
              </w:rPr>
              <w:t>股东关系</w:t>
            </w:r>
          </w:p>
        </w:tc>
        <w:tc>
          <w:tcPr>
            <w:tcW w:w="2258" w:type="dxa"/>
            <w:gridSpan w:val="2"/>
            <w:vAlign w:val="center"/>
          </w:tcPr>
          <w:p>
            <w:pPr>
              <w:pStyle w:val="82"/>
              <w:spacing w:before="0" w:beforeAutospacing="0" w:after="0" w:afterAutospacing="0" w:line="280" w:lineRule="exact"/>
              <w:ind w:firstLine="484"/>
              <w:rPr>
                <w:bCs/>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pPr>
              <w:pStyle w:val="82"/>
              <w:spacing w:before="0" w:beforeAutospacing="0" w:after="0" w:afterAutospacing="0" w:line="280" w:lineRule="exact"/>
              <w:ind w:right="-107" w:rightChars="-51"/>
              <w:rPr>
                <w:bCs/>
                <w:spacing w:val="16"/>
                <w:sz w:val="21"/>
                <w:szCs w:val="21"/>
                <w:highlight w:val="none"/>
              </w:rPr>
            </w:pPr>
            <w:r>
              <w:rPr>
                <w:rFonts w:hint="eastAsia"/>
                <w:bCs/>
                <w:spacing w:val="12"/>
                <w:sz w:val="21"/>
                <w:szCs w:val="21"/>
                <w:highlight w:val="none"/>
              </w:rPr>
              <w:t>联系人</w:t>
            </w:r>
            <w:r>
              <w:rPr>
                <w:rFonts w:hint="eastAsia"/>
                <w:bCs/>
                <w:spacing w:val="27"/>
                <w:sz w:val="21"/>
                <w:szCs w:val="21"/>
                <w:highlight w:val="none"/>
              </w:rPr>
              <w:t>姓名</w:t>
            </w:r>
          </w:p>
        </w:tc>
        <w:tc>
          <w:tcPr>
            <w:tcW w:w="860" w:type="dxa"/>
            <w:vMerge w:val="restart"/>
            <w:tcBorders>
              <w:top w:val="nil"/>
            </w:tcBorders>
            <w:vAlign w:val="center"/>
          </w:tcPr>
          <w:p>
            <w:pPr>
              <w:pStyle w:val="82"/>
              <w:spacing w:before="0" w:beforeAutospacing="0" w:after="0" w:afterAutospacing="0" w:line="280" w:lineRule="exact"/>
              <w:ind w:firstLine="484"/>
              <w:jc w:val="center"/>
              <w:rPr>
                <w:bCs/>
                <w:spacing w:val="16"/>
                <w:sz w:val="21"/>
                <w:szCs w:val="21"/>
                <w:highlight w:val="none"/>
              </w:rPr>
            </w:pPr>
          </w:p>
        </w:tc>
        <w:tc>
          <w:tcPr>
            <w:tcW w:w="1267" w:type="dxa"/>
            <w:gridSpan w:val="2"/>
            <w:tcBorders>
              <w:top w:val="nil"/>
              <w:bottom w:val="single" w:color="auto" w:sz="4" w:space="0"/>
            </w:tcBorders>
            <w:vAlign w:val="center"/>
          </w:tcPr>
          <w:p>
            <w:pPr>
              <w:pStyle w:val="82"/>
              <w:spacing w:before="0" w:beforeAutospacing="0" w:after="0" w:afterAutospacing="0" w:line="280" w:lineRule="exact"/>
              <w:rPr>
                <w:bCs/>
                <w:spacing w:val="16"/>
                <w:sz w:val="21"/>
                <w:szCs w:val="21"/>
                <w:highlight w:val="none"/>
              </w:rPr>
            </w:pPr>
            <w:r>
              <w:rPr>
                <w:rFonts w:hint="eastAsia"/>
                <w:bCs/>
                <w:spacing w:val="16"/>
                <w:sz w:val="21"/>
                <w:szCs w:val="21"/>
                <w:highlight w:val="none"/>
              </w:rPr>
              <w:t>固定电话</w:t>
            </w:r>
          </w:p>
        </w:tc>
        <w:tc>
          <w:tcPr>
            <w:tcW w:w="2551" w:type="dxa"/>
            <w:gridSpan w:val="4"/>
            <w:tcBorders>
              <w:top w:val="nil"/>
              <w:bottom w:val="single" w:color="auto" w:sz="4" w:space="0"/>
            </w:tcBorders>
            <w:vAlign w:val="center"/>
          </w:tcPr>
          <w:p>
            <w:pPr>
              <w:pStyle w:val="82"/>
              <w:spacing w:before="0" w:beforeAutospacing="0" w:after="0" w:afterAutospacing="0" w:line="280" w:lineRule="exact"/>
              <w:rPr>
                <w:bCs/>
                <w:spacing w:val="16"/>
                <w:sz w:val="21"/>
                <w:szCs w:val="21"/>
                <w:highlight w:val="none"/>
              </w:rPr>
            </w:pPr>
          </w:p>
        </w:tc>
        <w:tc>
          <w:tcPr>
            <w:tcW w:w="1723" w:type="dxa"/>
            <w:gridSpan w:val="2"/>
            <w:vMerge w:val="restart"/>
            <w:vAlign w:val="center"/>
          </w:tcPr>
          <w:p>
            <w:pPr>
              <w:pStyle w:val="82"/>
              <w:spacing w:before="0" w:beforeAutospacing="0" w:after="0" w:afterAutospacing="0" w:line="280" w:lineRule="exact"/>
              <w:ind w:firstLine="484"/>
              <w:rPr>
                <w:bCs/>
                <w:spacing w:val="16"/>
                <w:sz w:val="21"/>
                <w:szCs w:val="21"/>
                <w:highlight w:val="none"/>
              </w:rPr>
            </w:pPr>
            <w:r>
              <w:rPr>
                <w:rFonts w:hint="eastAsia"/>
                <w:bCs/>
                <w:spacing w:val="16"/>
                <w:sz w:val="21"/>
                <w:szCs w:val="21"/>
                <w:highlight w:val="none"/>
              </w:rPr>
              <w:t>传真</w:t>
            </w:r>
          </w:p>
        </w:tc>
        <w:tc>
          <w:tcPr>
            <w:tcW w:w="2258" w:type="dxa"/>
            <w:gridSpan w:val="2"/>
            <w:vMerge w:val="restart"/>
            <w:vAlign w:val="center"/>
          </w:tcPr>
          <w:p>
            <w:pPr>
              <w:pStyle w:val="82"/>
              <w:spacing w:before="0" w:beforeAutospacing="0" w:after="0" w:afterAutospacing="0" w:line="280" w:lineRule="exact"/>
              <w:ind w:firstLine="484"/>
              <w:rPr>
                <w:bCs/>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pPr>
              <w:pStyle w:val="82"/>
              <w:spacing w:before="0" w:beforeAutospacing="0" w:after="0" w:afterAutospacing="0" w:line="280" w:lineRule="exact"/>
              <w:jc w:val="center"/>
              <w:rPr>
                <w:bCs/>
                <w:sz w:val="21"/>
                <w:szCs w:val="21"/>
                <w:highlight w:val="none"/>
              </w:rPr>
            </w:pPr>
          </w:p>
        </w:tc>
        <w:tc>
          <w:tcPr>
            <w:tcW w:w="860" w:type="dxa"/>
            <w:vMerge w:val="continue"/>
            <w:tcBorders>
              <w:bottom w:val="single" w:color="auto" w:sz="4" w:space="0"/>
            </w:tcBorders>
            <w:vAlign w:val="center"/>
          </w:tcPr>
          <w:p>
            <w:pPr>
              <w:pStyle w:val="82"/>
              <w:spacing w:before="0" w:beforeAutospacing="0" w:after="0" w:afterAutospacing="0" w:line="280" w:lineRule="exact"/>
              <w:ind w:firstLine="484"/>
              <w:jc w:val="center"/>
              <w:rPr>
                <w:bCs/>
                <w:spacing w:val="16"/>
                <w:sz w:val="21"/>
                <w:szCs w:val="21"/>
                <w:highlight w:val="none"/>
              </w:rPr>
            </w:pPr>
          </w:p>
        </w:tc>
        <w:tc>
          <w:tcPr>
            <w:tcW w:w="1267" w:type="dxa"/>
            <w:gridSpan w:val="2"/>
            <w:tcBorders>
              <w:bottom w:val="single" w:color="auto" w:sz="4" w:space="0"/>
            </w:tcBorders>
            <w:vAlign w:val="center"/>
          </w:tcPr>
          <w:p>
            <w:pPr>
              <w:pStyle w:val="82"/>
              <w:spacing w:before="0" w:beforeAutospacing="0" w:after="0" w:afterAutospacing="0" w:line="280" w:lineRule="exact"/>
              <w:rPr>
                <w:bCs/>
                <w:spacing w:val="16"/>
                <w:sz w:val="21"/>
                <w:szCs w:val="21"/>
                <w:highlight w:val="none"/>
              </w:rPr>
            </w:pPr>
            <w:r>
              <w:rPr>
                <w:rFonts w:hint="eastAsia"/>
                <w:bCs/>
                <w:spacing w:val="27"/>
                <w:sz w:val="21"/>
                <w:szCs w:val="21"/>
                <w:highlight w:val="none"/>
              </w:rPr>
              <w:t>手机</w:t>
            </w:r>
          </w:p>
        </w:tc>
        <w:tc>
          <w:tcPr>
            <w:tcW w:w="2551" w:type="dxa"/>
            <w:gridSpan w:val="4"/>
            <w:tcBorders>
              <w:bottom w:val="single" w:color="auto" w:sz="4" w:space="0"/>
            </w:tcBorders>
            <w:vAlign w:val="center"/>
          </w:tcPr>
          <w:p>
            <w:pPr>
              <w:pStyle w:val="82"/>
              <w:spacing w:before="0" w:beforeAutospacing="0" w:after="0" w:afterAutospacing="0" w:line="280" w:lineRule="exact"/>
              <w:ind w:firstLine="484"/>
              <w:jc w:val="center"/>
              <w:rPr>
                <w:bCs/>
                <w:spacing w:val="16"/>
                <w:sz w:val="21"/>
                <w:szCs w:val="21"/>
                <w:highlight w:val="none"/>
              </w:rPr>
            </w:pPr>
          </w:p>
        </w:tc>
        <w:tc>
          <w:tcPr>
            <w:tcW w:w="1723" w:type="dxa"/>
            <w:gridSpan w:val="2"/>
            <w:vMerge w:val="continue"/>
            <w:vAlign w:val="center"/>
          </w:tcPr>
          <w:p>
            <w:pPr>
              <w:pStyle w:val="82"/>
              <w:spacing w:before="0" w:beforeAutospacing="0" w:after="0" w:afterAutospacing="0" w:line="280" w:lineRule="exact"/>
              <w:ind w:firstLine="484"/>
              <w:jc w:val="center"/>
              <w:rPr>
                <w:bCs/>
                <w:spacing w:val="16"/>
                <w:sz w:val="21"/>
                <w:szCs w:val="21"/>
                <w:highlight w:val="none"/>
              </w:rPr>
            </w:pPr>
          </w:p>
        </w:tc>
        <w:tc>
          <w:tcPr>
            <w:tcW w:w="2258" w:type="dxa"/>
            <w:gridSpan w:val="2"/>
            <w:vMerge w:val="continue"/>
            <w:vAlign w:val="center"/>
          </w:tcPr>
          <w:p>
            <w:pPr>
              <w:pStyle w:val="82"/>
              <w:spacing w:before="0" w:beforeAutospacing="0" w:after="0" w:afterAutospacing="0" w:line="280" w:lineRule="exact"/>
              <w:ind w:firstLine="484"/>
              <w:jc w:val="center"/>
              <w:rPr>
                <w:bCs/>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pPr>
              <w:pStyle w:val="82"/>
              <w:spacing w:before="0" w:beforeAutospacing="0" w:after="0" w:afterAutospacing="0" w:line="280" w:lineRule="exact"/>
              <w:jc w:val="center"/>
              <w:rPr>
                <w:bCs/>
                <w:sz w:val="21"/>
                <w:szCs w:val="21"/>
                <w:highlight w:val="none"/>
              </w:rPr>
            </w:pPr>
            <w:r>
              <w:rPr>
                <w:bCs/>
                <w:sz w:val="21"/>
                <w:szCs w:val="21"/>
                <w:highlight w:val="none"/>
              </w:rPr>
              <w:t>1</w:t>
            </w:r>
            <w:r>
              <w:rPr>
                <w:rFonts w:hint="eastAsia"/>
                <w:bCs/>
                <w:sz w:val="21"/>
                <w:szCs w:val="21"/>
                <w:highlight w:val="none"/>
              </w:rPr>
              <w:t>.</w:t>
            </w:r>
          </w:p>
          <w:p>
            <w:pPr>
              <w:pStyle w:val="82"/>
              <w:spacing w:before="0" w:beforeAutospacing="0" w:after="0" w:afterAutospacing="0" w:line="280" w:lineRule="exact"/>
              <w:jc w:val="center"/>
              <w:rPr>
                <w:bCs/>
                <w:sz w:val="21"/>
                <w:szCs w:val="21"/>
                <w:highlight w:val="none"/>
              </w:rPr>
            </w:pPr>
            <w:r>
              <w:rPr>
                <w:rFonts w:hint="eastAsia"/>
                <w:bCs/>
                <w:sz w:val="21"/>
                <w:szCs w:val="21"/>
                <w:highlight w:val="none"/>
              </w:rPr>
              <w:t>企</w:t>
            </w:r>
          </w:p>
          <w:p>
            <w:pPr>
              <w:pStyle w:val="82"/>
              <w:spacing w:before="0" w:beforeAutospacing="0" w:after="0" w:afterAutospacing="0" w:line="280" w:lineRule="exact"/>
              <w:jc w:val="center"/>
              <w:rPr>
                <w:bCs/>
                <w:sz w:val="21"/>
                <w:szCs w:val="21"/>
                <w:highlight w:val="none"/>
              </w:rPr>
            </w:pPr>
            <w:r>
              <w:rPr>
                <w:rFonts w:hint="eastAsia"/>
                <w:bCs/>
                <w:sz w:val="21"/>
                <w:szCs w:val="21"/>
                <w:highlight w:val="none"/>
              </w:rPr>
              <w:t>业</w:t>
            </w:r>
          </w:p>
          <w:p>
            <w:pPr>
              <w:pStyle w:val="82"/>
              <w:spacing w:before="0" w:beforeAutospacing="0" w:after="0" w:afterAutospacing="0" w:line="280" w:lineRule="exact"/>
              <w:ind w:firstLine="264" w:firstLineChars="100"/>
              <w:rPr>
                <w:bCs/>
                <w:spacing w:val="27"/>
                <w:sz w:val="21"/>
                <w:szCs w:val="21"/>
                <w:highlight w:val="none"/>
              </w:rPr>
            </w:pPr>
            <w:r>
              <w:rPr>
                <w:rFonts w:hint="eastAsia"/>
                <w:bCs/>
                <w:spacing w:val="27"/>
                <w:sz w:val="21"/>
                <w:szCs w:val="21"/>
                <w:highlight w:val="none"/>
              </w:rPr>
              <w:t>概</w:t>
            </w:r>
          </w:p>
          <w:p>
            <w:pPr>
              <w:pStyle w:val="82"/>
              <w:spacing w:before="0" w:beforeAutospacing="0" w:after="0" w:afterAutospacing="0" w:line="280" w:lineRule="exact"/>
              <w:ind w:firstLine="264" w:firstLineChars="100"/>
              <w:rPr>
                <w:bCs/>
                <w:sz w:val="21"/>
                <w:szCs w:val="21"/>
                <w:highlight w:val="none"/>
              </w:rPr>
            </w:pPr>
            <w:r>
              <w:rPr>
                <w:rFonts w:hint="eastAsia"/>
                <w:bCs/>
                <w:spacing w:val="27"/>
                <w:sz w:val="21"/>
                <w:szCs w:val="21"/>
                <w:highlight w:val="none"/>
              </w:rPr>
              <w:t>况</w:t>
            </w:r>
          </w:p>
        </w:tc>
        <w:tc>
          <w:tcPr>
            <w:tcW w:w="860" w:type="dxa"/>
            <w:tcBorders>
              <w:top w:val="nil"/>
            </w:tcBorders>
            <w:vAlign w:val="center"/>
          </w:tcPr>
          <w:p>
            <w:pPr>
              <w:pStyle w:val="82"/>
              <w:spacing w:before="0" w:beforeAutospacing="0" w:after="0" w:afterAutospacing="0" w:line="280" w:lineRule="exact"/>
              <w:rPr>
                <w:bCs/>
                <w:spacing w:val="16"/>
                <w:sz w:val="21"/>
                <w:szCs w:val="21"/>
                <w:highlight w:val="none"/>
              </w:rPr>
            </w:pPr>
            <w:r>
              <w:rPr>
                <w:rFonts w:hint="eastAsia"/>
                <w:bCs/>
                <w:spacing w:val="16"/>
                <w:sz w:val="21"/>
                <w:szCs w:val="21"/>
                <w:highlight w:val="none"/>
              </w:rPr>
              <w:t>职工人数</w:t>
            </w:r>
          </w:p>
        </w:tc>
        <w:tc>
          <w:tcPr>
            <w:tcW w:w="1267" w:type="dxa"/>
            <w:gridSpan w:val="2"/>
            <w:tcBorders>
              <w:top w:val="nil"/>
            </w:tcBorders>
            <w:vAlign w:val="center"/>
          </w:tcPr>
          <w:p>
            <w:pPr>
              <w:pStyle w:val="82"/>
              <w:spacing w:before="0" w:beforeAutospacing="0" w:after="0" w:afterAutospacing="0" w:line="280" w:lineRule="exact"/>
              <w:ind w:firstLine="484"/>
              <w:jc w:val="center"/>
              <w:rPr>
                <w:bCs/>
                <w:spacing w:val="16"/>
                <w:sz w:val="21"/>
                <w:szCs w:val="21"/>
                <w:highlight w:val="none"/>
              </w:rPr>
            </w:pPr>
          </w:p>
        </w:tc>
        <w:tc>
          <w:tcPr>
            <w:tcW w:w="1275" w:type="dxa"/>
            <w:gridSpan w:val="2"/>
            <w:tcBorders>
              <w:top w:val="nil"/>
            </w:tcBorders>
            <w:vAlign w:val="center"/>
          </w:tcPr>
          <w:p>
            <w:pPr>
              <w:pStyle w:val="82"/>
              <w:spacing w:before="0" w:beforeAutospacing="0" w:after="0" w:afterAutospacing="0" w:line="280" w:lineRule="exact"/>
              <w:rPr>
                <w:bCs/>
                <w:sz w:val="21"/>
                <w:szCs w:val="21"/>
                <w:highlight w:val="none"/>
              </w:rPr>
            </w:pPr>
            <w:r>
              <w:rPr>
                <w:rFonts w:hint="eastAsia"/>
                <w:bCs/>
                <w:spacing w:val="18"/>
                <w:sz w:val="21"/>
                <w:szCs w:val="21"/>
                <w:highlight w:val="none"/>
              </w:rPr>
              <w:t>具备大专以</w:t>
            </w:r>
            <w:r>
              <w:rPr>
                <w:rFonts w:hint="eastAsia"/>
                <w:bCs/>
                <w:spacing w:val="12"/>
                <w:sz w:val="21"/>
                <w:szCs w:val="21"/>
                <w:highlight w:val="none"/>
              </w:rPr>
              <w:t>上学历人数</w:t>
            </w:r>
          </w:p>
        </w:tc>
        <w:tc>
          <w:tcPr>
            <w:tcW w:w="1276" w:type="dxa"/>
            <w:gridSpan w:val="2"/>
            <w:tcBorders>
              <w:top w:val="nil"/>
            </w:tcBorders>
            <w:vAlign w:val="center"/>
          </w:tcPr>
          <w:p>
            <w:pPr>
              <w:widowControl/>
              <w:spacing w:line="280" w:lineRule="exact"/>
              <w:jc w:val="center"/>
              <w:rPr>
                <w:rFonts w:ascii="宋体" w:hAnsi="宋体" w:cs="宋体"/>
                <w:bCs/>
                <w:spacing w:val="16"/>
                <w:kern w:val="0"/>
                <w:szCs w:val="21"/>
                <w:highlight w:val="none"/>
              </w:rPr>
            </w:pPr>
          </w:p>
          <w:p>
            <w:pPr>
              <w:widowControl/>
              <w:spacing w:line="280" w:lineRule="exact"/>
              <w:jc w:val="center"/>
              <w:rPr>
                <w:rFonts w:ascii="宋体" w:hAnsi="宋体" w:cs="宋体"/>
                <w:bCs/>
                <w:spacing w:val="16"/>
                <w:kern w:val="0"/>
                <w:szCs w:val="21"/>
                <w:highlight w:val="none"/>
              </w:rPr>
            </w:pPr>
          </w:p>
          <w:p>
            <w:pPr>
              <w:pStyle w:val="82"/>
              <w:spacing w:before="0" w:beforeAutospacing="0" w:after="0" w:afterAutospacing="0" w:line="280" w:lineRule="exact"/>
              <w:ind w:firstLine="484"/>
              <w:jc w:val="center"/>
              <w:rPr>
                <w:bCs/>
                <w:spacing w:val="16"/>
                <w:sz w:val="21"/>
                <w:szCs w:val="21"/>
                <w:highlight w:val="none"/>
              </w:rPr>
            </w:pPr>
          </w:p>
        </w:tc>
        <w:tc>
          <w:tcPr>
            <w:tcW w:w="1723" w:type="dxa"/>
            <w:gridSpan w:val="2"/>
            <w:vAlign w:val="center"/>
          </w:tcPr>
          <w:p>
            <w:pPr>
              <w:pStyle w:val="82"/>
              <w:spacing w:before="0" w:beforeAutospacing="0" w:after="0" w:afterAutospacing="0" w:line="280" w:lineRule="exact"/>
              <w:rPr>
                <w:bCs/>
                <w:spacing w:val="16"/>
                <w:sz w:val="21"/>
                <w:szCs w:val="21"/>
                <w:highlight w:val="none"/>
              </w:rPr>
            </w:pPr>
            <w:r>
              <w:rPr>
                <w:rFonts w:hint="eastAsia"/>
                <w:bCs/>
                <w:spacing w:val="65"/>
                <w:sz w:val="21"/>
                <w:szCs w:val="21"/>
                <w:highlight w:val="none"/>
              </w:rPr>
              <w:t>国家授予技</w:t>
            </w:r>
            <w:r>
              <w:rPr>
                <w:rFonts w:hint="eastAsia"/>
                <w:bCs/>
                <w:spacing w:val="12"/>
                <w:sz w:val="21"/>
                <w:szCs w:val="21"/>
                <w:highlight w:val="none"/>
              </w:rPr>
              <w:t>术职称人数</w:t>
            </w:r>
          </w:p>
        </w:tc>
        <w:tc>
          <w:tcPr>
            <w:tcW w:w="2258" w:type="dxa"/>
            <w:gridSpan w:val="2"/>
            <w:vAlign w:val="center"/>
          </w:tcPr>
          <w:p>
            <w:pPr>
              <w:widowControl/>
              <w:spacing w:line="280" w:lineRule="exact"/>
              <w:jc w:val="center"/>
              <w:rPr>
                <w:rFonts w:ascii="宋体" w:hAnsi="宋体" w:cs="宋体"/>
                <w:bCs/>
                <w:spacing w:val="16"/>
                <w:kern w:val="0"/>
                <w:szCs w:val="21"/>
                <w:highlight w:val="none"/>
              </w:rPr>
            </w:pPr>
          </w:p>
          <w:p>
            <w:pPr>
              <w:pStyle w:val="82"/>
              <w:spacing w:before="0" w:beforeAutospacing="0" w:after="0" w:afterAutospacing="0" w:line="280" w:lineRule="exact"/>
              <w:ind w:firstLine="484"/>
              <w:jc w:val="center"/>
              <w:rPr>
                <w:bCs/>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pPr>
              <w:pStyle w:val="82"/>
              <w:spacing w:before="0" w:beforeAutospacing="0" w:after="0" w:afterAutospacing="0" w:line="280" w:lineRule="exact"/>
              <w:jc w:val="center"/>
              <w:rPr>
                <w:bCs/>
                <w:sz w:val="21"/>
                <w:szCs w:val="21"/>
                <w:highlight w:val="none"/>
              </w:rPr>
            </w:pPr>
          </w:p>
        </w:tc>
        <w:tc>
          <w:tcPr>
            <w:tcW w:w="860" w:type="dxa"/>
            <w:vAlign w:val="center"/>
          </w:tcPr>
          <w:p>
            <w:pPr>
              <w:pStyle w:val="82"/>
              <w:spacing w:before="0" w:beforeAutospacing="0" w:after="0" w:afterAutospacing="0" w:line="280" w:lineRule="exact"/>
              <w:rPr>
                <w:bCs/>
                <w:sz w:val="21"/>
                <w:szCs w:val="21"/>
                <w:highlight w:val="none"/>
              </w:rPr>
            </w:pPr>
            <w:r>
              <w:rPr>
                <w:rFonts w:hint="eastAsia"/>
                <w:bCs/>
                <w:spacing w:val="16"/>
                <w:sz w:val="21"/>
                <w:szCs w:val="21"/>
                <w:highlight w:val="none"/>
              </w:rPr>
              <w:t>占地面积</w:t>
            </w:r>
          </w:p>
        </w:tc>
        <w:tc>
          <w:tcPr>
            <w:tcW w:w="1267" w:type="dxa"/>
            <w:gridSpan w:val="2"/>
            <w:vAlign w:val="center"/>
          </w:tcPr>
          <w:p>
            <w:pPr>
              <w:pStyle w:val="82"/>
              <w:spacing w:before="0" w:beforeAutospacing="0" w:after="0" w:afterAutospacing="0" w:line="280" w:lineRule="exact"/>
              <w:jc w:val="center"/>
              <w:rPr>
                <w:bCs/>
                <w:sz w:val="21"/>
                <w:szCs w:val="21"/>
                <w:highlight w:val="none"/>
              </w:rPr>
            </w:pPr>
          </w:p>
        </w:tc>
        <w:tc>
          <w:tcPr>
            <w:tcW w:w="1275" w:type="dxa"/>
            <w:gridSpan w:val="2"/>
            <w:vAlign w:val="center"/>
          </w:tcPr>
          <w:p>
            <w:pPr>
              <w:pStyle w:val="82"/>
              <w:spacing w:before="0" w:beforeAutospacing="0" w:after="0" w:afterAutospacing="0" w:line="280" w:lineRule="exact"/>
              <w:rPr>
                <w:bCs/>
                <w:sz w:val="21"/>
                <w:szCs w:val="21"/>
                <w:highlight w:val="none"/>
              </w:rPr>
            </w:pPr>
            <w:r>
              <w:rPr>
                <w:rFonts w:hint="eastAsia"/>
                <w:bCs/>
                <w:spacing w:val="16"/>
                <w:sz w:val="21"/>
                <w:szCs w:val="21"/>
                <w:highlight w:val="none"/>
              </w:rPr>
              <w:t>建筑面积</w:t>
            </w:r>
          </w:p>
        </w:tc>
        <w:tc>
          <w:tcPr>
            <w:tcW w:w="1276" w:type="dxa"/>
            <w:gridSpan w:val="2"/>
            <w:vAlign w:val="center"/>
          </w:tcPr>
          <w:p>
            <w:pPr>
              <w:pStyle w:val="82"/>
              <w:spacing w:before="0" w:beforeAutospacing="0" w:after="0" w:afterAutospacing="0" w:line="280" w:lineRule="exact"/>
              <w:rPr>
                <w:bCs/>
                <w:sz w:val="21"/>
                <w:szCs w:val="21"/>
                <w:highlight w:val="none"/>
              </w:rPr>
            </w:pPr>
            <w:r>
              <w:rPr>
                <w:rFonts w:hint="eastAsia"/>
                <w:bCs/>
                <w:sz w:val="21"/>
                <w:szCs w:val="21"/>
                <w:highlight w:val="none"/>
              </w:rPr>
              <w:t>平方米</w:t>
            </w:r>
          </w:p>
          <w:p>
            <w:pPr>
              <w:pStyle w:val="82"/>
              <w:spacing w:before="0" w:beforeAutospacing="0" w:after="0" w:afterAutospacing="0" w:line="280" w:lineRule="exact"/>
              <w:rPr>
                <w:bCs/>
                <w:spacing w:val="16"/>
                <w:sz w:val="21"/>
                <w:szCs w:val="21"/>
                <w:highlight w:val="none"/>
              </w:rPr>
            </w:pPr>
            <w:r>
              <w:rPr>
                <w:rFonts w:hint="eastAsia"/>
                <w:bCs/>
                <w:spacing w:val="16"/>
                <w:sz w:val="21"/>
                <w:szCs w:val="21"/>
                <w:highlight w:val="none"/>
              </w:rPr>
              <w:t>□自有</w:t>
            </w:r>
          </w:p>
          <w:p>
            <w:pPr>
              <w:pStyle w:val="82"/>
              <w:spacing w:before="0" w:beforeAutospacing="0" w:after="0" w:afterAutospacing="0" w:line="280" w:lineRule="exact"/>
              <w:rPr>
                <w:bCs/>
                <w:sz w:val="21"/>
                <w:szCs w:val="21"/>
                <w:highlight w:val="none"/>
              </w:rPr>
            </w:pPr>
            <w:r>
              <w:rPr>
                <w:rFonts w:hint="eastAsia"/>
                <w:bCs/>
                <w:spacing w:val="16"/>
                <w:sz w:val="21"/>
                <w:szCs w:val="21"/>
                <w:highlight w:val="none"/>
              </w:rPr>
              <w:t>□租赁</w:t>
            </w:r>
          </w:p>
        </w:tc>
        <w:tc>
          <w:tcPr>
            <w:tcW w:w="1723" w:type="dxa"/>
            <w:gridSpan w:val="2"/>
            <w:vAlign w:val="center"/>
          </w:tcPr>
          <w:p>
            <w:pPr>
              <w:pStyle w:val="82"/>
              <w:spacing w:before="0" w:beforeAutospacing="0" w:after="0" w:afterAutospacing="0" w:line="280" w:lineRule="exact"/>
              <w:rPr>
                <w:bCs/>
                <w:sz w:val="21"/>
                <w:szCs w:val="21"/>
                <w:highlight w:val="none"/>
              </w:rPr>
            </w:pPr>
            <w:r>
              <w:rPr>
                <w:rFonts w:hint="eastAsia"/>
                <w:bCs/>
                <w:spacing w:val="16"/>
                <w:sz w:val="21"/>
                <w:szCs w:val="21"/>
                <w:highlight w:val="none"/>
              </w:rPr>
              <w:t>生产经营场所及场所的设施与设备</w:t>
            </w:r>
          </w:p>
        </w:tc>
        <w:tc>
          <w:tcPr>
            <w:tcW w:w="2258" w:type="dxa"/>
            <w:gridSpan w:val="2"/>
            <w:vAlign w:val="center"/>
          </w:tcPr>
          <w:p>
            <w:pPr>
              <w:pStyle w:val="82"/>
              <w:spacing w:before="0" w:beforeAutospacing="0" w:after="0" w:afterAutospacing="0" w:line="280" w:lineRule="exact"/>
              <w:ind w:firstLine="484"/>
              <w:jc w:val="center"/>
              <w:rPr>
                <w:bCs/>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pPr>
              <w:pStyle w:val="82"/>
              <w:spacing w:before="0" w:beforeAutospacing="0" w:after="0" w:afterAutospacing="0" w:line="280" w:lineRule="exact"/>
              <w:jc w:val="center"/>
              <w:rPr>
                <w:bCs/>
                <w:sz w:val="21"/>
                <w:szCs w:val="21"/>
                <w:highlight w:val="none"/>
              </w:rPr>
            </w:pPr>
          </w:p>
        </w:tc>
        <w:tc>
          <w:tcPr>
            <w:tcW w:w="860" w:type="dxa"/>
            <w:vAlign w:val="center"/>
          </w:tcPr>
          <w:p>
            <w:pPr>
              <w:pStyle w:val="82"/>
              <w:spacing w:before="0" w:beforeAutospacing="0" w:after="0" w:afterAutospacing="0" w:line="280" w:lineRule="exact"/>
              <w:rPr>
                <w:bCs/>
                <w:spacing w:val="16"/>
                <w:sz w:val="21"/>
                <w:szCs w:val="21"/>
                <w:highlight w:val="none"/>
              </w:rPr>
            </w:pPr>
            <w:r>
              <w:rPr>
                <w:rFonts w:hint="eastAsia"/>
                <w:bCs/>
                <w:spacing w:val="16"/>
                <w:sz w:val="21"/>
                <w:szCs w:val="21"/>
                <w:highlight w:val="none"/>
              </w:rPr>
              <w:t>注册资金</w:t>
            </w:r>
          </w:p>
        </w:tc>
        <w:tc>
          <w:tcPr>
            <w:tcW w:w="1267" w:type="dxa"/>
            <w:gridSpan w:val="2"/>
            <w:vAlign w:val="center"/>
          </w:tcPr>
          <w:p>
            <w:pPr>
              <w:pStyle w:val="82"/>
              <w:spacing w:before="0" w:beforeAutospacing="0" w:after="0" w:afterAutospacing="0" w:line="280" w:lineRule="exact"/>
              <w:jc w:val="center"/>
              <w:rPr>
                <w:bCs/>
                <w:sz w:val="21"/>
                <w:szCs w:val="21"/>
                <w:highlight w:val="none"/>
              </w:rPr>
            </w:pPr>
          </w:p>
        </w:tc>
        <w:tc>
          <w:tcPr>
            <w:tcW w:w="1275" w:type="dxa"/>
            <w:gridSpan w:val="2"/>
            <w:vAlign w:val="center"/>
          </w:tcPr>
          <w:p>
            <w:pPr>
              <w:pStyle w:val="82"/>
              <w:spacing w:before="0" w:beforeAutospacing="0" w:after="0" w:afterAutospacing="0" w:line="280" w:lineRule="exact"/>
              <w:rPr>
                <w:bCs/>
                <w:sz w:val="21"/>
                <w:szCs w:val="21"/>
                <w:highlight w:val="none"/>
              </w:rPr>
            </w:pPr>
            <w:r>
              <w:rPr>
                <w:rFonts w:hint="eastAsia"/>
                <w:bCs/>
                <w:spacing w:val="16"/>
                <w:sz w:val="21"/>
                <w:szCs w:val="21"/>
                <w:highlight w:val="none"/>
              </w:rPr>
              <w:t>注册发证</w:t>
            </w:r>
            <w:r>
              <w:rPr>
                <w:rFonts w:hint="eastAsia"/>
                <w:bCs/>
                <w:spacing w:val="27"/>
                <w:sz w:val="21"/>
                <w:szCs w:val="21"/>
                <w:highlight w:val="none"/>
              </w:rPr>
              <w:t>机关</w:t>
            </w:r>
          </w:p>
        </w:tc>
        <w:tc>
          <w:tcPr>
            <w:tcW w:w="2999" w:type="dxa"/>
            <w:gridSpan w:val="4"/>
            <w:vAlign w:val="center"/>
          </w:tcPr>
          <w:p>
            <w:pPr>
              <w:widowControl/>
              <w:spacing w:line="280" w:lineRule="exact"/>
              <w:jc w:val="center"/>
              <w:rPr>
                <w:rFonts w:ascii="宋体" w:hAnsi="宋体" w:cs="宋体"/>
                <w:bCs/>
                <w:kern w:val="0"/>
                <w:szCs w:val="21"/>
                <w:highlight w:val="none"/>
              </w:rPr>
            </w:pPr>
          </w:p>
          <w:p>
            <w:pPr>
              <w:pStyle w:val="82"/>
              <w:spacing w:before="0" w:beforeAutospacing="0" w:after="0" w:afterAutospacing="0" w:line="280" w:lineRule="exact"/>
              <w:jc w:val="center"/>
              <w:rPr>
                <w:bCs/>
                <w:sz w:val="21"/>
                <w:szCs w:val="21"/>
                <w:highlight w:val="none"/>
              </w:rPr>
            </w:pPr>
          </w:p>
        </w:tc>
        <w:tc>
          <w:tcPr>
            <w:tcW w:w="1278" w:type="dxa"/>
            <w:vAlign w:val="center"/>
          </w:tcPr>
          <w:p>
            <w:pPr>
              <w:pStyle w:val="82"/>
              <w:spacing w:before="0" w:beforeAutospacing="0" w:after="0" w:afterAutospacing="0" w:line="280" w:lineRule="exact"/>
              <w:rPr>
                <w:bCs/>
                <w:sz w:val="21"/>
                <w:szCs w:val="21"/>
                <w:highlight w:val="none"/>
              </w:rPr>
            </w:pPr>
            <w:r>
              <w:rPr>
                <w:rFonts w:hint="eastAsia"/>
                <w:bCs/>
                <w:sz w:val="21"/>
                <w:szCs w:val="21"/>
                <w:highlight w:val="none"/>
              </w:rPr>
              <w:t>公司成</w:t>
            </w:r>
            <w:r>
              <w:rPr>
                <w:rFonts w:hint="eastAsia"/>
                <w:bCs/>
                <w:spacing w:val="12"/>
                <w:sz w:val="21"/>
                <w:szCs w:val="21"/>
                <w:highlight w:val="none"/>
              </w:rPr>
              <w:t>立时间</w:t>
            </w:r>
          </w:p>
        </w:tc>
        <w:tc>
          <w:tcPr>
            <w:tcW w:w="980" w:type="dxa"/>
            <w:vAlign w:val="center"/>
          </w:tcPr>
          <w:p>
            <w:pPr>
              <w:pStyle w:val="82"/>
              <w:spacing w:before="0" w:beforeAutospacing="0" w:after="0" w:afterAutospacing="0" w:line="280" w:lineRule="exact"/>
              <w:jc w:val="center"/>
              <w:rPr>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pPr>
              <w:pStyle w:val="82"/>
              <w:spacing w:before="0" w:beforeAutospacing="0" w:after="0" w:afterAutospacing="0" w:line="280" w:lineRule="exact"/>
              <w:jc w:val="center"/>
              <w:rPr>
                <w:bCs/>
                <w:sz w:val="21"/>
                <w:szCs w:val="21"/>
                <w:highlight w:val="none"/>
              </w:rPr>
            </w:pPr>
          </w:p>
        </w:tc>
        <w:tc>
          <w:tcPr>
            <w:tcW w:w="860" w:type="dxa"/>
            <w:vAlign w:val="center"/>
          </w:tcPr>
          <w:p>
            <w:pPr>
              <w:pStyle w:val="82"/>
              <w:spacing w:before="0" w:beforeAutospacing="0" w:after="0" w:afterAutospacing="0" w:line="280" w:lineRule="exact"/>
              <w:jc w:val="center"/>
              <w:rPr>
                <w:bCs/>
                <w:sz w:val="21"/>
                <w:szCs w:val="21"/>
                <w:highlight w:val="none"/>
              </w:rPr>
            </w:pPr>
            <w:r>
              <w:rPr>
                <w:rFonts w:hint="eastAsia"/>
                <w:bCs/>
                <w:sz w:val="21"/>
                <w:szCs w:val="21"/>
                <w:highlight w:val="none"/>
              </w:rPr>
              <w:t>核准经营范围</w:t>
            </w:r>
          </w:p>
        </w:tc>
        <w:tc>
          <w:tcPr>
            <w:tcW w:w="7799" w:type="dxa"/>
            <w:gridSpan w:val="10"/>
            <w:vAlign w:val="center"/>
          </w:tcPr>
          <w:p>
            <w:pPr>
              <w:pStyle w:val="82"/>
              <w:spacing w:before="0" w:beforeAutospacing="0" w:after="0" w:afterAutospacing="0" w:line="280" w:lineRule="exact"/>
              <w:jc w:val="center"/>
              <w:rPr>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pPr>
              <w:pStyle w:val="82"/>
              <w:spacing w:before="0" w:beforeAutospacing="0" w:after="0" w:afterAutospacing="0" w:line="280" w:lineRule="exact"/>
              <w:jc w:val="center"/>
              <w:rPr>
                <w:bCs/>
                <w:sz w:val="21"/>
                <w:szCs w:val="21"/>
                <w:highlight w:val="none"/>
              </w:rPr>
            </w:pPr>
          </w:p>
        </w:tc>
        <w:tc>
          <w:tcPr>
            <w:tcW w:w="8659" w:type="dxa"/>
            <w:gridSpan w:val="11"/>
            <w:vAlign w:val="center"/>
          </w:tcPr>
          <w:p>
            <w:pPr>
              <w:pStyle w:val="82"/>
              <w:spacing w:before="0" w:beforeAutospacing="0" w:after="0" w:afterAutospacing="0" w:line="280" w:lineRule="exact"/>
              <w:ind w:firstLine="472"/>
              <w:jc w:val="center"/>
              <w:rPr>
                <w:bCs/>
                <w:spacing w:val="13"/>
                <w:sz w:val="21"/>
                <w:szCs w:val="21"/>
                <w:highlight w:val="none"/>
              </w:rPr>
            </w:pPr>
            <w:r>
              <w:rPr>
                <w:rFonts w:hint="eastAsia"/>
                <w:bCs/>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pPr>
              <w:pStyle w:val="82"/>
              <w:spacing w:before="0" w:beforeAutospacing="0" w:after="0" w:afterAutospacing="0" w:line="280" w:lineRule="exact"/>
              <w:jc w:val="center"/>
              <w:rPr>
                <w:bCs/>
                <w:sz w:val="21"/>
                <w:szCs w:val="21"/>
                <w:highlight w:val="none"/>
              </w:rPr>
            </w:pPr>
            <w:r>
              <w:rPr>
                <w:bCs/>
                <w:sz w:val="21"/>
                <w:szCs w:val="21"/>
                <w:highlight w:val="none"/>
              </w:rPr>
              <w:t>2</w:t>
            </w:r>
            <w:r>
              <w:rPr>
                <w:rFonts w:hint="eastAsia"/>
                <w:bCs/>
                <w:sz w:val="21"/>
                <w:szCs w:val="21"/>
                <w:highlight w:val="none"/>
              </w:rPr>
              <w:t>．</w:t>
            </w:r>
          </w:p>
          <w:p>
            <w:pPr>
              <w:pStyle w:val="82"/>
              <w:spacing w:before="0" w:beforeAutospacing="0" w:after="0" w:afterAutospacing="0" w:line="280" w:lineRule="exact"/>
              <w:jc w:val="center"/>
              <w:rPr>
                <w:bCs/>
                <w:spacing w:val="16"/>
                <w:sz w:val="21"/>
                <w:szCs w:val="21"/>
                <w:highlight w:val="none"/>
              </w:rPr>
            </w:pPr>
            <w:r>
              <w:rPr>
                <w:rFonts w:hint="eastAsia"/>
                <w:bCs/>
                <w:sz w:val="21"/>
                <w:szCs w:val="21"/>
                <w:highlight w:val="none"/>
              </w:rPr>
              <w:t>企</w:t>
            </w:r>
            <w:r>
              <w:rPr>
                <w:rFonts w:hint="eastAsia"/>
                <w:bCs/>
                <w:spacing w:val="12"/>
                <w:sz w:val="21"/>
                <w:szCs w:val="21"/>
                <w:highlight w:val="none"/>
              </w:rPr>
              <w:t>业有关资质获证情况</w:t>
            </w:r>
          </w:p>
        </w:tc>
        <w:tc>
          <w:tcPr>
            <w:tcW w:w="1754" w:type="dxa"/>
            <w:gridSpan w:val="2"/>
            <w:vMerge w:val="restart"/>
            <w:vAlign w:val="center"/>
          </w:tcPr>
          <w:p>
            <w:pPr>
              <w:pStyle w:val="82"/>
              <w:spacing w:before="0" w:beforeAutospacing="0" w:after="0" w:afterAutospacing="0" w:line="240" w:lineRule="exact"/>
              <w:rPr>
                <w:bCs/>
                <w:spacing w:val="16"/>
                <w:sz w:val="21"/>
                <w:szCs w:val="21"/>
                <w:highlight w:val="none"/>
              </w:rPr>
            </w:pPr>
            <w:r>
              <w:rPr>
                <w:rFonts w:hint="eastAsia"/>
                <w:bCs/>
                <w:spacing w:val="12"/>
                <w:sz w:val="21"/>
                <w:szCs w:val="21"/>
                <w:highlight w:val="none"/>
              </w:rPr>
              <w:t>产品生产许可证情况</w:t>
            </w:r>
            <w:r>
              <w:rPr>
                <w:rFonts w:hint="eastAsia"/>
                <w:bCs/>
                <w:spacing w:val="41"/>
                <w:sz w:val="21"/>
                <w:szCs w:val="21"/>
                <w:highlight w:val="none"/>
              </w:rPr>
              <w:t>（对需获得生产许可证的</w:t>
            </w:r>
            <w:r>
              <w:rPr>
                <w:rFonts w:hint="eastAsia"/>
                <w:bCs/>
                <w:spacing w:val="11"/>
                <w:sz w:val="21"/>
                <w:szCs w:val="21"/>
                <w:highlight w:val="none"/>
              </w:rPr>
              <w:t>产品要填写此栏）</w:t>
            </w:r>
          </w:p>
        </w:tc>
        <w:tc>
          <w:tcPr>
            <w:tcW w:w="1399" w:type="dxa"/>
            <w:gridSpan w:val="2"/>
            <w:vAlign w:val="center"/>
          </w:tcPr>
          <w:p>
            <w:pPr>
              <w:pStyle w:val="82"/>
              <w:spacing w:before="0" w:beforeAutospacing="0" w:after="0" w:afterAutospacing="0" w:line="280" w:lineRule="exact"/>
              <w:rPr>
                <w:bCs/>
                <w:spacing w:val="16"/>
                <w:sz w:val="21"/>
                <w:szCs w:val="21"/>
                <w:highlight w:val="none"/>
              </w:rPr>
            </w:pPr>
            <w:r>
              <w:rPr>
                <w:rFonts w:hint="eastAsia"/>
                <w:bCs/>
                <w:spacing w:val="16"/>
                <w:sz w:val="21"/>
                <w:szCs w:val="21"/>
                <w:highlight w:val="none"/>
              </w:rPr>
              <w:t>产品名称</w:t>
            </w:r>
          </w:p>
        </w:tc>
        <w:tc>
          <w:tcPr>
            <w:tcW w:w="1488" w:type="dxa"/>
            <w:gridSpan w:val="2"/>
            <w:vAlign w:val="center"/>
          </w:tcPr>
          <w:p>
            <w:pPr>
              <w:pStyle w:val="82"/>
              <w:spacing w:before="0" w:beforeAutospacing="0" w:after="0" w:afterAutospacing="0" w:line="280" w:lineRule="exact"/>
              <w:rPr>
                <w:bCs/>
                <w:sz w:val="21"/>
                <w:szCs w:val="21"/>
                <w:highlight w:val="none"/>
              </w:rPr>
            </w:pPr>
            <w:r>
              <w:rPr>
                <w:rFonts w:hint="eastAsia"/>
                <w:bCs/>
                <w:spacing w:val="16"/>
                <w:sz w:val="21"/>
                <w:szCs w:val="21"/>
                <w:highlight w:val="none"/>
              </w:rPr>
              <w:t>发证机关</w:t>
            </w:r>
          </w:p>
        </w:tc>
        <w:tc>
          <w:tcPr>
            <w:tcW w:w="1339" w:type="dxa"/>
            <w:gridSpan w:val="2"/>
            <w:vAlign w:val="center"/>
          </w:tcPr>
          <w:p>
            <w:pPr>
              <w:pStyle w:val="82"/>
              <w:spacing w:before="0" w:beforeAutospacing="0" w:after="0" w:afterAutospacing="0" w:line="280" w:lineRule="exact"/>
              <w:rPr>
                <w:bCs/>
                <w:sz w:val="21"/>
                <w:szCs w:val="21"/>
                <w:highlight w:val="none"/>
              </w:rPr>
            </w:pPr>
            <w:r>
              <w:rPr>
                <w:rFonts w:hint="eastAsia"/>
                <w:bCs/>
                <w:spacing w:val="27"/>
                <w:sz w:val="21"/>
                <w:szCs w:val="21"/>
                <w:highlight w:val="none"/>
              </w:rPr>
              <w:t>编号</w:t>
            </w:r>
          </w:p>
        </w:tc>
        <w:tc>
          <w:tcPr>
            <w:tcW w:w="1699" w:type="dxa"/>
            <w:gridSpan w:val="2"/>
            <w:vAlign w:val="center"/>
          </w:tcPr>
          <w:p>
            <w:pPr>
              <w:pStyle w:val="82"/>
              <w:spacing w:before="0" w:beforeAutospacing="0" w:after="0" w:afterAutospacing="0" w:line="280" w:lineRule="exact"/>
              <w:rPr>
                <w:bCs/>
                <w:sz w:val="21"/>
                <w:szCs w:val="21"/>
                <w:highlight w:val="none"/>
              </w:rPr>
            </w:pPr>
            <w:r>
              <w:rPr>
                <w:rFonts w:hint="eastAsia"/>
                <w:bCs/>
                <w:spacing w:val="16"/>
                <w:sz w:val="21"/>
                <w:szCs w:val="21"/>
                <w:highlight w:val="none"/>
              </w:rPr>
              <w:t>发证时间</w:t>
            </w:r>
          </w:p>
        </w:tc>
        <w:tc>
          <w:tcPr>
            <w:tcW w:w="980" w:type="dxa"/>
            <w:vAlign w:val="center"/>
          </w:tcPr>
          <w:p>
            <w:pPr>
              <w:pStyle w:val="82"/>
              <w:spacing w:before="0" w:beforeAutospacing="0" w:after="0" w:afterAutospacing="0" w:line="280" w:lineRule="exact"/>
              <w:rPr>
                <w:bCs/>
                <w:sz w:val="21"/>
                <w:szCs w:val="21"/>
                <w:highlight w:val="none"/>
              </w:rPr>
            </w:pPr>
            <w:r>
              <w:rPr>
                <w:rFonts w:hint="eastAsia"/>
                <w:bCs/>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pPr>
              <w:pStyle w:val="82"/>
              <w:spacing w:before="0" w:beforeAutospacing="0" w:after="0" w:afterAutospacing="0" w:line="280" w:lineRule="exact"/>
              <w:jc w:val="center"/>
              <w:rPr>
                <w:bCs/>
                <w:sz w:val="21"/>
                <w:szCs w:val="21"/>
                <w:highlight w:val="none"/>
              </w:rPr>
            </w:pPr>
          </w:p>
        </w:tc>
        <w:tc>
          <w:tcPr>
            <w:tcW w:w="1754" w:type="dxa"/>
            <w:gridSpan w:val="2"/>
            <w:vMerge w:val="continue"/>
            <w:vAlign w:val="center"/>
          </w:tcPr>
          <w:p>
            <w:pPr>
              <w:pStyle w:val="82"/>
              <w:spacing w:before="0" w:beforeAutospacing="0" w:after="0" w:afterAutospacing="0" w:line="280" w:lineRule="exact"/>
              <w:jc w:val="center"/>
              <w:rPr>
                <w:bCs/>
                <w:sz w:val="21"/>
                <w:szCs w:val="21"/>
                <w:highlight w:val="none"/>
              </w:rPr>
            </w:pPr>
          </w:p>
        </w:tc>
        <w:tc>
          <w:tcPr>
            <w:tcW w:w="1399" w:type="dxa"/>
            <w:gridSpan w:val="2"/>
            <w:vAlign w:val="center"/>
          </w:tcPr>
          <w:p>
            <w:pPr>
              <w:pStyle w:val="82"/>
              <w:spacing w:before="0" w:beforeAutospacing="0" w:after="0" w:afterAutospacing="0" w:line="280" w:lineRule="exact"/>
              <w:jc w:val="center"/>
              <w:rPr>
                <w:bCs/>
                <w:sz w:val="21"/>
                <w:szCs w:val="21"/>
                <w:highlight w:val="none"/>
              </w:rPr>
            </w:pPr>
          </w:p>
        </w:tc>
        <w:tc>
          <w:tcPr>
            <w:tcW w:w="1488" w:type="dxa"/>
            <w:gridSpan w:val="2"/>
            <w:vAlign w:val="center"/>
          </w:tcPr>
          <w:p>
            <w:pPr>
              <w:pStyle w:val="82"/>
              <w:spacing w:before="0" w:beforeAutospacing="0" w:after="0" w:afterAutospacing="0" w:line="280" w:lineRule="exact"/>
              <w:jc w:val="center"/>
              <w:rPr>
                <w:bCs/>
                <w:sz w:val="21"/>
                <w:szCs w:val="21"/>
                <w:highlight w:val="none"/>
              </w:rPr>
            </w:pPr>
          </w:p>
        </w:tc>
        <w:tc>
          <w:tcPr>
            <w:tcW w:w="1339" w:type="dxa"/>
            <w:gridSpan w:val="2"/>
            <w:vAlign w:val="center"/>
          </w:tcPr>
          <w:p>
            <w:pPr>
              <w:pStyle w:val="82"/>
              <w:spacing w:before="0" w:beforeAutospacing="0" w:after="0" w:afterAutospacing="0" w:line="280" w:lineRule="exact"/>
              <w:jc w:val="center"/>
              <w:rPr>
                <w:bCs/>
                <w:sz w:val="21"/>
                <w:szCs w:val="21"/>
                <w:highlight w:val="none"/>
              </w:rPr>
            </w:pPr>
          </w:p>
        </w:tc>
        <w:tc>
          <w:tcPr>
            <w:tcW w:w="2679" w:type="dxa"/>
            <w:gridSpan w:val="3"/>
            <w:vAlign w:val="center"/>
          </w:tcPr>
          <w:p>
            <w:pPr>
              <w:pStyle w:val="82"/>
              <w:spacing w:before="0" w:beforeAutospacing="0" w:after="0" w:afterAutospacing="0" w:line="280" w:lineRule="exact"/>
              <w:jc w:val="center"/>
              <w:rPr>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pPr>
              <w:pStyle w:val="82"/>
              <w:spacing w:before="0" w:beforeAutospacing="0" w:after="0" w:afterAutospacing="0" w:line="280" w:lineRule="exact"/>
              <w:ind w:firstLine="484"/>
              <w:jc w:val="center"/>
              <w:rPr>
                <w:bCs/>
                <w:spacing w:val="16"/>
                <w:sz w:val="21"/>
                <w:szCs w:val="21"/>
                <w:highlight w:val="none"/>
              </w:rPr>
            </w:pPr>
          </w:p>
        </w:tc>
        <w:tc>
          <w:tcPr>
            <w:tcW w:w="1754" w:type="dxa"/>
            <w:gridSpan w:val="2"/>
            <w:vAlign w:val="center"/>
          </w:tcPr>
          <w:p>
            <w:pPr>
              <w:pStyle w:val="82"/>
              <w:spacing w:before="0" w:beforeAutospacing="0" w:after="0" w:afterAutospacing="0" w:line="240" w:lineRule="exact"/>
              <w:rPr>
                <w:bCs/>
                <w:spacing w:val="41"/>
                <w:sz w:val="21"/>
                <w:szCs w:val="21"/>
                <w:highlight w:val="none"/>
              </w:rPr>
            </w:pPr>
            <w:r>
              <w:rPr>
                <w:rFonts w:hint="eastAsia"/>
                <w:bCs/>
                <w:spacing w:val="41"/>
                <w:sz w:val="21"/>
                <w:szCs w:val="21"/>
                <w:highlight w:val="none"/>
              </w:rPr>
              <w:t>企业通过质量体系、环保</w:t>
            </w:r>
            <w:r>
              <w:rPr>
                <w:rFonts w:hint="eastAsia"/>
                <w:bCs/>
                <w:spacing w:val="11"/>
                <w:sz w:val="21"/>
                <w:szCs w:val="21"/>
                <w:highlight w:val="none"/>
              </w:rPr>
              <w:t>体系、计量等认证情况</w:t>
            </w:r>
          </w:p>
        </w:tc>
        <w:tc>
          <w:tcPr>
            <w:tcW w:w="6905" w:type="dxa"/>
            <w:gridSpan w:val="9"/>
            <w:vAlign w:val="center"/>
          </w:tcPr>
          <w:p>
            <w:pPr>
              <w:pStyle w:val="82"/>
              <w:spacing w:before="0" w:beforeAutospacing="0" w:after="0" w:afterAutospacing="0" w:line="280" w:lineRule="exact"/>
              <w:ind w:firstLine="484"/>
              <w:jc w:val="center"/>
              <w:rPr>
                <w:bCs/>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pPr>
              <w:pStyle w:val="82"/>
              <w:spacing w:before="0" w:beforeAutospacing="0" w:after="0" w:afterAutospacing="0" w:line="280" w:lineRule="exact"/>
              <w:ind w:firstLine="528"/>
              <w:jc w:val="center"/>
              <w:rPr>
                <w:bCs/>
                <w:spacing w:val="27"/>
                <w:sz w:val="21"/>
                <w:szCs w:val="21"/>
                <w:highlight w:val="none"/>
              </w:rPr>
            </w:pPr>
          </w:p>
        </w:tc>
        <w:tc>
          <w:tcPr>
            <w:tcW w:w="1754" w:type="dxa"/>
            <w:gridSpan w:val="2"/>
            <w:vAlign w:val="center"/>
          </w:tcPr>
          <w:p>
            <w:pPr>
              <w:pStyle w:val="82"/>
              <w:spacing w:before="0" w:beforeAutospacing="0" w:after="0" w:afterAutospacing="0" w:line="280" w:lineRule="exact"/>
              <w:rPr>
                <w:bCs/>
                <w:spacing w:val="16"/>
                <w:sz w:val="21"/>
                <w:szCs w:val="21"/>
                <w:highlight w:val="none"/>
              </w:rPr>
            </w:pPr>
            <w:r>
              <w:rPr>
                <w:rFonts w:hint="eastAsia"/>
                <w:bCs/>
                <w:spacing w:val="10"/>
                <w:sz w:val="21"/>
                <w:szCs w:val="21"/>
                <w:highlight w:val="none"/>
              </w:rPr>
              <w:t>企业获得专利情况</w:t>
            </w:r>
          </w:p>
        </w:tc>
        <w:tc>
          <w:tcPr>
            <w:tcW w:w="6905" w:type="dxa"/>
            <w:gridSpan w:val="9"/>
            <w:vAlign w:val="center"/>
          </w:tcPr>
          <w:p>
            <w:pPr>
              <w:pStyle w:val="82"/>
              <w:spacing w:before="0" w:beforeAutospacing="0" w:after="0" w:afterAutospacing="0" w:line="280" w:lineRule="exact"/>
              <w:ind w:firstLine="484"/>
              <w:jc w:val="center"/>
              <w:rPr>
                <w:bCs/>
                <w:spacing w:val="16"/>
                <w:sz w:val="21"/>
                <w:szCs w:val="21"/>
                <w:highlight w:val="none"/>
              </w:rPr>
            </w:pPr>
          </w:p>
        </w:tc>
      </w:tr>
    </w:tbl>
    <w:p>
      <w:pPr>
        <w:pStyle w:val="82"/>
        <w:spacing w:before="0" w:beforeAutospacing="0" w:after="0" w:afterAutospacing="0" w:line="360" w:lineRule="auto"/>
        <w:rPr>
          <w:b/>
          <w:sz w:val="21"/>
          <w:szCs w:val="21"/>
          <w:highlight w:val="none"/>
        </w:rPr>
      </w:pPr>
      <w:r>
        <w:rPr>
          <w:rFonts w:hint="eastAsia"/>
          <w:b/>
          <w:sz w:val="21"/>
          <w:szCs w:val="21"/>
          <w:highlight w:val="none"/>
        </w:rPr>
        <w:t>要求：</w:t>
      </w:r>
    </w:p>
    <w:p>
      <w:pPr>
        <w:pStyle w:val="82"/>
        <w:spacing w:before="0" w:beforeAutospacing="0" w:after="0" w:afterAutospacing="0" w:line="360" w:lineRule="auto"/>
        <w:ind w:firstLine="424" w:firstLineChars="202"/>
        <w:rPr>
          <w:sz w:val="21"/>
          <w:szCs w:val="21"/>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pPr>
        <w:pStyle w:val="82"/>
        <w:spacing w:before="0" w:beforeAutospacing="0" w:after="0" w:afterAutospacing="0" w:line="360" w:lineRule="auto"/>
        <w:ind w:firstLine="424" w:firstLineChars="202"/>
        <w:rPr>
          <w:sz w:val="21"/>
          <w:szCs w:val="21"/>
          <w:highlight w:val="none"/>
        </w:rPr>
      </w:pPr>
    </w:p>
    <w:p>
      <w:pPr>
        <w:spacing w:line="360" w:lineRule="auto"/>
        <w:ind w:firstLine="424" w:firstLineChars="177"/>
        <w:rPr>
          <w:rFonts w:ascii="宋体" w:hAnsi="宋体"/>
          <w:sz w:val="24"/>
          <w:highlight w:val="none"/>
        </w:rPr>
      </w:pPr>
      <w:r>
        <w:rPr>
          <w:rFonts w:hint="eastAsia" w:ascii="宋体" w:hAnsi="宋体"/>
          <w:sz w:val="24"/>
          <w:highlight w:val="none"/>
        </w:rPr>
        <w:t>供应商名称（电子印章）：</w:t>
      </w:r>
    </w:p>
    <w:p>
      <w:pPr>
        <w:spacing w:line="360" w:lineRule="auto"/>
        <w:ind w:firstLine="424" w:firstLineChars="177"/>
        <w:rPr>
          <w:rFonts w:ascii="宋体" w:hAnsi="宋体"/>
          <w:sz w:val="24"/>
          <w:highlight w:val="none"/>
        </w:rPr>
      </w:pPr>
      <w:r>
        <w:rPr>
          <w:rFonts w:hint="eastAsia" w:ascii="宋体" w:hAnsi="宋体"/>
          <w:sz w:val="24"/>
          <w:highlight w:val="none"/>
        </w:rPr>
        <w:t>供应商代表签字或电子印章：</w:t>
      </w:r>
    </w:p>
    <w:p>
      <w:pPr>
        <w:spacing w:line="360" w:lineRule="auto"/>
        <w:ind w:firstLine="424" w:firstLineChars="177"/>
        <w:rPr>
          <w:rFonts w:ascii="宋体" w:hAnsi="宋体"/>
          <w:sz w:val="24"/>
          <w:highlight w:val="none"/>
        </w:rPr>
      </w:pPr>
      <w:r>
        <w:rPr>
          <w:rFonts w:hint="eastAsia" w:ascii="宋体" w:hAnsi="宋体"/>
          <w:sz w:val="24"/>
          <w:highlight w:val="none"/>
        </w:rPr>
        <w:t>职        务：</w:t>
      </w:r>
    </w:p>
    <w:p>
      <w:pPr>
        <w:pStyle w:val="82"/>
        <w:spacing w:before="0" w:beforeAutospacing="0" w:after="0" w:afterAutospacing="0" w:line="360" w:lineRule="auto"/>
        <w:ind w:firstLine="424" w:firstLineChars="177"/>
        <w:rPr>
          <w:b/>
          <w:bCs/>
          <w:spacing w:val="11"/>
          <w:highlight w:val="none"/>
        </w:rPr>
      </w:pPr>
      <w:r>
        <w:rPr>
          <w:rFonts w:hint="eastAsia"/>
          <w:highlight w:val="none"/>
        </w:rPr>
        <w:t>日        期：</w:t>
      </w:r>
    </w:p>
    <w:p>
      <w:pPr>
        <w:widowControl/>
        <w:jc w:val="left"/>
        <w:rPr>
          <w:rFonts w:ascii="宋体" w:hAnsi="宋体"/>
          <w:b/>
          <w:sz w:val="28"/>
          <w:highlight w:val="none"/>
        </w:rPr>
      </w:pPr>
      <w:bookmarkStart w:id="89" w:name="_Toc93048471"/>
      <w:bookmarkStart w:id="90" w:name="_Toc10010"/>
      <w:bookmarkStart w:id="91" w:name="_Toc5875"/>
      <w:bookmarkStart w:id="92" w:name="_Toc6916"/>
    </w:p>
    <w:p>
      <w:pPr>
        <w:widowControl/>
        <w:jc w:val="left"/>
        <w:rPr>
          <w:rFonts w:ascii="宋体" w:hAnsi="宋体"/>
          <w:b/>
          <w:sz w:val="28"/>
          <w:highlight w:val="none"/>
        </w:rPr>
      </w:pPr>
    </w:p>
    <w:p>
      <w:pPr>
        <w:widowControl/>
        <w:jc w:val="left"/>
        <w:rPr>
          <w:rFonts w:ascii="宋体" w:hAnsi="宋体"/>
          <w:b/>
          <w:sz w:val="28"/>
          <w:highlight w:val="none"/>
        </w:rPr>
      </w:pPr>
    </w:p>
    <w:p>
      <w:pPr>
        <w:widowControl/>
        <w:jc w:val="left"/>
        <w:rPr>
          <w:rFonts w:hint="eastAsia" w:ascii="宋体" w:hAnsi="宋体" w:eastAsia="宋体"/>
          <w:b/>
          <w:sz w:val="28"/>
          <w:highlight w:val="none"/>
          <w:lang w:eastAsia="zh-CN"/>
        </w:rPr>
      </w:pPr>
      <w:r>
        <w:rPr>
          <w:rFonts w:hint="eastAsia" w:ascii="宋体" w:hAnsi="宋体"/>
          <w:b/>
          <w:sz w:val="28"/>
          <w:highlight w:val="none"/>
        </w:rPr>
        <w:t>附件</w:t>
      </w:r>
      <w:bookmarkEnd w:id="89"/>
      <w:bookmarkEnd w:id="90"/>
      <w:bookmarkEnd w:id="91"/>
      <w:r>
        <w:rPr>
          <w:rFonts w:hint="eastAsia" w:ascii="宋体" w:hAnsi="宋体"/>
          <w:b/>
          <w:sz w:val="28"/>
          <w:highlight w:val="none"/>
          <w:lang w:val="en-US" w:eastAsia="zh-CN"/>
        </w:rPr>
        <w:t>6</w:t>
      </w:r>
    </w:p>
    <w:p>
      <w:pPr>
        <w:spacing w:line="360" w:lineRule="auto"/>
        <w:jc w:val="center"/>
        <w:rPr>
          <w:rFonts w:ascii="宋体" w:hAnsi="宋体" w:cs="宋体"/>
          <w:b/>
          <w:bCs/>
          <w:spacing w:val="21"/>
          <w:kern w:val="0"/>
          <w:sz w:val="32"/>
          <w:szCs w:val="32"/>
          <w:highlight w:val="none"/>
        </w:rPr>
      </w:pPr>
      <w:r>
        <w:rPr>
          <w:rFonts w:hint="eastAsia" w:ascii="宋体" w:hAnsi="宋体" w:cs="宋体"/>
          <w:b/>
          <w:bCs/>
          <w:spacing w:val="21"/>
          <w:kern w:val="0"/>
          <w:sz w:val="32"/>
          <w:szCs w:val="32"/>
          <w:highlight w:val="none"/>
        </w:rPr>
        <w:t>法人诚信投标承诺书</w:t>
      </w:r>
    </w:p>
    <w:p>
      <w:pPr>
        <w:adjustRightInd w:val="0"/>
        <w:snapToGrid w:val="0"/>
        <w:spacing w:line="586" w:lineRule="exact"/>
        <w:ind w:firstLine="535" w:firstLineChars="223"/>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本人以企业法定代表人的身份郑重承诺：</w:t>
      </w:r>
    </w:p>
    <w:p>
      <w:pPr>
        <w:adjustRightInd w:val="0"/>
        <w:snapToGrid w:val="0"/>
        <w:spacing w:line="586" w:lineRule="exact"/>
        <w:ind w:left="449" w:leftChars="214"/>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一、将遵循公开、公平、公正和诚实信用的原则参加</w:t>
      </w:r>
      <w:r>
        <w:rPr>
          <w:rFonts w:hint="eastAsia" w:cs="宋体" w:asciiTheme="minorEastAsia" w:hAnsiTheme="minorEastAsia" w:eastAsiaTheme="minorEastAsia"/>
          <w:snapToGrid w:val="0"/>
          <w:sz w:val="24"/>
          <w:highlight w:val="none"/>
          <w:u w:val="single"/>
        </w:rPr>
        <w:t xml:space="preserve">              </w:t>
      </w:r>
      <w:r>
        <w:rPr>
          <w:rFonts w:hint="eastAsia" w:cs="宋体" w:asciiTheme="minorEastAsia" w:hAnsiTheme="minorEastAsia" w:eastAsiaTheme="minorEastAsia"/>
          <w:sz w:val="24"/>
          <w:highlight w:val="none"/>
        </w:rPr>
        <w:t>（项目名称）的投标；</w:t>
      </w:r>
    </w:p>
    <w:p>
      <w:pPr>
        <w:adjustRightInd w:val="0"/>
        <w:snapToGrid w:val="0"/>
        <w:spacing w:line="586" w:lineRule="exact"/>
        <w:ind w:firstLine="523" w:firstLineChars="21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二、所提供的一切材料都是真实、有效、合法的；</w:t>
      </w:r>
    </w:p>
    <w:p>
      <w:pPr>
        <w:adjustRightInd w:val="0"/>
        <w:snapToGrid w:val="0"/>
        <w:spacing w:line="586" w:lineRule="exact"/>
        <w:ind w:firstLine="535" w:firstLineChars="223"/>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三、不与其他磋商供应商相互串通投标报价，不排挤其他磋商供应商的公平竞争，不损害采购人或其他磋商供应商的合法权益；</w:t>
      </w:r>
    </w:p>
    <w:p>
      <w:pPr>
        <w:adjustRightInd w:val="0"/>
        <w:snapToGrid w:val="0"/>
        <w:spacing w:line="586" w:lineRule="exact"/>
        <w:ind w:firstLine="554" w:firstLineChars="231"/>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四、不与采购人或招标代理机构串通投标，损害国家利益、社会公共利益或者他人的合法权益；</w:t>
      </w:r>
    </w:p>
    <w:p>
      <w:pPr>
        <w:adjustRightInd w:val="0"/>
        <w:snapToGrid w:val="0"/>
        <w:spacing w:line="586" w:lineRule="exact"/>
        <w:ind w:firstLine="554" w:firstLineChars="231"/>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五、不向采购人或者评标委员会成员行贿以牟取中标；</w:t>
      </w:r>
    </w:p>
    <w:p>
      <w:pPr>
        <w:adjustRightInd w:val="0"/>
        <w:snapToGrid w:val="0"/>
        <w:spacing w:line="586" w:lineRule="exact"/>
        <w:ind w:firstLine="576" w:firstLineChars="24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六、不以他人名义投标或者以其他方式弄虚作假，骗取中标。</w:t>
      </w:r>
    </w:p>
    <w:p>
      <w:pPr>
        <w:adjustRightInd w:val="0"/>
        <w:snapToGrid w:val="0"/>
        <w:spacing w:line="586" w:lineRule="exact"/>
        <w:ind w:firstLine="576" w:firstLineChars="24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七、本公司（如联合体投标，为联合体双方）和项目负责人的投标资格均2符合磋商文件规定，确实无误。</w:t>
      </w:r>
    </w:p>
    <w:p>
      <w:pPr>
        <w:adjustRightInd w:val="0"/>
        <w:snapToGrid w:val="0"/>
        <w:spacing w:line="586" w:lineRule="exact"/>
        <w:ind w:firstLine="619" w:firstLineChars="25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本公司若有违反本承诺内容的行为，愿意承担法律责任，并愿意接受招投标行政监督部门的任何处理。如已中标的，自动放弃中标资格；给招标人造成损失的，依法承担赔偿责任。</w:t>
      </w:r>
    </w:p>
    <w:bookmarkEnd w:id="92"/>
    <w:p>
      <w:pPr>
        <w:spacing w:line="360" w:lineRule="auto"/>
        <w:ind w:firstLine="424" w:firstLineChars="177"/>
        <w:rPr>
          <w:rFonts w:ascii="宋体" w:hAnsi="宋体"/>
          <w:sz w:val="24"/>
          <w:highlight w:val="none"/>
        </w:rPr>
      </w:pPr>
      <w:bookmarkStart w:id="93" w:name="_Toc17888"/>
      <w:bookmarkStart w:id="94" w:name="_Toc9166"/>
      <w:bookmarkStart w:id="95" w:name="_Toc1201"/>
    </w:p>
    <w:p>
      <w:pPr>
        <w:spacing w:line="360" w:lineRule="auto"/>
        <w:ind w:firstLine="424" w:firstLineChars="177"/>
        <w:rPr>
          <w:rFonts w:ascii="宋体" w:hAnsi="宋体"/>
          <w:sz w:val="24"/>
          <w:highlight w:val="none"/>
          <w:u w:val="single"/>
        </w:rPr>
      </w:pPr>
      <w:r>
        <w:rPr>
          <w:rFonts w:hint="eastAsia" w:ascii="宋体" w:hAnsi="宋体"/>
          <w:sz w:val="24"/>
          <w:highlight w:val="none"/>
        </w:rPr>
        <w:t>供应商名称（电子印章）：</w:t>
      </w:r>
    </w:p>
    <w:p>
      <w:pPr>
        <w:spacing w:line="360" w:lineRule="auto"/>
        <w:ind w:left="420"/>
        <w:rPr>
          <w:rFonts w:ascii="宋体" w:hAnsi="宋体"/>
          <w:sz w:val="24"/>
          <w:highlight w:val="none"/>
        </w:rPr>
      </w:pPr>
    </w:p>
    <w:p>
      <w:pPr>
        <w:spacing w:line="360" w:lineRule="auto"/>
        <w:ind w:firstLine="424" w:firstLineChars="177"/>
        <w:rPr>
          <w:rFonts w:ascii="宋体" w:hAnsi="宋体"/>
          <w:sz w:val="24"/>
          <w:highlight w:val="none"/>
        </w:rPr>
      </w:pPr>
      <w:r>
        <w:rPr>
          <w:rFonts w:hint="eastAsia" w:ascii="宋体" w:hAnsi="宋体"/>
          <w:sz w:val="24"/>
          <w:highlight w:val="none"/>
        </w:rPr>
        <w:t>供应商代表签字或电子印章：</w:t>
      </w:r>
    </w:p>
    <w:p>
      <w:pPr>
        <w:spacing w:line="360" w:lineRule="auto"/>
        <w:ind w:firstLine="435"/>
        <w:rPr>
          <w:rFonts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pPr>
        <w:spacing w:line="360" w:lineRule="auto"/>
        <w:rPr>
          <w:rFonts w:ascii="宋体" w:hAnsi="宋体"/>
          <w:sz w:val="24"/>
          <w:highlight w:val="none"/>
        </w:rPr>
      </w:pPr>
    </w:p>
    <w:p>
      <w:pPr>
        <w:pStyle w:val="82"/>
        <w:spacing w:before="0" w:beforeAutospacing="0" w:after="0" w:afterAutospacing="0" w:line="360" w:lineRule="auto"/>
        <w:ind w:firstLine="424" w:firstLineChars="177"/>
        <w:rPr>
          <w:highlight w:val="none"/>
        </w:rPr>
      </w:pPr>
      <w:r>
        <w:rPr>
          <w:rFonts w:hint="eastAsia"/>
          <w:highlight w:val="none"/>
        </w:rPr>
        <w:t>日        期：</w:t>
      </w:r>
    </w:p>
    <w:p>
      <w:pPr>
        <w:pStyle w:val="19"/>
        <w:rPr>
          <w:rFonts w:ascii="宋体" w:hAnsi="宋体" w:cs="宋体"/>
          <w:kern w:val="0"/>
          <w:sz w:val="24"/>
          <w:highlight w:val="none"/>
        </w:rPr>
      </w:pPr>
      <w:r>
        <w:rPr>
          <w:highlight w:val="none"/>
        </w:rPr>
        <w:br w:type="page"/>
      </w:r>
    </w:p>
    <w:p>
      <w:pPr>
        <w:adjustRightInd w:val="0"/>
        <w:snapToGrid w:val="0"/>
        <w:spacing w:line="360" w:lineRule="auto"/>
        <w:ind w:right="480"/>
        <w:outlineLvl w:val="0"/>
        <w:rPr>
          <w:rFonts w:hint="eastAsia" w:ascii="宋体" w:hAnsi="宋体" w:eastAsia="宋体"/>
          <w:b/>
          <w:sz w:val="28"/>
          <w:highlight w:val="none"/>
          <w:lang w:eastAsia="zh-CN"/>
        </w:rPr>
      </w:pPr>
      <w:bookmarkStart w:id="96" w:name="_Toc93048472"/>
      <w:r>
        <w:rPr>
          <w:rFonts w:hint="eastAsia" w:ascii="宋体" w:hAnsi="宋体"/>
          <w:b/>
          <w:sz w:val="28"/>
          <w:highlight w:val="none"/>
        </w:rPr>
        <w:t>附件</w:t>
      </w:r>
      <w:bookmarkEnd w:id="93"/>
      <w:bookmarkEnd w:id="94"/>
      <w:bookmarkEnd w:id="95"/>
      <w:bookmarkEnd w:id="96"/>
      <w:r>
        <w:rPr>
          <w:rFonts w:hint="eastAsia" w:ascii="宋体" w:hAnsi="宋体"/>
          <w:b/>
          <w:sz w:val="28"/>
          <w:highlight w:val="none"/>
          <w:lang w:val="en-US" w:eastAsia="zh-CN"/>
        </w:rPr>
        <w:t>7</w:t>
      </w:r>
    </w:p>
    <w:p>
      <w:pPr>
        <w:pStyle w:val="85"/>
        <w:spacing w:line="360" w:lineRule="auto"/>
        <w:jc w:val="center"/>
        <w:rPr>
          <w:rFonts w:ascii="宋体" w:hAnsi="宋体"/>
          <w:b/>
          <w:sz w:val="32"/>
          <w:szCs w:val="32"/>
          <w:highlight w:val="none"/>
        </w:rPr>
      </w:pPr>
      <w:bookmarkStart w:id="97" w:name="_Toc7134_WPSOffice_Level1"/>
      <w:bookmarkStart w:id="98" w:name="_Toc19231_WPSOffice_Level1"/>
      <w:bookmarkStart w:id="99" w:name="_Toc23055_WPSOffice_Level1"/>
      <w:bookmarkStart w:id="100" w:name="_Toc12710_WPSOffice_Level1"/>
      <w:r>
        <w:rPr>
          <w:rFonts w:hint="eastAsia" w:ascii="宋体" w:hAnsi="宋体"/>
          <w:b/>
          <w:sz w:val="32"/>
          <w:szCs w:val="32"/>
          <w:highlight w:val="none"/>
        </w:rPr>
        <w:t>供应商类似项目实施情况一览表</w:t>
      </w:r>
      <w:bookmarkEnd w:id="97"/>
      <w:bookmarkEnd w:id="98"/>
    </w:p>
    <w:p>
      <w:pPr>
        <w:pStyle w:val="85"/>
        <w:spacing w:line="360" w:lineRule="auto"/>
        <w:jc w:val="center"/>
        <w:rPr>
          <w:rFonts w:ascii="仿宋_GB2312" w:eastAsia="仿宋_GB2312"/>
          <w:b/>
          <w:sz w:val="28"/>
          <w:szCs w:val="28"/>
          <w:highlight w:val="none"/>
        </w:rPr>
      </w:pPr>
    </w:p>
    <w:tbl>
      <w:tblPr>
        <w:tblStyle w:val="4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85"/>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85"/>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85"/>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85"/>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85"/>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85"/>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85"/>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5"/>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5"/>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5"/>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85"/>
              <w:spacing w:line="360" w:lineRule="auto"/>
              <w:rPr>
                <w:rFonts w:ascii="宋体" w:hAnsi="宋体" w:cs="Arial"/>
                <w:sz w:val="24"/>
                <w:highlight w:val="none"/>
              </w:rPr>
            </w:pPr>
          </w:p>
        </w:tc>
      </w:tr>
    </w:tbl>
    <w:p>
      <w:pPr>
        <w:autoSpaceDE w:val="0"/>
        <w:autoSpaceDN w:val="0"/>
        <w:adjustRightInd w:val="0"/>
        <w:spacing w:before="120"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pPr>
        <w:autoSpaceDE w:val="0"/>
        <w:autoSpaceDN w:val="0"/>
        <w:adjustRightInd w:val="0"/>
        <w:spacing w:before="120" w:beforeLines="50" w:line="360" w:lineRule="auto"/>
        <w:ind w:firstLine="424" w:firstLineChars="202"/>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扫描件可只提供首页、含金额页、盖章页并加盖供应商电子印章</w:t>
      </w:r>
      <w:r>
        <w:rPr>
          <w:rFonts w:ascii="宋体" w:hAnsi="宋体" w:cs="Arial"/>
          <w:szCs w:val="21"/>
          <w:highlight w:val="none"/>
        </w:rPr>
        <w:t>）；</w:t>
      </w:r>
    </w:p>
    <w:p>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.报价供应商</w:t>
      </w:r>
      <w:r>
        <w:rPr>
          <w:rFonts w:ascii="宋体" w:hAnsi="宋体" w:cs="Arial"/>
          <w:szCs w:val="21"/>
          <w:highlight w:val="none"/>
        </w:rPr>
        <w:t>可按此表格式复制</w:t>
      </w:r>
      <w:r>
        <w:rPr>
          <w:rFonts w:hint="eastAsia" w:ascii="宋体" w:hAnsi="宋体" w:cs="Arial"/>
          <w:szCs w:val="21"/>
          <w:highlight w:val="none"/>
        </w:rPr>
        <w:t>。</w:t>
      </w:r>
    </w:p>
    <w:p>
      <w:pPr>
        <w:spacing w:line="360" w:lineRule="auto"/>
        <w:rPr>
          <w:rFonts w:ascii="宋体" w:hAnsi="宋体"/>
          <w:sz w:val="22"/>
          <w:szCs w:val="22"/>
          <w:highlight w:val="none"/>
        </w:rPr>
      </w:pPr>
    </w:p>
    <w:p>
      <w:pPr>
        <w:spacing w:line="360" w:lineRule="auto"/>
        <w:rPr>
          <w:rFonts w:ascii="宋体" w:hAnsi="宋体"/>
          <w:sz w:val="22"/>
          <w:szCs w:val="22"/>
          <w:highlight w:val="none"/>
        </w:rPr>
      </w:pPr>
    </w:p>
    <w:p>
      <w:pPr>
        <w:spacing w:line="360" w:lineRule="auto"/>
        <w:ind w:left="420"/>
        <w:rPr>
          <w:rFonts w:ascii="宋体" w:hAnsi="宋体"/>
          <w:sz w:val="24"/>
          <w:highlight w:val="none"/>
          <w:u w:val="single"/>
        </w:rPr>
      </w:pPr>
      <w:r>
        <w:rPr>
          <w:rFonts w:hint="eastAsia" w:ascii="宋体" w:hAnsi="宋体"/>
          <w:sz w:val="24"/>
          <w:highlight w:val="none"/>
        </w:rPr>
        <w:t>供应商名称（电子印章）：</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供应商代表签字或电子印章：</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职        务：</w:t>
      </w:r>
    </w:p>
    <w:p>
      <w:pPr>
        <w:spacing w:line="360" w:lineRule="auto"/>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p>
    <w:p>
      <w:pPr>
        <w:jc w:val="center"/>
        <w:rPr>
          <w:rFonts w:ascii="仿宋" w:hAnsi="仿宋" w:eastAsia="仿宋"/>
          <w:snapToGrid w:val="0"/>
          <w:kern w:val="0"/>
          <w:sz w:val="24"/>
          <w:highlight w:val="none"/>
        </w:rPr>
      </w:pPr>
    </w:p>
    <w:p>
      <w:pPr>
        <w:pStyle w:val="86"/>
        <w:tabs>
          <w:tab w:val="left" w:pos="1050"/>
        </w:tabs>
        <w:spacing w:line="360" w:lineRule="auto"/>
        <w:outlineLvl w:val="0"/>
        <w:rPr>
          <w:rFonts w:ascii="宋体" w:hAnsi="宋体"/>
          <w:b/>
          <w:sz w:val="28"/>
          <w:highlight w:val="none"/>
        </w:rPr>
      </w:pPr>
    </w:p>
    <w:p>
      <w:pPr>
        <w:pStyle w:val="86"/>
        <w:tabs>
          <w:tab w:val="left" w:pos="1050"/>
        </w:tabs>
        <w:spacing w:line="360" w:lineRule="auto"/>
        <w:outlineLvl w:val="0"/>
        <w:rPr>
          <w:rFonts w:ascii="宋体" w:hAnsi="宋体"/>
          <w:b/>
          <w:sz w:val="28"/>
          <w:highlight w:val="none"/>
        </w:rPr>
      </w:pPr>
    </w:p>
    <w:p>
      <w:pPr>
        <w:adjustRightInd w:val="0"/>
        <w:snapToGrid w:val="0"/>
        <w:spacing w:line="360" w:lineRule="auto"/>
        <w:ind w:right="480"/>
        <w:outlineLvl w:val="0"/>
        <w:rPr>
          <w:rFonts w:hint="eastAsia" w:ascii="宋体" w:hAnsi="宋体" w:eastAsia="宋体"/>
          <w:b/>
          <w:sz w:val="28"/>
          <w:highlight w:val="none"/>
          <w:lang w:eastAsia="zh-CN"/>
        </w:rPr>
      </w:pPr>
      <w:bookmarkStart w:id="101" w:name="_Toc93048473"/>
      <w:r>
        <w:rPr>
          <w:rFonts w:hint="eastAsia" w:ascii="宋体" w:hAnsi="宋体"/>
          <w:b/>
          <w:sz w:val="28"/>
          <w:highlight w:val="none"/>
        </w:rPr>
        <w:t>附件</w:t>
      </w:r>
      <w:bookmarkEnd w:id="101"/>
      <w:r>
        <w:rPr>
          <w:rFonts w:hint="eastAsia" w:ascii="宋体" w:hAnsi="宋体"/>
          <w:b/>
          <w:sz w:val="28"/>
          <w:highlight w:val="none"/>
          <w:lang w:val="en-US" w:eastAsia="zh-CN"/>
        </w:rPr>
        <w:t>8</w:t>
      </w:r>
    </w:p>
    <w:bookmarkEnd w:id="99"/>
    <w:bookmarkEnd w:id="100"/>
    <w:p>
      <w:pPr>
        <w:pStyle w:val="22"/>
        <w:adjustRightInd w:val="0"/>
        <w:snapToGrid w:val="0"/>
        <w:spacing w:before="156" w:after="156"/>
        <w:jc w:val="center"/>
        <w:rPr>
          <w:rFonts w:hAnsi="宋体" w:cs="宋体"/>
          <w:b/>
          <w:bCs/>
          <w:sz w:val="28"/>
          <w:szCs w:val="28"/>
          <w:highlight w:val="none"/>
        </w:rPr>
      </w:pPr>
      <w:bookmarkStart w:id="102" w:name="_Toc93048474"/>
      <w:bookmarkStart w:id="103" w:name="_Toc19972_WPSOffice_Level1"/>
      <w:bookmarkStart w:id="104" w:name="_Toc29537_WPSOffice_Level1"/>
      <w:r>
        <w:rPr>
          <w:rFonts w:hint="eastAsia" w:hAnsi="宋体" w:cs="宋体"/>
          <w:b/>
          <w:bCs/>
          <w:sz w:val="28"/>
          <w:szCs w:val="28"/>
          <w:highlight w:val="none"/>
        </w:rPr>
        <w:t>项目负责人简历表</w:t>
      </w:r>
    </w:p>
    <w:tbl>
      <w:tblPr>
        <w:tblStyle w:val="4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专业</w:t>
            </w:r>
          </w:p>
        </w:tc>
        <w:tc>
          <w:tcPr>
            <w:tcW w:w="18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学历</w:t>
            </w:r>
          </w:p>
        </w:tc>
        <w:tc>
          <w:tcPr>
            <w:tcW w:w="1867"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288" w:hangingChars="120"/>
              <w:jc w:val="left"/>
              <w:rPr>
                <w:rFonts w:cs="宋体"/>
                <w:kern w:val="0"/>
                <w:sz w:val="24"/>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从事项目负责人年限</w:t>
            </w:r>
          </w:p>
        </w:tc>
        <w:tc>
          <w:tcPr>
            <w:tcW w:w="1867" w:type="dxa"/>
            <w:tcBorders>
              <w:top w:val="nil"/>
              <w:left w:val="nil"/>
              <w:bottom w:val="single" w:color="000000" w:sz="4" w:space="0"/>
              <w:right w:val="single" w:color="000000" w:sz="4" w:space="0"/>
            </w:tcBorders>
            <w:shd w:val="clear" w:color="auto" w:fill="FFFFFF"/>
            <w:vAlign w:val="center"/>
          </w:tcPr>
          <w:p>
            <w:pPr>
              <w:widowControl/>
              <w:jc w:val="left"/>
              <w:rPr>
                <w:rFonts w:cs="宋体"/>
                <w:kern w:val="0"/>
                <w:sz w:val="24"/>
                <w:highlight w:val="none"/>
              </w:rPr>
            </w:pPr>
            <w:r>
              <w:rPr>
                <w:rFonts w:hint="eastAsia" w:cs="宋体"/>
                <w:kern w:val="0"/>
                <w:sz w:val="24"/>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　</w:t>
            </w:r>
          </w:p>
        </w:tc>
      </w:tr>
      <w:tr>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highlight w:val="none"/>
              </w:rPr>
            </w:pPr>
            <w:r>
              <w:rPr>
                <w:rFonts w:hint="eastAsia" w:cs="宋体"/>
                <w:kern w:val="0"/>
                <w:sz w:val="24"/>
                <w:highlight w:val="none"/>
              </w:rPr>
              <w:t>简</w:t>
            </w:r>
          </w:p>
          <w:p>
            <w:pPr>
              <w:widowControl/>
              <w:jc w:val="center"/>
              <w:rPr>
                <w:rFonts w:cs="宋体"/>
                <w:kern w:val="0"/>
                <w:sz w:val="24"/>
                <w:highlight w:val="none"/>
              </w:rPr>
            </w:pPr>
          </w:p>
          <w:p>
            <w:pPr>
              <w:widowControl/>
              <w:jc w:val="center"/>
              <w:rPr>
                <w:rFonts w:cs="宋体"/>
                <w:kern w:val="0"/>
                <w:sz w:val="24"/>
                <w:highlight w:val="none"/>
              </w:rPr>
            </w:pPr>
          </w:p>
          <w:p>
            <w:pPr>
              <w:widowControl/>
              <w:jc w:val="center"/>
              <w:rPr>
                <w:rFonts w:cs="宋体"/>
                <w:kern w:val="0"/>
                <w:sz w:val="24"/>
                <w:highlight w:val="none"/>
              </w:rPr>
            </w:pPr>
          </w:p>
          <w:p>
            <w:pPr>
              <w:widowControl/>
              <w:jc w:val="center"/>
              <w:rPr>
                <w:rFonts w:cs="宋体"/>
                <w:kern w:val="0"/>
                <w:sz w:val="24"/>
                <w:highlight w:val="none"/>
              </w:rPr>
            </w:pPr>
          </w:p>
          <w:p>
            <w:pPr>
              <w:widowControl/>
              <w:jc w:val="center"/>
              <w:rPr>
                <w:rFonts w:cs="宋体"/>
                <w:kern w:val="0"/>
                <w:sz w:val="24"/>
                <w:highlight w:val="none"/>
              </w:rPr>
            </w:pPr>
          </w:p>
          <w:p>
            <w:pPr>
              <w:widowControl/>
              <w:jc w:val="center"/>
              <w:rPr>
                <w:rFonts w:cs="宋体"/>
                <w:kern w:val="0"/>
                <w:sz w:val="24"/>
                <w:highlight w:val="none"/>
              </w:rPr>
            </w:pPr>
            <w:r>
              <w:rPr>
                <w:rFonts w:hint="eastAsia" w:cs="宋体"/>
                <w:kern w:val="0"/>
                <w:sz w:val="24"/>
                <w:highlight w:val="none"/>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宋体"/>
                <w:kern w:val="0"/>
                <w:sz w:val="24"/>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kern w:val="0"/>
                <w:sz w:val="22"/>
                <w:szCs w:val="22"/>
                <w:highlight w:val="none"/>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kern w:val="0"/>
                <w:sz w:val="22"/>
                <w:szCs w:val="22"/>
                <w:highlight w:val="none"/>
              </w:rPr>
            </w:pPr>
          </w:p>
        </w:tc>
      </w:tr>
    </w:tbl>
    <w:p>
      <w:pPr>
        <w:spacing w:line="360" w:lineRule="auto"/>
        <w:rPr>
          <w:rFonts w:ascii="宋体" w:hAnsi="宋体" w:cs="宋体"/>
          <w:b/>
          <w:bCs/>
          <w:szCs w:val="21"/>
          <w:highlight w:val="none"/>
        </w:rPr>
      </w:pPr>
    </w:p>
    <w:p>
      <w:pPr>
        <w:spacing w:line="360" w:lineRule="auto"/>
        <w:rPr>
          <w:rFonts w:ascii="宋体" w:hAnsi="宋体" w:cs="Arial"/>
          <w:szCs w:val="21"/>
          <w:highlight w:val="none"/>
        </w:rPr>
      </w:pPr>
      <w:r>
        <w:rPr>
          <w:rFonts w:hint="eastAsia" w:ascii="宋体" w:hAnsi="宋体" w:cs="宋体"/>
          <w:b/>
          <w:bCs/>
          <w:szCs w:val="21"/>
          <w:highlight w:val="none"/>
        </w:rPr>
        <w:t>注：</w:t>
      </w:r>
      <w:r>
        <w:rPr>
          <w:rFonts w:ascii="宋体" w:hAnsi="宋体" w:cs="Arial"/>
          <w:szCs w:val="21"/>
          <w:highlight w:val="none"/>
        </w:rPr>
        <w:t>提供</w:t>
      </w:r>
      <w:r>
        <w:rPr>
          <w:rFonts w:hint="eastAsia" w:ascii="宋体" w:hAnsi="宋体" w:cs="Arial"/>
          <w:szCs w:val="21"/>
          <w:highlight w:val="none"/>
        </w:rPr>
        <w:t>相关证明材料</w:t>
      </w:r>
      <w:r>
        <w:rPr>
          <w:rFonts w:ascii="宋体" w:hAnsi="宋体" w:cs="Arial"/>
          <w:szCs w:val="21"/>
          <w:highlight w:val="none"/>
        </w:rPr>
        <w:t>；</w:t>
      </w:r>
    </w:p>
    <w:p>
      <w:pPr>
        <w:spacing w:line="360" w:lineRule="auto"/>
        <w:rPr>
          <w:rFonts w:ascii="宋体" w:hAnsi="宋体"/>
          <w:sz w:val="24"/>
          <w:highlight w:val="none"/>
        </w:rPr>
      </w:pPr>
    </w:p>
    <w:p>
      <w:pPr>
        <w:spacing w:line="360" w:lineRule="auto"/>
        <w:ind w:left="420"/>
        <w:rPr>
          <w:rFonts w:ascii="宋体" w:hAnsi="宋体"/>
          <w:sz w:val="24"/>
          <w:highlight w:val="none"/>
        </w:rPr>
      </w:pPr>
      <w:r>
        <w:rPr>
          <w:rFonts w:hint="eastAsia" w:ascii="宋体" w:hAnsi="宋体"/>
          <w:sz w:val="24"/>
          <w:highlight w:val="none"/>
        </w:rPr>
        <w:t>供应商名称（电子印章）：</w:t>
      </w:r>
    </w:p>
    <w:p>
      <w:pPr>
        <w:spacing w:line="360" w:lineRule="auto"/>
        <w:ind w:firstLine="435"/>
        <w:rPr>
          <w:rFonts w:ascii="宋体" w:hAnsi="宋体"/>
          <w:sz w:val="24"/>
          <w:highlight w:val="none"/>
        </w:rPr>
      </w:pPr>
      <w:r>
        <w:rPr>
          <w:rFonts w:hint="eastAsia" w:ascii="宋体" w:hAnsi="宋体"/>
          <w:sz w:val="24"/>
          <w:highlight w:val="none"/>
        </w:rPr>
        <w:t>供应商代表签字或电子印章：</w:t>
      </w:r>
    </w:p>
    <w:p>
      <w:pPr>
        <w:spacing w:line="360" w:lineRule="auto"/>
        <w:ind w:firstLine="435"/>
        <w:rPr>
          <w:rFonts w:ascii="宋体" w:hAnsi="宋体"/>
          <w:sz w:val="24"/>
          <w:highlight w:val="none"/>
        </w:rPr>
      </w:pPr>
      <w:r>
        <w:rPr>
          <w:rFonts w:hint="eastAsia" w:ascii="宋体" w:hAnsi="宋体"/>
          <w:sz w:val="24"/>
          <w:highlight w:val="none"/>
        </w:rPr>
        <w:t>职        务：</w:t>
      </w:r>
    </w:p>
    <w:p>
      <w:pPr>
        <w:spacing w:line="360" w:lineRule="auto"/>
        <w:ind w:firstLine="435"/>
        <w:rPr>
          <w:rFonts w:ascii="宋体" w:hAnsi="宋体"/>
          <w:sz w:val="24"/>
          <w:highlight w:val="none"/>
        </w:rPr>
      </w:pPr>
      <w:r>
        <w:rPr>
          <w:rFonts w:hint="eastAsia" w:ascii="宋体" w:hAnsi="宋体"/>
          <w:sz w:val="24"/>
          <w:highlight w:val="none"/>
        </w:rPr>
        <w:t>日        期：</w:t>
      </w:r>
    </w:p>
    <w:p>
      <w:pPr>
        <w:adjustRightInd w:val="0"/>
        <w:snapToGrid w:val="0"/>
        <w:spacing w:line="360" w:lineRule="auto"/>
        <w:ind w:right="480"/>
        <w:outlineLvl w:val="0"/>
        <w:rPr>
          <w:rFonts w:ascii="宋体" w:hAnsi="宋体"/>
          <w:b/>
          <w:sz w:val="28"/>
          <w:highlight w:val="none"/>
        </w:rPr>
      </w:pPr>
    </w:p>
    <w:p>
      <w:pPr>
        <w:adjustRightInd w:val="0"/>
        <w:snapToGrid w:val="0"/>
        <w:spacing w:line="360" w:lineRule="auto"/>
        <w:ind w:right="480"/>
        <w:outlineLvl w:val="0"/>
        <w:rPr>
          <w:rFonts w:hint="eastAsia" w:ascii="宋体" w:hAnsi="宋体" w:eastAsia="宋体"/>
          <w:b/>
          <w:sz w:val="28"/>
          <w:highlight w:val="none"/>
          <w:lang w:eastAsia="zh-CN"/>
        </w:rPr>
      </w:pPr>
      <w:r>
        <w:rPr>
          <w:rFonts w:ascii="宋体" w:hAnsi="宋体"/>
          <w:b/>
          <w:sz w:val="28"/>
          <w:highlight w:val="none"/>
        </w:rPr>
        <w:t>附件</w:t>
      </w:r>
      <w:bookmarkEnd w:id="102"/>
      <w:r>
        <w:rPr>
          <w:rFonts w:hint="eastAsia" w:ascii="宋体" w:hAnsi="宋体"/>
          <w:b/>
          <w:sz w:val="28"/>
          <w:highlight w:val="none"/>
          <w:lang w:val="en-US" w:eastAsia="zh-CN"/>
        </w:rPr>
        <w:t>9</w:t>
      </w:r>
    </w:p>
    <w:p>
      <w:pPr>
        <w:pStyle w:val="22"/>
        <w:adjustRightInd w:val="0"/>
        <w:snapToGrid w:val="0"/>
        <w:spacing w:line="360" w:lineRule="auto"/>
        <w:jc w:val="center"/>
        <w:rPr>
          <w:rFonts w:hAnsi="宋体"/>
          <w:b/>
          <w:sz w:val="32"/>
          <w:szCs w:val="32"/>
          <w:highlight w:val="none"/>
        </w:rPr>
      </w:pPr>
      <w:r>
        <w:rPr>
          <w:rFonts w:hint="eastAsia" w:hAnsi="宋体"/>
          <w:b/>
          <w:sz w:val="32"/>
          <w:szCs w:val="32"/>
          <w:highlight w:val="none"/>
          <w:lang w:eastAsia="zh-CN"/>
        </w:rPr>
        <w:t>项目实施人员一览表</w:t>
      </w:r>
    </w:p>
    <w:tbl>
      <w:tblPr>
        <w:tblStyle w:val="4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159"/>
        <w:gridCol w:w="889"/>
        <w:gridCol w:w="909"/>
        <w:gridCol w:w="1038"/>
        <w:gridCol w:w="1313"/>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1819" w:type="dxa"/>
            <w:vAlign w:val="center"/>
          </w:tcPr>
          <w:p>
            <w:pPr>
              <w:jc w:val="center"/>
              <w:rPr>
                <w:rFonts w:ascii="宋体" w:hAnsi="宋体"/>
                <w:sz w:val="28"/>
                <w:szCs w:val="28"/>
                <w:highlight w:val="none"/>
              </w:rPr>
            </w:pPr>
            <w:r>
              <w:rPr>
                <w:rFonts w:hint="eastAsia" w:ascii="宋体" w:hAnsi="宋体"/>
                <w:sz w:val="28"/>
                <w:szCs w:val="28"/>
                <w:highlight w:val="none"/>
              </w:rPr>
              <w:t>职务</w:t>
            </w:r>
          </w:p>
        </w:tc>
        <w:tc>
          <w:tcPr>
            <w:tcW w:w="1159" w:type="dxa"/>
            <w:vAlign w:val="center"/>
          </w:tcPr>
          <w:p>
            <w:pPr>
              <w:jc w:val="center"/>
              <w:rPr>
                <w:rFonts w:ascii="宋体" w:hAnsi="宋体"/>
                <w:sz w:val="28"/>
                <w:szCs w:val="28"/>
                <w:highlight w:val="none"/>
              </w:rPr>
            </w:pPr>
            <w:r>
              <w:rPr>
                <w:rFonts w:hint="eastAsia" w:ascii="宋体" w:hAnsi="宋体"/>
                <w:sz w:val="28"/>
                <w:szCs w:val="28"/>
                <w:highlight w:val="none"/>
              </w:rPr>
              <w:t>姓名</w:t>
            </w:r>
          </w:p>
        </w:tc>
        <w:tc>
          <w:tcPr>
            <w:tcW w:w="889" w:type="dxa"/>
            <w:vAlign w:val="center"/>
          </w:tcPr>
          <w:p>
            <w:pPr>
              <w:jc w:val="center"/>
              <w:rPr>
                <w:rFonts w:ascii="宋体" w:hAnsi="宋体"/>
                <w:sz w:val="28"/>
                <w:szCs w:val="28"/>
                <w:highlight w:val="none"/>
              </w:rPr>
            </w:pPr>
            <w:r>
              <w:rPr>
                <w:rFonts w:hint="eastAsia" w:ascii="宋体" w:hAnsi="宋体"/>
                <w:sz w:val="28"/>
                <w:szCs w:val="28"/>
                <w:highlight w:val="none"/>
              </w:rPr>
              <w:t>性别</w:t>
            </w:r>
          </w:p>
        </w:tc>
        <w:tc>
          <w:tcPr>
            <w:tcW w:w="909" w:type="dxa"/>
            <w:vAlign w:val="center"/>
          </w:tcPr>
          <w:p>
            <w:pPr>
              <w:jc w:val="center"/>
              <w:rPr>
                <w:rFonts w:ascii="宋体" w:hAnsi="宋体"/>
                <w:sz w:val="28"/>
                <w:szCs w:val="28"/>
                <w:highlight w:val="none"/>
              </w:rPr>
            </w:pPr>
            <w:r>
              <w:rPr>
                <w:rFonts w:hint="eastAsia" w:ascii="宋体" w:hAnsi="宋体"/>
                <w:sz w:val="28"/>
                <w:szCs w:val="28"/>
                <w:highlight w:val="none"/>
              </w:rPr>
              <w:t>年龄</w:t>
            </w:r>
          </w:p>
        </w:tc>
        <w:tc>
          <w:tcPr>
            <w:tcW w:w="1038" w:type="dxa"/>
            <w:vAlign w:val="center"/>
          </w:tcPr>
          <w:p>
            <w:pPr>
              <w:jc w:val="center"/>
              <w:rPr>
                <w:rFonts w:ascii="宋体" w:hAnsi="宋体"/>
                <w:sz w:val="28"/>
                <w:szCs w:val="28"/>
                <w:highlight w:val="none"/>
              </w:rPr>
            </w:pPr>
            <w:r>
              <w:rPr>
                <w:rFonts w:hint="eastAsia" w:ascii="宋体" w:hAnsi="宋体"/>
                <w:sz w:val="28"/>
                <w:szCs w:val="28"/>
                <w:highlight w:val="none"/>
              </w:rPr>
              <w:t>职称</w:t>
            </w:r>
          </w:p>
        </w:tc>
        <w:tc>
          <w:tcPr>
            <w:tcW w:w="1313" w:type="dxa"/>
            <w:vAlign w:val="center"/>
          </w:tcPr>
          <w:p>
            <w:pPr>
              <w:jc w:val="center"/>
              <w:rPr>
                <w:rFonts w:ascii="宋体" w:hAnsi="宋体"/>
                <w:sz w:val="28"/>
                <w:szCs w:val="28"/>
                <w:highlight w:val="none"/>
              </w:rPr>
            </w:pPr>
            <w:r>
              <w:rPr>
                <w:rFonts w:hint="eastAsia" w:ascii="宋体" w:hAnsi="宋体"/>
                <w:sz w:val="28"/>
                <w:szCs w:val="28"/>
                <w:highlight w:val="none"/>
              </w:rPr>
              <w:t>本岗</w:t>
            </w:r>
          </w:p>
          <w:p>
            <w:pPr>
              <w:jc w:val="center"/>
              <w:rPr>
                <w:rFonts w:ascii="宋体" w:hAnsi="宋体"/>
                <w:sz w:val="28"/>
                <w:szCs w:val="28"/>
                <w:highlight w:val="none"/>
              </w:rPr>
            </w:pPr>
            <w:r>
              <w:rPr>
                <w:rFonts w:hint="eastAsia" w:ascii="宋体" w:hAnsi="宋体"/>
                <w:sz w:val="28"/>
                <w:szCs w:val="28"/>
                <w:highlight w:val="none"/>
              </w:rPr>
              <w:t>工龄</w:t>
            </w:r>
          </w:p>
        </w:tc>
        <w:tc>
          <w:tcPr>
            <w:tcW w:w="2452" w:type="dxa"/>
            <w:vAlign w:val="center"/>
          </w:tcPr>
          <w:p>
            <w:pPr>
              <w:spacing w:line="300" w:lineRule="exact"/>
              <w:rPr>
                <w:rFonts w:ascii="宋体" w:hAnsi="宋体"/>
                <w:sz w:val="28"/>
                <w:szCs w:val="28"/>
                <w:highlight w:val="none"/>
              </w:rPr>
            </w:pPr>
            <w:r>
              <w:rPr>
                <w:rFonts w:hint="eastAsia" w:ascii="宋体" w:hAnsi="宋体"/>
                <w:sz w:val="28"/>
                <w:szCs w:val="28"/>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819" w:type="dxa"/>
            <w:vAlign w:val="center"/>
          </w:tcPr>
          <w:p>
            <w:pPr>
              <w:jc w:val="center"/>
              <w:rPr>
                <w:rFonts w:ascii="宋体" w:hAnsi="宋体"/>
                <w:sz w:val="28"/>
                <w:szCs w:val="28"/>
                <w:highlight w:val="none"/>
              </w:rPr>
            </w:pPr>
          </w:p>
        </w:tc>
        <w:tc>
          <w:tcPr>
            <w:tcW w:w="1159" w:type="dxa"/>
            <w:vAlign w:val="center"/>
          </w:tcPr>
          <w:p>
            <w:pPr>
              <w:jc w:val="center"/>
              <w:rPr>
                <w:rFonts w:ascii="宋体" w:hAnsi="宋体"/>
                <w:sz w:val="28"/>
                <w:szCs w:val="28"/>
                <w:highlight w:val="none"/>
              </w:rPr>
            </w:pPr>
          </w:p>
        </w:tc>
        <w:tc>
          <w:tcPr>
            <w:tcW w:w="889" w:type="dxa"/>
            <w:vAlign w:val="center"/>
          </w:tcPr>
          <w:p>
            <w:pPr>
              <w:jc w:val="center"/>
              <w:rPr>
                <w:rFonts w:ascii="宋体" w:hAnsi="宋体"/>
                <w:sz w:val="28"/>
                <w:szCs w:val="28"/>
                <w:highlight w:val="none"/>
              </w:rPr>
            </w:pPr>
          </w:p>
        </w:tc>
        <w:tc>
          <w:tcPr>
            <w:tcW w:w="909" w:type="dxa"/>
            <w:vAlign w:val="center"/>
          </w:tcPr>
          <w:p>
            <w:pPr>
              <w:jc w:val="center"/>
              <w:rPr>
                <w:rFonts w:ascii="宋体" w:hAnsi="宋体"/>
                <w:sz w:val="28"/>
                <w:szCs w:val="28"/>
                <w:highlight w:val="none"/>
              </w:rPr>
            </w:pPr>
          </w:p>
        </w:tc>
        <w:tc>
          <w:tcPr>
            <w:tcW w:w="1038" w:type="dxa"/>
            <w:vAlign w:val="center"/>
          </w:tcPr>
          <w:p>
            <w:pPr>
              <w:jc w:val="center"/>
              <w:rPr>
                <w:rFonts w:ascii="宋体" w:hAnsi="宋体"/>
                <w:sz w:val="28"/>
                <w:szCs w:val="28"/>
                <w:highlight w:val="none"/>
              </w:rPr>
            </w:pPr>
          </w:p>
        </w:tc>
        <w:tc>
          <w:tcPr>
            <w:tcW w:w="1313" w:type="dxa"/>
            <w:vAlign w:val="center"/>
          </w:tcPr>
          <w:p>
            <w:pPr>
              <w:jc w:val="center"/>
              <w:rPr>
                <w:rFonts w:ascii="宋体" w:hAnsi="宋体"/>
                <w:sz w:val="28"/>
                <w:szCs w:val="28"/>
                <w:highlight w:val="none"/>
              </w:rPr>
            </w:pPr>
          </w:p>
        </w:tc>
        <w:tc>
          <w:tcPr>
            <w:tcW w:w="2452" w:type="dxa"/>
            <w:vAlign w:val="center"/>
          </w:tcPr>
          <w:p>
            <w:pP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1819" w:type="dxa"/>
            <w:vAlign w:val="center"/>
          </w:tcPr>
          <w:p>
            <w:pPr>
              <w:rPr>
                <w:rFonts w:ascii="宋体" w:hAnsi="宋体"/>
                <w:sz w:val="28"/>
                <w:szCs w:val="28"/>
                <w:highlight w:val="none"/>
              </w:rPr>
            </w:pPr>
          </w:p>
        </w:tc>
        <w:tc>
          <w:tcPr>
            <w:tcW w:w="1159" w:type="dxa"/>
            <w:vAlign w:val="center"/>
          </w:tcPr>
          <w:p>
            <w:pPr>
              <w:jc w:val="center"/>
              <w:rPr>
                <w:rFonts w:ascii="宋体" w:hAnsi="宋体"/>
                <w:sz w:val="28"/>
                <w:szCs w:val="28"/>
                <w:highlight w:val="none"/>
              </w:rPr>
            </w:pPr>
          </w:p>
        </w:tc>
        <w:tc>
          <w:tcPr>
            <w:tcW w:w="889" w:type="dxa"/>
            <w:vAlign w:val="center"/>
          </w:tcPr>
          <w:p>
            <w:pPr>
              <w:jc w:val="center"/>
              <w:rPr>
                <w:rFonts w:ascii="宋体" w:hAnsi="宋体"/>
                <w:sz w:val="28"/>
                <w:szCs w:val="28"/>
                <w:highlight w:val="none"/>
              </w:rPr>
            </w:pPr>
          </w:p>
        </w:tc>
        <w:tc>
          <w:tcPr>
            <w:tcW w:w="909" w:type="dxa"/>
            <w:vAlign w:val="center"/>
          </w:tcPr>
          <w:p>
            <w:pPr>
              <w:jc w:val="center"/>
              <w:rPr>
                <w:rFonts w:ascii="宋体" w:hAnsi="宋体"/>
                <w:sz w:val="28"/>
                <w:szCs w:val="28"/>
                <w:highlight w:val="none"/>
              </w:rPr>
            </w:pPr>
          </w:p>
        </w:tc>
        <w:tc>
          <w:tcPr>
            <w:tcW w:w="1038" w:type="dxa"/>
            <w:vAlign w:val="center"/>
          </w:tcPr>
          <w:p>
            <w:pPr>
              <w:jc w:val="center"/>
              <w:rPr>
                <w:rFonts w:ascii="宋体" w:hAnsi="宋体"/>
                <w:sz w:val="28"/>
                <w:szCs w:val="28"/>
                <w:highlight w:val="none"/>
              </w:rPr>
            </w:pPr>
          </w:p>
        </w:tc>
        <w:tc>
          <w:tcPr>
            <w:tcW w:w="1313" w:type="dxa"/>
            <w:vAlign w:val="center"/>
          </w:tcPr>
          <w:p>
            <w:pPr>
              <w:jc w:val="center"/>
              <w:rPr>
                <w:rFonts w:ascii="宋体" w:hAnsi="宋体"/>
                <w:sz w:val="28"/>
                <w:szCs w:val="28"/>
                <w:highlight w:val="none"/>
              </w:rPr>
            </w:pPr>
          </w:p>
        </w:tc>
        <w:tc>
          <w:tcPr>
            <w:tcW w:w="2452" w:type="dxa"/>
            <w:vAlign w:val="center"/>
          </w:tcPr>
          <w:p>
            <w:pP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819" w:type="dxa"/>
            <w:vAlign w:val="center"/>
          </w:tcPr>
          <w:p>
            <w:pPr>
              <w:jc w:val="center"/>
              <w:rPr>
                <w:rFonts w:ascii="宋体" w:hAnsi="宋体"/>
                <w:sz w:val="28"/>
                <w:szCs w:val="28"/>
                <w:highlight w:val="none"/>
              </w:rPr>
            </w:pPr>
          </w:p>
        </w:tc>
        <w:tc>
          <w:tcPr>
            <w:tcW w:w="1159" w:type="dxa"/>
          </w:tcPr>
          <w:p>
            <w:pPr>
              <w:rPr>
                <w:rFonts w:ascii="宋体" w:hAnsi="宋体"/>
                <w:sz w:val="28"/>
                <w:szCs w:val="28"/>
                <w:highlight w:val="none"/>
              </w:rPr>
            </w:pPr>
          </w:p>
        </w:tc>
        <w:tc>
          <w:tcPr>
            <w:tcW w:w="889" w:type="dxa"/>
          </w:tcPr>
          <w:p>
            <w:pPr>
              <w:rPr>
                <w:rFonts w:ascii="宋体" w:hAnsi="宋体"/>
                <w:sz w:val="28"/>
                <w:szCs w:val="28"/>
                <w:highlight w:val="none"/>
              </w:rPr>
            </w:pPr>
          </w:p>
        </w:tc>
        <w:tc>
          <w:tcPr>
            <w:tcW w:w="909" w:type="dxa"/>
          </w:tcPr>
          <w:p>
            <w:pPr>
              <w:rPr>
                <w:rFonts w:ascii="宋体" w:hAnsi="宋体"/>
                <w:sz w:val="28"/>
                <w:szCs w:val="28"/>
                <w:highlight w:val="none"/>
              </w:rPr>
            </w:pPr>
          </w:p>
        </w:tc>
        <w:tc>
          <w:tcPr>
            <w:tcW w:w="1038" w:type="dxa"/>
          </w:tcPr>
          <w:p>
            <w:pPr>
              <w:rPr>
                <w:rFonts w:ascii="宋体" w:hAnsi="宋体"/>
                <w:sz w:val="28"/>
                <w:szCs w:val="28"/>
                <w:highlight w:val="none"/>
              </w:rPr>
            </w:pPr>
          </w:p>
        </w:tc>
        <w:tc>
          <w:tcPr>
            <w:tcW w:w="1313" w:type="dxa"/>
          </w:tcPr>
          <w:p>
            <w:pPr>
              <w:rPr>
                <w:rFonts w:ascii="宋体" w:hAnsi="宋体"/>
                <w:sz w:val="28"/>
                <w:szCs w:val="28"/>
                <w:highlight w:val="none"/>
              </w:rPr>
            </w:pPr>
          </w:p>
        </w:tc>
        <w:tc>
          <w:tcPr>
            <w:tcW w:w="2452"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819" w:type="dxa"/>
            <w:vAlign w:val="center"/>
          </w:tcPr>
          <w:p>
            <w:pPr>
              <w:jc w:val="center"/>
              <w:rPr>
                <w:rFonts w:ascii="宋体" w:hAnsi="宋体"/>
                <w:sz w:val="28"/>
                <w:szCs w:val="28"/>
                <w:highlight w:val="none"/>
              </w:rPr>
            </w:pPr>
          </w:p>
        </w:tc>
        <w:tc>
          <w:tcPr>
            <w:tcW w:w="1159" w:type="dxa"/>
          </w:tcPr>
          <w:p>
            <w:pPr>
              <w:rPr>
                <w:rFonts w:ascii="宋体" w:hAnsi="宋体"/>
                <w:sz w:val="28"/>
                <w:szCs w:val="28"/>
                <w:highlight w:val="none"/>
              </w:rPr>
            </w:pPr>
          </w:p>
        </w:tc>
        <w:tc>
          <w:tcPr>
            <w:tcW w:w="889" w:type="dxa"/>
          </w:tcPr>
          <w:p>
            <w:pPr>
              <w:rPr>
                <w:rFonts w:ascii="宋体" w:hAnsi="宋体"/>
                <w:sz w:val="28"/>
                <w:szCs w:val="28"/>
                <w:highlight w:val="none"/>
              </w:rPr>
            </w:pPr>
          </w:p>
        </w:tc>
        <w:tc>
          <w:tcPr>
            <w:tcW w:w="909" w:type="dxa"/>
          </w:tcPr>
          <w:p>
            <w:pPr>
              <w:rPr>
                <w:rFonts w:ascii="宋体" w:hAnsi="宋体"/>
                <w:sz w:val="28"/>
                <w:szCs w:val="28"/>
                <w:highlight w:val="none"/>
              </w:rPr>
            </w:pPr>
          </w:p>
        </w:tc>
        <w:tc>
          <w:tcPr>
            <w:tcW w:w="1038" w:type="dxa"/>
          </w:tcPr>
          <w:p>
            <w:pPr>
              <w:rPr>
                <w:rFonts w:ascii="宋体" w:hAnsi="宋体"/>
                <w:sz w:val="28"/>
                <w:szCs w:val="28"/>
                <w:highlight w:val="none"/>
              </w:rPr>
            </w:pPr>
          </w:p>
        </w:tc>
        <w:tc>
          <w:tcPr>
            <w:tcW w:w="1313" w:type="dxa"/>
          </w:tcPr>
          <w:p>
            <w:pPr>
              <w:pStyle w:val="148"/>
              <w:rPr>
                <w:rFonts w:ascii="宋体" w:hAnsi="宋体" w:eastAsia="宋体"/>
                <w:sz w:val="28"/>
                <w:szCs w:val="28"/>
                <w:highlight w:val="none"/>
              </w:rPr>
            </w:pPr>
          </w:p>
        </w:tc>
        <w:tc>
          <w:tcPr>
            <w:tcW w:w="2452"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819" w:type="dxa"/>
            <w:vAlign w:val="center"/>
          </w:tcPr>
          <w:p>
            <w:pPr>
              <w:rPr>
                <w:rFonts w:ascii="宋体" w:hAnsi="宋体"/>
                <w:sz w:val="28"/>
                <w:szCs w:val="28"/>
                <w:highlight w:val="none"/>
              </w:rPr>
            </w:pPr>
          </w:p>
        </w:tc>
        <w:tc>
          <w:tcPr>
            <w:tcW w:w="1159" w:type="dxa"/>
          </w:tcPr>
          <w:p>
            <w:pPr>
              <w:rPr>
                <w:rFonts w:ascii="宋体" w:hAnsi="宋体"/>
                <w:sz w:val="28"/>
                <w:szCs w:val="28"/>
                <w:highlight w:val="none"/>
              </w:rPr>
            </w:pPr>
          </w:p>
        </w:tc>
        <w:tc>
          <w:tcPr>
            <w:tcW w:w="889" w:type="dxa"/>
          </w:tcPr>
          <w:p>
            <w:pPr>
              <w:rPr>
                <w:rFonts w:ascii="宋体" w:hAnsi="宋体"/>
                <w:sz w:val="28"/>
                <w:szCs w:val="28"/>
                <w:highlight w:val="none"/>
              </w:rPr>
            </w:pPr>
          </w:p>
        </w:tc>
        <w:tc>
          <w:tcPr>
            <w:tcW w:w="909" w:type="dxa"/>
          </w:tcPr>
          <w:p>
            <w:pPr>
              <w:rPr>
                <w:rFonts w:ascii="宋体" w:hAnsi="宋体"/>
                <w:sz w:val="28"/>
                <w:szCs w:val="28"/>
                <w:highlight w:val="none"/>
              </w:rPr>
            </w:pPr>
          </w:p>
        </w:tc>
        <w:tc>
          <w:tcPr>
            <w:tcW w:w="1038" w:type="dxa"/>
          </w:tcPr>
          <w:p>
            <w:pPr>
              <w:rPr>
                <w:rFonts w:ascii="宋体" w:hAnsi="宋体"/>
                <w:sz w:val="28"/>
                <w:szCs w:val="28"/>
                <w:highlight w:val="none"/>
              </w:rPr>
            </w:pPr>
          </w:p>
        </w:tc>
        <w:tc>
          <w:tcPr>
            <w:tcW w:w="1313" w:type="dxa"/>
          </w:tcPr>
          <w:p>
            <w:pPr>
              <w:pStyle w:val="148"/>
              <w:rPr>
                <w:rFonts w:ascii="宋体" w:hAnsi="宋体" w:eastAsia="宋体"/>
                <w:sz w:val="28"/>
                <w:szCs w:val="28"/>
                <w:highlight w:val="none"/>
              </w:rPr>
            </w:pPr>
          </w:p>
        </w:tc>
        <w:tc>
          <w:tcPr>
            <w:tcW w:w="2452"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819" w:type="dxa"/>
            <w:vAlign w:val="center"/>
          </w:tcPr>
          <w:p>
            <w:pPr>
              <w:rPr>
                <w:rFonts w:ascii="宋体" w:hAnsi="宋体"/>
                <w:sz w:val="28"/>
                <w:szCs w:val="28"/>
                <w:highlight w:val="none"/>
              </w:rPr>
            </w:pPr>
          </w:p>
        </w:tc>
        <w:tc>
          <w:tcPr>
            <w:tcW w:w="1159" w:type="dxa"/>
          </w:tcPr>
          <w:p>
            <w:pPr>
              <w:rPr>
                <w:rFonts w:ascii="宋体" w:hAnsi="宋体"/>
                <w:sz w:val="28"/>
                <w:szCs w:val="28"/>
                <w:highlight w:val="none"/>
              </w:rPr>
            </w:pPr>
          </w:p>
        </w:tc>
        <w:tc>
          <w:tcPr>
            <w:tcW w:w="889" w:type="dxa"/>
          </w:tcPr>
          <w:p>
            <w:pPr>
              <w:rPr>
                <w:rFonts w:ascii="宋体" w:hAnsi="宋体"/>
                <w:sz w:val="28"/>
                <w:szCs w:val="28"/>
                <w:highlight w:val="none"/>
              </w:rPr>
            </w:pPr>
          </w:p>
        </w:tc>
        <w:tc>
          <w:tcPr>
            <w:tcW w:w="909" w:type="dxa"/>
          </w:tcPr>
          <w:p>
            <w:pPr>
              <w:rPr>
                <w:rFonts w:ascii="宋体" w:hAnsi="宋体"/>
                <w:sz w:val="28"/>
                <w:szCs w:val="28"/>
                <w:highlight w:val="none"/>
              </w:rPr>
            </w:pPr>
          </w:p>
        </w:tc>
        <w:tc>
          <w:tcPr>
            <w:tcW w:w="1038" w:type="dxa"/>
          </w:tcPr>
          <w:p>
            <w:pPr>
              <w:rPr>
                <w:rFonts w:ascii="宋体" w:hAnsi="宋体"/>
                <w:sz w:val="28"/>
                <w:szCs w:val="28"/>
                <w:highlight w:val="none"/>
              </w:rPr>
            </w:pPr>
          </w:p>
        </w:tc>
        <w:tc>
          <w:tcPr>
            <w:tcW w:w="1313" w:type="dxa"/>
          </w:tcPr>
          <w:p>
            <w:pPr>
              <w:pStyle w:val="148"/>
              <w:rPr>
                <w:rFonts w:ascii="宋体" w:hAnsi="宋体" w:eastAsia="宋体"/>
                <w:sz w:val="28"/>
                <w:szCs w:val="28"/>
                <w:highlight w:val="none"/>
              </w:rPr>
            </w:pPr>
          </w:p>
        </w:tc>
        <w:tc>
          <w:tcPr>
            <w:tcW w:w="2452"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819" w:type="dxa"/>
            <w:vAlign w:val="center"/>
          </w:tcPr>
          <w:p>
            <w:pPr>
              <w:rPr>
                <w:rFonts w:ascii="宋体" w:hAnsi="宋体"/>
                <w:sz w:val="28"/>
                <w:szCs w:val="28"/>
                <w:highlight w:val="none"/>
              </w:rPr>
            </w:pPr>
          </w:p>
        </w:tc>
        <w:tc>
          <w:tcPr>
            <w:tcW w:w="1159" w:type="dxa"/>
          </w:tcPr>
          <w:p>
            <w:pPr>
              <w:rPr>
                <w:rFonts w:ascii="宋体" w:hAnsi="宋体"/>
                <w:sz w:val="28"/>
                <w:szCs w:val="28"/>
                <w:highlight w:val="none"/>
              </w:rPr>
            </w:pPr>
          </w:p>
        </w:tc>
        <w:tc>
          <w:tcPr>
            <w:tcW w:w="889" w:type="dxa"/>
          </w:tcPr>
          <w:p>
            <w:pPr>
              <w:rPr>
                <w:rFonts w:ascii="宋体" w:hAnsi="宋体"/>
                <w:sz w:val="28"/>
                <w:szCs w:val="28"/>
                <w:highlight w:val="none"/>
              </w:rPr>
            </w:pPr>
          </w:p>
        </w:tc>
        <w:tc>
          <w:tcPr>
            <w:tcW w:w="909" w:type="dxa"/>
          </w:tcPr>
          <w:p>
            <w:pPr>
              <w:rPr>
                <w:rFonts w:ascii="宋体" w:hAnsi="宋体"/>
                <w:sz w:val="28"/>
                <w:szCs w:val="28"/>
                <w:highlight w:val="none"/>
              </w:rPr>
            </w:pPr>
          </w:p>
        </w:tc>
        <w:tc>
          <w:tcPr>
            <w:tcW w:w="1038" w:type="dxa"/>
          </w:tcPr>
          <w:p>
            <w:pPr>
              <w:rPr>
                <w:rFonts w:ascii="宋体" w:hAnsi="宋体"/>
                <w:sz w:val="28"/>
                <w:szCs w:val="28"/>
                <w:highlight w:val="none"/>
              </w:rPr>
            </w:pPr>
          </w:p>
        </w:tc>
        <w:tc>
          <w:tcPr>
            <w:tcW w:w="1313" w:type="dxa"/>
          </w:tcPr>
          <w:p>
            <w:pPr>
              <w:pStyle w:val="148"/>
              <w:rPr>
                <w:rFonts w:ascii="宋体" w:hAnsi="宋体" w:eastAsia="宋体"/>
                <w:sz w:val="28"/>
                <w:szCs w:val="28"/>
                <w:highlight w:val="none"/>
              </w:rPr>
            </w:pPr>
          </w:p>
        </w:tc>
        <w:tc>
          <w:tcPr>
            <w:tcW w:w="2452"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819" w:type="dxa"/>
            <w:vAlign w:val="center"/>
          </w:tcPr>
          <w:p>
            <w:pPr>
              <w:rPr>
                <w:rFonts w:ascii="宋体" w:hAnsi="宋体"/>
                <w:sz w:val="28"/>
                <w:szCs w:val="28"/>
                <w:highlight w:val="none"/>
              </w:rPr>
            </w:pPr>
          </w:p>
        </w:tc>
        <w:tc>
          <w:tcPr>
            <w:tcW w:w="1159" w:type="dxa"/>
          </w:tcPr>
          <w:p>
            <w:pPr>
              <w:rPr>
                <w:rFonts w:ascii="宋体" w:hAnsi="宋体"/>
                <w:sz w:val="28"/>
                <w:szCs w:val="28"/>
                <w:highlight w:val="none"/>
              </w:rPr>
            </w:pPr>
          </w:p>
        </w:tc>
        <w:tc>
          <w:tcPr>
            <w:tcW w:w="889" w:type="dxa"/>
          </w:tcPr>
          <w:p>
            <w:pPr>
              <w:rPr>
                <w:rFonts w:ascii="宋体" w:hAnsi="宋体"/>
                <w:sz w:val="28"/>
                <w:szCs w:val="28"/>
                <w:highlight w:val="none"/>
              </w:rPr>
            </w:pPr>
          </w:p>
        </w:tc>
        <w:tc>
          <w:tcPr>
            <w:tcW w:w="909" w:type="dxa"/>
          </w:tcPr>
          <w:p>
            <w:pPr>
              <w:rPr>
                <w:rFonts w:ascii="宋体" w:hAnsi="宋体"/>
                <w:sz w:val="28"/>
                <w:szCs w:val="28"/>
                <w:highlight w:val="none"/>
              </w:rPr>
            </w:pPr>
          </w:p>
        </w:tc>
        <w:tc>
          <w:tcPr>
            <w:tcW w:w="1038" w:type="dxa"/>
          </w:tcPr>
          <w:p>
            <w:pPr>
              <w:rPr>
                <w:rFonts w:ascii="宋体" w:hAnsi="宋体"/>
                <w:sz w:val="28"/>
                <w:szCs w:val="28"/>
                <w:highlight w:val="none"/>
              </w:rPr>
            </w:pPr>
          </w:p>
        </w:tc>
        <w:tc>
          <w:tcPr>
            <w:tcW w:w="1313" w:type="dxa"/>
          </w:tcPr>
          <w:p>
            <w:pPr>
              <w:pStyle w:val="148"/>
              <w:rPr>
                <w:rFonts w:ascii="宋体" w:hAnsi="宋体" w:eastAsia="宋体"/>
                <w:sz w:val="28"/>
                <w:szCs w:val="28"/>
                <w:highlight w:val="none"/>
              </w:rPr>
            </w:pPr>
          </w:p>
        </w:tc>
        <w:tc>
          <w:tcPr>
            <w:tcW w:w="2452" w:type="dxa"/>
            <w:vAlign w:val="center"/>
          </w:tcPr>
          <w:p>
            <w:pPr>
              <w:jc w:val="center"/>
              <w:rPr>
                <w:rFonts w:ascii="宋体" w:hAnsi="宋体"/>
                <w:sz w:val="28"/>
                <w:szCs w:val="28"/>
                <w:highlight w:val="none"/>
              </w:rPr>
            </w:pPr>
          </w:p>
        </w:tc>
      </w:tr>
    </w:tbl>
    <w:p>
      <w:pPr>
        <w:pStyle w:val="3"/>
        <w:ind w:firstLine="0" w:firstLineChars="0"/>
        <w:rPr>
          <w:b/>
          <w:bCs/>
          <w:highlight w:val="none"/>
        </w:rPr>
      </w:pPr>
    </w:p>
    <w:p>
      <w:pPr>
        <w:pStyle w:val="3"/>
        <w:ind w:firstLine="0" w:firstLineChars="0"/>
        <w:rPr>
          <w:b/>
          <w:bCs/>
          <w:highlight w:val="none"/>
        </w:rPr>
      </w:pPr>
      <w:r>
        <w:rPr>
          <w:rFonts w:hint="eastAsia"/>
          <w:b/>
          <w:bCs/>
          <w:highlight w:val="none"/>
        </w:rPr>
        <w:t>要求：</w:t>
      </w:r>
    </w:p>
    <w:p>
      <w:pPr>
        <w:pStyle w:val="3"/>
        <w:ind w:firstLine="0" w:firstLineChars="0"/>
        <w:rPr>
          <w:b/>
          <w:bCs/>
          <w:highlight w:val="none"/>
        </w:rPr>
      </w:pPr>
      <w:r>
        <w:rPr>
          <w:rFonts w:hint="eastAsia"/>
          <w:b/>
          <w:bCs/>
          <w:highlight w:val="none"/>
        </w:rPr>
        <w:t>1. 表后须附相关人员证书、证件以及其他相关证明材料的复印件。</w:t>
      </w:r>
    </w:p>
    <w:p>
      <w:pPr>
        <w:pStyle w:val="3"/>
        <w:ind w:firstLine="0" w:firstLineChars="0"/>
        <w:rPr>
          <w:highlight w:val="none"/>
        </w:rPr>
      </w:pPr>
      <w:r>
        <w:rPr>
          <w:rFonts w:hint="eastAsia"/>
          <w:highlight w:val="none"/>
        </w:rPr>
        <w:t>2. 在填写时，如本表格不适合供应商的实际情况，可根据实际情况及本表格式自行划表填写。</w:t>
      </w:r>
    </w:p>
    <w:p>
      <w:pPr>
        <w:snapToGrid w:val="0"/>
        <w:spacing w:before="50" w:after="120" w:afterLines="50" w:line="360" w:lineRule="auto"/>
        <w:jc w:val="left"/>
        <w:rPr>
          <w:rFonts w:ascii="宋体" w:hAnsi="宋体"/>
          <w:sz w:val="24"/>
          <w:szCs w:val="20"/>
          <w:highlight w:val="none"/>
        </w:rPr>
      </w:pPr>
    </w:p>
    <w:p>
      <w:pPr>
        <w:spacing w:line="360" w:lineRule="auto"/>
        <w:ind w:left="420"/>
        <w:rPr>
          <w:rFonts w:ascii="宋体" w:hAnsi="宋体"/>
          <w:sz w:val="24"/>
          <w:highlight w:val="none"/>
          <w:u w:val="single"/>
        </w:rPr>
      </w:pPr>
      <w:r>
        <w:rPr>
          <w:rFonts w:hint="eastAsia" w:ascii="宋体" w:hAnsi="宋体"/>
          <w:sz w:val="24"/>
          <w:highlight w:val="none"/>
        </w:rPr>
        <w:t>供应商名称（电子印章）：</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供应商代表签字或电子印章：</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p>
    <w:p>
      <w:pPr>
        <w:rPr>
          <w:rFonts w:ascii="宋体" w:hAnsi="宋体"/>
          <w:b/>
          <w:sz w:val="28"/>
          <w:highlight w:val="none"/>
        </w:rPr>
      </w:pPr>
      <w:r>
        <w:rPr>
          <w:rFonts w:ascii="宋体" w:hAnsi="宋体"/>
          <w:b/>
          <w:sz w:val="28"/>
          <w:highlight w:val="none"/>
        </w:rPr>
        <w:br w:type="page"/>
      </w:r>
    </w:p>
    <w:p>
      <w:pPr>
        <w:adjustRightInd w:val="0"/>
        <w:snapToGrid w:val="0"/>
        <w:spacing w:line="360" w:lineRule="auto"/>
        <w:ind w:right="480"/>
        <w:outlineLvl w:val="0"/>
        <w:rPr>
          <w:rFonts w:hint="eastAsia" w:ascii="宋体" w:hAnsi="宋体" w:eastAsia="宋体" w:cs="宋体"/>
          <w:b/>
          <w:bCs/>
          <w:kern w:val="2"/>
          <w:sz w:val="28"/>
          <w:szCs w:val="28"/>
          <w:highlight w:val="none"/>
          <w:lang w:val="en-US" w:eastAsia="zh-CN" w:bidi="ar-SA"/>
        </w:rPr>
      </w:pPr>
      <w:r>
        <w:rPr>
          <w:rFonts w:ascii="宋体" w:hAnsi="宋体"/>
          <w:b/>
          <w:sz w:val="28"/>
          <w:highlight w:val="none"/>
        </w:rPr>
        <w:t>附件1</w:t>
      </w:r>
      <w:r>
        <w:rPr>
          <w:rFonts w:hint="eastAsia" w:ascii="宋体" w:hAnsi="宋体"/>
          <w:b/>
          <w:sz w:val="28"/>
          <w:highlight w:val="none"/>
          <w:lang w:val="en-US" w:eastAsia="zh-CN"/>
        </w:rPr>
        <w:t>0</w:t>
      </w:r>
    </w:p>
    <w:p>
      <w:pPr>
        <w:spacing w:line="360" w:lineRule="auto"/>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拟投入设备一览表</w:t>
      </w:r>
    </w:p>
    <w:tbl>
      <w:tblPr>
        <w:tblStyle w:val="41"/>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1451"/>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r>
              <w:rPr>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r>
              <w:rPr>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r>
              <w:rPr>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r>
              <w:rPr>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r>
              <w:rPr>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r>
              <w:rPr>
                <w:kern w:val="0"/>
                <w:sz w:val="22"/>
                <w:szCs w:val="22"/>
                <w:highlight w:val="none"/>
              </w:rPr>
              <w:t>进场时间</w:t>
            </w: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r>
              <w:rPr>
                <w:kern w:val="0"/>
                <w:sz w:val="22"/>
                <w:szCs w:val="22"/>
                <w:highlight w:val="none"/>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c>
          <w:tcPr>
            <w:tcW w:w="145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kern w:val="0"/>
                <w:sz w:val="22"/>
                <w:szCs w:val="22"/>
                <w:highlight w:val="none"/>
              </w:rPr>
            </w:pPr>
          </w:p>
        </w:tc>
      </w:tr>
    </w:tbl>
    <w:p>
      <w:pPr>
        <w:widowControl/>
        <w:jc w:val="left"/>
        <w:rPr>
          <w:highlight w:val="none"/>
        </w:rPr>
      </w:pPr>
    </w:p>
    <w:p>
      <w:pPr>
        <w:pStyle w:val="83"/>
        <w:spacing w:line="360" w:lineRule="auto"/>
        <w:ind w:left="424" w:hanging="424" w:hangingChars="202"/>
        <w:rPr>
          <w:highlight w:val="none"/>
        </w:rPr>
      </w:pPr>
    </w:p>
    <w:p>
      <w:pPr>
        <w:spacing w:line="360" w:lineRule="auto"/>
        <w:ind w:left="420"/>
        <w:rPr>
          <w:rFonts w:ascii="宋体" w:hAnsi="宋体"/>
          <w:sz w:val="24"/>
          <w:highlight w:val="none"/>
          <w:u w:val="single"/>
        </w:rPr>
      </w:pPr>
      <w:r>
        <w:rPr>
          <w:rFonts w:hint="eastAsia" w:ascii="宋体" w:hAnsi="宋体"/>
          <w:sz w:val="24"/>
          <w:highlight w:val="none"/>
        </w:rPr>
        <w:t>供应商名称（电子印章）：</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供应商代表签字或电子印章：</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p>
    <w:p>
      <w:pPr>
        <w:spacing w:line="360" w:lineRule="auto"/>
        <w:ind w:firstLine="435"/>
        <w:rPr>
          <w:rFonts w:ascii="宋体" w:hAnsi="宋体"/>
          <w:sz w:val="24"/>
          <w:highlight w:val="none"/>
        </w:rPr>
      </w:pPr>
    </w:p>
    <w:p>
      <w:pPr>
        <w:spacing w:line="360" w:lineRule="auto"/>
        <w:ind w:firstLine="435"/>
        <w:rPr>
          <w:rFonts w:ascii="宋体" w:hAnsi="宋体"/>
          <w:b/>
          <w:bCs/>
          <w:sz w:val="36"/>
          <w:szCs w:val="36"/>
          <w:highlight w:val="none"/>
        </w:rPr>
      </w:pPr>
      <w:r>
        <w:rPr>
          <w:rFonts w:hint="eastAsia" w:ascii="宋体" w:hAnsi="宋体"/>
          <w:sz w:val="24"/>
          <w:highlight w:val="none"/>
        </w:rPr>
        <w:t>日        期：</w:t>
      </w:r>
    </w:p>
    <w:p>
      <w:pPr>
        <w:widowControl/>
        <w:jc w:val="left"/>
        <w:rPr>
          <w:highlight w:val="none"/>
        </w:rPr>
      </w:pPr>
    </w:p>
    <w:p>
      <w:pPr>
        <w:pStyle w:val="83"/>
        <w:spacing w:line="360" w:lineRule="auto"/>
        <w:ind w:left="424" w:hanging="424" w:hangingChars="202"/>
        <w:rPr>
          <w:highlight w:val="none"/>
        </w:rPr>
      </w:pPr>
    </w:p>
    <w:p>
      <w:pPr>
        <w:rPr>
          <w:rFonts w:hint="eastAsia" w:ascii="宋体" w:hAnsi="宋体"/>
          <w:b/>
          <w:bCs/>
          <w:sz w:val="36"/>
          <w:szCs w:val="36"/>
          <w:highlight w:val="none"/>
        </w:rPr>
      </w:pPr>
      <w:r>
        <w:rPr>
          <w:rFonts w:hint="eastAsia" w:ascii="宋体" w:hAnsi="宋体"/>
          <w:b/>
          <w:bCs/>
          <w:sz w:val="36"/>
          <w:szCs w:val="36"/>
          <w:highlight w:val="none"/>
        </w:rPr>
        <w:br w:type="page"/>
      </w:r>
    </w:p>
    <w:p>
      <w:pPr>
        <w:spacing w:line="480" w:lineRule="auto"/>
        <w:jc w:val="center"/>
        <w:rPr>
          <w:rFonts w:ascii="宋体" w:hAnsi="宋体"/>
          <w:b/>
          <w:bCs/>
          <w:sz w:val="36"/>
          <w:szCs w:val="36"/>
          <w:highlight w:val="none"/>
        </w:rPr>
      </w:pPr>
      <w:r>
        <w:rPr>
          <w:rFonts w:hint="eastAsia" w:ascii="宋体" w:hAnsi="宋体"/>
          <w:b/>
          <w:bCs/>
          <w:sz w:val="36"/>
          <w:szCs w:val="36"/>
          <w:highlight w:val="none"/>
        </w:rPr>
        <w:t>报价部分目录</w:t>
      </w:r>
      <w:bookmarkEnd w:id="103"/>
      <w:bookmarkEnd w:id="104"/>
    </w:p>
    <w:p>
      <w:pPr>
        <w:rPr>
          <w:sz w:val="28"/>
          <w:szCs w:val="28"/>
          <w:highlight w:val="none"/>
        </w:rPr>
      </w:pPr>
    </w:p>
    <w:p>
      <w:pPr>
        <w:spacing w:line="360" w:lineRule="auto"/>
        <w:rPr>
          <w:rFonts w:asciiTheme="minorEastAsia" w:hAnsiTheme="minorEastAsia" w:eastAsiaTheme="minorEastAsia" w:cstheme="minorEastAsia"/>
          <w:sz w:val="28"/>
          <w:szCs w:val="28"/>
          <w:highlight w:val="none"/>
        </w:rPr>
      </w:pPr>
    </w:p>
    <w:p>
      <w:pPr>
        <w:spacing w:line="360" w:lineRule="auto"/>
        <w:rPr>
          <w:rFonts w:asciiTheme="minorEastAsia" w:hAnsiTheme="minorEastAsia" w:eastAsiaTheme="minorEastAsia" w:cstheme="minorEastAsia"/>
          <w:sz w:val="28"/>
          <w:szCs w:val="28"/>
          <w:highlight w:val="none"/>
        </w:rPr>
      </w:pPr>
      <w:bookmarkStart w:id="105" w:name="_Toc6778_WPSOffice_Level1"/>
      <w:bookmarkStart w:id="106" w:name="_Toc29988_WPSOffice_Level1"/>
      <w:r>
        <w:rPr>
          <w:rFonts w:hint="eastAsia" w:asciiTheme="minorEastAsia" w:hAnsiTheme="minorEastAsia" w:eastAsiaTheme="minorEastAsia" w:cstheme="minorEastAsia"/>
          <w:sz w:val="28"/>
          <w:szCs w:val="28"/>
          <w:highlight w:val="none"/>
        </w:rPr>
        <w:t>1.首次报价一览表（附件1</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w:t>
      </w:r>
      <w:bookmarkEnd w:id="105"/>
      <w:bookmarkEnd w:id="106"/>
    </w:p>
    <w:p>
      <w:pPr>
        <w:spacing w:line="360" w:lineRule="auto"/>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.针对报价供应商认为其他需要说明</w:t>
      </w:r>
      <w:bookmarkStart w:id="107" w:name="_Toc14672_WPSOffice_Level1"/>
      <w:bookmarkStart w:id="108" w:name="_Toc3001_WPSOffice_Level1"/>
      <w:r>
        <w:rPr>
          <w:rFonts w:hint="eastAsia" w:asciiTheme="minorEastAsia" w:hAnsiTheme="minorEastAsia" w:eastAsiaTheme="minorEastAsia" w:cstheme="minorEastAsia"/>
          <w:sz w:val="28"/>
          <w:szCs w:val="28"/>
          <w:highlight w:val="none"/>
        </w:rPr>
        <w:t>的</w:t>
      </w:r>
      <w:bookmarkEnd w:id="107"/>
      <w:bookmarkEnd w:id="108"/>
    </w:p>
    <w:p>
      <w:pPr>
        <w:pStyle w:val="40"/>
        <w:rPr>
          <w:highlight w:val="none"/>
        </w:rPr>
      </w:pPr>
    </w:p>
    <w:p>
      <w:pPr>
        <w:spacing w:line="360" w:lineRule="auto"/>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pStyle w:val="19"/>
        <w:rPr>
          <w:rFonts w:ascii="宋体" w:hAnsi="宋体"/>
          <w:b/>
          <w:sz w:val="28"/>
          <w:highlight w:val="none"/>
        </w:rPr>
      </w:pPr>
    </w:p>
    <w:p>
      <w:pPr>
        <w:rPr>
          <w:highlight w:val="none"/>
        </w:rPr>
      </w:pPr>
    </w:p>
    <w:p>
      <w:pPr>
        <w:spacing w:line="360" w:lineRule="auto"/>
        <w:ind w:left="480"/>
        <w:rPr>
          <w:rFonts w:ascii="宋体" w:hAnsi="宋体"/>
          <w:b/>
          <w:sz w:val="28"/>
          <w:highlight w:val="none"/>
        </w:rPr>
      </w:pPr>
    </w:p>
    <w:p>
      <w:pPr>
        <w:pStyle w:val="19"/>
        <w:rPr>
          <w:rFonts w:ascii="宋体" w:hAnsi="宋体"/>
          <w:b/>
          <w:sz w:val="28"/>
          <w:highlight w:val="none"/>
        </w:rPr>
      </w:pPr>
    </w:p>
    <w:p>
      <w:pPr>
        <w:pStyle w:val="19"/>
        <w:ind w:left="0" w:leftChars="0"/>
        <w:rPr>
          <w:highlight w:val="none"/>
        </w:rPr>
      </w:pPr>
    </w:p>
    <w:p>
      <w:pPr>
        <w:widowControl/>
        <w:jc w:val="left"/>
        <w:rPr>
          <w:rFonts w:ascii="宋体" w:hAnsi="宋体"/>
          <w:b/>
          <w:sz w:val="28"/>
          <w:highlight w:val="none"/>
        </w:rPr>
      </w:pPr>
      <w:bookmarkStart w:id="109" w:name="_Toc13512"/>
      <w:bookmarkStart w:id="110" w:name="_Toc5529"/>
      <w:bookmarkStart w:id="111" w:name="_Toc4854"/>
      <w:r>
        <w:rPr>
          <w:rFonts w:ascii="宋体" w:hAnsi="宋体"/>
          <w:b/>
          <w:sz w:val="28"/>
          <w:highlight w:val="none"/>
        </w:rPr>
        <w:br w:type="page"/>
      </w:r>
    </w:p>
    <w:p>
      <w:pPr>
        <w:adjustRightInd w:val="0"/>
        <w:snapToGrid w:val="0"/>
        <w:spacing w:line="360" w:lineRule="auto"/>
        <w:ind w:right="480"/>
        <w:outlineLvl w:val="0"/>
        <w:rPr>
          <w:rFonts w:hint="eastAsia" w:ascii="宋体" w:hAnsi="宋体" w:eastAsia="宋体"/>
          <w:b/>
          <w:sz w:val="28"/>
          <w:highlight w:val="none"/>
          <w:lang w:eastAsia="zh-CN"/>
        </w:rPr>
      </w:pPr>
      <w:bookmarkStart w:id="112" w:name="_Toc93048475"/>
      <w:r>
        <w:rPr>
          <w:rFonts w:hint="eastAsia" w:ascii="宋体" w:hAnsi="宋体"/>
          <w:b/>
          <w:sz w:val="28"/>
          <w:highlight w:val="none"/>
        </w:rPr>
        <w:t>附件</w:t>
      </w:r>
      <w:bookmarkEnd w:id="109"/>
      <w:bookmarkEnd w:id="110"/>
      <w:bookmarkEnd w:id="111"/>
      <w:r>
        <w:rPr>
          <w:rFonts w:ascii="宋体" w:hAnsi="宋体"/>
          <w:b/>
          <w:sz w:val="28"/>
          <w:highlight w:val="none"/>
        </w:rPr>
        <w:t>1</w:t>
      </w:r>
      <w:bookmarkEnd w:id="112"/>
      <w:r>
        <w:rPr>
          <w:rFonts w:hint="eastAsia" w:ascii="宋体" w:hAnsi="宋体"/>
          <w:b/>
          <w:sz w:val="28"/>
          <w:highlight w:val="none"/>
          <w:lang w:val="en-US" w:eastAsia="zh-CN"/>
        </w:rPr>
        <w:t>1</w:t>
      </w:r>
    </w:p>
    <w:p>
      <w:pPr>
        <w:pStyle w:val="40"/>
        <w:rPr>
          <w:rFonts w:ascii="宋体" w:hAnsi="宋体"/>
          <w:b/>
          <w:sz w:val="28"/>
          <w:highlight w:val="none"/>
        </w:rPr>
      </w:pPr>
    </w:p>
    <w:p>
      <w:pPr>
        <w:spacing w:line="360" w:lineRule="auto"/>
        <w:ind w:left="-2" w:hanging="2"/>
        <w:jc w:val="center"/>
        <w:rPr>
          <w:rFonts w:ascii="宋体" w:hAnsi="宋体"/>
          <w:b/>
          <w:sz w:val="32"/>
          <w:szCs w:val="32"/>
          <w:highlight w:val="none"/>
        </w:rPr>
      </w:pPr>
      <w:bookmarkStart w:id="113" w:name="_Toc30363_WPSOffice_Level1"/>
      <w:bookmarkStart w:id="114" w:name="_Toc16144_WPSOffice_Level1"/>
      <w:r>
        <w:rPr>
          <w:rFonts w:hint="eastAsia" w:ascii="宋体" w:hAnsi="宋体"/>
          <w:b/>
          <w:sz w:val="32"/>
          <w:szCs w:val="32"/>
          <w:highlight w:val="none"/>
        </w:rPr>
        <w:t xml:space="preserve">首次报价一览表 </w:t>
      </w:r>
      <w:bookmarkEnd w:id="113"/>
      <w:bookmarkEnd w:id="114"/>
    </w:p>
    <w:p>
      <w:pPr>
        <w:spacing w:line="360" w:lineRule="auto"/>
        <w:ind w:left="-2" w:hanging="2"/>
        <w:jc w:val="center"/>
        <w:rPr>
          <w:rFonts w:ascii="宋体" w:hAnsi="宋体"/>
          <w:b/>
          <w:sz w:val="32"/>
          <w:szCs w:val="32"/>
          <w:highlight w:val="none"/>
        </w:rPr>
      </w:pPr>
    </w:p>
    <w:p>
      <w:pPr>
        <w:pStyle w:val="22"/>
        <w:spacing w:line="360" w:lineRule="auto"/>
        <w:ind w:firstLine="241" w:firstLineChars="100"/>
        <w:rPr>
          <w:rFonts w:hAnsi="宋体"/>
          <w:b/>
          <w:sz w:val="24"/>
          <w:highlight w:val="none"/>
        </w:rPr>
      </w:pPr>
      <w:r>
        <w:rPr>
          <w:rFonts w:hAnsi="宋体"/>
          <w:b/>
          <w:sz w:val="24"/>
          <w:highlight w:val="none"/>
        </w:rPr>
        <w:t>项目编号：</w:t>
      </w:r>
    </w:p>
    <w:p>
      <w:pPr>
        <w:pStyle w:val="91"/>
        <w:spacing w:line="360" w:lineRule="auto"/>
        <w:ind w:right="480" w:firstLine="241" w:firstLineChars="100"/>
        <w:jc w:val="left"/>
        <w:rPr>
          <w:rFonts w:hint="eastAsia" w:ascii="宋体" w:hAnsi="宋体"/>
          <w:sz w:val="24"/>
          <w:highlight w:val="none"/>
        </w:rPr>
      </w:pPr>
      <w:r>
        <w:rPr>
          <w:rFonts w:hAnsi="宋体"/>
          <w:b/>
          <w:sz w:val="24"/>
          <w:highlight w:val="none"/>
        </w:rPr>
        <w:t>项目名称：</w:t>
      </w:r>
      <w:r>
        <w:rPr>
          <w:rFonts w:hint="eastAsia" w:ascii="宋体" w:hAnsi="宋体"/>
          <w:sz w:val="24"/>
          <w:highlight w:val="none"/>
        </w:rPr>
        <w:t xml:space="preserve"> </w:t>
      </w:r>
    </w:p>
    <w:p>
      <w:pPr>
        <w:pStyle w:val="91"/>
        <w:spacing w:line="360" w:lineRule="auto"/>
        <w:ind w:right="480" w:firstLine="241" w:firstLineChars="100"/>
        <w:jc w:val="left"/>
        <w:rPr>
          <w:rFonts w:hAnsi="宋体"/>
          <w:sz w:val="24"/>
          <w:highlight w:val="none"/>
        </w:rPr>
      </w:pPr>
      <w:r>
        <w:rPr>
          <w:rFonts w:hint="eastAsia" w:ascii="Times New Roman" w:hAnsi="宋体" w:eastAsia="宋体" w:cs="Times New Roman"/>
          <w:b/>
          <w:sz w:val="24"/>
          <w:highlight w:val="none"/>
          <w:lang w:eastAsia="zh-CN"/>
        </w:rPr>
        <w:t>标项：</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[货币单位：人民币元]</w:t>
      </w:r>
    </w:p>
    <w:tbl>
      <w:tblPr>
        <w:tblStyle w:val="4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70"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07"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86" w:hRule="atLeast"/>
          <w:jc w:val="center"/>
        </w:trPr>
        <w:tc>
          <w:tcPr>
            <w:tcW w:w="8672"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textAlignment w:val="bottom"/>
              <w:rPr>
                <w:rFonts w:ascii="宋体" w:hAnsi="宋体"/>
                <w:sz w:val="24"/>
                <w:highlight w:val="none"/>
              </w:rPr>
            </w:pPr>
            <w:r>
              <w:rPr>
                <w:rFonts w:hint="eastAsia"/>
                <w:b/>
                <w:kern w:val="0"/>
                <w:sz w:val="24"/>
                <w:highlight w:val="none"/>
              </w:rPr>
              <w:t>工期</w:t>
            </w:r>
            <w:r>
              <w:rPr>
                <w:b/>
                <w:kern w:val="0"/>
                <w:sz w:val="24"/>
                <w:highlight w:val="none"/>
              </w:rPr>
              <w:t>：</w:t>
            </w:r>
          </w:p>
        </w:tc>
      </w:tr>
    </w:tbl>
    <w:p>
      <w:pPr>
        <w:snapToGrid w:val="0"/>
        <w:spacing w:before="50" w:after="50" w:line="360" w:lineRule="auto"/>
        <w:jc w:val="left"/>
        <w:rPr>
          <w:rFonts w:ascii="宋体" w:hAnsi="宋体"/>
          <w:b/>
          <w:szCs w:val="21"/>
          <w:highlight w:val="none"/>
        </w:rPr>
      </w:pPr>
      <w:r>
        <w:rPr>
          <w:rFonts w:hint="eastAsia" w:ascii="宋体" w:hAnsi="宋体"/>
          <w:b/>
          <w:szCs w:val="21"/>
          <w:highlight w:val="none"/>
        </w:rPr>
        <w:t>填报要求：</w:t>
      </w:r>
    </w:p>
    <w:p>
      <w:pPr>
        <w:snapToGrid w:val="0"/>
        <w:spacing w:before="50" w:after="50" w:line="360" w:lineRule="auto"/>
        <w:jc w:val="left"/>
        <w:rPr>
          <w:rFonts w:ascii="宋体" w:hAnsi="宋体" w:cs="宋体"/>
          <w:szCs w:val="21"/>
          <w:highlight w:val="none"/>
        </w:rPr>
      </w:pPr>
      <w:r>
        <w:rPr>
          <w:rFonts w:hint="eastAsia" w:ascii="宋体" w:hAnsi="宋体"/>
          <w:b/>
          <w:szCs w:val="21"/>
          <w:highlight w:val="none"/>
        </w:rPr>
        <w:t>1、</w:t>
      </w:r>
      <w:r>
        <w:rPr>
          <w:rFonts w:hint="eastAsia" w:ascii="宋体" w:hAnsi="宋体" w:cs="宋体"/>
          <w:szCs w:val="21"/>
          <w:highlight w:val="none"/>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w:t>
      </w:r>
      <w:r>
        <w:rPr>
          <w:rFonts w:hint="eastAsia" w:ascii="宋体" w:hAnsi="宋体" w:cs="宋体"/>
          <w:szCs w:val="21"/>
          <w:highlight w:val="none"/>
          <w:lang w:eastAsia="zh-CN"/>
        </w:rPr>
        <w:t>缺少</w:t>
      </w:r>
      <w:r>
        <w:rPr>
          <w:rFonts w:hint="eastAsia" w:ascii="宋体" w:hAnsi="宋体" w:cs="宋体"/>
          <w:szCs w:val="21"/>
          <w:highlight w:val="none"/>
        </w:rPr>
        <w:t>的所有工作开支、政策性文件规定及合同包含的所有风险、责任等各项全部费用并承担一切风险责任。如发生不可</w:t>
      </w:r>
      <w:r>
        <w:rPr>
          <w:rFonts w:hint="eastAsia" w:ascii="宋体" w:hAnsi="宋体" w:cs="宋体"/>
          <w:szCs w:val="21"/>
          <w:highlight w:val="none"/>
          <w:lang w:eastAsia="zh-CN"/>
        </w:rPr>
        <w:t>抗力</w:t>
      </w:r>
      <w:r>
        <w:rPr>
          <w:rFonts w:hint="eastAsia" w:ascii="宋体" w:hAnsi="宋体" w:cs="宋体"/>
          <w:szCs w:val="21"/>
          <w:highlight w:val="none"/>
        </w:rPr>
        <w:t>及突发性事件，中标方要无条件服从采购方指挥，配合采购方一切行动，相关费用包括在投标价内，采购方不再另行支付</w:t>
      </w:r>
      <w:r>
        <w:rPr>
          <w:rFonts w:hint="eastAsia" w:ascii="宋体" w:hAnsi="宋体" w:cs="宋体"/>
          <w:szCs w:val="21"/>
          <w:highlight w:val="none"/>
          <w:lang w:eastAsia="zh-CN"/>
        </w:rPr>
        <w:t>其他费用</w:t>
      </w:r>
      <w:r>
        <w:rPr>
          <w:rFonts w:hint="eastAsia" w:ascii="宋体" w:hAnsi="宋体" w:cs="宋体"/>
          <w:szCs w:val="21"/>
          <w:highlight w:val="none"/>
        </w:rPr>
        <w:t>。</w:t>
      </w:r>
    </w:p>
    <w:p>
      <w:pPr>
        <w:snapToGrid w:val="0"/>
        <w:spacing w:before="50" w:after="50" w:line="360" w:lineRule="auto"/>
        <w:jc w:val="left"/>
        <w:rPr>
          <w:rFonts w:ascii="宋体" w:hAnsi="宋体"/>
          <w:sz w:val="24"/>
          <w:highlight w:val="none"/>
        </w:rPr>
      </w:pPr>
      <w:r>
        <w:rPr>
          <w:rFonts w:hint="eastAsia" w:ascii="宋体" w:hAnsi="宋体" w:cs="宋体"/>
          <w:szCs w:val="21"/>
          <w:highlight w:val="none"/>
        </w:rPr>
        <w:t>2、报价一经涂改，应在涂改处加盖单位公章，或者由法定代表人或全权代表签字或盖章，否则其磋商无效。</w:t>
      </w:r>
    </w:p>
    <w:p>
      <w:pPr>
        <w:spacing w:line="360" w:lineRule="auto"/>
        <w:ind w:left="420"/>
        <w:rPr>
          <w:rFonts w:ascii="宋体" w:hAnsi="宋体"/>
          <w:sz w:val="24"/>
          <w:highlight w:val="none"/>
        </w:rPr>
      </w:pPr>
      <w:r>
        <w:rPr>
          <w:rFonts w:hint="eastAsia" w:ascii="宋体" w:hAnsi="宋体"/>
          <w:sz w:val="24"/>
          <w:highlight w:val="none"/>
        </w:rPr>
        <w:t>供应商名称（公章）：</w:t>
      </w:r>
    </w:p>
    <w:p>
      <w:pPr>
        <w:spacing w:line="360" w:lineRule="auto"/>
        <w:ind w:firstLine="435"/>
        <w:rPr>
          <w:rFonts w:ascii="宋体" w:hAnsi="宋体"/>
          <w:sz w:val="24"/>
          <w:highlight w:val="none"/>
        </w:rPr>
      </w:pPr>
      <w:r>
        <w:rPr>
          <w:rFonts w:hint="eastAsia" w:ascii="宋体" w:hAnsi="宋体"/>
          <w:sz w:val="24"/>
          <w:highlight w:val="none"/>
        </w:rPr>
        <w:t>供应商代表签字</w:t>
      </w:r>
      <w:r>
        <w:rPr>
          <w:rFonts w:hint="eastAsia" w:ascii="宋体" w:hAnsi="宋体" w:cs="仿宋_GB2312"/>
          <w:kern w:val="0"/>
          <w:sz w:val="24"/>
          <w:highlight w:val="none"/>
          <w:lang w:val="zh-CN"/>
        </w:rPr>
        <w:t>或电子印章</w:t>
      </w:r>
      <w:r>
        <w:rPr>
          <w:rFonts w:hint="eastAsia" w:ascii="宋体" w:hAnsi="宋体"/>
          <w:sz w:val="24"/>
          <w:highlight w:val="none"/>
        </w:rPr>
        <w:t>：</w:t>
      </w:r>
    </w:p>
    <w:p>
      <w:pPr>
        <w:spacing w:line="360" w:lineRule="auto"/>
        <w:ind w:firstLine="435"/>
        <w:rPr>
          <w:rFonts w:ascii="宋体" w:hAnsi="宋体"/>
          <w:sz w:val="24"/>
          <w:highlight w:val="none"/>
        </w:rPr>
      </w:pPr>
      <w:r>
        <w:rPr>
          <w:rFonts w:hint="eastAsia" w:ascii="宋体" w:hAnsi="宋体"/>
          <w:sz w:val="24"/>
          <w:highlight w:val="none"/>
        </w:rPr>
        <w:t>职        务：</w:t>
      </w:r>
    </w:p>
    <w:p>
      <w:pPr>
        <w:spacing w:line="360" w:lineRule="auto"/>
        <w:ind w:firstLine="435"/>
        <w:rPr>
          <w:rFonts w:ascii="宋体" w:hAnsi="宋体"/>
          <w:sz w:val="24"/>
          <w:highlight w:val="none"/>
        </w:rPr>
      </w:pPr>
      <w:r>
        <w:rPr>
          <w:rFonts w:hint="eastAsia" w:ascii="宋体" w:hAnsi="宋体"/>
          <w:sz w:val="24"/>
          <w:highlight w:val="none"/>
        </w:rPr>
        <w:t>日        期：</w:t>
      </w:r>
    </w:p>
    <w:p>
      <w:pPr>
        <w:spacing w:line="360" w:lineRule="auto"/>
        <w:ind w:firstLine="435"/>
        <w:rPr>
          <w:rFonts w:ascii="宋体" w:hAnsi="宋体"/>
          <w:b/>
          <w:sz w:val="28"/>
          <w:highlight w:val="none"/>
        </w:rPr>
      </w:pPr>
    </w:p>
    <w:sectPr>
      <w:headerReference r:id="rId5" w:type="default"/>
      <w:footerReference r:id="rId6" w:type="default"/>
      <w:pgSz w:w="11906" w:h="16838"/>
      <w:pgMar w:top="1270" w:right="1304" w:bottom="1270" w:left="13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77207"/>
      <w:docPartObj>
        <w:docPartGallery w:val="autotext"/>
      </w:docPartObj>
    </w:sdtPr>
    <w:sdtContent>
      <w:p>
        <w:pPr>
          <w:pStyle w:val="27"/>
          <w:jc w:val="center"/>
        </w:pPr>
        <w:r>
          <w:fldChar w:fldCharType="begin"/>
        </w:r>
        <w:r>
          <w:instrText xml:space="preserve">PAGE   \* MERGEFORMAT</w:instrText>
        </w:r>
        <w:r>
          <w:fldChar w:fldCharType="separate"/>
        </w:r>
        <w:r>
          <w:rPr>
            <w:lang w:val="zh-CN"/>
          </w:rPr>
          <w:t>22</w:t>
        </w:r>
        <w: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rFonts w:eastAsia="黑体"/>
        <w:sz w:val="21"/>
        <w:szCs w:val="21"/>
      </w:rPr>
    </w:pPr>
  </w:p>
  <w:p>
    <w:pPr>
      <w:pStyle w:val="28"/>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9"/>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AEBBC868"/>
    <w:multiLevelType w:val="singleLevel"/>
    <w:tmpl w:val="AEBBC868"/>
    <w:lvl w:ilvl="0" w:tentative="0">
      <w:start w:val="2"/>
      <w:numFmt w:val="decimal"/>
      <w:suff w:val="nothing"/>
      <w:lvlText w:val="（%1）"/>
      <w:lvlJc w:val="left"/>
    </w:lvl>
  </w:abstractNum>
  <w:abstractNum w:abstractNumId="4">
    <w:nsid w:val="BB0FF983"/>
    <w:multiLevelType w:val="singleLevel"/>
    <w:tmpl w:val="BB0FF983"/>
    <w:lvl w:ilvl="0" w:tentative="0">
      <w:start w:val="2"/>
      <w:numFmt w:val="decimal"/>
      <w:suff w:val="nothing"/>
      <w:lvlText w:val="（%1）"/>
      <w:lvlJc w:val="left"/>
    </w:lvl>
  </w:abstractNum>
  <w:abstractNum w:abstractNumId="5">
    <w:nsid w:val="0D0B04F0"/>
    <w:multiLevelType w:val="multilevel"/>
    <w:tmpl w:val="0D0B04F0"/>
    <w:lvl w:ilvl="0" w:tentative="0">
      <w:start w:val="1"/>
      <w:numFmt w:val="japaneseCounting"/>
      <w:lvlText w:val="第%1条"/>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0ED2C79B"/>
    <w:multiLevelType w:val="singleLevel"/>
    <w:tmpl w:val="0ED2C79B"/>
    <w:lvl w:ilvl="0" w:tentative="0">
      <w:start w:val="1"/>
      <w:numFmt w:val="decimal"/>
      <w:pStyle w:val="15"/>
      <w:lvlText w:val="%1."/>
      <w:lvlJc w:val="left"/>
      <w:pPr>
        <w:tabs>
          <w:tab w:val="left" w:pos="360"/>
        </w:tabs>
        <w:ind w:left="360" w:hanging="360"/>
      </w:pPr>
    </w:lvl>
  </w:abstractNum>
  <w:abstractNum w:abstractNumId="7">
    <w:nsid w:val="1C236C07"/>
    <w:multiLevelType w:val="singleLevel"/>
    <w:tmpl w:val="1C236C07"/>
    <w:lvl w:ilvl="0" w:tentative="0">
      <w:start w:val="1"/>
      <w:numFmt w:val="decimal"/>
      <w:suff w:val="nothing"/>
      <w:lvlText w:val="%1、"/>
      <w:lvlJc w:val="left"/>
    </w:lvl>
  </w:abstractNum>
  <w:abstractNum w:abstractNumId="8">
    <w:nsid w:val="30BA2ABA"/>
    <w:multiLevelType w:val="singleLevel"/>
    <w:tmpl w:val="30BA2ABA"/>
    <w:lvl w:ilvl="0" w:tentative="0">
      <w:start w:val="1"/>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C5AB4FD"/>
    <w:multiLevelType w:val="singleLevel"/>
    <w:tmpl w:val="4C5AB4FD"/>
    <w:lvl w:ilvl="0" w:tentative="0">
      <w:start w:val="1"/>
      <w:numFmt w:val="decimal"/>
      <w:lvlText w:val="%1."/>
      <w:lvlJc w:val="left"/>
      <w:pPr>
        <w:tabs>
          <w:tab w:val="left" w:pos="312"/>
        </w:tabs>
      </w:pPr>
    </w:lvl>
  </w:abstractNum>
  <w:abstractNum w:abstractNumId="11">
    <w:nsid w:val="6324DC59"/>
    <w:multiLevelType w:val="singleLevel"/>
    <w:tmpl w:val="6324DC59"/>
    <w:lvl w:ilvl="0" w:tentative="0">
      <w:start w:val="25"/>
      <w:numFmt w:val="decimal"/>
      <w:lvlText w:val="%1."/>
      <w:lvlJc w:val="left"/>
      <w:pPr>
        <w:tabs>
          <w:tab w:val="left" w:pos="312"/>
        </w:tabs>
      </w:pPr>
    </w:lvl>
  </w:abstractNum>
  <w:abstractNum w:abstractNumId="12">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6DDD653"/>
    <w:multiLevelType w:val="singleLevel"/>
    <w:tmpl w:val="66DDD653"/>
    <w:lvl w:ilvl="0" w:tentative="0">
      <w:start w:val="1"/>
      <w:numFmt w:val="chineseCounting"/>
      <w:suff w:val="space"/>
      <w:lvlText w:val="第%1章"/>
      <w:lvlJc w:val="left"/>
      <w:rPr>
        <w:rFonts w:hint="eastAsia"/>
      </w:rPr>
    </w:lvl>
  </w:abstractNum>
  <w:num w:numId="1">
    <w:abstractNumId w:val="12"/>
  </w:num>
  <w:num w:numId="2">
    <w:abstractNumId w:val="1"/>
  </w:num>
  <w:num w:numId="3">
    <w:abstractNumId w:val="6"/>
  </w:num>
  <w:num w:numId="4">
    <w:abstractNumId w:val="13"/>
  </w:num>
  <w:num w:numId="5">
    <w:abstractNumId w:val="9"/>
  </w:num>
  <w:num w:numId="6">
    <w:abstractNumId w:val="7"/>
  </w:num>
  <w:num w:numId="7">
    <w:abstractNumId w:val="8"/>
  </w:num>
  <w:num w:numId="8">
    <w:abstractNumId w:val="2"/>
  </w:num>
  <w:num w:numId="9">
    <w:abstractNumId w:val="10"/>
  </w:num>
  <w:num w:numId="10">
    <w:abstractNumId w:val="4"/>
  </w:num>
  <w:num w:numId="11">
    <w:abstractNumId w:val="3"/>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NTRkMTc2N2RmNjU2OGJiYmI2ZGU0NmMzMjA5NmQifQ=="/>
  </w:docVars>
  <w:rsids>
    <w:rsidRoot w:val="685F2B0C"/>
    <w:rsid w:val="00000537"/>
    <w:rsid w:val="00000887"/>
    <w:rsid w:val="00001DCD"/>
    <w:rsid w:val="00002285"/>
    <w:rsid w:val="00003299"/>
    <w:rsid w:val="00006D77"/>
    <w:rsid w:val="000129AC"/>
    <w:rsid w:val="00012E4B"/>
    <w:rsid w:val="00017285"/>
    <w:rsid w:val="000177FA"/>
    <w:rsid w:val="000222D8"/>
    <w:rsid w:val="000247BD"/>
    <w:rsid w:val="00026656"/>
    <w:rsid w:val="000313A2"/>
    <w:rsid w:val="00032C80"/>
    <w:rsid w:val="00036E6F"/>
    <w:rsid w:val="00040DBF"/>
    <w:rsid w:val="00040E68"/>
    <w:rsid w:val="00041393"/>
    <w:rsid w:val="00041E90"/>
    <w:rsid w:val="00044852"/>
    <w:rsid w:val="000478A1"/>
    <w:rsid w:val="00052792"/>
    <w:rsid w:val="0005279B"/>
    <w:rsid w:val="0005754D"/>
    <w:rsid w:val="00060023"/>
    <w:rsid w:val="00064ADF"/>
    <w:rsid w:val="00065274"/>
    <w:rsid w:val="0006666C"/>
    <w:rsid w:val="00067BD5"/>
    <w:rsid w:val="00072E3C"/>
    <w:rsid w:val="000743EC"/>
    <w:rsid w:val="000763DC"/>
    <w:rsid w:val="00082F2E"/>
    <w:rsid w:val="000907E4"/>
    <w:rsid w:val="0009262D"/>
    <w:rsid w:val="00092AD8"/>
    <w:rsid w:val="00092CBE"/>
    <w:rsid w:val="000936CC"/>
    <w:rsid w:val="000A0B65"/>
    <w:rsid w:val="000A603E"/>
    <w:rsid w:val="000A7C6A"/>
    <w:rsid w:val="000B71D2"/>
    <w:rsid w:val="000C2963"/>
    <w:rsid w:val="000C65DC"/>
    <w:rsid w:val="000D1527"/>
    <w:rsid w:val="000D7511"/>
    <w:rsid w:val="000E025E"/>
    <w:rsid w:val="000E5C92"/>
    <w:rsid w:val="000F1747"/>
    <w:rsid w:val="000F17D1"/>
    <w:rsid w:val="000F1AE0"/>
    <w:rsid w:val="001025F6"/>
    <w:rsid w:val="0010471D"/>
    <w:rsid w:val="00106B91"/>
    <w:rsid w:val="00112A42"/>
    <w:rsid w:val="001201C6"/>
    <w:rsid w:val="001218D5"/>
    <w:rsid w:val="001249B8"/>
    <w:rsid w:val="00130366"/>
    <w:rsid w:val="00132A4F"/>
    <w:rsid w:val="00135696"/>
    <w:rsid w:val="00142353"/>
    <w:rsid w:val="00144193"/>
    <w:rsid w:val="00146522"/>
    <w:rsid w:val="00147BFC"/>
    <w:rsid w:val="0015315B"/>
    <w:rsid w:val="001534F7"/>
    <w:rsid w:val="00154455"/>
    <w:rsid w:val="00156EFF"/>
    <w:rsid w:val="001574D2"/>
    <w:rsid w:val="00166808"/>
    <w:rsid w:val="00166AF5"/>
    <w:rsid w:val="001740E2"/>
    <w:rsid w:val="00175A89"/>
    <w:rsid w:val="00181B14"/>
    <w:rsid w:val="001820E0"/>
    <w:rsid w:val="00182B60"/>
    <w:rsid w:val="001833A5"/>
    <w:rsid w:val="00183BA2"/>
    <w:rsid w:val="001852A2"/>
    <w:rsid w:val="00192977"/>
    <w:rsid w:val="00192F64"/>
    <w:rsid w:val="001937AB"/>
    <w:rsid w:val="001955AD"/>
    <w:rsid w:val="001A1EE4"/>
    <w:rsid w:val="001A3628"/>
    <w:rsid w:val="001A3721"/>
    <w:rsid w:val="001A42C7"/>
    <w:rsid w:val="001A68BA"/>
    <w:rsid w:val="001B437A"/>
    <w:rsid w:val="001C05E9"/>
    <w:rsid w:val="001D4982"/>
    <w:rsid w:val="001D4CE1"/>
    <w:rsid w:val="001D5270"/>
    <w:rsid w:val="001D77FC"/>
    <w:rsid w:val="001E4650"/>
    <w:rsid w:val="001F03D4"/>
    <w:rsid w:val="001F6A00"/>
    <w:rsid w:val="001F6A2C"/>
    <w:rsid w:val="00202658"/>
    <w:rsid w:val="002031CE"/>
    <w:rsid w:val="00203518"/>
    <w:rsid w:val="002042B7"/>
    <w:rsid w:val="002069EB"/>
    <w:rsid w:val="002074FA"/>
    <w:rsid w:val="00215F47"/>
    <w:rsid w:val="00217300"/>
    <w:rsid w:val="00217AAB"/>
    <w:rsid w:val="00222411"/>
    <w:rsid w:val="00230097"/>
    <w:rsid w:val="002326E7"/>
    <w:rsid w:val="0023296E"/>
    <w:rsid w:val="00237561"/>
    <w:rsid w:val="00241A01"/>
    <w:rsid w:val="002454E7"/>
    <w:rsid w:val="00246C0C"/>
    <w:rsid w:val="002473F7"/>
    <w:rsid w:val="00257D13"/>
    <w:rsid w:val="002612A0"/>
    <w:rsid w:val="00262C1D"/>
    <w:rsid w:val="00263544"/>
    <w:rsid w:val="0027046A"/>
    <w:rsid w:val="0027152F"/>
    <w:rsid w:val="00274D2A"/>
    <w:rsid w:val="002751D7"/>
    <w:rsid w:val="0027702F"/>
    <w:rsid w:val="00285818"/>
    <w:rsid w:val="002916B8"/>
    <w:rsid w:val="00295B33"/>
    <w:rsid w:val="002A0387"/>
    <w:rsid w:val="002A1705"/>
    <w:rsid w:val="002A2A49"/>
    <w:rsid w:val="002A4F7F"/>
    <w:rsid w:val="002A5A20"/>
    <w:rsid w:val="002A742B"/>
    <w:rsid w:val="002B0EAA"/>
    <w:rsid w:val="002B7D9D"/>
    <w:rsid w:val="002C0861"/>
    <w:rsid w:val="002C2109"/>
    <w:rsid w:val="002C35E4"/>
    <w:rsid w:val="002C50EC"/>
    <w:rsid w:val="002C61F7"/>
    <w:rsid w:val="002C7391"/>
    <w:rsid w:val="002D14E6"/>
    <w:rsid w:val="002D672D"/>
    <w:rsid w:val="002E283F"/>
    <w:rsid w:val="002E7923"/>
    <w:rsid w:val="002F0D5D"/>
    <w:rsid w:val="002F2ED1"/>
    <w:rsid w:val="002F5D25"/>
    <w:rsid w:val="003011C1"/>
    <w:rsid w:val="00304C3E"/>
    <w:rsid w:val="003070F5"/>
    <w:rsid w:val="003124FF"/>
    <w:rsid w:val="00313E39"/>
    <w:rsid w:val="00315916"/>
    <w:rsid w:val="003226F2"/>
    <w:rsid w:val="003439E2"/>
    <w:rsid w:val="003458BB"/>
    <w:rsid w:val="00347964"/>
    <w:rsid w:val="003505E9"/>
    <w:rsid w:val="0035090B"/>
    <w:rsid w:val="00351603"/>
    <w:rsid w:val="0035191F"/>
    <w:rsid w:val="003531DF"/>
    <w:rsid w:val="003550F9"/>
    <w:rsid w:val="0036114A"/>
    <w:rsid w:val="00363F34"/>
    <w:rsid w:val="00367F67"/>
    <w:rsid w:val="00372FC6"/>
    <w:rsid w:val="003757A8"/>
    <w:rsid w:val="00381D88"/>
    <w:rsid w:val="00382414"/>
    <w:rsid w:val="00383205"/>
    <w:rsid w:val="003905A9"/>
    <w:rsid w:val="003932DE"/>
    <w:rsid w:val="00395530"/>
    <w:rsid w:val="00396E5C"/>
    <w:rsid w:val="003A2949"/>
    <w:rsid w:val="003A3141"/>
    <w:rsid w:val="003B173F"/>
    <w:rsid w:val="003B37B2"/>
    <w:rsid w:val="003B4B54"/>
    <w:rsid w:val="003B6CF0"/>
    <w:rsid w:val="003C45B3"/>
    <w:rsid w:val="003D00F5"/>
    <w:rsid w:val="003D2492"/>
    <w:rsid w:val="003D40AB"/>
    <w:rsid w:val="003D5EC6"/>
    <w:rsid w:val="003E0489"/>
    <w:rsid w:val="003E5402"/>
    <w:rsid w:val="003F362B"/>
    <w:rsid w:val="003F6388"/>
    <w:rsid w:val="003F7DC8"/>
    <w:rsid w:val="00400660"/>
    <w:rsid w:val="004043C1"/>
    <w:rsid w:val="00404F76"/>
    <w:rsid w:val="00410484"/>
    <w:rsid w:val="004171EA"/>
    <w:rsid w:val="00423AD6"/>
    <w:rsid w:val="004271FF"/>
    <w:rsid w:val="0043562D"/>
    <w:rsid w:val="00435882"/>
    <w:rsid w:val="00435F95"/>
    <w:rsid w:val="00437227"/>
    <w:rsid w:val="00437E26"/>
    <w:rsid w:val="00440593"/>
    <w:rsid w:val="00440C02"/>
    <w:rsid w:val="004436FC"/>
    <w:rsid w:val="004440D4"/>
    <w:rsid w:val="004446E4"/>
    <w:rsid w:val="00447893"/>
    <w:rsid w:val="00450852"/>
    <w:rsid w:val="00451366"/>
    <w:rsid w:val="004554A0"/>
    <w:rsid w:val="00455D14"/>
    <w:rsid w:val="00456D89"/>
    <w:rsid w:val="0046075E"/>
    <w:rsid w:val="0046092C"/>
    <w:rsid w:val="004639DB"/>
    <w:rsid w:val="00466526"/>
    <w:rsid w:val="00467423"/>
    <w:rsid w:val="00474CB6"/>
    <w:rsid w:val="00491B3E"/>
    <w:rsid w:val="004929F6"/>
    <w:rsid w:val="00492F8C"/>
    <w:rsid w:val="00495307"/>
    <w:rsid w:val="004A0897"/>
    <w:rsid w:val="004A17A1"/>
    <w:rsid w:val="004A2BF4"/>
    <w:rsid w:val="004A45CB"/>
    <w:rsid w:val="004B79A9"/>
    <w:rsid w:val="004C0647"/>
    <w:rsid w:val="004C3602"/>
    <w:rsid w:val="004C58AD"/>
    <w:rsid w:val="004C71B2"/>
    <w:rsid w:val="004C75A3"/>
    <w:rsid w:val="004E347F"/>
    <w:rsid w:val="004E3537"/>
    <w:rsid w:val="004F105D"/>
    <w:rsid w:val="004F30B1"/>
    <w:rsid w:val="004F3B32"/>
    <w:rsid w:val="004F7F1C"/>
    <w:rsid w:val="00514C6E"/>
    <w:rsid w:val="00515CC5"/>
    <w:rsid w:val="00521802"/>
    <w:rsid w:val="00521CDC"/>
    <w:rsid w:val="00531722"/>
    <w:rsid w:val="00533C67"/>
    <w:rsid w:val="0053580E"/>
    <w:rsid w:val="00535BD9"/>
    <w:rsid w:val="00541101"/>
    <w:rsid w:val="0054301F"/>
    <w:rsid w:val="00543391"/>
    <w:rsid w:val="005444D6"/>
    <w:rsid w:val="00546D17"/>
    <w:rsid w:val="00554497"/>
    <w:rsid w:val="00557AF4"/>
    <w:rsid w:val="00560528"/>
    <w:rsid w:val="00561693"/>
    <w:rsid w:val="00565CBE"/>
    <w:rsid w:val="005678F3"/>
    <w:rsid w:val="00571405"/>
    <w:rsid w:val="005763A2"/>
    <w:rsid w:val="00581031"/>
    <w:rsid w:val="00585464"/>
    <w:rsid w:val="00587641"/>
    <w:rsid w:val="005A3E8A"/>
    <w:rsid w:val="005B038A"/>
    <w:rsid w:val="005B0FAF"/>
    <w:rsid w:val="005B29DA"/>
    <w:rsid w:val="005B6766"/>
    <w:rsid w:val="005B6D0A"/>
    <w:rsid w:val="005B6D72"/>
    <w:rsid w:val="005B7A33"/>
    <w:rsid w:val="005B7D62"/>
    <w:rsid w:val="005C2BF8"/>
    <w:rsid w:val="005C70C3"/>
    <w:rsid w:val="005D64D9"/>
    <w:rsid w:val="005D6549"/>
    <w:rsid w:val="005E0B3C"/>
    <w:rsid w:val="005E2705"/>
    <w:rsid w:val="005E2803"/>
    <w:rsid w:val="005E3ACA"/>
    <w:rsid w:val="005F2EC6"/>
    <w:rsid w:val="005F3AAE"/>
    <w:rsid w:val="005F4275"/>
    <w:rsid w:val="005F6A81"/>
    <w:rsid w:val="005F77AE"/>
    <w:rsid w:val="00600F26"/>
    <w:rsid w:val="00602276"/>
    <w:rsid w:val="00602F5B"/>
    <w:rsid w:val="00610FF0"/>
    <w:rsid w:val="006142DA"/>
    <w:rsid w:val="00614985"/>
    <w:rsid w:val="00615C21"/>
    <w:rsid w:val="006223E4"/>
    <w:rsid w:val="00624746"/>
    <w:rsid w:val="0063071E"/>
    <w:rsid w:val="00636406"/>
    <w:rsid w:val="00640021"/>
    <w:rsid w:val="006406C7"/>
    <w:rsid w:val="00642232"/>
    <w:rsid w:val="00645114"/>
    <w:rsid w:val="00650D2B"/>
    <w:rsid w:val="00653F9F"/>
    <w:rsid w:val="0065593E"/>
    <w:rsid w:val="0065650E"/>
    <w:rsid w:val="006615FB"/>
    <w:rsid w:val="00662BAD"/>
    <w:rsid w:val="00662C30"/>
    <w:rsid w:val="006631CE"/>
    <w:rsid w:val="006632B0"/>
    <w:rsid w:val="006678BA"/>
    <w:rsid w:val="006714B4"/>
    <w:rsid w:val="00672507"/>
    <w:rsid w:val="00674568"/>
    <w:rsid w:val="00675F04"/>
    <w:rsid w:val="0067788B"/>
    <w:rsid w:val="00677AE1"/>
    <w:rsid w:val="00682E28"/>
    <w:rsid w:val="00683A77"/>
    <w:rsid w:val="0069085E"/>
    <w:rsid w:val="00696A52"/>
    <w:rsid w:val="006A27BF"/>
    <w:rsid w:val="006A4134"/>
    <w:rsid w:val="006A783D"/>
    <w:rsid w:val="006B16D0"/>
    <w:rsid w:val="006B236F"/>
    <w:rsid w:val="006B2AE8"/>
    <w:rsid w:val="006B39FE"/>
    <w:rsid w:val="006B4CDC"/>
    <w:rsid w:val="006B50A5"/>
    <w:rsid w:val="006B7769"/>
    <w:rsid w:val="006C0125"/>
    <w:rsid w:val="006C41F1"/>
    <w:rsid w:val="006C4D83"/>
    <w:rsid w:val="006C62B0"/>
    <w:rsid w:val="006C79DA"/>
    <w:rsid w:val="006D1BBC"/>
    <w:rsid w:val="006D1CF0"/>
    <w:rsid w:val="006D3C93"/>
    <w:rsid w:val="006D68E1"/>
    <w:rsid w:val="006D6DBE"/>
    <w:rsid w:val="006E1501"/>
    <w:rsid w:val="006E4395"/>
    <w:rsid w:val="006E5203"/>
    <w:rsid w:val="006F1E6D"/>
    <w:rsid w:val="007062C1"/>
    <w:rsid w:val="007063DF"/>
    <w:rsid w:val="0071035F"/>
    <w:rsid w:val="00710C06"/>
    <w:rsid w:val="00716683"/>
    <w:rsid w:val="00716F79"/>
    <w:rsid w:val="0071796A"/>
    <w:rsid w:val="00717EAF"/>
    <w:rsid w:val="00720B96"/>
    <w:rsid w:val="00723AA9"/>
    <w:rsid w:val="00725FF1"/>
    <w:rsid w:val="00730D67"/>
    <w:rsid w:val="00732826"/>
    <w:rsid w:val="0073606D"/>
    <w:rsid w:val="007411C2"/>
    <w:rsid w:val="0074322A"/>
    <w:rsid w:val="007449D4"/>
    <w:rsid w:val="00746868"/>
    <w:rsid w:val="00747B82"/>
    <w:rsid w:val="00747C77"/>
    <w:rsid w:val="0075534B"/>
    <w:rsid w:val="0075760E"/>
    <w:rsid w:val="00763064"/>
    <w:rsid w:val="00765521"/>
    <w:rsid w:val="007701F8"/>
    <w:rsid w:val="00770C5E"/>
    <w:rsid w:val="00773FAC"/>
    <w:rsid w:val="007868E2"/>
    <w:rsid w:val="0079248B"/>
    <w:rsid w:val="0079250B"/>
    <w:rsid w:val="00793677"/>
    <w:rsid w:val="00797EDF"/>
    <w:rsid w:val="007A1F8D"/>
    <w:rsid w:val="007A22B8"/>
    <w:rsid w:val="007A3975"/>
    <w:rsid w:val="007A506E"/>
    <w:rsid w:val="007B197A"/>
    <w:rsid w:val="007C002A"/>
    <w:rsid w:val="007C1AB6"/>
    <w:rsid w:val="007C1D51"/>
    <w:rsid w:val="007C23EE"/>
    <w:rsid w:val="007D427F"/>
    <w:rsid w:val="007D4F6B"/>
    <w:rsid w:val="007D70B2"/>
    <w:rsid w:val="007D79C6"/>
    <w:rsid w:val="007E3AE4"/>
    <w:rsid w:val="007E4CF1"/>
    <w:rsid w:val="007E5BDB"/>
    <w:rsid w:val="007E709E"/>
    <w:rsid w:val="007F146F"/>
    <w:rsid w:val="007F2232"/>
    <w:rsid w:val="007F6B71"/>
    <w:rsid w:val="007F73FB"/>
    <w:rsid w:val="00802233"/>
    <w:rsid w:val="00811D3B"/>
    <w:rsid w:val="00814DAE"/>
    <w:rsid w:val="0081510A"/>
    <w:rsid w:val="00815D3D"/>
    <w:rsid w:val="008163C8"/>
    <w:rsid w:val="008206C6"/>
    <w:rsid w:val="008252B8"/>
    <w:rsid w:val="00827B31"/>
    <w:rsid w:val="00834AAD"/>
    <w:rsid w:val="00834D55"/>
    <w:rsid w:val="008448BF"/>
    <w:rsid w:val="00851CF6"/>
    <w:rsid w:val="0085317E"/>
    <w:rsid w:val="00854FCB"/>
    <w:rsid w:val="008571C1"/>
    <w:rsid w:val="008655E8"/>
    <w:rsid w:val="008727D4"/>
    <w:rsid w:val="00880E54"/>
    <w:rsid w:val="0088343A"/>
    <w:rsid w:val="00885971"/>
    <w:rsid w:val="0089301A"/>
    <w:rsid w:val="008A1E7A"/>
    <w:rsid w:val="008A411B"/>
    <w:rsid w:val="008A6ACB"/>
    <w:rsid w:val="008B4675"/>
    <w:rsid w:val="008B4866"/>
    <w:rsid w:val="008B60E5"/>
    <w:rsid w:val="008B744A"/>
    <w:rsid w:val="008C29A4"/>
    <w:rsid w:val="008C40A4"/>
    <w:rsid w:val="008D31DD"/>
    <w:rsid w:val="008D3F96"/>
    <w:rsid w:val="008E4AD9"/>
    <w:rsid w:val="008E5ED1"/>
    <w:rsid w:val="008E700A"/>
    <w:rsid w:val="008F1667"/>
    <w:rsid w:val="008F1CFB"/>
    <w:rsid w:val="00907729"/>
    <w:rsid w:val="009127F0"/>
    <w:rsid w:val="00912B81"/>
    <w:rsid w:val="0091575C"/>
    <w:rsid w:val="00922120"/>
    <w:rsid w:val="009221E6"/>
    <w:rsid w:val="00922B8C"/>
    <w:rsid w:val="00935AFC"/>
    <w:rsid w:val="0094334D"/>
    <w:rsid w:val="009447E4"/>
    <w:rsid w:val="009505C3"/>
    <w:rsid w:val="00951910"/>
    <w:rsid w:val="0095457C"/>
    <w:rsid w:val="009547D7"/>
    <w:rsid w:val="00956DC7"/>
    <w:rsid w:val="009577BD"/>
    <w:rsid w:val="0096376C"/>
    <w:rsid w:val="0096677B"/>
    <w:rsid w:val="00971028"/>
    <w:rsid w:val="00971C6A"/>
    <w:rsid w:val="00973A23"/>
    <w:rsid w:val="00975C79"/>
    <w:rsid w:val="0097750D"/>
    <w:rsid w:val="00977F4E"/>
    <w:rsid w:val="00980D10"/>
    <w:rsid w:val="009853D2"/>
    <w:rsid w:val="009866F6"/>
    <w:rsid w:val="0098712F"/>
    <w:rsid w:val="00987EDA"/>
    <w:rsid w:val="00993B9D"/>
    <w:rsid w:val="00994B05"/>
    <w:rsid w:val="009A03BC"/>
    <w:rsid w:val="009A4154"/>
    <w:rsid w:val="009A6E88"/>
    <w:rsid w:val="009B4155"/>
    <w:rsid w:val="009B4A3A"/>
    <w:rsid w:val="009C1552"/>
    <w:rsid w:val="009C7CE4"/>
    <w:rsid w:val="009D0661"/>
    <w:rsid w:val="009D14A5"/>
    <w:rsid w:val="009D4B02"/>
    <w:rsid w:val="009E0404"/>
    <w:rsid w:val="009E40DA"/>
    <w:rsid w:val="009F67E1"/>
    <w:rsid w:val="009F744D"/>
    <w:rsid w:val="00A01848"/>
    <w:rsid w:val="00A025F8"/>
    <w:rsid w:val="00A12CA0"/>
    <w:rsid w:val="00A1465C"/>
    <w:rsid w:val="00A20592"/>
    <w:rsid w:val="00A23CE0"/>
    <w:rsid w:val="00A2431A"/>
    <w:rsid w:val="00A309B4"/>
    <w:rsid w:val="00A31C7C"/>
    <w:rsid w:val="00A34020"/>
    <w:rsid w:val="00A3492F"/>
    <w:rsid w:val="00A367C9"/>
    <w:rsid w:val="00A40009"/>
    <w:rsid w:val="00A40112"/>
    <w:rsid w:val="00A42D99"/>
    <w:rsid w:val="00A43D48"/>
    <w:rsid w:val="00A4540F"/>
    <w:rsid w:val="00A53683"/>
    <w:rsid w:val="00A57B24"/>
    <w:rsid w:val="00A64D32"/>
    <w:rsid w:val="00A6797E"/>
    <w:rsid w:val="00A724A3"/>
    <w:rsid w:val="00A7286D"/>
    <w:rsid w:val="00A73013"/>
    <w:rsid w:val="00A77F0F"/>
    <w:rsid w:val="00A82F8E"/>
    <w:rsid w:val="00A921FD"/>
    <w:rsid w:val="00A939F4"/>
    <w:rsid w:val="00A93C47"/>
    <w:rsid w:val="00A96613"/>
    <w:rsid w:val="00AA1F95"/>
    <w:rsid w:val="00AA20E1"/>
    <w:rsid w:val="00AA367D"/>
    <w:rsid w:val="00AB1969"/>
    <w:rsid w:val="00AB49B7"/>
    <w:rsid w:val="00AB5516"/>
    <w:rsid w:val="00AC055E"/>
    <w:rsid w:val="00AC2B18"/>
    <w:rsid w:val="00AC3816"/>
    <w:rsid w:val="00AC58A6"/>
    <w:rsid w:val="00AC7193"/>
    <w:rsid w:val="00AC7FEA"/>
    <w:rsid w:val="00AD3B52"/>
    <w:rsid w:val="00AD438E"/>
    <w:rsid w:val="00AD4E1A"/>
    <w:rsid w:val="00AE0B4C"/>
    <w:rsid w:val="00AE4CA0"/>
    <w:rsid w:val="00AF01C5"/>
    <w:rsid w:val="00AF09A4"/>
    <w:rsid w:val="00AF301B"/>
    <w:rsid w:val="00AF3A74"/>
    <w:rsid w:val="00AF5348"/>
    <w:rsid w:val="00B041F5"/>
    <w:rsid w:val="00B04810"/>
    <w:rsid w:val="00B0648C"/>
    <w:rsid w:val="00B13945"/>
    <w:rsid w:val="00B23BEC"/>
    <w:rsid w:val="00B2542E"/>
    <w:rsid w:val="00B25F56"/>
    <w:rsid w:val="00B30588"/>
    <w:rsid w:val="00B35BFB"/>
    <w:rsid w:val="00B374C6"/>
    <w:rsid w:val="00B37C05"/>
    <w:rsid w:val="00B40398"/>
    <w:rsid w:val="00B442DC"/>
    <w:rsid w:val="00B44FF3"/>
    <w:rsid w:val="00B512C4"/>
    <w:rsid w:val="00B576AF"/>
    <w:rsid w:val="00B67F14"/>
    <w:rsid w:val="00B759FE"/>
    <w:rsid w:val="00B76D15"/>
    <w:rsid w:val="00B83059"/>
    <w:rsid w:val="00B834D7"/>
    <w:rsid w:val="00B85517"/>
    <w:rsid w:val="00B8609A"/>
    <w:rsid w:val="00B87A8B"/>
    <w:rsid w:val="00B9427F"/>
    <w:rsid w:val="00BA04D1"/>
    <w:rsid w:val="00BA0731"/>
    <w:rsid w:val="00BA327F"/>
    <w:rsid w:val="00BA4CA5"/>
    <w:rsid w:val="00BB04DC"/>
    <w:rsid w:val="00BB2254"/>
    <w:rsid w:val="00BB4AC7"/>
    <w:rsid w:val="00BC10CE"/>
    <w:rsid w:val="00BC3629"/>
    <w:rsid w:val="00BC3C2D"/>
    <w:rsid w:val="00BD01A1"/>
    <w:rsid w:val="00BD1BBF"/>
    <w:rsid w:val="00BD51C1"/>
    <w:rsid w:val="00BF39E6"/>
    <w:rsid w:val="00C02EE3"/>
    <w:rsid w:val="00C0468A"/>
    <w:rsid w:val="00C15E11"/>
    <w:rsid w:val="00C17091"/>
    <w:rsid w:val="00C211BB"/>
    <w:rsid w:val="00C223F2"/>
    <w:rsid w:val="00C24E50"/>
    <w:rsid w:val="00C26E9B"/>
    <w:rsid w:val="00C33C09"/>
    <w:rsid w:val="00C41D73"/>
    <w:rsid w:val="00C42F35"/>
    <w:rsid w:val="00C449E7"/>
    <w:rsid w:val="00C476D4"/>
    <w:rsid w:val="00C5344F"/>
    <w:rsid w:val="00C56A9F"/>
    <w:rsid w:val="00C57971"/>
    <w:rsid w:val="00C60009"/>
    <w:rsid w:val="00C64EB5"/>
    <w:rsid w:val="00C65DC7"/>
    <w:rsid w:val="00C74BEF"/>
    <w:rsid w:val="00C763FE"/>
    <w:rsid w:val="00C8122D"/>
    <w:rsid w:val="00C87525"/>
    <w:rsid w:val="00C9003C"/>
    <w:rsid w:val="00C96C42"/>
    <w:rsid w:val="00CA02E7"/>
    <w:rsid w:val="00CA5955"/>
    <w:rsid w:val="00CA6671"/>
    <w:rsid w:val="00CB14AE"/>
    <w:rsid w:val="00CB6B6A"/>
    <w:rsid w:val="00CC5376"/>
    <w:rsid w:val="00CC7E46"/>
    <w:rsid w:val="00CC7E87"/>
    <w:rsid w:val="00CD4A29"/>
    <w:rsid w:val="00CE50D9"/>
    <w:rsid w:val="00CE6C8A"/>
    <w:rsid w:val="00CE6D91"/>
    <w:rsid w:val="00CF0CC1"/>
    <w:rsid w:val="00CF3BA1"/>
    <w:rsid w:val="00D05FFD"/>
    <w:rsid w:val="00D06BE3"/>
    <w:rsid w:val="00D10449"/>
    <w:rsid w:val="00D12E05"/>
    <w:rsid w:val="00D1467B"/>
    <w:rsid w:val="00D1784E"/>
    <w:rsid w:val="00D22990"/>
    <w:rsid w:val="00D2360D"/>
    <w:rsid w:val="00D31398"/>
    <w:rsid w:val="00D32722"/>
    <w:rsid w:val="00D33254"/>
    <w:rsid w:val="00D37AFE"/>
    <w:rsid w:val="00D37BAA"/>
    <w:rsid w:val="00D37C8C"/>
    <w:rsid w:val="00D40E37"/>
    <w:rsid w:val="00D449CF"/>
    <w:rsid w:val="00D457A8"/>
    <w:rsid w:val="00D478C9"/>
    <w:rsid w:val="00D51E9B"/>
    <w:rsid w:val="00D5230E"/>
    <w:rsid w:val="00D5646D"/>
    <w:rsid w:val="00D56D32"/>
    <w:rsid w:val="00D57F87"/>
    <w:rsid w:val="00D60BB3"/>
    <w:rsid w:val="00D61B52"/>
    <w:rsid w:val="00D61DE6"/>
    <w:rsid w:val="00D624D5"/>
    <w:rsid w:val="00D629DF"/>
    <w:rsid w:val="00D665C3"/>
    <w:rsid w:val="00D740EA"/>
    <w:rsid w:val="00D7665A"/>
    <w:rsid w:val="00D83B3B"/>
    <w:rsid w:val="00D842C3"/>
    <w:rsid w:val="00D85C44"/>
    <w:rsid w:val="00D86ECB"/>
    <w:rsid w:val="00D879A1"/>
    <w:rsid w:val="00D87EC0"/>
    <w:rsid w:val="00D91320"/>
    <w:rsid w:val="00D91995"/>
    <w:rsid w:val="00D9244C"/>
    <w:rsid w:val="00DA1953"/>
    <w:rsid w:val="00DA33E7"/>
    <w:rsid w:val="00DA4B37"/>
    <w:rsid w:val="00DA522A"/>
    <w:rsid w:val="00DA5371"/>
    <w:rsid w:val="00DB0F9C"/>
    <w:rsid w:val="00DB7B28"/>
    <w:rsid w:val="00DC38A2"/>
    <w:rsid w:val="00DC5D8C"/>
    <w:rsid w:val="00DC755C"/>
    <w:rsid w:val="00DD4098"/>
    <w:rsid w:val="00DD70C3"/>
    <w:rsid w:val="00DE58B8"/>
    <w:rsid w:val="00DF0A0B"/>
    <w:rsid w:val="00E02383"/>
    <w:rsid w:val="00E02A6F"/>
    <w:rsid w:val="00E0701E"/>
    <w:rsid w:val="00E10722"/>
    <w:rsid w:val="00E12F73"/>
    <w:rsid w:val="00E13940"/>
    <w:rsid w:val="00E150D7"/>
    <w:rsid w:val="00E15974"/>
    <w:rsid w:val="00E20035"/>
    <w:rsid w:val="00E314EE"/>
    <w:rsid w:val="00E31A0B"/>
    <w:rsid w:val="00E323BA"/>
    <w:rsid w:val="00E32FF9"/>
    <w:rsid w:val="00E343BC"/>
    <w:rsid w:val="00E37639"/>
    <w:rsid w:val="00E40208"/>
    <w:rsid w:val="00E41001"/>
    <w:rsid w:val="00E4173B"/>
    <w:rsid w:val="00E453B0"/>
    <w:rsid w:val="00E46D24"/>
    <w:rsid w:val="00E52F0D"/>
    <w:rsid w:val="00E6163D"/>
    <w:rsid w:val="00E61971"/>
    <w:rsid w:val="00E64D03"/>
    <w:rsid w:val="00E70F8E"/>
    <w:rsid w:val="00E72592"/>
    <w:rsid w:val="00E737EE"/>
    <w:rsid w:val="00E87536"/>
    <w:rsid w:val="00E87606"/>
    <w:rsid w:val="00E924EB"/>
    <w:rsid w:val="00E94DFA"/>
    <w:rsid w:val="00EA1251"/>
    <w:rsid w:val="00EA2C1D"/>
    <w:rsid w:val="00EA5F69"/>
    <w:rsid w:val="00EB1916"/>
    <w:rsid w:val="00EB4798"/>
    <w:rsid w:val="00EB52F5"/>
    <w:rsid w:val="00EB553F"/>
    <w:rsid w:val="00EB717D"/>
    <w:rsid w:val="00ED0FFD"/>
    <w:rsid w:val="00ED22C1"/>
    <w:rsid w:val="00ED489C"/>
    <w:rsid w:val="00ED4A25"/>
    <w:rsid w:val="00ED5CF6"/>
    <w:rsid w:val="00ED5F7D"/>
    <w:rsid w:val="00ED6953"/>
    <w:rsid w:val="00ED7E9B"/>
    <w:rsid w:val="00EE1111"/>
    <w:rsid w:val="00EE37BE"/>
    <w:rsid w:val="00EE3DE8"/>
    <w:rsid w:val="00EE7C50"/>
    <w:rsid w:val="00F0724B"/>
    <w:rsid w:val="00F1177E"/>
    <w:rsid w:val="00F12929"/>
    <w:rsid w:val="00F2022E"/>
    <w:rsid w:val="00F26C47"/>
    <w:rsid w:val="00F30069"/>
    <w:rsid w:val="00F3345B"/>
    <w:rsid w:val="00F3350C"/>
    <w:rsid w:val="00F34B9F"/>
    <w:rsid w:val="00F374B4"/>
    <w:rsid w:val="00F37F21"/>
    <w:rsid w:val="00F41B5C"/>
    <w:rsid w:val="00F424F5"/>
    <w:rsid w:val="00F43049"/>
    <w:rsid w:val="00F47A12"/>
    <w:rsid w:val="00F50FC1"/>
    <w:rsid w:val="00F54417"/>
    <w:rsid w:val="00F57CDD"/>
    <w:rsid w:val="00F61FAB"/>
    <w:rsid w:val="00F7395B"/>
    <w:rsid w:val="00F74266"/>
    <w:rsid w:val="00F76059"/>
    <w:rsid w:val="00F76185"/>
    <w:rsid w:val="00F777D7"/>
    <w:rsid w:val="00F85CFD"/>
    <w:rsid w:val="00F96621"/>
    <w:rsid w:val="00F96AA5"/>
    <w:rsid w:val="00F97B02"/>
    <w:rsid w:val="00F97B43"/>
    <w:rsid w:val="00FA1CA5"/>
    <w:rsid w:val="00FA42B8"/>
    <w:rsid w:val="00FC0F2D"/>
    <w:rsid w:val="00FC12EB"/>
    <w:rsid w:val="00FC2E0D"/>
    <w:rsid w:val="00FC4CEE"/>
    <w:rsid w:val="00FC5560"/>
    <w:rsid w:val="00FD1190"/>
    <w:rsid w:val="00FD1510"/>
    <w:rsid w:val="00FD4EFE"/>
    <w:rsid w:val="00FD5C4D"/>
    <w:rsid w:val="00FF0F7A"/>
    <w:rsid w:val="00FF1B43"/>
    <w:rsid w:val="00FF4B97"/>
    <w:rsid w:val="00FF5D22"/>
    <w:rsid w:val="010742D5"/>
    <w:rsid w:val="010A79E4"/>
    <w:rsid w:val="012955B3"/>
    <w:rsid w:val="01415CD2"/>
    <w:rsid w:val="01583748"/>
    <w:rsid w:val="016928C8"/>
    <w:rsid w:val="016A786D"/>
    <w:rsid w:val="01851778"/>
    <w:rsid w:val="01AE11E6"/>
    <w:rsid w:val="01B46F2A"/>
    <w:rsid w:val="01BA1EF8"/>
    <w:rsid w:val="01C77A3A"/>
    <w:rsid w:val="01CA2161"/>
    <w:rsid w:val="01D92E11"/>
    <w:rsid w:val="01DF432A"/>
    <w:rsid w:val="01F53A09"/>
    <w:rsid w:val="01FB451F"/>
    <w:rsid w:val="020119BD"/>
    <w:rsid w:val="021653B1"/>
    <w:rsid w:val="021E4A65"/>
    <w:rsid w:val="022106EC"/>
    <w:rsid w:val="023E1AA3"/>
    <w:rsid w:val="024F24E2"/>
    <w:rsid w:val="025C7F22"/>
    <w:rsid w:val="02675C4E"/>
    <w:rsid w:val="027A0985"/>
    <w:rsid w:val="028E1E68"/>
    <w:rsid w:val="02954528"/>
    <w:rsid w:val="02971F60"/>
    <w:rsid w:val="02A76140"/>
    <w:rsid w:val="02DC3F04"/>
    <w:rsid w:val="02ED5A3D"/>
    <w:rsid w:val="02F90193"/>
    <w:rsid w:val="030D7204"/>
    <w:rsid w:val="031342A8"/>
    <w:rsid w:val="032659DC"/>
    <w:rsid w:val="032B0D28"/>
    <w:rsid w:val="034237C8"/>
    <w:rsid w:val="034E5452"/>
    <w:rsid w:val="036356DF"/>
    <w:rsid w:val="03846C84"/>
    <w:rsid w:val="03901F7D"/>
    <w:rsid w:val="03E71508"/>
    <w:rsid w:val="03EF3637"/>
    <w:rsid w:val="040C7525"/>
    <w:rsid w:val="040F1246"/>
    <w:rsid w:val="041B44D3"/>
    <w:rsid w:val="042F2ABC"/>
    <w:rsid w:val="042F6C22"/>
    <w:rsid w:val="043019CD"/>
    <w:rsid w:val="0432520D"/>
    <w:rsid w:val="044959B6"/>
    <w:rsid w:val="04604D98"/>
    <w:rsid w:val="04687075"/>
    <w:rsid w:val="046E4B26"/>
    <w:rsid w:val="04702172"/>
    <w:rsid w:val="049E5004"/>
    <w:rsid w:val="04C15202"/>
    <w:rsid w:val="04C920A3"/>
    <w:rsid w:val="04D84084"/>
    <w:rsid w:val="04E24466"/>
    <w:rsid w:val="04E949B8"/>
    <w:rsid w:val="04EF3793"/>
    <w:rsid w:val="05022C69"/>
    <w:rsid w:val="05345C3C"/>
    <w:rsid w:val="054C2893"/>
    <w:rsid w:val="05571F68"/>
    <w:rsid w:val="0585150C"/>
    <w:rsid w:val="05884774"/>
    <w:rsid w:val="059E028D"/>
    <w:rsid w:val="05AC6B8E"/>
    <w:rsid w:val="05B01B1D"/>
    <w:rsid w:val="05E7663F"/>
    <w:rsid w:val="05EB00B8"/>
    <w:rsid w:val="06057AD7"/>
    <w:rsid w:val="06427F03"/>
    <w:rsid w:val="064613E7"/>
    <w:rsid w:val="06563FCE"/>
    <w:rsid w:val="065F7B88"/>
    <w:rsid w:val="06653EC4"/>
    <w:rsid w:val="068C5F0F"/>
    <w:rsid w:val="0699402C"/>
    <w:rsid w:val="069C64C8"/>
    <w:rsid w:val="069E1194"/>
    <w:rsid w:val="06A0112C"/>
    <w:rsid w:val="06A42FEB"/>
    <w:rsid w:val="06AA54D1"/>
    <w:rsid w:val="06DA367D"/>
    <w:rsid w:val="06DB3C8E"/>
    <w:rsid w:val="06DF5D71"/>
    <w:rsid w:val="06E82C73"/>
    <w:rsid w:val="06E845D2"/>
    <w:rsid w:val="06EB3041"/>
    <w:rsid w:val="06FF4665"/>
    <w:rsid w:val="07210BEB"/>
    <w:rsid w:val="073A2587"/>
    <w:rsid w:val="074273EB"/>
    <w:rsid w:val="07504E5D"/>
    <w:rsid w:val="075F6D7C"/>
    <w:rsid w:val="077A3CEC"/>
    <w:rsid w:val="07807554"/>
    <w:rsid w:val="078D5769"/>
    <w:rsid w:val="079F3EE7"/>
    <w:rsid w:val="07AA637F"/>
    <w:rsid w:val="07DB1801"/>
    <w:rsid w:val="07DB7626"/>
    <w:rsid w:val="07DF5164"/>
    <w:rsid w:val="07E50580"/>
    <w:rsid w:val="07F77FC2"/>
    <w:rsid w:val="07F97A25"/>
    <w:rsid w:val="08006472"/>
    <w:rsid w:val="081403BB"/>
    <w:rsid w:val="081717A6"/>
    <w:rsid w:val="08264AE8"/>
    <w:rsid w:val="08297BEC"/>
    <w:rsid w:val="083E1621"/>
    <w:rsid w:val="08614777"/>
    <w:rsid w:val="08621939"/>
    <w:rsid w:val="08663338"/>
    <w:rsid w:val="08696EDC"/>
    <w:rsid w:val="0884501D"/>
    <w:rsid w:val="08856E5D"/>
    <w:rsid w:val="088B40B8"/>
    <w:rsid w:val="08904AFE"/>
    <w:rsid w:val="08B47DF9"/>
    <w:rsid w:val="08CD1851"/>
    <w:rsid w:val="08DC3175"/>
    <w:rsid w:val="08E104C7"/>
    <w:rsid w:val="093004CF"/>
    <w:rsid w:val="093F58A1"/>
    <w:rsid w:val="094A4ABC"/>
    <w:rsid w:val="095261E2"/>
    <w:rsid w:val="09576477"/>
    <w:rsid w:val="0972361B"/>
    <w:rsid w:val="0975564E"/>
    <w:rsid w:val="099457E5"/>
    <w:rsid w:val="09CE2CBD"/>
    <w:rsid w:val="09E70122"/>
    <w:rsid w:val="09E70A54"/>
    <w:rsid w:val="09FB1114"/>
    <w:rsid w:val="0A0333B9"/>
    <w:rsid w:val="0A0B7A36"/>
    <w:rsid w:val="0A0E360D"/>
    <w:rsid w:val="0A352DC4"/>
    <w:rsid w:val="0A373362"/>
    <w:rsid w:val="0A437E58"/>
    <w:rsid w:val="0A5A7522"/>
    <w:rsid w:val="0A7270B0"/>
    <w:rsid w:val="0A782765"/>
    <w:rsid w:val="0A8528D5"/>
    <w:rsid w:val="0A862A0A"/>
    <w:rsid w:val="0A8A5B9F"/>
    <w:rsid w:val="0AB01ABA"/>
    <w:rsid w:val="0AB15109"/>
    <w:rsid w:val="0ACC7DC1"/>
    <w:rsid w:val="0ACD3F95"/>
    <w:rsid w:val="0AD06002"/>
    <w:rsid w:val="0AD56F1F"/>
    <w:rsid w:val="0AEA3C8C"/>
    <w:rsid w:val="0AF0679F"/>
    <w:rsid w:val="0B106766"/>
    <w:rsid w:val="0B15565C"/>
    <w:rsid w:val="0B1E0CF0"/>
    <w:rsid w:val="0B336D25"/>
    <w:rsid w:val="0B3A3609"/>
    <w:rsid w:val="0B4C5010"/>
    <w:rsid w:val="0B506729"/>
    <w:rsid w:val="0B617F61"/>
    <w:rsid w:val="0B7B0A12"/>
    <w:rsid w:val="0B7C73B6"/>
    <w:rsid w:val="0B9D52CE"/>
    <w:rsid w:val="0BC86665"/>
    <w:rsid w:val="0BE83010"/>
    <w:rsid w:val="0BF8415C"/>
    <w:rsid w:val="0C001D59"/>
    <w:rsid w:val="0C054CDF"/>
    <w:rsid w:val="0C1B7D09"/>
    <w:rsid w:val="0C3F55CB"/>
    <w:rsid w:val="0C4369A5"/>
    <w:rsid w:val="0C46431D"/>
    <w:rsid w:val="0C4A597A"/>
    <w:rsid w:val="0C4E558D"/>
    <w:rsid w:val="0C54313F"/>
    <w:rsid w:val="0C682B47"/>
    <w:rsid w:val="0C7A59AB"/>
    <w:rsid w:val="0C7E2237"/>
    <w:rsid w:val="0C8A3153"/>
    <w:rsid w:val="0C8D626F"/>
    <w:rsid w:val="0CD24D60"/>
    <w:rsid w:val="0D0B0800"/>
    <w:rsid w:val="0D2A4B38"/>
    <w:rsid w:val="0D3B19BF"/>
    <w:rsid w:val="0D3F7F2E"/>
    <w:rsid w:val="0D472A42"/>
    <w:rsid w:val="0D547A86"/>
    <w:rsid w:val="0D576AF6"/>
    <w:rsid w:val="0D670027"/>
    <w:rsid w:val="0D682962"/>
    <w:rsid w:val="0D682BA3"/>
    <w:rsid w:val="0D6F0790"/>
    <w:rsid w:val="0D705EC6"/>
    <w:rsid w:val="0D737ED4"/>
    <w:rsid w:val="0D8E70B7"/>
    <w:rsid w:val="0DB757B9"/>
    <w:rsid w:val="0DBE2A42"/>
    <w:rsid w:val="0DE7555E"/>
    <w:rsid w:val="0DEE2D3E"/>
    <w:rsid w:val="0E280AF7"/>
    <w:rsid w:val="0E3948C5"/>
    <w:rsid w:val="0E4D292A"/>
    <w:rsid w:val="0E580534"/>
    <w:rsid w:val="0E634E64"/>
    <w:rsid w:val="0E694DA4"/>
    <w:rsid w:val="0E886814"/>
    <w:rsid w:val="0E994BEF"/>
    <w:rsid w:val="0EB74E09"/>
    <w:rsid w:val="0EF21A59"/>
    <w:rsid w:val="0F020616"/>
    <w:rsid w:val="0F0D5310"/>
    <w:rsid w:val="0F0D7125"/>
    <w:rsid w:val="0F136F00"/>
    <w:rsid w:val="0F2122AB"/>
    <w:rsid w:val="0F4470B9"/>
    <w:rsid w:val="0F613CE7"/>
    <w:rsid w:val="0F667602"/>
    <w:rsid w:val="0F827279"/>
    <w:rsid w:val="0FC27645"/>
    <w:rsid w:val="0FC43949"/>
    <w:rsid w:val="0FDE5312"/>
    <w:rsid w:val="0FE244A0"/>
    <w:rsid w:val="0FE801DA"/>
    <w:rsid w:val="0FEE346A"/>
    <w:rsid w:val="0FF62C9E"/>
    <w:rsid w:val="10053ABA"/>
    <w:rsid w:val="101C4755"/>
    <w:rsid w:val="102D36E4"/>
    <w:rsid w:val="103F6BC1"/>
    <w:rsid w:val="10436662"/>
    <w:rsid w:val="1066305F"/>
    <w:rsid w:val="10787C99"/>
    <w:rsid w:val="107B27F5"/>
    <w:rsid w:val="107D3134"/>
    <w:rsid w:val="10874464"/>
    <w:rsid w:val="109738D6"/>
    <w:rsid w:val="10BD4744"/>
    <w:rsid w:val="10BE1B05"/>
    <w:rsid w:val="10C06570"/>
    <w:rsid w:val="10F32882"/>
    <w:rsid w:val="11217EB7"/>
    <w:rsid w:val="112600A1"/>
    <w:rsid w:val="11270A41"/>
    <w:rsid w:val="11292B4D"/>
    <w:rsid w:val="114152BE"/>
    <w:rsid w:val="1161651C"/>
    <w:rsid w:val="11634D9B"/>
    <w:rsid w:val="118A244C"/>
    <w:rsid w:val="118E546D"/>
    <w:rsid w:val="11A2124C"/>
    <w:rsid w:val="11B113CA"/>
    <w:rsid w:val="11B35783"/>
    <w:rsid w:val="11B751CA"/>
    <w:rsid w:val="11B83D8F"/>
    <w:rsid w:val="11C15CE1"/>
    <w:rsid w:val="11C20C82"/>
    <w:rsid w:val="11C22BCD"/>
    <w:rsid w:val="11CB0E79"/>
    <w:rsid w:val="11D67AF3"/>
    <w:rsid w:val="11E53FE3"/>
    <w:rsid w:val="11E65F26"/>
    <w:rsid w:val="11E67F98"/>
    <w:rsid w:val="11E7249D"/>
    <w:rsid w:val="11EB2B56"/>
    <w:rsid w:val="11EB5F12"/>
    <w:rsid w:val="11EC10FD"/>
    <w:rsid w:val="11FA6155"/>
    <w:rsid w:val="120B3EBE"/>
    <w:rsid w:val="12101447"/>
    <w:rsid w:val="121360D8"/>
    <w:rsid w:val="122812B3"/>
    <w:rsid w:val="12394ECF"/>
    <w:rsid w:val="124A072F"/>
    <w:rsid w:val="125A2E52"/>
    <w:rsid w:val="125D4B05"/>
    <w:rsid w:val="125F1817"/>
    <w:rsid w:val="126264E7"/>
    <w:rsid w:val="12642E8C"/>
    <w:rsid w:val="128123D2"/>
    <w:rsid w:val="12841AD1"/>
    <w:rsid w:val="12855B9F"/>
    <w:rsid w:val="12992AFA"/>
    <w:rsid w:val="129C4AFB"/>
    <w:rsid w:val="129D6FDD"/>
    <w:rsid w:val="12A16193"/>
    <w:rsid w:val="12CC1A08"/>
    <w:rsid w:val="12CC5D44"/>
    <w:rsid w:val="12CF0C0F"/>
    <w:rsid w:val="12CF5653"/>
    <w:rsid w:val="12D11F11"/>
    <w:rsid w:val="12E75EE8"/>
    <w:rsid w:val="13043918"/>
    <w:rsid w:val="13250FB0"/>
    <w:rsid w:val="133F57E3"/>
    <w:rsid w:val="134C77A5"/>
    <w:rsid w:val="1350173C"/>
    <w:rsid w:val="13694D8F"/>
    <w:rsid w:val="13731B39"/>
    <w:rsid w:val="139573F9"/>
    <w:rsid w:val="1398179A"/>
    <w:rsid w:val="13B9781D"/>
    <w:rsid w:val="13BF1404"/>
    <w:rsid w:val="13C30E6E"/>
    <w:rsid w:val="13D21E1A"/>
    <w:rsid w:val="13DF4882"/>
    <w:rsid w:val="13E730A4"/>
    <w:rsid w:val="13E92EF0"/>
    <w:rsid w:val="13ED42AC"/>
    <w:rsid w:val="13F731BE"/>
    <w:rsid w:val="140F0880"/>
    <w:rsid w:val="142A1D25"/>
    <w:rsid w:val="144E27C8"/>
    <w:rsid w:val="14524026"/>
    <w:rsid w:val="14543F72"/>
    <w:rsid w:val="145E2C77"/>
    <w:rsid w:val="1472260B"/>
    <w:rsid w:val="14747B8F"/>
    <w:rsid w:val="14983F42"/>
    <w:rsid w:val="14D7551A"/>
    <w:rsid w:val="14EA3450"/>
    <w:rsid w:val="14ED46B4"/>
    <w:rsid w:val="14F735E4"/>
    <w:rsid w:val="14F767B6"/>
    <w:rsid w:val="15057FD2"/>
    <w:rsid w:val="153068F2"/>
    <w:rsid w:val="15427C11"/>
    <w:rsid w:val="156B7B3E"/>
    <w:rsid w:val="15743F4C"/>
    <w:rsid w:val="157502EE"/>
    <w:rsid w:val="15A47AE1"/>
    <w:rsid w:val="15AF0A7E"/>
    <w:rsid w:val="15B4151E"/>
    <w:rsid w:val="15BB3E4D"/>
    <w:rsid w:val="15BD461E"/>
    <w:rsid w:val="15D50D05"/>
    <w:rsid w:val="15EF08C1"/>
    <w:rsid w:val="1602382A"/>
    <w:rsid w:val="16031113"/>
    <w:rsid w:val="1628786A"/>
    <w:rsid w:val="1635641B"/>
    <w:rsid w:val="163B1F35"/>
    <w:rsid w:val="1642771E"/>
    <w:rsid w:val="165249F2"/>
    <w:rsid w:val="16725D01"/>
    <w:rsid w:val="167F131F"/>
    <w:rsid w:val="1686012F"/>
    <w:rsid w:val="168F227C"/>
    <w:rsid w:val="16C242B2"/>
    <w:rsid w:val="16C532A1"/>
    <w:rsid w:val="16C56270"/>
    <w:rsid w:val="16DA033A"/>
    <w:rsid w:val="16E71981"/>
    <w:rsid w:val="16ED1BBB"/>
    <w:rsid w:val="16F2389F"/>
    <w:rsid w:val="16FC14B4"/>
    <w:rsid w:val="17017300"/>
    <w:rsid w:val="17054A4B"/>
    <w:rsid w:val="171F0861"/>
    <w:rsid w:val="17262088"/>
    <w:rsid w:val="17311B27"/>
    <w:rsid w:val="173D243C"/>
    <w:rsid w:val="17400AAE"/>
    <w:rsid w:val="17534ECF"/>
    <w:rsid w:val="17570993"/>
    <w:rsid w:val="175956CC"/>
    <w:rsid w:val="17680D39"/>
    <w:rsid w:val="17705D8E"/>
    <w:rsid w:val="1781047F"/>
    <w:rsid w:val="17B37D5D"/>
    <w:rsid w:val="17B44C4E"/>
    <w:rsid w:val="17C65C49"/>
    <w:rsid w:val="17F56258"/>
    <w:rsid w:val="181011F1"/>
    <w:rsid w:val="1820517A"/>
    <w:rsid w:val="1827115F"/>
    <w:rsid w:val="184A37A9"/>
    <w:rsid w:val="186A4851"/>
    <w:rsid w:val="18816834"/>
    <w:rsid w:val="1888450B"/>
    <w:rsid w:val="189A4826"/>
    <w:rsid w:val="18C63235"/>
    <w:rsid w:val="18EA4B9C"/>
    <w:rsid w:val="19004EC8"/>
    <w:rsid w:val="19191CB5"/>
    <w:rsid w:val="192835CD"/>
    <w:rsid w:val="192A06DB"/>
    <w:rsid w:val="192E743F"/>
    <w:rsid w:val="1934466C"/>
    <w:rsid w:val="193818C9"/>
    <w:rsid w:val="19386BF6"/>
    <w:rsid w:val="193F08F1"/>
    <w:rsid w:val="19461603"/>
    <w:rsid w:val="19522A1B"/>
    <w:rsid w:val="19533CC4"/>
    <w:rsid w:val="198218DD"/>
    <w:rsid w:val="19877512"/>
    <w:rsid w:val="199A1C66"/>
    <w:rsid w:val="199E41EB"/>
    <w:rsid w:val="19B528A5"/>
    <w:rsid w:val="19C06E4D"/>
    <w:rsid w:val="19EA58B8"/>
    <w:rsid w:val="19EE41FA"/>
    <w:rsid w:val="19FD2CFA"/>
    <w:rsid w:val="1A035928"/>
    <w:rsid w:val="1A26732D"/>
    <w:rsid w:val="1A3441CE"/>
    <w:rsid w:val="1A353C7B"/>
    <w:rsid w:val="1A485CA7"/>
    <w:rsid w:val="1A4A57A0"/>
    <w:rsid w:val="1A516943"/>
    <w:rsid w:val="1A5522C3"/>
    <w:rsid w:val="1A5A6066"/>
    <w:rsid w:val="1A6F2E5D"/>
    <w:rsid w:val="1A740E01"/>
    <w:rsid w:val="1A777345"/>
    <w:rsid w:val="1A8418E0"/>
    <w:rsid w:val="1A9048AD"/>
    <w:rsid w:val="1A98010F"/>
    <w:rsid w:val="1A9B49BA"/>
    <w:rsid w:val="1AA557C5"/>
    <w:rsid w:val="1AB33C07"/>
    <w:rsid w:val="1AC75FEA"/>
    <w:rsid w:val="1AD1379B"/>
    <w:rsid w:val="1AF64600"/>
    <w:rsid w:val="1AFF3C05"/>
    <w:rsid w:val="1B020838"/>
    <w:rsid w:val="1B12147B"/>
    <w:rsid w:val="1B1A7868"/>
    <w:rsid w:val="1B1D5567"/>
    <w:rsid w:val="1B1D6199"/>
    <w:rsid w:val="1B484158"/>
    <w:rsid w:val="1B5C2D1F"/>
    <w:rsid w:val="1B64395B"/>
    <w:rsid w:val="1B6F1727"/>
    <w:rsid w:val="1B8374EB"/>
    <w:rsid w:val="1B8C6B7B"/>
    <w:rsid w:val="1B9E36ED"/>
    <w:rsid w:val="1BAD248A"/>
    <w:rsid w:val="1BB66C98"/>
    <w:rsid w:val="1BB91038"/>
    <w:rsid w:val="1BB9498B"/>
    <w:rsid w:val="1BBA0D00"/>
    <w:rsid w:val="1BBF65FB"/>
    <w:rsid w:val="1BC03F6C"/>
    <w:rsid w:val="1BD57EC4"/>
    <w:rsid w:val="1BD71290"/>
    <w:rsid w:val="1BDA3D4E"/>
    <w:rsid w:val="1BDB0DA5"/>
    <w:rsid w:val="1BF657FB"/>
    <w:rsid w:val="1C1A4633"/>
    <w:rsid w:val="1C3B283E"/>
    <w:rsid w:val="1C46619C"/>
    <w:rsid w:val="1C5B7206"/>
    <w:rsid w:val="1C6B7569"/>
    <w:rsid w:val="1C7B4488"/>
    <w:rsid w:val="1C896A53"/>
    <w:rsid w:val="1C8F1E0A"/>
    <w:rsid w:val="1C926E9A"/>
    <w:rsid w:val="1CA246C5"/>
    <w:rsid w:val="1CA51B98"/>
    <w:rsid w:val="1CB200C5"/>
    <w:rsid w:val="1CB57848"/>
    <w:rsid w:val="1CC16E7D"/>
    <w:rsid w:val="1CD2399E"/>
    <w:rsid w:val="1CF36791"/>
    <w:rsid w:val="1CFA7EEF"/>
    <w:rsid w:val="1CFB1146"/>
    <w:rsid w:val="1CFB7432"/>
    <w:rsid w:val="1CFD19E5"/>
    <w:rsid w:val="1CFE6504"/>
    <w:rsid w:val="1D0A61BF"/>
    <w:rsid w:val="1D265C4E"/>
    <w:rsid w:val="1D2812E8"/>
    <w:rsid w:val="1D37062D"/>
    <w:rsid w:val="1D3D753B"/>
    <w:rsid w:val="1D81772B"/>
    <w:rsid w:val="1D9B0B7A"/>
    <w:rsid w:val="1DA1344E"/>
    <w:rsid w:val="1DBD46D0"/>
    <w:rsid w:val="1DC73FD4"/>
    <w:rsid w:val="1DD515F9"/>
    <w:rsid w:val="1E200CF1"/>
    <w:rsid w:val="1E262699"/>
    <w:rsid w:val="1E331E3B"/>
    <w:rsid w:val="1E3C0E38"/>
    <w:rsid w:val="1E3D3A9D"/>
    <w:rsid w:val="1E561B49"/>
    <w:rsid w:val="1E585711"/>
    <w:rsid w:val="1E5B5B74"/>
    <w:rsid w:val="1E8667CE"/>
    <w:rsid w:val="1EA01E32"/>
    <w:rsid w:val="1EAA293C"/>
    <w:rsid w:val="1EC77F94"/>
    <w:rsid w:val="1ED36885"/>
    <w:rsid w:val="1EDB21B2"/>
    <w:rsid w:val="1EE21D29"/>
    <w:rsid w:val="1EE44AB3"/>
    <w:rsid w:val="1EEA6F41"/>
    <w:rsid w:val="1EF16F7F"/>
    <w:rsid w:val="1EF47719"/>
    <w:rsid w:val="1F1D0128"/>
    <w:rsid w:val="1F35157A"/>
    <w:rsid w:val="1F3553CF"/>
    <w:rsid w:val="1F3E1D5D"/>
    <w:rsid w:val="1F634978"/>
    <w:rsid w:val="1F6C007A"/>
    <w:rsid w:val="1F6E3177"/>
    <w:rsid w:val="1F6F04BA"/>
    <w:rsid w:val="1F745192"/>
    <w:rsid w:val="1F79333D"/>
    <w:rsid w:val="1F870ADE"/>
    <w:rsid w:val="1F8E296D"/>
    <w:rsid w:val="1FF85926"/>
    <w:rsid w:val="1FFA426C"/>
    <w:rsid w:val="20027E74"/>
    <w:rsid w:val="2018775E"/>
    <w:rsid w:val="20231134"/>
    <w:rsid w:val="2024650C"/>
    <w:rsid w:val="203211B0"/>
    <w:rsid w:val="203F0AC0"/>
    <w:rsid w:val="204C1D29"/>
    <w:rsid w:val="204F2120"/>
    <w:rsid w:val="20522D74"/>
    <w:rsid w:val="207F26F9"/>
    <w:rsid w:val="20835E3C"/>
    <w:rsid w:val="20BB2F53"/>
    <w:rsid w:val="20BD5154"/>
    <w:rsid w:val="20CE3369"/>
    <w:rsid w:val="20CE52D5"/>
    <w:rsid w:val="20E8137D"/>
    <w:rsid w:val="20E830A5"/>
    <w:rsid w:val="211638F3"/>
    <w:rsid w:val="2128064C"/>
    <w:rsid w:val="212E01F5"/>
    <w:rsid w:val="2149596C"/>
    <w:rsid w:val="21505D92"/>
    <w:rsid w:val="215C6880"/>
    <w:rsid w:val="216915BF"/>
    <w:rsid w:val="216E4B1C"/>
    <w:rsid w:val="21784B5B"/>
    <w:rsid w:val="218E7C39"/>
    <w:rsid w:val="218F0080"/>
    <w:rsid w:val="21AD5185"/>
    <w:rsid w:val="21C30DDB"/>
    <w:rsid w:val="21C55BE1"/>
    <w:rsid w:val="21CB11F3"/>
    <w:rsid w:val="21CC572E"/>
    <w:rsid w:val="21E17B80"/>
    <w:rsid w:val="220A23E4"/>
    <w:rsid w:val="222767A8"/>
    <w:rsid w:val="226C3A06"/>
    <w:rsid w:val="22701A6E"/>
    <w:rsid w:val="22734646"/>
    <w:rsid w:val="228E25F9"/>
    <w:rsid w:val="22994ECF"/>
    <w:rsid w:val="22A51021"/>
    <w:rsid w:val="22AA7723"/>
    <w:rsid w:val="22C23296"/>
    <w:rsid w:val="22CC64E6"/>
    <w:rsid w:val="22D4475E"/>
    <w:rsid w:val="22D87DED"/>
    <w:rsid w:val="22FE2A3D"/>
    <w:rsid w:val="23146719"/>
    <w:rsid w:val="23666663"/>
    <w:rsid w:val="23693289"/>
    <w:rsid w:val="2386043E"/>
    <w:rsid w:val="238A7118"/>
    <w:rsid w:val="239147E1"/>
    <w:rsid w:val="23BB34F7"/>
    <w:rsid w:val="23CF4F44"/>
    <w:rsid w:val="23FF2392"/>
    <w:rsid w:val="24044428"/>
    <w:rsid w:val="24050D58"/>
    <w:rsid w:val="242343DD"/>
    <w:rsid w:val="24294C71"/>
    <w:rsid w:val="24737EDF"/>
    <w:rsid w:val="24867DDC"/>
    <w:rsid w:val="249A7C51"/>
    <w:rsid w:val="24B959FC"/>
    <w:rsid w:val="24BF506E"/>
    <w:rsid w:val="24C80E83"/>
    <w:rsid w:val="24D97FEB"/>
    <w:rsid w:val="24DC2B3B"/>
    <w:rsid w:val="24FE0E05"/>
    <w:rsid w:val="24FE78B3"/>
    <w:rsid w:val="24FF1810"/>
    <w:rsid w:val="25342B59"/>
    <w:rsid w:val="25351FBB"/>
    <w:rsid w:val="2566591A"/>
    <w:rsid w:val="256815C2"/>
    <w:rsid w:val="256A55C2"/>
    <w:rsid w:val="257007B0"/>
    <w:rsid w:val="258343C6"/>
    <w:rsid w:val="258464A3"/>
    <w:rsid w:val="25A13DCB"/>
    <w:rsid w:val="25AC6401"/>
    <w:rsid w:val="25AF3989"/>
    <w:rsid w:val="25C73339"/>
    <w:rsid w:val="25CE2646"/>
    <w:rsid w:val="25D62822"/>
    <w:rsid w:val="25E06FA5"/>
    <w:rsid w:val="25F248AC"/>
    <w:rsid w:val="25F46702"/>
    <w:rsid w:val="2601289E"/>
    <w:rsid w:val="2606034A"/>
    <w:rsid w:val="260B71AE"/>
    <w:rsid w:val="261D0218"/>
    <w:rsid w:val="263B02A5"/>
    <w:rsid w:val="263D73ED"/>
    <w:rsid w:val="264677DC"/>
    <w:rsid w:val="264842A9"/>
    <w:rsid w:val="264B4659"/>
    <w:rsid w:val="26981F71"/>
    <w:rsid w:val="26AE7CA4"/>
    <w:rsid w:val="26B424FB"/>
    <w:rsid w:val="26C24A7A"/>
    <w:rsid w:val="26C82F53"/>
    <w:rsid w:val="26CF6DC9"/>
    <w:rsid w:val="26F34F82"/>
    <w:rsid w:val="27022C82"/>
    <w:rsid w:val="2725740A"/>
    <w:rsid w:val="272735B8"/>
    <w:rsid w:val="27324713"/>
    <w:rsid w:val="27395BE5"/>
    <w:rsid w:val="274852F5"/>
    <w:rsid w:val="274A6DDF"/>
    <w:rsid w:val="274C0DA9"/>
    <w:rsid w:val="275E0690"/>
    <w:rsid w:val="27773377"/>
    <w:rsid w:val="277B1357"/>
    <w:rsid w:val="2785182E"/>
    <w:rsid w:val="27910957"/>
    <w:rsid w:val="279F6BEE"/>
    <w:rsid w:val="27A9782B"/>
    <w:rsid w:val="27AF2577"/>
    <w:rsid w:val="27BC5F2F"/>
    <w:rsid w:val="27E72086"/>
    <w:rsid w:val="28090A48"/>
    <w:rsid w:val="281B5EEB"/>
    <w:rsid w:val="28405796"/>
    <w:rsid w:val="28482C7C"/>
    <w:rsid w:val="28520F35"/>
    <w:rsid w:val="285A0C1F"/>
    <w:rsid w:val="28724840"/>
    <w:rsid w:val="288405A8"/>
    <w:rsid w:val="28891152"/>
    <w:rsid w:val="289A255F"/>
    <w:rsid w:val="289D7603"/>
    <w:rsid w:val="28D86187"/>
    <w:rsid w:val="28D9203E"/>
    <w:rsid w:val="28E447CE"/>
    <w:rsid w:val="28F85861"/>
    <w:rsid w:val="28FD459B"/>
    <w:rsid w:val="290E7CCD"/>
    <w:rsid w:val="29435188"/>
    <w:rsid w:val="295669E1"/>
    <w:rsid w:val="29606A91"/>
    <w:rsid w:val="29633B05"/>
    <w:rsid w:val="296946FD"/>
    <w:rsid w:val="296B27A3"/>
    <w:rsid w:val="29790D4B"/>
    <w:rsid w:val="297A0EBD"/>
    <w:rsid w:val="298A2ADF"/>
    <w:rsid w:val="29A410E7"/>
    <w:rsid w:val="29B661A7"/>
    <w:rsid w:val="29C31217"/>
    <w:rsid w:val="29C77D7E"/>
    <w:rsid w:val="29EC23D0"/>
    <w:rsid w:val="29F62B91"/>
    <w:rsid w:val="29FA460F"/>
    <w:rsid w:val="2A0C393A"/>
    <w:rsid w:val="2A117D6D"/>
    <w:rsid w:val="2A3578B6"/>
    <w:rsid w:val="2A477A60"/>
    <w:rsid w:val="2A673321"/>
    <w:rsid w:val="2A7259E0"/>
    <w:rsid w:val="2A7A2CF2"/>
    <w:rsid w:val="2A9F4496"/>
    <w:rsid w:val="2AC017A8"/>
    <w:rsid w:val="2AD03CF4"/>
    <w:rsid w:val="2AF21C68"/>
    <w:rsid w:val="2B120FC6"/>
    <w:rsid w:val="2B195396"/>
    <w:rsid w:val="2B2A2EEC"/>
    <w:rsid w:val="2B3E4EAD"/>
    <w:rsid w:val="2B504321"/>
    <w:rsid w:val="2B726F92"/>
    <w:rsid w:val="2B7333BA"/>
    <w:rsid w:val="2B880C7D"/>
    <w:rsid w:val="2B8B2184"/>
    <w:rsid w:val="2B8D6D40"/>
    <w:rsid w:val="2BB738F0"/>
    <w:rsid w:val="2BD47FA7"/>
    <w:rsid w:val="2BE401F3"/>
    <w:rsid w:val="2C155C30"/>
    <w:rsid w:val="2C1D4255"/>
    <w:rsid w:val="2C232160"/>
    <w:rsid w:val="2C7101C8"/>
    <w:rsid w:val="2C8128F2"/>
    <w:rsid w:val="2C8139FE"/>
    <w:rsid w:val="2C9B7506"/>
    <w:rsid w:val="2CDB1B96"/>
    <w:rsid w:val="2CE01EE6"/>
    <w:rsid w:val="2D096521"/>
    <w:rsid w:val="2D161225"/>
    <w:rsid w:val="2D2423BC"/>
    <w:rsid w:val="2D2B2D5E"/>
    <w:rsid w:val="2D431C65"/>
    <w:rsid w:val="2D476A76"/>
    <w:rsid w:val="2D5A3F6F"/>
    <w:rsid w:val="2D5A7C68"/>
    <w:rsid w:val="2D6343DA"/>
    <w:rsid w:val="2D6A1CB7"/>
    <w:rsid w:val="2D7B7B0E"/>
    <w:rsid w:val="2D804BC8"/>
    <w:rsid w:val="2DA439FE"/>
    <w:rsid w:val="2DA52DF2"/>
    <w:rsid w:val="2DAA1EEE"/>
    <w:rsid w:val="2DAB174B"/>
    <w:rsid w:val="2DAC3053"/>
    <w:rsid w:val="2DBB795F"/>
    <w:rsid w:val="2DDE0C83"/>
    <w:rsid w:val="2E075A2A"/>
    <w:rsid w:val="2E372235"/>
    <w:rsid w:val="2E3938D1"/>
    <w:rsid w:val="2E4775A3"/>
    <w:rsid w:val="2E4B4261"/>
    <w:rsid w:val="2EA61C1D"/>
    <w:rsid w:val="2EB3170E"/>
    <w:rsid w:val="2EB362F4"/>
    <w:rsid w:val="2EB45084"/>
    <w:rsid w:val="2EBD038A"/>
    <w:rsid w:val="2EF73CF0"/>
    <w:rsid w:val="2EFC5188"/>
    <w:rsid w:val="2F011E82"/>
    <w:rsid w:val="2F320DAA"/>
    <w:rsid w:val="2F3F159C"/>
    <w:rsid w:val="2F517D99"/>
    <w:rsid w:val="2F5D384C"/>
    <w:rsid w:val="2F6858EF"/>
    <w:rsid w:val="2F735395"/>
    <w:rsid w:val="2F953172"/>
    <w:rsid w:val="2F994DA8"/>
    <w:rsid w:val="2FB21A55"/>
    <w:rsid w:val="3002428B"/>
    <w:rsid w:val="300A39BC"/>
    <w:rsid w:val="300E6D10"/>
    <w:rsid w:val="303B5E5F"/>
    <w:rsid w:val="3046030C"/>
    <w:rsid w:val="305807BF"/>
    <w:rsid w:val="30621346"/>
    <w:rsid w:val="307B120F"/>
    <w:rsid w:val="30C03492"/>
    <w:rsid w:val="30CE282F"/>
    <w:rsid w:val="30E049F8"/>
    <w:rsid w:val="30E11701"/>
    <w:rsid w:val="30EB2FD6"/>
    <w:rsid w:val="31002769"/>
    <w:rsid w:val="311A5440"/>
    <w:rsid w:val="312A0296"/>
    <w:rsid w:val="31365A5E"/>
    <w:rsid w:val="313E2CC2"/>
    <w:rsid w:val="313F7C83"/>
    <w:rsid w:val="314D734D"/>
    <w:rsid w:val="31535D75"/>
    <w:rsid w:val="31682861"/>
    <w:rsid w:val="31743681"/>
    <w:rsid w:val="31895393"/>
    <w:rsid w:val="31A11A89"/>
    <w:rsid w:val="31AE1F4C"/>
    <w:rsid w:val="31BF4CA8"/>
    <w:rsid w:val="31C727CD"/>
    <w:rsid w:val="31D307B5"/>
    <w:rsid w:val="31DC221E"/>
    <w:rsid w:val="31F6215E"/>
    <w:rsid w:val="3207424B"/>
    <w:rsid w:val="321921D0"/>
    <w:rsid w:val="321C4841"/>
    <w:rsid w:val="32416A09"/>
    <w:rsid w:val="324C0B81"/>
    <w:rsid w:val="32586854"/>
    <w:rsid w:val="326D32D7"/>
    <w:rsid w:val="32843AED"/>
    <w:rsid w:val="32B67A1F"/>
    <w:rsid w:val="32BA34CE"/>
    <w:rsid w:val="32F03569"/>
    <w:rsid w:val="32FD6CBB"/>
    <w:rsid w:val="33091096"/>
    <w:rsid w:val="330C4261"/>
    <w:rsid w:val="3313201A"/>
    <w:rsid w:val="33232830"/>
    <w:rsid w:val="33400C7A"/>
    <w:rsid w:val="334B460B"/>
    <w:rsid w:val="33602BE2"/>
    <w:rsid w:val="33622144"/>
    <w:rsid w:val="33691A74"/>
    <w:rsid w:val="33843CA1"/>
    <w:rsid w:val="33A80D81"/>
    <w:rsid w:val="33AB3AE4"/>
    <w:rsid w:val="33BD008E"/>
    <w:rsid w:val="33DA700D"/>
    <w:rsid w:val="33FA723C"/>
    <w:rsid w:val="34032843"/>
    <w:rsid w:val="34080F71"/>
    <w:rsid w:val="341D240D"/>
    <w:rsid w:val="34336359"/>
    <w:rsid w:val="34504E4E"/>
    <w:rsid w:val="347038AC"/>
    <w:rsid w:val="34791640"/>
    <w:rsid w:val="347C4240"/>
    <w:rsid w:val="348770E3"/>
    <w:rsid w:val="349A43F0"/>
    <w:rsid w:val="349C6F30"/>
    <w:rsid w:val="349D0E96"/>
    <w:rsid w:val="34D5363D"/>
    <w:rsid w:val="34FD3CCE"/>
    <w:rsid w:val="35013181"/>
    <w:rsid w:val="351732AD"/>
    <w:rsid w:val="351F2AC8"/>
    <w:rsid w:val="35202B10"/>
    <w:rsid w:val="352F4B34"/>
    <w:rsid w:val="35437FA2"/>
    <w:rsid w:val="35452ACB"/>
    <w:rsid w:val="35460DED"/>
    <w:rsid w:val="354D74BF"/>
    <w:rsid w:val="35522B9A"/>
    <w:rsid w:val="3562042D"/>
    <w:rsid w:val="356C55C7"/>
    <w:rsid w:val="35795E1D"/>
    <w:rsid w:val="35806225"/>
    <w:rsid w:val="35850AE6"/>
    <w:rsid w:val="358F6A4F"/>
    <w:rsid w:val="35A85D44"/>
    <w:rsid w:val="35B91D00"/>
    <w:rsid w:val="35CB4DBD"/>
    <w:rsid w:val="35DB26B5"/>
    <w:rsid w:val="35DE1818"/>
    <w:rsid w:val="35DE6131"/>
    <w:rsid w:val="360A4401"/>
    <w:rsid w:val="361E1B63"/>
    <w:rsid w:val="362C0724"/>
    <w:rsid w:val="36347BB7"/>
    <w:rsid w:val="36472039"/>
    <w:rsid w:val="36683504"/>
    <w:rsid w:val="36787E34"/>
    <w:rsid w:val="36894D46"/>
    <w:rsid w:val="368F480F"/>
    <w:rsid w:val="36AD3FE8"/>
    <w:rsid w:val="36BE6549"/>
    <w:rsid w:val="36C63E5E"/>
    <w:rsid w:val="36E23F6C"/>
    <w:rsid w:val="36E711B0"/>
    <w:rsid w:val="36EB02F8"/>
    <w:rsid w:val="36F216B8"/>
    <w:rsid w:val="36F34D9D"/>
    <w:rsid w:val="36F7526A"/>
    <w:rsid w:val="36FC06E4"/>
    <w:rsid w:val="370B04AA"/>
    <w:rsid w:val="37133B39"/>
    <w:rsid w:val="371F2036"/>
    <w:rsid w:val="372B05B1"/>
    <w:rsid w:val="372D27B8"/>
    <w:rsid w:val="3739373D"/>
    <w:rsid w:val="37460D95"/>
    <w:rsid w:val="37533A9C"/>
    <w:rsid w:val="375E1904"/>
    <w:rsid w:val="375F68D9"/>
    <w:rsid w:val="3768368A"/>
    <w:rsid w:val="376C1C6B"/>
    <w:rsid w:val="377F2241"/>
    <w:rsid w:val="378B7C0C"/>
    <w:rsid w:val="378D79D9"/>
    <w:rsid w:val="378E3EFF"/>
    <w:rsid w:val="37CD4314"/>
    <w:rsid w:val="37E666B0"/>
    <w:rsid w:val="37EA6823"/>
    <w:rsid w:val="37FF5FE1"/>
    <w:rsid w:val="38053C44"/>
    <w:rsid w:val="38105B60"/>
    <w:rsid w:val="3816607D"/>
    <w:rsid w:val="38207AF4"/>
    <w:rsid w:val="383A7490"/>
    <w:rsid w:val="3842669F"/>
    <w:rsid w:val="384B460D"/>
    <w:rsid w:val="386D77BF"/>
    <w:rsid w:val="38795B0F"/>
    <w:rsid w:val="387B035B"/>
    <w:rsid w:val="387C17C3"/>
    <w:rsid w:val="38941765"/>
    <w:rsid w:val="38995E18"/>
    <w:rsid w:val="38B451B6"/>
    <w:rsid w:val="38BE65D0"/>
    <w:rsid w:val="38E30E42"/>
    <w:rsid w:val="39150581"/>
    <w:rsid w:val="392F5095"/>
    <w:rsid w:val="39465433"/>
    <w:rsid w:val="394C3930"/>
    <w:rsid w:val="3958538C"/>
    <w:rsid w:val="395B6912"/>
    <w:rsid w:val="395D0BF4"/>
    <w:rsid w:val="397C168C"/>
    <w:rsid w:val="39B84349"/>
    <w:rsid w:val="39CC0C76"/>
    <w:rsid w:val="39E96965"/>
    <w:rsid w:val="3A0102E5"/>
    <w:rsid w:val="3A06385F"/>
    <w:rsid w:val="3A082D3C"/>
    <w:rsid w:val="3A0E1594"/>
    <w:rsid w:val="3A107610"/>
    <w:rsid w:val="3A270325"/>
    <w:rsid w:val="3A35391F"/>
    <w:rsid w:val="3A3F6C87"/>
    <w:rsid w:val="3A5749F1"/>
    <w:rsid w:val="3A6A3F34"/>
    <w:rsid w:val="3A731D7E"/>
    <w:rsid w:val="3AA60270"/>
    <w:rsid w:val="3AA815F4"/>
    <w:rsid w:val="3AAD6534"/>
    <w:rsid w:val="3AB900AC"/>
    <w:rsid w:val="3ABF3EE1"/>
    <w:rsid w:val="3AC81E50"/>
    <w:rsid w:val="3AC97DA6"/>
    <w:rsid w:val="3ACD2694"/>
    <w:rsid w:val="3ADA6F0F"/>
    <w:rsid w:val="3AE83D6C"/>
    <w:rsid w:val="3AF00157"/>
    <w:rsid w:val="3AFE1C05"/>
    <w:rsid w:val="3B150CDB"/>
    <w:rsid w:val="3B2F2AA8"/>
    <w:rsid w:val="3B367620"/>
    <w:rsid w:val="3B390F77"/>
    <w:rsid w:val="3B3B6468"/>
    <w:rsid w:val="3B697D24"/>
    <w:rsid w:val="3B805BCF"/>
    <w:rsid w:val="3BA10937"/>
    <w:rsid w:val="3BA1601A"/>
    <w:rsid w:val="3BA255ED"/>
    <w:rsid w:val="3BC12DA5"/>
    <w:rsid w:val="3BD5544C"/>
    <w:rsid w:val="3BE90506"/>
    <w:rsid w:val="3BEB6832"/>
    <w:rsid w:val="3C3420E0"/>
    <w:rsid w:val="3C382EB9"/>
    <w:rsid w:val="3C40766B"/>
    <w:rsid w:val="3C6718E5"/>
    <w:rsid w:val="3C692C22"/>
    <w:rsid w:val="3C7351B6"/>
    <w:rsid w:val="3C883520"/>
    <w:rsid w:val="3C8E5615"/>
    <w:rsid w:val="3CA555DA"/>
    <w:rsid w:val="3CB2101F"/>
    <w:rsid w:val="3CBD35C8"/>
    <w:rsid w:val="3CC95A26"/>
    <w:rsid w:val="3CEF6007"/>
    <w:rsid w:val="3D013A98"/>
    <w:rsid w:val="3D167888"/>
    <w:rsid w:val="3D17453A"/>
    <w:rsid w:val="3D2F6909"/>
    <w:rsid w:val="3D5E4F3B"/>
    <w:rsid w:val="3D6427E8"/>
    <w:rsid w:val="3D670480"/>
    <w:rsid w:val="3D6D0419"/>
    <w:rsid w:val="3D7D10B9"/>
    <w:rsid w:val="3D7F28B3"/>
    <w:rsid w:val="3D804EB1"/>
    <w:rsid w:val="3DAB73A3"/>
    <w:rsid w:val="3DBD00E4"/>
    <w:rsid w:val="3DC10CF3"/>
    <w:rsid w:val="3DCD690D"/>
    <w:rsid w:val="3DE113F3"/>
    <w:rsid w:val="3DF756F5"/>
    <w:rsid w:val="3DFE097E"/>
    <w:rsid w:val="3E043841"/>
    <w:rsid w:val="3E1876AA"/>
    <w:rsid w:val="3E220526"/>
    <w:rsid w:val="3E2A5B04"/>
    <w:rsid w:val="3E536039"/>
    <w:rsid w:val="3E68304D"/>
    <w:rsid w:val="3E762FF7"/>
    <w:rsid w:val="3EB61F57"/>
    <w:rsid w:val="3EBD28B3"/>
    <w:rsid w:val="3ED26A13"/>
    <w:rsid w:val="3ED73FEB"/>
    <w:rsid w:val="3EE8697C"/>
    <w:rsid w:val="3EF01895"/>
    <w:rsid w:val="3EF340CC"/>
    <w:rsid w:val="3F0919DA"/>
    <w:rsid w:val="3F13001A"/>
    <w:rsid w:val="3F25749A"/>
    <w:rsid w:val="3F3561B4"/>
    <w:rsid w:val="3F4237A1"/>
    <w:rsid w:val="3F495220"/>
    <w:rsid w:val="3F506818"/>
    <w:rsid w:val="3F651C20"/>
    <w:rsid w:val="3F755CC5"/>
    <w:rsid w:val="3F7A63C3"/>
    <w:rsid w:val="3F8424FD"/>
    <w:rsid w:val="3F855ED9"/>
    <w:rsid w:val="3F9417C7"/>
    <w:rsid w:val="3F9904AC"/>
    <w:rsid w:val="3FB53BB4"/>
    <w:rsid w:val="3FBD1D06"/>
    <w:rsid w:val="3FC75019"/>
    <w:rsid w:val="3FE36C1C"/>
    <w:rsid w:val="3FE87C14"/>
    <w:rsid w:val="3FEB19D5"/>
    <w:rsid w:val="3FFA6E09"/>
    <w:rsid w:val="3FFE126A"/>
    <w:rsid w:val="4002756A"/>
    <w:rsid w:val="400C4E7A"/>
    <w:rsid w:val="40145621"/>
    <w:rsid w:val="40377B4A"/>
    <w:rsid w:val="4053273B"/>
    <w:rsid w:val="40593466"/>
    <w:rsid w:val="406278B2"/>
    <w:rsid w:val="40772EDD"/>
    <w:rsid w:val="40784565"/>
    <w:rsid w:val="40C83A3B"/>
    <w:rsid w:val="40E1278D"/>
    <w:rsid w:val="40E37C31"/>
    <w:rsid w:val="40E701AA"/>
    <w:rsid w:val="410222CF"/>
    <w:rsid w:val="41054365"/>
    <w:rsid w:val="410E5148"/>
    <w:rsid w:val="413B114F"/>
    <w:rsid w:val="413D1A37"/>
    <w:rsid w:val="414C1EFF"/>
    <w:rsid w:val="414C5289"/>
    <w:rsid w:val="41552CCE"/>
    <w:rsid w:val="41574128"/>
    <w:rsid w:val="417650A8"/>
    <w:rsid w:val="417B255F"/>
    <w:rsid w:val="419E3E89"/>
    <w:rsid w:val="41B40DA6"/>
    <w:rsid w:val="41BF1AE6"/>
    <w:rsid w:val="41D23F76"/>
    <w:rsid w:val="41D916D8"/>
    <w:rsid w:val="41ED3AA2"/>
    <w:rsid w:val="41F10D50"/>
    <w:rsid w:val="420F1D94"/>
    <w:rsid w:val="420F2CA7"/>
    <w:rsid w:val="42170836"/>
    <w:rsid w:val="421B0D49"/>
    <w:rsid w:val="423A1733"/>
    <w:rsid w:val="423B41CE"/>
    <w:rsid w:val="424663B4"/>
    <w:rsid w:val="42901A54"/>
    <w:rsid w:val="42CA5391"/>
    <w:rsid w:val="42D71A17"/>
    <w:rsid w:val="42D865DE"/>
    <w:rsid w:val="42DE76B9"/>
    <w:rsid w:val="430975A7"/>
    <w:rsid w:val="430D4AC0"/>
    <w:rsid w:val="43195B8C"/>
    <w:rsid w:val="431E047F"/>
    <w:rsid w:val="431E65EF"/>
    <w:rsid w:val="43346E69"/>
    <w:rsid w:val="43372319"/>
    <w:rsid w:val="434314E3"/>
    <w:rsid w:val="43533B0E"/>
    <w:rsid w:val="439E1366"/>
    <w:rsid w:val="4400649E"/>
    <w:rsid w:val="44113AFA"/>
    <w:rsid w:val="44393CD7"/>
    <w:rsid w:val="44471A64"/>
    <w:rsid w:val="44583765"/>
    <w:rsid w:val="44625310"/>
    <w:rsid w:val="4478624B"/>
    <w:rsid w:val="448A4F92"/>
    <w:rsid w:val="4493367B"/>
    <w:rsid w:val="44A1360D"/>
    <w:rsid w:val="44A47158"/>
    <w:rsid w:val="44A65162"/>
    <w:rsid w:val="44AB74B4"/>
    <w:rsid w:val="44BA6D1D"/>
    <w:rsid w:val="44BE6F00"/>
    <w:rsid w:val="44BF1BB1"/>
    <w:rsid w:val="44BF4F23"/>
    <w:rsid w:val="452905F3"/>
    <w:rsid w:val="45324925"/>
    <w:rsid w:val="453F27B7"/>
    <w:rsid w:val="45492371"/>
    <w:rsid w:val="45544611"/>
    <w:rsid w:val="45575F93"/>
    <w:rsid w:val="4561219E"/>
    <w:rsid w:val="456C79F9"/>
    <w:rsid w:val="45784D87"/>
    <w:rsid w:val="4579070F"/>
    <w:rsid w:val="45792890"/>
    <w:rsid w:val="45A906C7"/>
    <w:rsid w:val="46067FA6"/>
    <w:rsid w:val="460E0337"/>
    <w:rsid w:val="46333DFA"/>
    <w:rsid w:val="46367B3A"/>
    <w:rsid w:val="463D28A8"/>
    <w:rsid w:val="465C1D5B"/>
    <w:rsid w:val="46713303"/>
    <w:rsid w:val="46827EEC"/>
    <w:rsid w:val="46835F2A"/>
    <w:rsid w:val="4685016C"/>
    <w:rsid w:val="46977D08"/>
    <w:rsid w:val="46AA2A55"/>
    <w:rsid w:val="46AC6D17"/>
    <w:rsid w:val="46B710FE"/>
    <w:rsid w:val="46BC0687"/>
    <w:rsid w:val="46C74F03"/>
    <w:rsid w:val="46C86F17"/>
    <w:rsid w:val="46F40267"/>
    <w:rsid w:val="46FE0310"/>
    <w:rsid w:val="470E01B0"/>
    <w:rsid w:val="47167953"/>
    <w:rsid w:val="471A292F"/>
    <w:rsid w:val="471A5224"/>
    <w:rsid w:val="47223B98"/>
    <w:rsid w:val="47247F0E"/>
    <w:rsid w:val="47267C1B"/>
    <w:rsid w:val="473E459A"/>
    <w:rsid w:val="47486A40"/>
    <w:rsid w:val="474B29D4"/>
    <w:rsid w:val="4755124D"/>
    <w:rsid w:val="476A005D"/>
    <w:rsid w:val="476F12F3"/>
    <w:rsid w:val="478B77DC"/>
    <w:rsid w:val="47967E90"/>
    <w:rsid w:val="4797154C"/>
    <w:rsid w:val="47A9424D"/>
    <w:rsid w:val="47AE39B0"/>
    <w:rsid w:val="47BB799F"/>
    <w:rsid w:val="47DE0285"/>
    <w:rsid w:val="47E72A39"/>
    <w:rsid w:val="47F77566"/>
    <w:rsid w:val="47FE7A46"/>
    <w:rsid w:val="481C1F20"/>
    <w:rsid w:val="48480992"/>
    <w:rsid w:val="484963FE"/>
    <w:rsid w:val="485B547D"/>
    <w:rsid w:val="48604DA3"/>
    <w:rsid w:val="486D6458"/>
    <w:rsid w:val="486F6225"/>
    <w:rsid w:val="48801F0A"/>
    <w:rsid w:val="488C6978"/>
    <w:rsid w:val="488D48CD"/>
    <w:rsid w:val="48944922"/>
    <w:rsid w:val="489C7EA5"/>
    <w:rsid w:val="48AD6720"/>
    <w:rsid w:val="48B15A3D"/>
    <w:rsid w:val="48BA1F20"/>
    <w:rsid w:val="48C32662"/>
    <w:rsid w:val="48DC6DB3"/>
    <w:rsid w:val="48E22EC4"/>
    <w:rsid w:val="48E4548A"/>
    <w:rsid w:val="48E54445"/>
    <w:rsid w:val="48EF5297"/>
    <w:rsid w:val="48EF5944"/>
    <w:rsid w:val="48FC20B2"/>
    <w:rsid w:val="48FD678A"/>
    <w:rsid w:val="490902EF"/>
    <w:rsid w:val="491F6F58"/>
    <w:rsid w:val="4924342C"/>
    <w:rsid w:val="4928049D"/>
    <w:rsid w:val="49283B2E"/>
    <w:rsid w:val="493111B0"/>
    <w:rsid w:val="49401FE0"/>
    <w:rsid w:val="495E0001"/>
    <w:rsid w:val="497C5511"/>
    <w:rsid w:val="497E7236"/>
    <w:rsid w:val="498378F5"/>
    <w:rsid w:val="49941F07"/>
    <w:rsid w:val="49B4701F"/>
    <w:rsid w:val="49B65DC9"/>
    <w:rsid w:val="49C443DF"/>
    <w:rsid w:val="49C70E69"/>
    <w:rsid w:val="49D946BF"/>
    <w:rsid w:val="49DC090A"/>
    <w:rsid w:val="49E30CA1"/>
    <w:rsid w:val="49E82B6B"/>
    <w:rsid w:val="49EE01CE"/>
    <w:rsid w:val="49FB4DA8"/>
    <w:rsid w:val="49FE1F7F"/>
    <w:rsid w:val="4A023127"/>
    <w:rsid w:val="4A2A4B22"/>
    <w:rsid w:val="4A305D79"/>
    <w:rsid w:val="4A4E7233"/>
    <w:rsid w:val="4A511DB0"/>
    <w:rsid w:val="4A536B5A"/>
    <w:rsid w:val="4A5D5BF7"/>
    <w:rsid w:val="4A66784F"/>
    <w:rsid w:val="4A736C2C"/>
    <w:rsid w:val="4A741A5F"/>
    <w:rsid w:val="4AA246B9"/>
    <w:rsid w:val="4AA26708"/>
    <w:rsid w:val="4AA30E3B"/>
    <w:rsid w:val="4AA537C5"/>
    <w:rsid w:val="4AAA7A11"/>
    <w:rsid w:val="4AB054CD"/>
    <w:rsid w:val="4ADB7BCB"/>
    <w:rsid w:val="4B085991"/>
    <w:rsid w:val="4B092850"/>
    <w:rsid w:val="4B0A5933"/>
    <w:rsid w:val="4B0A602D"/>
    <w:rsid w:val="4B1E14FF"/>
    <w:rsid w:val="4B1E57B9"/>
    <w:rsid w:val="4B2C6CED"/>
    <w:rsid w:val="4B462466"/>
    <w:rsid w:val="4B5F395F"/>
    <w:rsid w:val="4B8B5936"/>
    <w:rsid w:val="4B8E12D6"/>
    <w:rsid w:val="4B9752AA"/>
    <w:rsid w:val="4B986978"/>
    <w:rsid w:val="4B9E62C7"/>
    <w:rsid w:val="4BD175BE"/>
    <w:rsid w:val="4BE331DB"/>
    <w:rsid w:val="4BF41951"/>
    <w:rsid w:val="4C00497F"/>
    <w:rsid w:val="4C245534"/>
    <w:rsid w:val="4C2779CF"/>
    <w:rsid w:val="4C2C2930"/>
    <w:rsid w:val="4C632703"/>
    <w:rsid w:val="4C672128"/>
    <w:rsid w:val="4C734F10"/>
    <w:rsid w:val="4C7621BE"/>
    <w:rsid w:val="4C7B3217"/>
    <w:rsid w:val="4C852AB6"/>
    <w:rsid w:val="4C9743B6"/>
    <w:rsid w:val="4CA52CC2"/>
    <w:rsid w:val="4CEE4218"/>
    <w:rsid w:val="4D2B328B"/>
    <w:rsid w:val="4D303277"/>
    <w:rsid w:val="4D670A85"/>
    <w:rsid w:val="4D6C0ACB"/>
    <w:rsid w:val="4D77007F"/>
    <w:rsid w:val="4D786196"/>
    <w:rsid w:val="4D806473"/>
    <w:rsid w:val="4D814A59"/>
    <w:rsid w:val="4D910EA9"/>
    <w:rsid w:val="4DAD774C"/>
    <w:rsid w:val="4DB87F6B"/>
    <w:rsid w:val="4DEE0130"/>
    <w:rsid w:val="4DF85FC0"/>
    <w:rsid w:val="4DFC5A16"/>
    <w:rsid w:val="4DFE42FC"/>
    <w:rsid w:val="4E025656"/>
    <w:rsid w:val="4E08517B"/>
    <w:rsid w:val="4E476702"/>
    <w:rsid w:val="4E4A0B69"/>
    <w:rsid w:val="4E600A4F"/>
    <w:rsid w:val="4E6B1103"/>
    <w:rsid w:val="4E7B029B"/>
    <w:rsid w:val="4E8171D2"/>
    <w:rsid w:val="4E93713A"/>
    <w:rsid w:val="4EA529C9"/>
    <w:rsid w:val="4EA92ABB"/>
    <w:rsid w:val="4EB7239C"/>
    <w:rsid w:val="4ED61833"/>
    <w:rsid w:val="4EDA18B9"/>
    <w:rsid w:val="4EF925E5"/>
    <w:rsid w:val="4F0B4347"/>
    <w:rsid w:val="4F112FA7"/>
    <w:rsid w:val="4F355ED1"/>
    <w:rsid w:val="4F573543"/>
    <w:rsid w:val="4F580F26"/>
    <w:rsid w:val="4F5C39D0"/>
    <w:rsid w:val="4F6F3053"/>
    <w:rsid w:val="4F9864B2"/>
    <w:rsid w:val="4FAE4C09"/>
    <w:rsid w:val="4FC05E61"/>
    <w:rsid w:val="4FC337C0"/>
    <w:rsid w:val="4FE3492E"/>
    <w:rsid w:val="50050C1F"/>
    <w:rsid w:val="501C4E89"/>
    <w:rsid w:val="5030599B"/>
    <w:rsid w:val="503330E7"/>
    <w:rsid w:val="50381FFE"/>
    <w:rsid w:val="504273C9"/>
    <w:rsid w:val="505A5A36"/>
    <w:rsid w:val="505D1D00"/>
    <w:rsid w:val="506E075B"/>
    <w:rsid w:val="50871B46"/>
    <w:rsid w:val="50BF4DB1"/>
    <w:rsid w:val="50C64E79"/>
    <w:rsid w:val="50CA01DA"/>
    <w:rsid w:val="50CF1F9A"/>
    <w:rsid w:val="50DD3BA3"/>
    <w:rsid w:val="50DD3E3A"/>
    <w:rsid w:val="50E61CAB"/>
    <w:rsid w:val="510830D9"/>
    <w:rsid w:val="51684BDE"/>
    <w:rsid w:val="516C61A5"/>
    <w:rsid w:val="516F6379"/>
    <w:rsid w:val="517C316A"/>
    <w:rsid w:val="517D7C2E"/>
    <w:rsid w:val="51803658"/>
    <w:rsid w:val="5182074A"/>
    <w:rsid w:val="518B234A"/>
    <w:rsid w:val="51A131B2"/>
    <w:rsid w:val="51BF1AEA"/>
    <w:rsid w:val="51E952C3"/>
    <w:rsid w:val="51FD0B46"/>
    <w:rsid w:val="52564E15"/>
    <w:rsid w:val="525E0416"/>
    <w:rsid w:val="52982371"/>
    <w:rsid w:val="52AA4937"/>
    <w:rsid w:val="52AC1BCA"/>
    <w:rsid w:val="52AC6C64"/>
    <w:rsid w:val="52B23DC4"/>
    <w:rsid w:val="52B416A7"/>
    <w:rsid w:val="52BC29D7"/>
    <w:rsid w:val="52E83A51"/>
    <w:rsid w:val="52EE3667"/>
    <w:rsid w:val="531113A0"/>
    <w:rsid w:val="53325FAA"/>
    <w:rsid w:val="53487DC7"/>
    <w:rsid w:val="53546749"/>
    <w:rsid w:val="53597329"/>
    <w:rsid w:val="535A424D"/>
    <w:rsid w:val="5369291D"/>
    <w:rsid w:val="53882361"/>
    <w:rsid w:val="53970983"/>
    <w:rsid w:val="539A30E1"/>
    <w:rsid w:val="53A914DA"/>
    <w:rsid w:val="53B55E1E"/>
    <w:rsid w:val="53B618EB"/>
    <w:rsid w:val="53BC34C4"/>
    <w:rsid w:val="53CE29B7"/>
    <w:rsid w:val="53D66C9F"/>
    <w:rsid w:val="53DE6783"/>
    <w:rsid w:val="53E310D7"/>
    <w:rsid w:val="53FF3532"/>
    <w:rsid w:val="54005B2A"/>
    <w:rsid w:val="540C2117"/>
    <w:rsid w:val="542B4BB8"/>
    <w:rsid w:val="543118B0"/>
    <w:rsid w:val="543D2033"/>
    <w:rsid w:val="543F0BFD"/>
    <w:rsid w:val="54433DE2"/>
    <w:rsid w:val="54451376"/>
    <w:rsid w:val="544861F2"/>
    <w:rsid w:val="545D78A2"/>
    <w:rsid w:val="546503F1"/>
    <w:rsid w:val="546F3E8D"/>
    <w:rsid w:val="5480370F"/>
    <w:rsid w:val="548E3F00"/>
    <w:rsid w:val="54902752"/>
    <w:rsid w:val="54AA3C33"/>
    <w:rsid w:val="54B12D9C"/>
    <w:rsid w:val="54B25E40"/>
    <w:rsid w:val="54BB1851"/>
    <w:rsid w:val="54C808F4"/>
    <w:rsid w:val="54DE257B"/>
    <w:rsid w:val="550C1AC2"/>
    <w:rsid w:val="553805B0"/>
    <w:rsid w:val="553D5A1E"/>
    <w:rsid w:val="5552317F"/>
    <w:rsid w:val="55582FF0"/>
    <w:rsid w:val="5559393E"/>
    <w:rsid w:val="556303E7"/>
    <w:rsid w:val="55670917"/>
    <w:rsid w:val="55776D00"/>
    <w:rsid w:val="559D5F05"/>
    <w:rsid w:val="55A0704C"/>
    <w:rsid w:val="55AF0CE4"/>
    <w:rsid w:val="55C47D86"/>
    <w:rsid w:val="55D51D4E"/>
    <w:rsid w:val="55DD38ED"/>
    <w:rsid w:val="55F66200"/>
    <w:rsid w:val="5609115F"/>
    <w:rsid w:val="561502F5"/>
    <w:rsid w:val="56156687"/>
    <w:rsid w:val="561E08B1"/>
    <w:rsid w:val="562D3205"/>
    <w:rsid w:val="5632389E"/>
    <w:rsid w:val="5664227F"/>
    <w:rsid w:val="56704578"/>
    <w:rsid w:val="569538CD"/>
    <w:rsid w:val="56B82CD0"/>
    <w:rsid w:val="56BB7F10"/>
    <w:rsid w:val="56C43C09"/>
    <w:rsid w:val="56EA1F97"/>
    <w:rsid w:val="57185255"/>
    <w:rsid w:val="573B211D"/>
    <w:rsid w:val="573F5E3C"/>
    <w:rsid w:val="57403161"/>
    <w:rsid w:val="57511B3A"/>
    <w:rsid w:val="575E2CCB"/>
    <w:rsid w:val="575F02DD"/>
    <w:rsid w:val="576171EA"/>
    <w:rsid w:val="57732429"/>
    <w:rsid w:val="578202D2"/>
    <w:rsid w:val="57A1459F"/>
    <w:rsid w:val="57AA5D1A"/>
    <w:rsid w:val="57AB074C"/>
    <w:rsid w:val="57B37537"/>
    <w:rsid w:val="57BF0914"/>
    <w:rsid w:val="57DB3900"/>
    <w:rsid w:val="58262DCD"/>
    <w:rsid w:val="58363268"/>
    <w:rsid w:val="58372026"/>
    <w:rsid w:val="583E0664"/>
    <w:rsid w:val="586274F7"/>
    <w:rsid w:val="587316C8"/>
    <w:rsid w:val="587A1256"/>
    <w:rsid w:val="588B2420"/>
    <w:rsid w:val="5895337D"/>
    <w:rsid w:val="589A6E8D"/>
    <w:rsid w:val="58B705E4"/>
    <w:rsid w:val="58E16CF4"/>
    <w:rsid w:val="58E97F2A"/>
    <w:rsid w:val="58ED12F5"/>
    <w:rsid w:val="58F935D2"/>
    <w:rsid w:val="59065EE0"/>
    <w:rsid w:val="591E36D5"/>
    <w:rsid w:val="59205A6E"/>
    <w:rsid w:val="592233B5"/>
    <w:rsid w:val="592C7E8A"/>
    <w:rsid w:val="59300FC8"/>
    <w:rsid w:val="59372DB8"/>
    <w:rsid w:val="5938377F"/>
    <w:rsid w:val="593D6EE9"/>
    <w:rsid w:val="59716306"/>
    <w:rsid w:val="597E3F8E"/>
    <w:rsid w:val="59A71618"/>
    <w:rsid w:val="59BE6A7E"/>
    <w:rsid w:val="59C65504"/>
    <w:rsid w:val="59C80E72"/>
    <w:rsid w:val="59C90ECD"/>
    <w:rsid w:val="59CF1242"/>
    <w:rsid w:val="59FA683F"/>
    <w:rsid w:val="59FE08FA"/>
    <w:rsid w:val="5A07294F"/>
    <w:rsid w:val="5A1D4F8C"/>
    <w:rsid w:val="5A221332"/>
    <w:rsid w:val="5A3952E3"/>
    <w:rsid w:val="5A6951F3"/>
    <w:rsid w:val="5A6A0612"/>
    <w:rsid w:val="5A6F77E0"/>
    <w:rsid w:val="5A7631EB"/>
    <w:rsid w:val="5A9F200A"/>
    <w:rsid w:val="5AA5630F"/>
    <w:rsid w:val="5AAC6D46"/>
    <w:rsid w:val="5AC83FB2"/>
    <w:rsid w:val="5ACD78C8"/>
    <w:rsid w:val="5ACF7403"/>
    <w:rsid w:val="5AD167AE"/>
    <w:rsid w:val="5AD55F46"/>
    <w:rsid w:val="5AFC21D1"/>
    <w:rsid w:val="5B322B69"/>
    <w:rsid w:val="5B46719F"/>
    <w:rsid w:val="5B4929A8"/>
    <w:rsid w:val="5B646ADA"/>
    <w:rsid w:val="5B8F6FF6"/>
    <w:rsid w:val="5B993931"/>
    <w:rsid w:val="5B995664"/>
    <w:rsid w:val="5B9B636C"/>
    <w:rsid w:val="5BA42A14"/>
    <w:rsid w:val="5BA774FC"/>
    <w:rsid w:val="5BF0439B"/>
    <w:rsid w:val="5C1269B5"/>
    <w:rsid w:val="5C284D38"/>
    <w:rsid w:val="5C4B6C61"/>
    <w:rsid w:val="5C527C59"/>
    <w:rsid w:val="5C5B5ECA"/>
    <w:rsid w:val="5C5D3101"/>
    <w:rsid w:val="5C633253"/>
    <w:rsid w:val="5C9B4505"/>
    <w:rsid w:val="5C9C18B0"/>
    <w:rsid w:val="5CA261CF"/>
    <w:rsid w:val="5CAC70BE"/>
    <w:rsid w:val="5CCB328D"/>
    <w:rsid w:val="5CCF4100"/>
    <w:rsid w:val="5CD1247D"/>
    <w:rsid w:val="5CD41A66"/>
    <w:rsid w:val="5CF17ECA"/>
    <w:rsid w:val="5D0B0214"/>
    <w:rsid w:val="5D1A0A42"/>
    <w:rsid w:val="5D237B17"/>
    <w:rsid w:val="5D403E92"/>
    <w:rsid w:val="5D4F1710"/>
    <w:rsid w:val="5D6E7DA0"/>
    <w:rsid w:val="5D6F3737"/>
    <w:rsid w:val="5D71045F"/>
    <w:rsid w:val="5D975BEB"/>
    <w:rsid w:val="5DBC54F7"/>
    <w:rsid w:val="5DBE7842"/>
    <w:rsid w:val="5DCA792E"/>
    <w:rsid w:val="5DD50170"/>
    <w:rsid w:val="5DEB26B3"/>
    <w:rsid w:val="5E017C06"/>
    <w:rsid w:val="5E0F6CAD"/>
    <w:rsid w:val="5E177A6A"/>
    <w:rsid w:val="5E25510D"/>
    <w:rsid w:val="5E44324A"/>
    <w:rsid w:val="5E486B18"/>
    <w:rsid w:val="5E4A015A"/>
    <w:rsid w:val="5E6E0D39"/>
    <w:rsid w:val="5E7F7EDD"/>
    <w:rsid w:val="5E875C48"/>
    <w:rsid w:val="5EA41B31"/>
    <w:rsid w:val="5EA908DF"/>
    <w:rsid w:val="5ECC09BB"/>
    <w:rsid w:val="5ECC3FA2"/>
    <w:rsid w:val="5ED14076"/>
    <w:rsid w:val="5EE93CD1"/>
    <w:rsid w:val="5F060893"/>
    <w:rsid w:val="5F196F65"/>
    <w:rsid w:val="5F1F205F"/>
    <w:rsid w:val="5F2D2E3D"/>
    <w:rsid w:val="5F315EF2"/>
    <w:rsid w:val="5F323E12"/>
    <w:rsid w:val="5F3F15BD"/>
    <w:rsid w:val="5F4E4D42"/>
    <w:rsid w:val="5F4F39A9"/>
    <w:rsid w:val="5F7614D6"/>
    <w:rsid w:val="5FA865A9"/>
    <w:rsid w:val="5FBD7FF4"/>
    <w:rsid w:val="5FDA399F"/>
    <w:rsid w:val="5FDB3684"/>
    <w:rsid w:val="5FEB6673"/>
    <w:rsid w:val="5FFA79ED"/>
    <w:rsid w:val="60261490"/>
    <w:rsid w:val="6032371E"/>
    <w:rsid w:val="604D6358"/>
    <w:rsid w:val="604E1695"/>
    <w:rsid w:val="60536729"/>
    <w:rsid w:val="606D0EF6"/>
    <w:rsid w:val="607A7859"/>
    <w:rsid w:val="60AA3E6F"/>
    <w:rsid w:val="60B20EB9"/>
    <w:rsid w:val="60B3541A"/>
    <w:rsid w:val="60D85CFF"/>
    <w:rsid w:val="60E47941"/>
    <w:rsid w:val="61013040"/>
    <w:rsid w:val="61187ED8"/>
    <w:rsid w:val="611C35B8"/>
    <w:rsid w:val="616F0A87"/>
    <w:rsid w:val="617230BA"/>
    <w:rsid w:val="61740511"/>
    <w:rsid w:val="619C78FD"/>
    <w:rsid w:val="61AE7556"/>
    <w:rsid w:val="61C947C9"/>
    <w:rsid w:val="61D41854"/>
    <w:rsid w:val="61E57855"/>
    <w:rsid w:val="62051EB9"/>
    <w:rsid w:val="6206793E"/>
    <w:rsid w:val="62165C60"/>
    <w:rsid w:val="621F60BA"/>
    <w:rsid w:val="62282B27"/>
    <w:rsid w:val="622C1504"/>
    <w:rsid w:val="624F63B5"/>
    <w:rsid w:val="625457B2"/>
    <w:rsid w:val="625A6442"/>
    <w:rsid w:val="628D245F"/>
    <w:rsid w:val="62BA360B"/>
    <w:rsid w:val="62C173F4"/>
    <w:rsid w:val="62E973CB"/>
    <w:rsid w:val="62F03D3C"/>
    <w:rsid w:val="630E067E"/>
    <w:rsid w:val="630F7A4D"/>
    <w:rsid w:val="63262B54"/>
    <w:rsid w:val="6330114D"/>
    <w:rsid w:val="63377DED"/>
    <w:rsid w:val="63600859"/>
    <w:rsid w:val="638B4892"/>
    <w:rsid w:val="639279AF"/>
    <w:rsid w:val="639C24A4"/>
    <w:rsid w:val="63B53257"/>
    <w:rsid w:val="63CD374D"/>
    <w:rsid w:val="63EE02A4"/>
    <w:rsid w:val="63F2462E"/>
    <w:rsid w:val="63FA3360"/>
    <w:rsid w:val="641222ED"/>
    <w:rsid w:val="642B5582"/>
    <w:rsid w:val="64526CF8"/>
    <w:rsid w:val="6463417F"/>
    <w:rsid w:val="64643953"/>
    <w:rsid w:val="64654D54"/>
    <w:rsid w:val="64AE720F"/>
    <w:rsid w:val="64BE438D"/>
    <w:rsid w:val="64D92F75"/>
    <w:rsid w:val="64DC03ED"/>
    <w:rsid w:val="64FB2F8F"/>
    <w:rsid w:val="65144DE5"/>
    <w:rsid w:val="651924C2"/>
    <w:rsid w:val="651E2759"/>
    <w:rsid w:val="653C7DC4"/>
    <w:rsid w:val="65566374"/>
    <w:rsid w:val="655D5954"/>
    <w:rsid w:val="65786BF9"/>
    <w:rsid w:val="658A320A"/>
    <w:rsid w:val="658C66C4"/>
    <w:rsid w:val="659A3F39"/>
    <w:rsid w:val="65B8738C"/>
    <w:rsid w:val="65C664D3"/>
    <w:rsid w:val="65D21CDF"/>
    <w:rsid w:val="65DA2217"/>
    <w:rsid w:val="66097698"/>
    <w:rsid w:val="663A2862"/>
    <w:rsid w:val="665314E1"/>
    <w:rsid w:val="66536C43"/>
    <w:rsid w:val="66634171"/>
    <w:rsid w:val="66681907"/>
    <w:rsid w:val="667746FC"/>
    <w:rsid w:val="66795682"/>
    <w:rsid w:val="66813874"/>
    <w:rsid w:val="6685004E"/>
    <w:rsid w:val="668D5944"/>
    <w:rsid w:val="66D1730C"/>
    <w:rsid w:val="66E53E53"/>
    <w:rsid w:val="66EF2B5F"/>
    <w:rsid w:val="66EF31C1"/>
    <w:rsid w:val="670F46CB"/>
    <w:rsid w:val="67186538"/>
    <w:rsid w:val="671E4223"/>
    <w:rsid w:val="67277DF4"/>
    <w:rsid w:val="67340A1D"/>
    <w:rsid w:val="67351615"/>
    <w:rsid w:val="673B2AC0"/>
    <w:rsid w:val="674D5DCD"/>
    <w:rsid w:val="675E2F62"/>
    <w:rsid w:val="675E64C0"/>
    <w:rsid w:val="678218BC"/>
    <w:rsid w:val="67950EB3"/>
    <w:rsid w:val="67994DBC"/>
    <w:rsid w:val="67B30FB4"/>
    <w:rsid w:val="67BD4963"/>
    <w:rsid w:val="67C73559"/>
    <w:rsid w:val="67D101D0"/>
    <w:rsid w:val="680377B8"/>
    <w:rsid w:val="681A2DC6"/>
    <w:rsid w:val="6820035E"/>
    <w:rsid w:val="6822692F"/>
    <w:rsid w:val="682D717C"/>
    <w:rsid w:val="6832131A"/>
    <w:rsid w:val="685F2B0C"/>
    <w:rsid w:val="686E4CA0"/>
    <w:rsid w:val="6885450B"/>
    <w:rsid w:val="68B47F81"/>
    <w:rsid w:val="68B631F6"/>
    <w:rsid w:val="68B73E7B"/>
    <w:rsid w:val="68BA42B2"/>
    <w:rsid w:val="68CF272B"/>
    <w:rsid w:val="69000946"/>
    <w:rsid w:val="692702C4"/>
    <w:rsid w:val="69301A27"/>
    <w:rsid w:val="693966D8"/>
    <w:rsid w:val="695D5832"/>
    <w:rsid w:val="69732E6B"/>
    <w:rsid w:val="699E014D"/>
    <w:rsid w:val="69B72806"/>
    <w:rsid w:val="69C21FC2"/>
    <w:rsid w:val="69CE797A"/>
    <w:rsid w:val="69D31B5E"/>
    <w:rsid w:val="69E817D1"/>
    <w:rsid w:val="69F431E5"/>
    <w:rsid w:val="69FA5867"/>
    <w:rsid w:val="69FE675E"/>
    <w:rsid w:val="6A1A2049"/>
    <w:rsid w:val="6A31115D"/>
    <w:rsid w:val="6A423BC4"/>
    <w:rsid w:val="6A45046C"/>
    <w:rsid w:val="6A5347AB"/>
    <w:rsid w:val="6A5C3F5E"/>
    <w:rsid w:val="6A7A5B8E"/>
    <w:rsid w:val="6A855EA5"/>
    <w:rsid w:val="6AA44F93"/>
    <w:rsid w:val="6AB17E6C"/>
    <w:rsid w:val="6AB71D61"/>
    <w:rsid w:val="6AB92FAF"/>
    <w:rsid w:val="6ACF19E4"/>
    <w:rsid w:val="6AD5470C"/>
    <w:rsid w:val="6ADE1CAF"/>
    <w:rsid w:val="6B0B1806"/>
    <w:rsid w:val="6B0C7821"/>
    <w:rsid w:val="6B1217F9"/>
    <w:rsid w:val="6B141672"/>
    <w:rsid w:val="6B1538B3"/>
    <w:rsid w:val="6B3666EE"/>
    <w:rsid w:val="6B3D4671"/>
    <w:rsid w:val="6B4502B7"/>
    <w:rsid w:val="6B6460AC"/>
    <w:rsid w:val="6B6E5845"/>
    <w:rsid w:val="6B8F5215"/>
    <w:rsid w:val="6BB43210"/>
    <w:rsid w:val="6BBD4870"/>
    <w:rsid w:val="6BC85C10"/>
    <w:rsid w:val="6BDC0DC0"/>
    <w:rsid w:val="6BE07F64"/>
    <w:rsid w:val="6BFB7E42"/>
    <w:rsid w:val="6C0C3140"/>
    <w:rsid w:val="6C2343EA"/>
    <w:rsid w:val="6C253A83"/>
    <w:rsid w:val="6C4C1DDE"/>
    <w:rsid w:val="6C4D060E"/>
    <w:rsid w:val="6C526267"/>
    <w:rsid w:val="6C5524BB"/>
    <w:rsid w:val="6C5D705E"/>
    <w:rsid w:val="6C6470B5"/>
    <w:rsid w:val="6C663C13"/>
    <w:rsid w:val="6C7735C7"/>
    <w:rsid w:val="6C8528D2"/>
    <w:rsid w:val="6C897A0B"/>
    <w:rsid w:val="6C9854C4"/>
    <w:rsid w:val="6CB23065"/>
    <w:rsid w:val="6CC0444D"/>
    <w:rsid w:val="6D10365D"/>
    <w:rsid w:val="6D266D96"/>
    <w:rsid w:val="6D272E6C"/>
    <w:rsid w:val="6D513FF0"/>
    <w:rsid w:val="6D66634B"/>
    <w:rsid w:val="6D886D51"/>
    <w:rsid w:val="6D9C39D1"/>
    <w:rsid w:val="6D9F30F1"/>
    <w:rsid w:val="6DB77BCC"/>
    <w:rsid w:val="6DB940F2"/>
    <w:rsid w:val="6DCC4C0D"/>
    <w:rsid w:val="6DE2414D"/>
    <w:rsid w:val="6DF606F4"/>
    <w:rsid w:val="6DFA089C"/>
    <w:rsid w:val="6E024E4B"/>
    <w:rsid w:val="6E1B57B2"/>
    <w:rsid w:val="6E24570D"/>
    <w:rsid w:val="6E400400"/>
    <w:rsid w:val="6E4341AC"/>
    <w:rsid w:val="6E453429"/>
    <w:rsid w:val="6E58315D"/>
    <w:rsid w:val="6E7B0441"/>
    <w:rsid w:val="6E7F227A"/>
    <w:rsid w:val="6EB21400"/>
    <w:rsid w:val="6EB316B7"/>
    <w:rsid w:val="6EBA3645"/>
    <w:rsid w:val="6EBE4C9B"/>
    <w:rsid w:val="6EC45C23"/>
    <w:rsid w:val="6ED22568"/>
    <w:rsid w:val="6EE07C01"/>
    <w:rsid w:val="6F0005D2"/>
    <w:rsid w:val="6F2A4225"/>
    <w:rsid w:val="6F345CBA"/>
    <w:rsid w:val="6F3531D9"/>
    <w:rsid w:val="6F436F8F"/>
    <w:rsid w:val="6F4D07E7"/>
    <w:rsid w:val="6F564FE8"/>
    <w:rsid w:val="6F586957"/>
    <w:rsid w:val="6F6A10D8"/>
    <w:rsid w:val="6F6C661A"/>
    <w:rsid w:val="6FB46777"/>
    <w:rsid w:val="6FBC5B21"/>
    <w:rsid w:val="6FC23088"/>
    <w:rsid w:val="6FE825BB"/>
    <w:rsid w:val="701D06F2"/>
    <w:rsid w:val="702D0F91"/>
    <w:rsid w:val="703F2689"/>
    <w:rsid w:val="70443C2F"/>
    <w:rsid w:val="70820DC4"/>
    <w:rsid w:val="70976C9B"/>
    <w:rsid w:val="70ED4A58"/>
    <w:rsid w:val="70F21646"/>
    <w:rsid w:val="7100078F"/>
    <w:rsid w:val="7104137A"/>
    <w:rsid w:val="71056E8C"/>
    <w:rsid w:val="71321C7C"/>
    <w:rsid w:val="71394D35"/>
    <w:rsid w:val="715E0E1D"/>
    <w:rsid w:val="715F4802"/>
    <w:rsid w:val="71634398"/>
    <w:rsid w:val="716E7FA5"/>
    <w:rsid w:val="7170146E"/>
    <w:rsid w:val="717019F1"/>
    <w:rsid w:val="717268C8"/>
    <w:rsid w:val="717B788E"/>
    <w:rsid w:val="71802D0E"/>
    <w:rsid w:val="718B5ADE"/>
    <w:rsid w:val="718F5890"/>
    <w:rsid w:val="71B23002"/>
    <w:rsid w:val="71C54D64"/>
    <w:rsid w:val="71DF76A4"/>
    <w:rsid w:val="71F3687B"/>
    <w:rsid w:val="720E0978"/>
    <w:rsid w:val="72194110"/>
    <w:rsid w:val="72231CD3"/>
    <w:rsid w:val="7235573F"/>
    <w:rsid w:val="723D63F5"/>
    <w:rsid w:val="724E2CB9"/>
    <w:rsid w:val="72513158"/>
    <w:rsid w:val="725A1BEF"/>
    <w:rsid w:val="726C56B8"/>
    <w:rsid w:val="72767CBE"/>
    <w:rsid w:val="727D6CBD"/>
    <w:rsid w:val="727F789D"/>
    <w:rsid w:val="7288771C"/>
    <w:rsid w:val="728A2353"/>
    <w:rsid w:val="7293062E"/>
    <w:rsid w:val="72982D74"/>
    <w:rsid w:val="72996FB8"/>
    <w:rsid w:val="72A458E1"/>
    <w:rsid w:val="72AF050D"/>
    <w:rsid w:val="72BA1E81"/>
    <w:rsid w:val="72CB4274"/>
    <w:rsid w:val="72CE592F"/>
    <w:rsid w:val="72FD0776"/>
    <w:rsid w:val="72FD1AB3"/>
    <w:rsid w:val="72FE1BD1"/>
    <w:rsid w:val="73090EC9"/>
    <w:rsid w:val="73173D68"/>
    <w:rsid w:val="73197AE0"/>
    <w:rsid w:val="73221860"/>
    <w:rsid w:val="73232117"/>
    <w:rsid w:val="73275E34"/>
    <w:rsid w:val="73280BCA"/>
    <w:rsid w:val="732C6F90"/>
    <w:rsid w:val="73313277"/>
    <w:rsid w:val="733A4EF6"/>
    <w:rsid w:val="733D0234"/>
    <w:rsid w:val="7346211D"/>
    <w:rsid w:val="7350306B"/>
    <w:rsid w:val="735559D3"/>
    <w:rsid w:val="735675A7"/>
    <w:rsid w:val="7374156A"/>
    <w:rsid w:val="73773239"/>
    <w:rsid w:val="73B40BD5"/>
    <w:rsid w:val="73D93EF1"/>
    <w:rsid w:val="73EF7F33"/>
    <w:rsid w:val="73FA14E3"/>
    <w:rsid w:val="740A7F35"/>
    <w:rsid w:val="741C42CE"/>
    <w:rsid w:val="742B455C"/>
    <w:rsid w:val="743406EB"/>
    <w:rsid w:val="745E6FF3"/>
    <w:rsid w:val="74626AE3"/>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A5D5C"/>
    <w:rsid w:val="75581C94"/>
    <w:rsid w:val="755E6626"/>
    <w:rsid w:val="75841DF5"/>
    <w:rsid w:val="758D233C"/>
    <w:rsid w:val="758F304E"/>
    <w:rsid w:val="759C09A4"/>
    <w:rsid w:val="75A40F6D"/>
    <w:rsid w:val="75B14D54"/>
    <w:rsid w:val="75BB73AA"/>
    <w:rsid w:val="75EE4E13"/>
    <w:rsid w:val="760B0272"/>
    <w:rsid w:val="76162ABE"/>
    <w:rsid w:val="76330C1E"/>
    <w:rsid w:val="763E014D"/>
    <w:rsid w:val="76456A13"/>
    <w:rsid w:val="765612DA"/>
    <w:rsid w:val="7674539F"/>
    <w:rsid w:val="76756DA8"/>
    <w:rsid w:val="76887988"/>
    <w:rsid w:val="768C7E47"/>
    <w:rsid w:val="768F16E6"/>
    <w:rsid w:val="76986891"/>
    <w:rsid w:val="769F3D71"/>
    <w:rsid w:val="76EC1ABC"/>
    <w:rsid w:val="76FB601C"/>
    <w:rsid w:val="770B5CD6"/>
    <w:rsid w:val="7710200E"/>
    <w:rsid w:val="77420E4E"/>
    <w:rsid w:val="776706D6"/>
    <w:rsid w:val="77700134"/>
    <w:rsid w:val="778413DC"/>
    <w:rsid w:val="778674A1"/>
    <w:rsid w:val="779D3EA8"/>
    <w:rsid w:val="77A65EF4"/>
    <w:rsid w:val="77AB57D7"/>
    <w:rsid w:val="77AE3DED"/>
    <w:rsid w:val="77B0751C"/>
    <w:rsid w:val="77CC6EC1"/>
    <w:rsid w:val="77D0645A"/>
    <w:rsid w:val="77D4061C"/>
    <w:rsid w:val="77E03037"/>
    <w:rsid w:val="780776F7"/>
    <w:rsid w:val="78340B49"/>
    <w:rsid w:val="785F6726"/>
    <w:rsid w:val="78760DAF"/>
    <w:rsid w:val="788617F4"/>
    <w:rsid w:val="78867CFB"/>
    <w:rsid w:val="78976EF9"/>
    <w:rsid w:val="78B65F6B"/>
    <w:rsid w:val="78B95E11"/>
    <w:rsid w:val="78CF4963"/>
    <w:rsid w:val="78D108F5"/>
    <w:rsid w:val="78E92D88"/>
    <w:rsid w:val="78F9378E"/>
    <w:rsid w:val="790947AA"/>
    <w:rsid w:val="79125039"/>
    <w:rsid w:val="79204C41"/>
    <w:rsid w:val="79290342"/>
    <w:rsid w:val="795F47C4"/>
    <w:rsid w:val="796141A4"/>
    <w:rsid w:val="796A125E"/>
    <w:rsid w:val="79941644"/>
    <w:rsid w:val="799447B2"/>
    <w:rsid w:val="79993DEC"/>
    <w:rsid w:val="799D49BF"/>
    <w:rsid w:val="79CE2230"/>
    <w:rsid w:val="79D90257"/>
    <w:rsid w:val="79E064A7"/>
    <w:rsid w:val="79E4695D"/>
    <w:rsid w:val="79E543D7"/>
    <w:rsid w:val="79F15FFB"/>
    <w:rsid w:val="79F16C5D"/>
    <w:rsid w:val="79F9227E"/>
    <w:rsid w:val="79FA156C"/>
    <w:rsid w:val="7A03141B"/>
    <w:rsid w:val="7A065A49"/>
    <w:rsid w:val="7A086377"/>
    <w:rsid w:val="7A242978"/>
    <w:rsid w:val="7A5B08C9"/>
    <w:rsid w:val="7A634A12"/>
    <w:rsid w:val="7A785221"/>
    <w:rsid w:val="7A7E6870"/>
    <w:rsid w:val="7A8A0C41"/>
    <w:rsid w:val="7A9E603E"/>
    <w:rsid w:val="7AB17FC0"/>
    <w:rsid w:val="7AC908C2"/>
    <w:rsid w:val="7ACB2E35"/>
    <w:rsid w:val="7ADC4284"/>
    <w:rsid w:val="7AEE2E82"/>
    <w:rsid w:val="7B0C2233"/>
    <w:rsid w:val="7B1E1599"/>
    <w:rsid w:val="7B4A4326"/>
    <w:rsid w:val="7B4E6013"/>
    <w:rsid w:val="7B587DD1"/>
    <w:rsid w:val="7B8F75C0"/>
    <w:rsid w:val="7B91553C"/>
    <w:rsid w:val="7BBC0E6E"/>
    <w:rsid w:val="7BEC1E4B"/>
    <w:rsid w:val="7BF240AC"/>
    <w:rsid w:val="7BF5648F"/>
    <w:rsid w:val="7BF77601"/>
    <w:rsid w:val="7C105077"/>
    <w:rsid w:val="7C175044"/>
    <w:rsid w:val="7C2A1D4B"/>
    <w:rsid w:val="7C42078B"/>
    <w:rsid w:val="7C440D7D"/>
    <w:rsid w:val="7C5E5DE2"/>
    <w:rsid w:val="7C6F0A60"/>
    <w:rsid w:val="7C722082"/>
    <w:rsid w:val="7C797AB8"/>
    <w:rsid w:val="7C7D2601"/>
    <w:rsid w:val="7C7E1515"/>
    <w:rsid w:val="7C885555"/>
    <w:rsid w:val="7CA50B86"/>
    <w:rsid w:val="7CB246E4"/>
    <w:rsid w:val="7CC7078E"/>
    <w:rsid w:val="7CD40CD3"/>
    <w:rsid w:val="7D085779"/>
    <w:rsid w:val="7D0A1541"/>
    <w:rsid w:val="7D172435"/>
    <w:rsid w:val="7D176503"/>
    <w:rsid w:val="7D431EFA"/>
    <w:rsid w:val="7D5F4763"/>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E31E0"/>
    <w:rsid w:val="7E8A75CD"/>
    <w:rsid w:val="7E8C6D77"/>
    <w:rsid w:val="7E9F0937"/>
    <w:rsid w:val="7E9F0C7C"/>
    <w:rsid w:val="7EBA5361"/>
    <w:rsid w:val="7EC54DD3"/>
    <w:rsid w:val="7ED8452C"/>
    <w:rsid w:val="7EE626A2"/>
    <w:rsid w:val="7EFD3F05"/>
    <w:rsid w:val="7F0D2695"/>
    <w:rsid w:val="7F2675B1"/>
    <w:rsid w:val="7F55391D"/>
    <w:rsid w:val="7F7511B7"/>
    <w:rsid w:val="7F8539E9"/>
    <w:rsid w:val="7F954F92"/>
    <w:rsid w:val="7F964C9A"/>
    <w:rsid w:val="7F9D0C84"/>
    <w:rsid w:val="7FAD0277"/>
    <w:rsid w:val="7FD14011"/>
    <w:rsid w:val="7FD34D39"/>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55"/>
    <w:autoRedefine/>
    <w:qFormat/>
    <w:uiPriority w:val="0"/>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link w:val="56"/>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link w:val="57"/>
    <w:autoRedefine/>
    <w:unhideWhenUsed/>
    <w:qFormat/>
    <w:uiPriority w:val="0"/>
    <w:pPr>
      <w:keepNext/>
      <w:keepLines/>
      <w:tabs>
        <w:tab w:val="left" w:pos="8280"/>
      </w:tabs>
      <w:spacing w:before="260" w:after="260" w:line="416" w:lineRule="auto"/>
      <w:outlineLvl w:val="2"/>
    </w:pPr>
    <w:rPr>
      <w:bCs/>
      <w:szCs w:val="32"/>
    </w:rPr>
  </w:style>
  <w:style w:type="paragraph" w:styleId="9">
    <w:name w:val="heading 4"/>
    <w:basedOn w:val="1"/>
    <w:next w:val="5"/>
    <w:link w:val="58"/>
    <w:autoRedefine/>
    <w:qFormat/>
    <w:uiPriority w:val="0"/>
    <w:pPr>
      <w:keepLines/>
      <w:widowControl/>
      <w:numPr>
        <w:ilvl w:val="3"/>
        <w:numId w:val="2"/>
      </w:numPr>
      <w:jc w:val="left"/>
      <w:outlineLvl w:val="3"/>
    </w:pPr>
    <w:rPr>
      <w:rFonts w:eastAsia="楷体_GB2312"/>
      <w:b/>
      <w:snapToGrid w:val="0"/>
    </w:rPr>
  </w:style>
  <w:style w:type="paragraph" w:styleId="10">
    <w:name w:val="heading 5"/>
    <w:basedOn w:val="1"/>
    <w:next w:val="1"/>
    <w:link w:val="59"/>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1">
    <w:name w:val="heading 6"/>
    <w:basedOn w:val="1"/>
    <w:next w:val="1"/>
    <w:link w:val="60"/>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link w:val="6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3">
    <w:name w:val="heading 8"/>
    <w:basedOn w:val="1"/>
    <w:next w:val="1"/>
    <w:link w:val="6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link w:val="6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5"/>
    <w:autoRedefine/>
    <w:qFormat/>
    <w:uiPriority w:val="99"/>
    <w:pPr>
      <w:spacing w:line="360" w:lineRule="exact"/>
    </w:pPr>
    <w:rPr>
      <w:sz w:val="24"/>
    </w:rPr>
  </w:style>
  <w:style w:type="paragraph" w:styleId="3">
    <w:name w:val="Body Text First Indent"/>
    <w:basedOn w:val="2"/>
    <w:next w:val="1"/>
    <w:link w:val="73"/>
    <w:autoRedefine/>
    <w:qFormat/>
    <w:uiPriority w:val="0"/>
    <w:pPr>
      <w:ind w:firstLine="200" w:firstLineChars="200"/>
    </w:pPr>
  </w:style>
  <w:style w:type="paragraph" w:styleId="5">
    <w:name w:val="Normal Indent"/>
    <w:basedOn w:val="1"/>
    <w:next w:val="1"/>
    <w:link w:val="54"/>
    <w:autoRedefine/>
    <w:qFormat/>
    <w:uiPriority w:val="0"/>
    <w:pPr>
      <w:ind w:firstLine="420"/>
    </w:pPr>
    <w:rPr>
      <w:szCs w:val="20"/>
    </w:rPr>
  </w:style>
  <w:style w:type="paragraph" w:customStyle="1" w:styleId="8">
    <w:name w:val="my正文"/>
    <w:basedOn w:val="1"/>
    <w:autoRedefine/>
    <w:qFormat/>
    <w:uiPriority w:val="0"/>
    <w:pPr>
      <w:spacing w:line="360" w:lineRule="auto"/>
      <w:ind w:firstLine="480" w:firstLineChars="200"/>
    </w:pPr>
    <w:rPr>
      <w:sz w:val="24"/>
    </w:rPr>
  </w:style>
  <w:style w:type="paragraph" w:styleId="15">
    <w:name w:val="List Number"/>
    <w:basedOn w:val="1"/>
    <w:autoRedefine/>
    <w:qFormat/>
    <w:uiPriority w:val="0"/>
    <w:pPr>
      <w:numPr>
        <w:ilvl w:val="0"/>
        <w:numId w:val="3"/>
      </w:numPr>
    </w:pPr>
  </w:style>
  <w:style w:type="paragraph" w:styleId="16">
    <w:name w:val="Document Map"/>
    <w:basedOn w:val="1"/>
    <w:link w:val="123"/>
    <w:autoRedefine/>
    <w:qFormat/>
    <w:uiPriority w:val="0"/>
    <w:pPr>
      <w:shd w:val="clear" w:color="auto" w:fill="000080"/>
    </w:pPr>
    <w:rPr>
      <w:kern w:val="0"/>
      <w:sz w:val="20"/>
      <w:shd w:val="clear" w:color="auto" w:fill="000080"/>
      <w:lang w:val="zh-CN" w:eastAsia="zh-CN"/>
    </w:rPr>
  </w:style>
  <w:style w:type="paragraph" w:styleId="17">
    <w:name w:val="annotation text"/>
    <w:basedOn w:val="1"/>
    <w:link w:val="64"/>
    <w:autoRedefine/>
    <w:qFormat/>
    <w:uiPriority w:val="0"/>
    <w:pPr>
      <w:jc w:val="left"/>
    </w:pPr>
  </w:style>
  <w:style w:type="paragraph" w:styleId="18">
    <w:name w:val="Body Text 3"/>
    <w:basedOn w:val="1"/>
    <w:link w:val="125"/>
    <w:autoRedefine/>
    <w:qFormat/>
    <w:uiPriority w:val="0"/>
    <w:rPr>
      <w:rFonts w:ascii="宋体"/>
      <w:sz w:val="24"/>
      <w:szCs w:val="20"/>
    </w:rPr>
  </w:style>
  <w:style w:type="paragraph" w:styleId="19">
    <w:name w:val="Body Text Indent"/>
    <w:basedOn w:val="1"/>
    <w:next w:val="5"/>
    <w:link w:val="53"/>
    <w:autoRedefine/>
    <w:qFormat/>
    <w:uiPriority w:val="99"/>
    <w:pPr>
      <w:spacing w:after="120"/>
      <w:ind w:left="420" w:leftChars="200"/>
    </w:pPr>
  </w:style>
  <w:style w:type="paragraph" w:styleId="20">
    <w:name w:val="toc 5"/>
    <w:basedOn w:val="1"/>
    <w:next w:val="1"/>
    <w:autoRedefine/>
    <w:qFormat/>
    <w:uiPriority w:val="39"/>
    <w:pPr>
      <w:ind w:left="630"/>
      <w:jc w:val="left"/>
    </w:pPr>
    <w:rPr>
      <w:sz w:val="20"/>
      <w:szCs w:val="20"/>
    </w:rPr>
  </w:style>
  <w:style w:type="paragraph" w:styleId="21">
    <w:name w:val="toc 3"/>
    <w:basedOn w:val="1"/>
    <w:next w:val="1"/>
    <w:autoRedefine/>
    <w:qFormat/>
    <w:uiPriority w:val="39"/>
    <w:pPr>
      <w:ind w:left="210"/>
      <w:jc w:val="left"/>
    </w:pPr>
    <w:rPr>
      <w:sz w:val="20"/>
      <w:szCs w:val="20"/>
    </w:rPr>
  </w:style>
  <w:style w:type="paragraph" w:styleId="22">
    <w:name w:val="Plain Text"/>
    <w:basedOn w:val="1"/>
    <w:next w:val="23"/>
    <w:link w:val="67"/>
    <w:autoRedefine/>
    <w:qFormat/>
    <w:uiPriority w:val="99"/>
    <w:rPr>
      <w:rFonts w:ascii="宋体" w:hAnsi="Courier New" w:cstheme="minorBidi"/>
    </w:rPr>
  </w:style>
  <w:style w:type="paragraph" w:styleId="23">
    <w:name w:val="Date"/>
    <w:basedOn w:val="1"/>
    <w:next w:val="1"/>
    <w:link w:val="66"/>
    <w:autoRedefine/>
    <w:qFormat/>
    <w:uiPriority w:val="0"/>
    <w:pPr>
      <w:ind w:left="2500" w:leftChars="2500"/>
    </w:pPr>
    <w:rPr>
      <w:rFonts w:eastAsia="楷体_GB2312" w:asciiTheme="minorHAnsi" w:hAnsiTheme="minorHAnsi" w:cstheme="minorBidi"/>
      <w:sz w:val="32"/>
      <w:szCs w:val="22"/>
    </w:rPr>
  </w:style>
  <w:style w:type="paragraph" w:styleId="24">
    <w:name w:val="toc 8"/>
    <w:basedOn w:val="1"/>
    <w:next w:val="1"/>
    <w:autoRedefine/>
    <w:semiHidden/>
    <w:unhideWhenUsed/>
    <w:qFormat/>
    <w:uiPriority w:val="0"/>
    <w:pPr>
      <w:ind w:left="2940" w:leftChars="1400"/>
    </w:pPr>
  </w:style>
  <w:style w:type="paragraph" w:styleId="25">
    <w:name w:val="Body Text Indent 2"/>
    <w:basedOn w:val="1"/>
    <w:link w:val="127"/>
    <w:autoRedefine/>
    <w:qFormat/>
    <w:uiPriority w:val="0"/>
    <w:pPr>
      <w:spacing w:after="120" w:line="480" w:lineRule="auto"/>
      <w:ind w:left="420" w:leftChars="200"/>
    </w:pPr>
  </w:style>
  <w:style w:type="paragraph" w:styleId="26">
    <w:name w:val="Balloon Text"/>
    <w:basedOn w:val="1"/>
    <w:link w:val="68"/>
    <w:autoRedefine/>
    <w:qFormat/>
    <w:uiPriority w:val="0"/>
    <w:rPr>
      <w:sz w:val="18"/>
      <w:szCs w:val="18"/>
    </w:rPr>
  </w:style>
  <w:style w:type="paragraph" w:styleId="27">
    <w:name w:val="footer"/>
    <w:basedOn w:val="1"/>
    <w:link w:val="69"/>
    <w:autoRedefine/>
    <w:qFormat/>
    <w:uiPriority w:val="99"/>
    <w:pPr>
      <w:tabs>
        <w:tab w:val="center" w:pos="4153"/>
        <w:tab w:val="right" w:pos="8306"/>
      </w:tabs>
      <w:snapToGrid w:val="0"/>
      <w:jc w:val="left"/>
    </w:pPr>
    <w:rPr>
      <w:sz w:val="18"/>
    </w:rPr>
  </w:style>
  <w:style w:type="paragraph" w:styleId="28">
    <w:name w:val="header"/>
    <w:basedOn w:val="1"/>
    <w:link w:val="7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0">
    <w:name w:val="toc 4"/>
    <w:basedOn w:val="1"/>
    <w:next w:val="1"/>
    <w:autoRedefine/>
    <w:qFormat/>
    <w:uiPriority w:val="0"/>
    <w:pPr>
      <w:ind w:left="630"/>
      <w:jc w:val="left"/>
    </w:pPr>
    <w:rPr>
      <w:sz w:val="18"/>
      <w:szCs w:val="18"/>
    </w:rPr>
  </w:style>
  <w:style w:type="paragraph" w:styleId="31">
    <w:name w:val="Subtitle"/>
    <w:basedOn w:val="1"/>
    <w:next w:val="1"/>
    <w:link w:val="130"/>
    <w:autoRedefine/>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32">
    <w:name w:val="footnote text"/>
    <w:basedOn w:val="1"/>
    <w:link w:val="132"/>
    <w:autoRedefine/>
    <w:semiHidden/>
    <w:qFormat/>
    <w:uiPriority w:val="0"/>
    <w:pPr>
      <w:snapToGrid w:val="0"/>
      <w:jc w:val="left"/>
    </w:pPr>
    <w:rPr>
      <w:rFonts w:eastAsia="仿宋_GB2312"/>
      <w:sz w:val="18"/>
      <w:szCs w:val="20"/>
    </w:rPr>
  </w:style>
  <w:style w:type="paragraph" w:styleId="33">
    <w:name w:val="toc 6"/>
    <w:basedOn w:val="1"/>
    <w:next w:val="1"/>
    <w:autoRedefine/>
    <w:qFormat/>
    <w:uiPriority w:val="0"/>
    <w:pPr>
      <w:ind w:left="1050"/>
      <w:jc w:val="left"/>
    </w:pPr>
    <w:rPr>
      <w:rFonts w:ascii="Calibri" w:hAnsi="Calibri" w:cs="Calibri"/>
      <w:sz w:val="18"/>
      <w:szCs w:val="18"/>
    </w:rPr>
  </w:style>
  <w:style w:type="paragraph" w:styleId="34">
    <w:name w:val="Body Text Indent 3"/>
    <w:basedOn w:val="1"/>
    <w:link w:val="71"/>
    <w:autoRedefine/>
    <w:qFormat/>
    <w:uiPriority w:val="0"/>
    <w:pPr>
      <w:spacing w:after="120"/>
      <w:ind w:left="420" w:leftChars="200"/>
    </w:pPr>
    <w:rPr>
      <w:rFonts w:eastAsia="Copperplate Gothic Bold"/>
      <w:sz w:val="16"/>
      <w:szCs w:val="16"/>
    </w:rPr>
  </w:style>
  <w:style w:type="paragraph" w:styleId="35">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6">
    <w:name w:val="Body Text 2"/>
    <w:basedOn w:val="1"/>
    <w:link w:val="133"/>
    <w:autoRedefine/>
    <w:qFormat/>
    <w:uiPriority w:val="0"/>
    <w:pPr>
      <w:spacing w:after="120" w:line="480" w:lineRule="auto"/>
    </w:pPr>
  </w:style>
  <w:style w:type="paragraph" w:styleId="37">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8">
    <w:name w:val="Title"/>
    <w:basedOn w:val="1"/>
    <w:link w:val="134"/>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7"/>
    <w:next w:val="17"/>
    <w:link w:val="72"/>
    <w:autoRedefine/>
    <w:qFormat/>
    <w:uiPriority w:val="0"/>
    <w:rPr>
      <w:b/>
      <w:bCs/>
    </w:rPr>
  </w:style>
  <w:style w:type="paragraph" w:styleId="40">
    <w:name w:val="Body Text First Indent 2"/>
    <w:basedOn w:val="19"/>
    <w:link w:val="75"/>
    <w:autoRedefine/>
    <w:qFormat/>
    <w:uiPriority w:val="0"/>
    <w:pPr>
      <w:ind w:firstLine="420"/>
    </w:pPr>
  </w:style>
  <w:style w:type="table" w:styleId="42">
    <w:name w:val="Table Grid"/>
    <w:basedOn w:val="41"/>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22"/>
    <w:rPr>
      <w:b/>
    </w:rPr>
  </w:style>
  <w:style w:type="character" w:styleId="45">
    <w:name w:val="page number"/>
    <w:autoRedefine/>
    <w:qFormat/>
    <w:uiPriority w:val="0"/>
  </w:style>
  <w:style w:type="character" w:styleId="46">
    <w:name w:val="FollowedHyperlink"/>
    <w:autoRedefine/>
    <w:qFormat/>
    <w:uiPriority w:val="0"/>
    <w:rPr>
      <w:color w:val="800080"/>
      <w:u w:val="single"/>
    </w:rPr>
  </w:style>
  <w:style w:type="character" w:styleId="47">
    <w:name w:val="Hyperlink"/>
    <w:basedOn w:val="43"/>
    <w:autoRedefine/>
    <w:qFormat/>
    <w:uiPriority w:val="99"/>
    <w:rPr>
      <w:color w:val="0000FF"/>
      <w:u w:val="single"/>
    </w:rPr>
  </w:style>
  <w:style w:type="character" w:styleId="48">
    <w:name w:val="annotation reference"/>
    <w:basedOn w:val="43"/>
    <w:autoRedefine/>
    <w:qFormat/>
    <w:uiPriority w:val="0"/>
    <w:rPr>
      <w:sz w:val="21"/>
      <w:szCs w:val="21"/>
    </w:rPr>
  </w:style>
  <w:style w:type="character" w:styleId="49">
    <w:name w:val="HTML Sample"/>
    <w:basedOn w:val="43"/>
    <w:autoRedefine/>
    <w:semiHidden/>
    <w:unhideWhenUsed/>
    <w:qFormat/>
    <w:uiPriority w:val="0"/>
    <w:rPr>
      <w:rFonts w:ascii="Courier New" w:hAnsi="Courier New"/>
    </w:rPr>
  </w:style>
  <w:style w:type="character" w:customStyle="1" w:styleId="50">
    <w:name w:val="标题 1 Char Char"/>
    <w:basedOn w:val="43"/>
    <w:autoRedefine/>
    <w:qFormat/>
    <w:uiPriority w:val="0"/>
    <w:rPr>
      <w:rFonts w:eastAsia="宋体"/>
      <w:b/>
      <w:spacing w:val="-2"/>
      <w:sz w:val="24"/>
      <w:lang w:val="en-US" w:eastAsia="zh-CN" w:bidi="ar-SA"/>
    </w:rPr>
  </w:style>
  <w:style w:type="paragraph" w:customStyle="1" w:styleId="51">
    <w:name w:val="p0"/>
    <w:basedOn w:val="1"/>
    <w:autoRedefine/>
    <w:qFormat/>
    <w:uiPriority w:val="0"/>
    <w:pPr>
      <w:widowControl/>
    </w:pPr>
    <w:rPr>
      <w:kern w:val="0"/>
      <w:szCs w:val="21"/>
    </w:rPr>
  </w:style>
  <w:style w:type="paragraph" w:customStyle="1" w:styleId="52">
    <w:name w:val="BodyText"/>
    <w:basedOn w:val="1"/>
    <w:autoRedefine/>
    <w:qFormat/>
    <w:uiPriority w:val="0"/>
    <w:pPr>
      <w:spacing w:after="120"/>
    </w:pPr>
    <w:rPr>
      <w:szCs w:val="24"/>
    </w:rPr>
  </w:style>
  <w:style w:type="character" w:customStyle="1" w:styleId="53">
    <w:name w:val="正文文本缩进 Char"/>
    <w:basedOn w:val="43"/>
    <w:link w:val="19"/>
    <w:autoRedefine/>
    <w:qFormat/>
    <w:uiPriority w:val="99"/>
    <w:rPr>
      <w:kern w:val="2"/>
      <w:sz w:val="21"/>
      <w:szCs w:val="24"/>
    </w:rPr>
  </w:style>
  <w:style w:type="character" w:customStyle="1" w:styleId="54">
    <w:name w:val="正文缩进 Char"/>
    <w:link w:val="5"/>
    <w:autoRedefine/>
    <w:qFormat/>
    <w:uiPriority w:val="0"/>
    <w:rPr>
      <w:kern w:val="2"/>
      <w:sz w:val="21"/>
    </w:rPr>
  </w:style>
  <w:style w:type="character" w:customStyle="1" w:styleId="55">
    <w:name w:val="标题 1 Char1"/>
    <w:link w:val="4"/>
    <w:autoRedefine/>
    <w:qFormat/>
    <w:uiPriority w:val="0"/>
    <w:rPr>
      <w:b/>
      <w:bCs/>
      <w:kern w:val="44"/>
      <w:sz w:val="44"/>
      <w:szCs w:val="44"/>
    </w:rPr>
  </w:style>
  <w:style w:type="character" w:customStyle="1" w:styleId="56">
    <w:name w:val="标题 2 Char"/>
    <w:basedOn w:val="43"/>
    <w:link w:val="6"/>
    <w:autoRedefine/>
    <w:qFormat/>
    <w:uiPriority w:val="0"/>
    <w:rPr>
      <w:rFonts w:ascii="宋体" w:hAnsi="宋体"/>
      <w:b/>
      <w:kern w:val="2"/>
      <w:sz w:val="32"/>
      <w:szCs w:val="28"/>
    </w:rPr>
  </w:style>
  <w:style w:type="character" w:customStyle="1" w:styleId="57">
    <w:name w:val="标题 3 Char"/>
    <w:basedOn w:val="43"/>
    <w:link w:val="7"/>
    <w:autoRedefine/>
    <w:qFormat/>
    <w:uiPriority w:val="0"/>
    <w:rPr>
      <w:bCs/>
      <w:kern w:val="2"/>
      <w:sz w:val="21"/>
      <w:szCs w:val="32"/>
    </w:rPr>
  </w:style>
  <w:style w:type="character" w:customStyle="1" w:styleId="58">
    <w:name w:val="标题 4 Char"/>
    <w:basedOn w:val="43"/>
    <w:link w:val="9"/>
    <w:autoRedefine/>
    <w:qFormat/>
    <w:uiPriority w:val="0"/>
    <w:rPr>
      <w:rFonts w:eastAsia="楷体_GB2312"/>
      <w:b/>
      <w:snapToGrid w:val="0"/>
      <w:kern w:val="2"/>
      <w:sz w:val="21"/>
      <w:szCs w:val="24"/>
    </w:rPr>
  </w:style>
  <w:style w:type="character" w:customStyle="1" w:styleId="59">
    <w:name w:val="标题 5 Char1"/>
    <w:link w:val="10"/>
    <w:autoRedefine/>
    <w:qFormat/>
    <w:uiPriority w:val="0"/>
    <w:rPr>
      <w:b/>
      <w:bCs/>
      <w:sz w:val="28"/>
      <w:szCs w:val="28"/>
    </w:rPr>
  </w:style>
  <w:style w:type="character" w:customStyle="1" w:styleId="60">
    <w:name w:val="标题 6 Char1"/>
    <w:link w:val="11"/>
    <w:autoRedefine/>
    <w:qFormat/>
    <w:uiPriority w:val="0"/>
    <w:rPr>
      <w:rFonts w:ascii="Arial" w:hAnsi="Arial" w:eastAsia="黑体"/>
      <w:b/>
      <w:bCs/>
      <w:sz w:val="24"/>
      <w:szCs w:val="24"/>
    </w:rPr>
  </w:style>
  <w:style w:type="character" w:customStyle="1" w:styleId="61">
    <w:name w:val="标题 7 Char1"/>
    <w:link w:val="12"/>
    <w:autoRedefine/>
    <w:qFormat/>
    <w:uiPriority w:val="0"/>
    <w:rPr>
      <w:b/>
      <w:bCs/>
      <w:sz w:val="24"/>
      <w:szCs w:val="24"/>
    </w:rPr>
  </w:style>
  <w:style w:type="character" w:customStyle="1" w:styleId="62">
    <w:name w:val="标题 8 Char1"/>
    <w:link w:val="13"/>
    <w:autoRedefine/>
    <w:qFormat/>
    <w:uiPriority w:val="0"/>
    <w:rPr>
      <w:rFonts w:ascii="Arial" w:hAnsi="Arial" w:eastAsia="黑体"/>
      <w:sz w:val="24"/>
      <w:szCs w:val="24"/>
    </w:rPr>
  </w:style>
  <w:style w:type="character" w:customStyle="1" w:styleId="63">
    <w:name w:val="标题 9 Char1"/>
    <w:link w:val="14"/>
    <w:autoRedefine/>
    <w:qFormat/>
    <w:uiPriority w:val="0"/>
    <w:rPr>
      <w:rFonts w:ascii="Arial" w:hAnsi="Arial" w:eastAsia="黑体"/>
      <w:sz w:val="21"/>
      <w:szCs w:val="21"/>
    </w:rPr>
  </w:style>
  <w:style w:type="character" w:customStyle="1" w:styleId="64">
    <w:name w:val="批注文字 Char"/>
    <w:basedOn w:val="43"/>
    <w:link w:val="17"/>
    <w:autoRedefine/>
    <w:qFormat/>
    <w:uiPriority w:val="0"/>
    <w:rPr>
      <w:kern w:val="2"/>
      <w:sz w:val="21"/>
      <w:szCs w:val="24"/>
    </w:rPr>
  </w:style>
  <w:style w:type="character" w:customStyle="1" w:styleId="65">
    <w:name w:val="正文文本 Char2"/>
    <w:link w:val="2"/>
    <w:autoRedefine/>
    <w:qFormat/>
    <w:uiPriority w:val="99"/>
    <w:rPr>
      <w:kern w:val="2"/>
      <w:sz w:val="24"/>
      <w:szCs w:val="24"/>
    </w:rPr>
  </w:style>
  <w:style w:type="character" w:customStyle="1" w:styleId="66">
    <w:name w:val="日期 Char"/>
    <w:basedOn w:val="43"/>
    <w:link w:val="23"/>
    <w:autoRedefine/>
    <w:qFormat/>
    <w:uiPriority w:val="0"/>
    <w:rPr>
      <w:rFonts w:eastAsia="楷体_GB2312" w:asciiTheme="minorHAnsi" w:hAnsiTheme="minorHAnsi" w:cstheme="minorBidi"/>
      <w:kern w:val="2"/>
      <w:sz w:val="32"/>
      <w:szCs w:val="22"/>
    </w:rPr>
  </w:style>
  <w:style w:type="character" w:customStyle="1" w:styleId="67">
    <w:name w:val="纯文本 Char"/>
    <w:link w:val="22"/>
    <w:autoRedefine/>
    <w:qFormat/>
    <w:uiPriority w:val="99"/>
    <w:rPr>
      <w:rFonts w:ascii="宋体" w:hAnsi="Courier New" w:cstheme="minorBidi"/>
      <w:kern w:val="2"/>
      <w:sz w:val="21"/>
      <w:szCs w:val="24"/>
    </w:rPr>
  </w:style>
  <w:style w:type="character" w:customStyle="1" w:styleId="68">
    <w:name w:val="批注框文本 Char"/>
    <w:basedOn w:val="43"/>
    <w:link w:val="26"/>
    <w:autoRedefine/>
    <w:qFormat/>
    <w:uiPriority w:val="0"/>
    <w:rPr>
      <w:kern w:val="2"/>
      <w:sz w:val="18"/>
      <w:szCs w:val="18"/>
    </w:rPr>
  </w:style>
  <w:style w:type="character" w:customStyle="1" w:styleId="69">
    <w:name w:val="页脚 Char"/>
    <w:basedOn w:val="43"/>
    <w:link w:val="27"/>
    <w:autoRedefine/>
    <w:qFormat/>
    <w:uiPriority w:val="99"/>
    <w:rPr>
      <w:kern w:val="2"/>
      <w:sz w:val="18"/>
      <w:szCs w:val="24"/>
    </w:rPr>
  </w:style>
  <w:style w:type="character" w:customStyle="1" w:styleId="70">
    <w:name w:val="页眉 Char"/>
    <w:basedOn w:val="43"/>
    <w:link w:val="28"/>
    <w:autoRedefine/>
    <w:qFormat/>
    <w:uiPriority w:val="0"/>
    <w:rPr>
      <w:kern w:val="2"/>
      <w:sz w:val="18"/>
      <w:szCs w:val="24"/>
    </w:rPr>
  </w:style>
  <w:style w:type="character" w:customStyle="1" w:styleId="71">
    <w:name w:val="正文文本缩进 3 Char"/>
    <w:basedOn w:val="43"/>
    <w:link w:val="34"/>
    <w:autoRedefine/>
    <w:qFormat/>
    <w:uiPriority w:val="0"/>
    <w:rPr>
      <w:rFonts w:eastAsia="Copperplate Gothic Bold"/>
      <w:kern w:val="2"/>
      <w:sz w:val="16"/>
      <w:szCs w:val="16"/>
    </w:rPr>
  </w:style>
  <w:style w:type="character" w:customStyle="1" w:styleId="72">
    <w:name w:val="批注主题 Char"/>
    <w:basedOn w:val="64"/>
    <w:link w:val="39"/>
    <w:autoRedefine/>
    <w:qFormat/>
    <w:uiPriority w:val="0"/>
    <w:rPr>
      <w:b/>
      <w:bCs/>
      <w:kern w:val="2"/>
      <w:sz w:val="21"/>
      <w:szCs w:val="24"/>
    </w:rPr>
  </w:style>
  <w:style w:type="character" w:customStyle="1" w:styleId="73">
    <w:name w:val="正文首行缩进 Char"/>
    <w:basedOn w:val="74"/>
    <w:link w:val="3"/>
    <w:autoRedefine/>
    <w:qFormat/>
    <w:uiPriority w:val="0"/>
    <w:rPr>
      <w:kern w:val="2"/>
      <w:sz w:val="24"/>
      <w:szCs w:val="24"/>
    </w:rPr>
  </w:style>
  <w:style w:type="character" w:customStyle="1" w:styleId="74">
    <w:name w:val="正文文本 Char"/>
    <w:basedOn w:val="43"/>
    <w:autoRedefine/>
    <w:qFormat/>
    <w:uiPriority w:val="0"/>
    <w:rPr>
      <w:kern w:val="2"/>
      <w:sz w:val="21"/>
      <w:szCs w:val="24"/>
    </w:rPr>
  </w:style>
  <w:style w:type="character" w:customStyle="1" w:styleId="75">
    <w:name w:val="正文首行缩进 2 Char"/>
    <w:basedOn w:val="53"/>
    <w:link w:val="40"/>
    <w:autoRedefine/>
    <w:qFormat/>
    <w:uiPriority w:val="0"/>
    <w:rPr>
      <w:kern w:val="2"/>
      <w:sz w:val="21"/>
      <w:szCs w:val="24"/>
    </w:rPr>
  </w:style>
  <w:style w:type="paragraph" w:customStyle="1" w:styleId="76">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78">
    <w:name w:val="List Paragraph"/>
    <w:basedOn w:val="1"/>
    <w:link w:val="79"/>
    <w:autoRedefine/>
    <w:qFormat/>
    <w:uiPriority w:val="34"/>
    <w:pPr>
      <w:ind w:firstLine="420" w:firstLineChars="200"/>
    </w:pPr>
    <w:rPr>
      <w:rFonts w:ascii="Calibri" w:hAnsi="Calibri"/>
      <w:szCs w:val="22"/>
    </w:rPr>
  </w:style>
  <w:style w:type="character" w:customStyle="1" w:styleId="79">
    <w:name w:val="列出段落 Char"/>
    <w:link w:val="78"/>
    <w:autoRedefine/>
    <w:qFormat/>
    <w:uiPriority w:val="34"/>
    <w:rPr>
      <w:rFonts w:ascii="Calibri" w:hAnsi="Calibri"/>
      <w:kern w:val="2"/>
      <w:sz w:val="21"/>
      <w:szCs w:val="22"/>
    </w:rPr>
  </w:style>
  <w:style w:type="paragraph" w:customStyle="1" w:styleId="8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1">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14"/>
    <w:autoRedefine/>
    <w:qFormat/>
    <w:uiPriority w:val="0"/>
    <w:rPr>
      <w:rFonts w:ascii="Times New Roman" w:hAnsi="Times New Roman" w:eastAsia="宋体" w:cs="Times New Roman"/>
      <w:sz w:val="21"/>
      <w:szCs w:val="22"/>
      <w:lang w:val="en-US" w:eastAsia="zh-CN" w:bidi="ar-SA"/>
    </w:rPr>
  </w:style>
  <w:style w:type="paragraph" w:customStyle="1" w:styleId="8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纯文本_3"/>
    <w:basedOn w:val="87"/>
    <w:autoRedefine/>
    <w:qFormat/>
    <w:uiPriority w:val="0"/>
    <w:pPr>
      <w:widowControl/>
      <w:jc w:val="left"/>
    </w:pPr>
    <w:rPr>
      <w:rFonts w:ascii="宋体" w:hAnsi="Courier New" w:eastAsiaTheme="minorEastAsia" w:cstheme="minorBidi"/>
      <w:szCs w:val="21"/>
    </w:rPr>
  </w:style>
  <w:style w:type="paragraph" w:customStyle="1" w:styleId="89">
    <w:name w:val="纯文本_0_1"/>
    <w:basedOn w:val="1"/>
    <w:autoRedefine/>
    <w:qFormat/>
    <w:uiPriority w:val="0"/>
    <w:pPr>
      <w:widowControl/>
      <w:jc w:val="left"/>
    </w:pPr>
    <w:rPr>
      <w:rFonts w:ascii="宋体" w:hAnsi="Courier New" w:eastAsiaTheme="minorEastAsia" w:cstheme="minorBidi"/>
      <w:szCs w:val="21"/>
    </w:rPr>
  </w:style>
  <w:style w:type="paragraph" w:customStyle="1" w:styleId="9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4">
    <w:name w:val="font21"/>
    <w:basedOn w:val="43"/>
    <w:autoRedefine/>
    <w:qFormat/>
    <w:uiPriority w:val="0"/>
    <w:rPr>
      <w:rFonts w:hint="default" w:ascii="Arial" w:hAnsi="Arial" w:cs="Arial"/>
      <w:color w:val="000000"/>
      <w:sz w:val="20"/>
      <w:szCs w:val="20"/>
      <w:u w:val="none"/>
    </w:rPr>
  </w:style>
  <w:style w:type="character" w:customStyle="1" w:styleId="95">
    <w:name w:val="font01"/>
    <w:basedOn w:val="43"/>
    <w:autoRedefine/>
    <w:qFormat/>
    <w:uiPriority w:val="0"/>
    <w:rPr>
      <w:rFonts w:hint="eastAsia" w:ascii="宋体" w:hAnsi="宋体" w:eastAsia="宋体" w:cs="宋体"/>
      <w:color w:val="000000"/>
      <w:sz w:val="20"/>
      <w:szCs w:val="20"/>
      <w:u w:val="none"/>
    </w:rPr>
  </w:style>
  <w:style w:type="paragraph" w:customStyle="1" w:styleId="96">
    <w:name w:val="纯文本1"/>
    <w:basedOn w:val="97"/>
    <w:autoRedefine/>
    <w:qFormat/>
    <w:uiPriority w:val="0"/>
    <w:pPr>
      <w:widowControl/>
      <w:jc w:val="left"/>
    </w:pPr>
    <w:rPr>
      <w:rFonts w:ascii="宋体" w:hAnsi="Courier New"/>
    </w:rPr>
  </w:style>
  <w:style w:type="paragraph" w:customStyle="1" w:styleId="9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Table Paragraph"/>
    <w:basedOn w:val="1"/>
    <w:autoRedefine/>
    <w:qFormat/>
    <w:uiPriority w:val="1"/>
    <w:rPr>
      <w:rFonts w:ascii="宋体" w:hAnsi="宋体" w:cs="宋体"/>
    </w:rPr>
  </w:style>
  <w:style w:type="paragraph" w:customStyle="1" w:styleId="99">
    <w:name w:val="WPSOffice手动目录 1"/>
    <w:autoRedefine/>
    <w:qFormat/>
    <w:uiPriority w:val="0"/>
    <w:rPr>
      <w:rFonts w:ascii="Times New Roman" w:hAnsi="Times New Roman" w:eastAsia="宋体" w:cs="Times New Roman"/>
      <w:lang w:val="en-US" w:eastAsia="zh-CN" w:bidi="ar-SA"/>
    </w:rPr>
  </w:style>
  <w:style w:type="paragraph" w:customStyle="1" w:styleId="100">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1">
    <w:name w:val="表格文字"/>
    <w:basedOn w:val="1"/>
    <w:next w:val="2"/>
    <w:autoRedefine/>
    <w:qFormat/>
    <w:uiPriority w:val="0"/>
    <w:pPr>
      <w:widowControl/>
      <w:jc w:val="center"/>
    </w:pPr>
    <w:rPr>
      <w:rFonts w:ascii="宋体" w:hAnsi="宋体" w:cs="宋体"/>
      <w:snapToGrid w:val="0"/>
      <w:szCs w:val="21"/>
    </w:rPr>
  </w:style>
  <w:style w:type="character" w:customStyle="1" w:styleId="102">
    <w:name w:val="标题 4 Char Char Char Char"/>
    <w:autoRedefine/>
    <w:qFormat/>
    <w:uiPriority w:val="0"/>
    <w:rPr>
      <w:rFonts w:eastAsia="楷体_GB2312"/>
      <w:b/>
      <w:snapToGrid w:val="0"/>
      <w:sz w:val="24"/>
      <w:lang w:val="en-US" w:eastAsia="zh-CN" w:bidi="ar-SA"/>
    </w:rPr>
  </w:style>
  <w:style w:type="paragraph" w:customStyle="1" w:styleId="103">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4">
    <w:name w:val="样式 标题 2 + Times New Roman 四号 非加粗 段前: 5 磅 段后: 0 磅 行距: 固定值 20..."/>
    <w:basedOn w:val="6"/>
    <w:autoRedefine/>
    <w:qFormat/>
    <w:uiPriority w:val="0"/>
    <w:pPr>
      <w:spacing w:before="100" w:line="400" w:lineRule="exact"/>
    </w:pPr>
    <w:rPr>
      <w:rFonts w:ascii="Times New Roman" w:hAnsi="Times New Roman" w:cs="宋体"/>
      <w:sz w:val="28"/>
      <w:szCs w:val="20"/>
    </w:rPr>
  </w:style>
  <w:style w:type="paragraph" w:customStyle="1" w:styleId="105">
    <w:name w:val="_Style 1"/>
    <w:autoRedefine/>
    <w:qFormat/>
    <w:uiPriority w:val="0"/>
    <w:rPr>
      <w:rFonts w:ascii="Calibri" w:hAnsi="Calibri" w:eastAsia="宋体" w:cs="Times New Roman"/>
      <w:kern w:val="2"/>
      <w:sz w:val="28"/>
      <w:szCs w:val="22"/>
      <w:lang w:val="en-US" w:eastAsia="zh-CN" w:bidi="ar-SA"/>
    </w:rPr>
  </w:style>
  <w:style w:type="paragraph" w:customStyle="1" w:styleId="106">
    <w:name w:val="标题 4_0_0"/>
    <w:basedOn w:val="107"/>
    <w:next w:val="108"/>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7">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0">
    <w:name w:val="Unresolved Mention"/>
    <w:basedOn w:val="43"/>
    <w:autoRedefine/>
    <w:semiHidden/>
    <w:unhideWhenUsed/>
    <w:qFormat/>
    <w:uiPriority w:val="99"/>
    <w:rPr>
      <w:color w:val="605E5C"/>
      <w:shd w:val="clear" w:color="auto" w:fill="E1DFDD"/>
    </w:rPr>
  </w:style>
  <w:style w:type="character" w:customStyle="1" w:styleId="111">
    <w:name w:val="纯文本 Char2"/>
    <w:autoRedefine/>
    <w:qFormat/>
    <w:uiPriority w:val="99"/>
    <w:rPr>
      <w:rFonts w:ascii="宋体" w:hAnsi="Courier New"/>
      <w:kern w:val="2"/>
      <w:sz w:val="21"/>
    </w:rPr>
  </w:style>
  <w:style w:type="paragraph" w:customStyle="1" w:styleId="112">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4">
    <w:name w:val="jbox-icon"/>
    <w:basedOn w:val="43"/>
    <w:autoRedefine/>
    <w:qFormat/>
    <w:uiPriority w:val="0"/>
  </w:style>
  <w:style w:type="character" w:customStyle="1" w:styleId="115">
    <w:name w:val="标题 5 Char"/>
    <w:basedOn w:val="43"/>
    <w:autoRedefine/>
    <w:semiHidden/>
    <w:qFormat/>
    <w:uiPriority w:val="9"/>
    <w:rPr>
      <w:b/>
      <w:bCs/>
      <w:kern w:val="2"/>
      <w:sz w:val="28"/>
      <w:szCs w:val="28"/>
    </w:rPr>
  </w:style>
  <w:style w:type="character" w:customStyle="1" w:styleId="116">
    <w:name w:val="标题 6 Char"/>
    <w:basedOn w:val="43"/>
    <w:autoRedefine/>
    <w:semiHidden/>
    <w:qFormat/>
    <w:uiPriority w:val="9"/>
    <w:rPr>
      <w:rFonts w:asciiTheme="majorHAnsi" w:hAnsiTheme="majorHAnsi" w:eastAsiaTheme="majorEastAsia" w:cstheme="majorBidi"/>
      <w:b/>
      <w:bCs/>
      <w:kern w:val="2"/>
      <w:sz w:val="24"/>
      <w:szCs w:val="24"/>
    </w:rPr>
  </w:style>
  <w:style w:type="character" w:customStyle="1" w:styleId="117">
    <w:name w:val="标题 7 Char"/>
    <w:basedOn w:val="43"/>
    <w:autoRedefine/>
    <w:semiHidden/>
    <w:qFormat/>
    <w:uiPriority w:val="9"/>
    <w:rPr>
      <w:b/>
      <w:bCs/>
      <w:kern w:val="2"/>
      <w:sz w:val="24"/>
      <w:szCs w:val="24"/>
    </w:rPr>
  </w:style>
  <w:style w:type="character" w:customStyle="1" w:styleId="118">
    <w:name w:val="标题 8 Char"/>
    <w:basedOn w:val="43"/>
    <w:autoRedefine/>
    <w:semiHidden/>
    <w:qFormat/>
    <w:uiPriority w:val="9"/>
    <w:rPr>
      <w:rFonts w:asciiTheme="majorHAnsi" w:hAnsiTheme="majorHAnsi" w:eastAsiaTheme="majorEastAsia" w:cstheme="majorBidi"/>
      <w:kern w:val="2"/>
      <w:sz w:val="24"/>
      <w:szCs w:val="24"/>
    </w:rPr>
  </w:style>
  <w:style w:type="character" w:customStyle="1" w:styleId="119">
    <w:name w:val="标题 9 Char"/>
    <w:basedOn w:val="43"/>
    <w:autoRedefine/>
    <w:semiHidden/>
    <w:qFormat/>
    <w:uiPriority w:val="9"/>
    <w:rPr>
      <w:rFonts w:asciiTheme="majorHAnsi" w:hAnsiTheme="majorHAnsi" w:eastAsiaTheme="majorEastAsia" w:cstheme="majorBidi"/>
      <w:kern w:val="2"/>
      <w:sz w:val="21"/>
      <w:szCs w:val="21"/>
    </w:rPr>
  </w:style>
  <w:style w:type="character" w:customStyle="1" w:styleId="120">
    <w:name w:val="标题 1 Char"/>
    <w:basedOn w:val="43"/>
    <w:autoRedefine/>
    <w:qFormat/>
    <w:uiPriority w:val="9"/>
    <w:rPr>
      <w:b/>
      <w:bCs/>
      <w:kern w:val="44"/>
      <w:sz w:val="44"/>
      <w:szCs w:val="44"/>
    </w:rPr>
  </w:style>
  <w:style w:type="character" w:customStyle="1" w:styleId="121">
    <w:name w:val="纯文本 Char4"/>
    <w:autoRedefine/>
    <w:qFormat/>
    <w:uiPriority w:val="0"/>
    <w:rPr>
      <w:rFonts w:ascii="宋体" w:hAnsi="Courier New"/>
      <w:sz w:val="24"/>
      <w:szCs w:val="24"/>
    </w:rPr>
  </w:style>
  <w:style w:type="character" w:customStyle="1" w:styleId="122">
    <w:name w:val="正文缩进 字符"/>
    <w:autoRedefine/>
    <w:qFormat/>
    <w:uiPriority w:val="0"/>
    <w:rPr>
      <w:kern w:val="2"/>
      <w:sz w:val="21"/>
      <w:szCs w:val="24"/>
    </w:rPr>
  </w:style>
  <w:style w:type="character" w:customStyle="1" w:styleId="123">
    <w:name w:val="文档结构图 Char1"/>
    <w:link w:val="16"/>
    <w:autoRedefine/>
    <w:qFormat/>
    <w:uiPriority w:val="0"/>
    <w:rPr>
      <w:szCs w:val="24"/>
      <w:shd w:val="clear" w:color="auto" w:fill="000080"/>
      <w:lang w:val="zh-CN" w:eastAsia="zh-CN"/>
    </w:rPr>
  </w:style>
  <w:style w:type="character" w:customStyle="1" w:styleId="124">
    <w:name w:val="文档结构图 Char"/>
    <w:basedOn w:val="43"/>
    <w:autoRedefine/>
    <w:semiHidden/>
    <w:qFormat/>
    <w:uiPriority w:val="99"/>
    <w:rPr>
      <w:rFonts w:ascii="Microsoft YaHei UI" w:eastAsia="Microsoft YaHei UI"/>
      <w:kern w:val="2"/>
      <w:sz w:val="18"/>
      <w:szCs w:val="18"/>
    </w:rPr>
  </w:style>
  <w:style w:type="character" w:customStyle="1" w:styleId="125">
    <w:name w:val="正文文本 3 Char"/>
    <w:basedOn w:val="43"/>
    <w:link w:val="18"/>
    <w:autoRedefine/>
    <w:qFormat/>
    <w:uiPriority w:val="0"/>
    <w:rPr>
      <w:rFonts w:ascii="宋体"/>
      <w:kern w:val="2"/>
      <w:sz w:val="24"/>
    </w:rPr>
  </w:style>
  <w:style w:type="character" w:customStyle="1" w:styleId="126">
    <w:name w:val="纯文本 字符"/>
    <w:autoRedefine/>
    <w:qFormat/>
    <w:uiPriority w:val="0"/>
    <w:rPr>
      <w:rFonts w:ascii="宋体" w:hAnsi="Courier New"/>
      <w:kern w:val="2"/>
      <w:sz w:val="21"/>
    </w:rPr>
  </w:style>
  <w:style w:type="character" w:customStyle="1" w:styleId="127">
    <w:name w:val="正文文本缩进 2 Char"/>
    <w:basedOn w:val="43"/>
    <w:link w:val="25"/>
    <w:autoRedefine/>
    <w:qFormat/>
    <w:uiPriority w:val="0"/>
    <w:rPr>
      <w:kern w:val="2"/>
      <w:sz w:val="21"/>
      <w:szCs w:val="24"/>
    </w:rPr>
  </w:style>
  <w:style w:type="character" w:customStyle="1" w:styleId="128">
    <w:name w:val="批注框文本 字符"/>
    <w:autoRedefine/>
    <w:qFormat/>
    <w:uiPriority w:val="0"/>
    <w:rPr>
      <w:kern w:val="2"/>
      <w:sz w:val="18"/>
      <w:szCs w:val="18"/>
      <w:lang w:val="zh-CN" w:eastAsia="zh-CN"/>
    </w:rPr>
  </w:style>
  <w:style w:type="character" w:customStyle="1" w:styleId="129">
    <w:name w:val="页脚 字符"/>
    <w:autoRedefine/>
    <w:qFormat/>
    <w:uiPriority w:val="0"/>
    <w:rPr>
      <w:kern w:val="2"/>
      <w:sz w:val="18"/>
      <w:szCs w:val="18"/>
    </w:rPr>
  </w:style>
  <w:style w:type="character" w:customStyle="1" w:styleId="130">
    <w:name w:val="副标题 Char1"/>
    <w:link w:val="31"/>
    <w:autoRedefine/>
    <w:qFormat/>
    <w:uiPriority w:val="0"/>
    <w:rPr>
      <w:rFonts w:ascii="Cambria" w:hAnsi="Cambria"/>
      <w:b/>
      <w:bCs/>
      <w:kern w:val="28"/>
      <w:sz w:val="32"/>
      <w:szCs w:val="32"/>
      <w:lang w:val="zh-CN" w:eastAsia="zh-CN"/>
    </w:rPr>
  </w:style>
  <w:style w:type="character" w:customStyle="1" w:styleId="131">
    <w:name w:val="副标题 Char"/>
    <w:basedOn w:val="43"/>
    <w:autoRedefine/>
    <w:qFormat/>
    <w:uiPriority w:val="11"/>
    <w:rPr>
      <w:rFonts w:asciiTheme="majorHAnsi" w:hAnsiTheme="majorHAnsi" w:cstheme="majorBidi"/>
      <w:b/>
      <w:bCs/>
      <w:kern w:val="28"/>
      <w:sz w:val="32"/>
      <w:szCs w:val="32"/>
    </w:rPr>
  </w:style>
  <w:style w:type="character" w:customStyle="1" w:styleId="132">
    <w:name w:val="脚注文本 Char"/>
    <w:basedOn w:val="43"/>
    <w:link w:val="32"/>
    <w:autoRedefine/>
    <w:semiHidden/>
    <w:qFormat/>
    <w:uiPriority w:val="0"/>
    <w:rPr>
      <w:rFonts w:eastAsia="仿宋_GB2312"/>
      <w:kern w:val="2"/>
      <w:sz w:val="18"/>
    </w:rPr>
  </w:style>
  <w:style w:type="character" w:customStyle="1" w:styleId="133">
    <w:name w:val="正文文本 2 Char"/>
    <w:basedOn w:val="43"/>
    <w:link w:val="36"/>
    <w:autoRedefine/>
    <w:qFormat/>
    <w:uiPriority w:val="0"/>
    <w:rPr>
      <w:kern w:val="2"/>
      <w:sz w:val="21"/>
      <w:szCs w:val="24"/>
    </w:rPr>
  </w:style>
  <w:style w:type="character" w:customStyle="1" w:styleId="134">
    <w:name w:val="标题 Char1"/>
    <w:link w:val="38"/>
    <w:autoRedefine/>
    <w:qFormat/>
    <w:uiPriority w:val="0"/>
    <w:rPr>
      <w:rFonts w:ascii="Arial" w:hAnsi="Arial"/>
      <w:b/>
      <w:sz w:val="32"/>
    </w:rPr>
  </w:style>
  <w:style w:type="character" w:customStyle="1" w:styleId="135">
    <w:name w:val="标题 Char"/>
    <w:basedOn w:val="43"/>
    <w:autoRedefine/>
    <w:qFormat/>
    <w:uiPriority w:val="10"/>
    <w:rPr>
      <w:rFonts w:asciiTheme="majorHAnsi" w:hAnsiTheme="majorHAnsi" w:cstheme="majorBidi"/>
      <w:b/>
      <w:bCs/>
      <w:kern w:val="2"/>
      <w:sz w:val="32"/>
      <w:szCs w:val="32"/>
    </w:rPr>
  </w:style>
  <w:style w:type="character" w:customStyle="1" w:styleId="136">
    <w:name w:val="批注主题 字符"/>
    <w:autoRedefine/>
    <w:qFormat/>
    <w:uiPriority w:val="0"/>
    <w:rPr>
      <w:rFonts w:ascii="宋体"/>
      <w:b/>
      <w:bCs/>
      <w:sz w:val="28"/>
      <w:lang w:val="zh-CN" w:eastAsia="zh-CN"/>
    </w:rPr>
  </w:style>
  <w:style w:type="character" w:customStyle="1" w:styleId="137">
    <w:name w:val="font161"/>
    <w:autoRedefine/>
    <w:qFormat/>
    <w:uiPriority w:val="0"/>
    <w:rPr>
      <w:b/>
      <w:bCs/>
      <w:sz w:val="32"/>
      <w:szCs w:val="32"/>
    </w:rPr>
  </w:style>
  <w:style w:type="character" w:customStyle="1" w:styleId="138">
    <w:name w:val="标题5 Char Char"/>
    <w:link w:val="139"/>
    <w:autoRedefine/>
    <w:qFormat/>
    <w:uiPriority w:val="0"/>
    <w:rPr>
      <w:rFonts w:ascii="Arial" w:hAnsi="Arial"/>
      <w:b/>
      <w:bCs/>
      <w:sz w:val="24"/>
      <w:szCs w:val="32"/>
    </w:rPr>
  </w:style>
  <w:style w:type="paragraph" w:customStyle="1" w:styleId="139">
    <w:name w:val="标题5"/>
    <w:basedOn w:val="7"/>
    <w:link w:val="138"/>
    <w:autoRedefine/>
    <w:qFormat/>
    <w:uiPriority w:val="0"/>
    <w:pPr>
      <w:tabs>
        <w:tab w:val="clear" w:pos="8280"/>
      </w:tabs>
      <w:spacing w:line="413" w:lineRule="auto"/>
    </w:pPr>
    <w:rPr>
      <w:rFonts w:ascii="Arial" w:hAnsi="Arial"/>
      <w:b/>
      <w:kern w:val="0"/>
      <w:sz w:val="24"/>
    </w:rPr>
  </w:style>
  <w:style w:type="character" w:customStyle="1" w:styleId="140">
    <w:name w:val="正文文字4 Char Char"/>
    <w:autoRedefine/>
    <w:qFormat/>
    <w:uiPriority w:val="0"/>
    <w:rPr>
      <w:rFonts w:eastAsia="宋体"/>
      <w:kern w:val="2"/>
      <w:sz w:val="21"/>
      <w:szCs w:val="24"/>
      <w:lang w:val="en-US" w:eastAsia="zh-CN" w:bidi="ar-SA"/>
    </w:rPr>
  </w:style>
  <w:style w:type="character" w:customStyle="1" w:styleId="141">
    <w:name w:val="普通文字 Char Char1"/>
    <w:autoRedefine/>
    <w:qFormat/>
    <w:uiPriority w:val="0"/>
    <w:rPr>
      <w:rFonts w:ascii="宋体" w:hAnsi="Courier New" w:eastAsia="宋体"/>
      <w:kern w:val="2"/>
      <w:sz w:val="21"/>
      <w:lang w:val="en-US" w:eastAsia="zh-CN" w:bidi="ar-SA"/>
    </w:rPr>
  </w:style>
  <w:style w:type="character" w:customStyle="1" w:styleId="142">
    <w:name w:val="明显引用 Char1"/>
    <w:link w:val="143"/>
    <w:autoRedefine/>
    <w:qFormat/>
    <w:uiPriority w:val="0"/>
    <w:rPr>
      <w:b/>
      <w:bCs/>
      <w:i/>
      <w:iCs/>
      <w:color w:val="4F81BD"/>
      <w:kern w:val="2"/>
      <w:sz w:val="21"/>
      <w:szCs w:val="22"/>
    </w:rPr>
  </w:style>
  <w:style w:type="paragraph" w:styleId="143">
    <w:name w:val="Intense Quote"/>
    <w:basedOn w:val="1"/>
    <w:next w:val="1"/>
    <w:link w:val="142"/>
    <w:autoRedefine/>
    <w:qFormat/>
    <w:uiPriority w:val="0"/>
    <w:pPr>
      <w:pBdr>
        <w:bottom w:val="single" w:color="4F81BD" w:sz="4" w:space="4"/>
      </w:pBdr>
      <w:spacing w:before="200" w:after="280"/>
      <w:ind w:left="936" w:right="936"/>
    </w:pPr>
    <w:rPr>
      <w:b/>
      <w:bCs/>
      <w:i/>
      <w:iCs/>
      <w:color w:val="4F81BD"/>
      <w:szCs w:val="22"/>
    </w:rPr>
  </w:style>
  <w:style w:type="character" w:customStyle="1" w:styleId="144">
    <w:name w:val="明显引用 Char"/>
    <w:basedOn w:val="43"/>
    <w:autoRedefine/>
    <w:qFormat/>
    <w:uiPriority w:val="30"/>
    <w:rPr>
      <w:i/>
      <w:iCs/>
      <w:color w:val="5B9BD5" w:themeColor="accent1"/>
      <w:kern w:val="2"/>
      <w:sz w:val="21"/>
      <w:szCs w:val="24"/>
      <w14:textFill>
        <w14:solidFill>
          <w14:schemeClr w14:val="accent1"/>
        </w14:solidFill>
      </w14:textFill>
    </w:rPr>
  </w:style>
  <w:style w:type="character" w:customStyle="1" w:styleId="145">
    <w:name w:val="普通文字 Char Char"/>
    <w:autoRedefine/>
    <w:qFormat/>
    <w:uiPriority w:val="0"/>
    <w:rPr>
      <w:rFonts w:ascii="宋体" w:hAnsi="Courier New" w:eastAsia="宋体"/>
      <w:kern w:val="2"/>
      <w:sz w:val="21"/>
      <w:lang w:val="en-US" w:eastAsia="zh-CN" w:bidi="ar-SA"/>
    </w:rPr>
  </w:style>
  <w:style w:type="character" w:customStyle="1" w:styleId="146">
    <w:name w:val="fx_label"/>
    <w:autoRedefine/>
    <w:qFormat/>
    <w:uiPriority w:val="0"/>
  </w:style>
  <w:style w:type="character" w:customStyle="1" w:styleId="147">
    <w:name w:val="标题4 Char Char"/>
    <w:link w:val="148"/>
    <w:autoRedefine/>
    <w:qFormat/>
    <w:uiPriority w:val="0"/>
    <w:rPr>
      <w:rFonts w:eastAsia="仿宋_GB2312"/>
      <w:kern w:val="2"/>
      <w:sz w:val="32"/>
    </w:rPr>
  </w:style>
  <w:style w:type="paragraph" w:customStyle="1" w:styleId="148">
    <w:name w:val="标题4"/>
    <w:basedOn w:val="1"/>
    <w:link w:val="147"/>
    <w:autoRedefine/>
    <w:qFormat/>
    <w:uiPriority w:val="0"/>
    <w:rPr>
      <w:rFonts w:eastAsia="仿宋_GB2312"/>
      <w:sz w:val="32"/>
      <w:szCs w:val="20"/>
    </w:rPr>
  </w:style>
  <w:style w:type="character" w:customStyle="1" w:styleId="149">
    <w:name w:val="二 Char1"/>
    <w:autoRedefine/>
    <w:qFormat/>
    <w:uiPriority w:val="0"/>
    <w:rPr>
      <w:rFonts w:eastAsia="宋体"/>
      <w:kern w:val="2"/>
      <w:sz w:val="21"/>
      <w:szCs w:val="24"/>
      <w:lang w:val="en-US" w:eastAsia="zh-CN" w:bidi="ar-SA"/>
    </w:rPr>
  </w:style>
  <w:style w:type="character" w:customStyle="1" w:styleId="150">
    <w:name w:val="引用 Char1"/>
    <w:link w:val="151"/>
    <w:autoRedefine/>
    <w:qFormat/>
    <w:uiPriority w:val="0"/>
    <w:rPr>
      <w:i/>
      <w:iCs/>
      <w:color w:val="000000"/>
      <w:kern w:val="2"/>
      <w:sz w:val="21"/>
      <w:szCs w:val="22"/>
    </w:rPr>
  </w:style>
  <w:style w:type="paragraph" w:styleId="151">
    <w:name w:val="Quote"/>
    <w:basedOn w:val="1"/>
    <w:next w:val="1"/>
    <w:link w:val="150"/>
    <w:autoRedefine/>
    <w:qFormat/>
    <w:uiPriority w:val="0"/>
    <w:rPr>
      <w:i/>
      <w:iCs/>
      <w:color w:val="000000"/>
      <w:szCs w:val="22"/>
    </w:rPr>
  </w:style>
  <w:style w:type="character" w:customStyle="1" w:styleId="152">
    <w:name w:val="引用 Char"/>
    <w:basedOn w:val="43"/>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3">
    <w:name w:val="htd01"/>
    <w:autoRedefine/>
    <w:qFormat/>
    <w:uiPriority w:val="0"/>
  </w:style>
  <w:style w:type="character" w:customStyle="1" w:styleId="154">
    <w:name w:val="Char Char1"/>
    <w:autoRedefine/>
    <w:qFormat/>
    <w:uiPriority w:val="0"/>
    <w:rPr>
      <w:rFonts w:ascii="Arial" w:hAnsi="Arial" w:eastAsia="黑体"/>
      <w:b/>
      <w:bCs/>
      <w:kern w:val="2"/>
      <w:sz w:val="32"/>
      <w:szCs w:val="32"/>
      <w:lang w:val="en-US" w:eastAsia="zh-CN" w:bidi="ar-SA"/>
    </w:rPr>
  </w:style>
  <w:style w:type="character" w:customStyle="1" w:styleId="155">
    <w:name w:val="二 Char"/>
    <w:autoRedefine/>
    <w:qFormat/>
    <w:uiPriority w:val="0"/>
    <w:rPr>
      <w:rFonts w:eastAsia="仿宋_GB2312"/>
      <w:kern w:val="2"/>
      <w:sz w:val="32"/>
      <w:lang w:val="en-US" w:eastAsia="zh-CN" w:bidi="ar-SA"/>
    </w:rPr>
  </w:style>
  <w:style w:type="character" w:customStyle="1" w:styleId="156">
    <w:name w:val="Char Char10"/>
    <w:autoRedefine/>
    <w:qFormat/>
    <w:locked/>
    <w:uiPriority w:val="0"/>
    <w:rPr>
      <w:rFonts w:ascii="宋体" w:hAnsi="宋体" w:eastAsia="宋体"/>
      <w:kern w:val="2"/>
      <w:sz w:val="21"/>
      <w:szCs w:val="24"/>
      <w:lang w:val="en-US" w:eastAsia="zh-CN" w:bidi="ar-SA"/>
    </w:rPr>
  </w:style>
  <w:style w:type="character" w:customStyle="1" w:styleId="157">
    <w:name w:val="apple-converted-space"/>
    <w:autoRedefine/>
    <w:qFormat/>
    <w:uiPriority w:val="0"/>
  </w:style>
  <w:style w:type="paragraph" w:customStyle="1" w:styleId="158">
    <w:name w:val="表格"/>
    <w:basedOn w:val="1"/>
    <w:autoRedefine/>
    <w:qFormat/>
    <w:uiPriority w:val="0"/>
    <w:pPr>
      <w:jc w:val="center"/>
      <w:textAlignment w:val="center"/>
    </w:pPr>
    <w:rPr>
      <w:rFonts w:ascii="华文细黑" w:hAnsi="华文细黑"/>
      <w:kern w:val="0"/>
      <w:szCs w:val="20"/>
    </w:rPr>
  </w:style>
  <w:style w:type="paragraph" w:customStyle="1" w:styleId="159">
    <w:name w:val="Char1"/>
    <w:basedOn w:val="1"/>
    <w:autoRedefine/>
    <w:qFormat/>
    <w:uiPriority w:val="0"/>
    <w:pPr>
      <w:jc w:val="center"/>
    </w:pPr>
    <w:rPr>
      <w:rFonts w:ascii="仿宋_GB2312" w:eastAsia="仿宋_GB2312"/>
      <w:b/>
      <w:kern w:val="0"/>
      <w:sz w:val="32"/>
      <w:szCs w:val="32"/>
      <w:lang w:val="en-GB"/>
    </w:rPr>
  </w:style>
  <w:style w:type="paragraph" w:customStyle="1" w:styleId="160">
    <w:name w:val="Char Char Char"/>
    <w:basedOn w:val="1"/>
    <w:autoRedefine/>
    <w:qFormat/>
    <w:uiPriority w:val="0"/>
    <w:rPr>
      <w:szCs w:val="20"/>
    </w:rPr>
  </w:style>
  <w:style w:type="paragraph" w:customStyle="1" w:styleId="161">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2">
    <w:name w:val="Char2"/>
    <w:basedOn w:val="1"/>
    <w:autoRedefine/>
    <w:qFormat/>
    <w:uiPriority w:val="0"/>
    <w:rPr>
      <w:rFonts w:ascii="仿宋_GB2312" w:eastAsia="仿宋_GB2312"/>
      <w:b/>
      <w:sz w:val="32"/>
      <w:szCs w:val="32"/>
    </w:rPr>
  </w:style>
  <w:style w:type="paragraph" w:customStyle="1" w:styleId="163">
    <w:name w:val="样式 样式 样式1 + 首行缩进:  2 字符 + 左侧:  0.74 厘米"/>
    <w:basedOn w:val="100"/>
    <w:autoRedefine/>
    <w:qFormat/>
    <w:uiPriority w:val="0"/>
    <w:pPr>
      <w:ind w:firstLine="200"/>
    </w:pPr>
  </w:style>
  <w:style w:type="paragraph" w:customStyle="1" w:styleId="164">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5">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6">
    <w:name w:val="样式 标题 3 + 段前: 7.8 磅"/>
    <w:basedOn w:val="7"/>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69">
    <w:name w:val="样式 标题 3 + Arial"/>
    <w:basedOn w:val="7"/>
    <w:autoRedefine/>
    <w:qFormat/>
    <w:uiPriority w:val="0"/>
    <w:pPr>
      <w:tabs>
        <w:tab w:val="clear" w:pos="8280"/>
      </w:tabs>
      <w:spacing w:before="100" w:beforeLines="100" w:after="0" w:line="360" w:lineRule="auto"/>
    </w:pPr>
    <w:rPr>
      <w:rFonts w:ascii="Arial" w:hAnsi="Arial"/>
      <w:b/>
      <w:sz w:val="24"/>
    </w:rPr>
  </w:style>
  <w:style w:type="paragraph" w:customStyle="1" w:styleId="170">
    <w:name w:val="样式 标题 3 + (中文) 黑体 小四 非加粗 段前: 7.8 磅 段后: 0 磅 行距: 固定值 20 磅"/>
    <w:basedOn w:val="7"/>
    <w:autoRedefine/>
    <w:qFormat/>
    <w:uiPriority w:val="0"/>
    <w:pPr>
      <w:tabs>
        <w:tab w:val="clear" w:pos="8280"/>
      </w:tabs>
      <w:spacing w:before="0" w:after="0" w:line="400" w:lineRule="exact"/>
    </w:pPr>
    <w:rPr>
      <w:rFonts w:eastAsia="黑体" w:cs="宋体"/>
      <w:bCs w:val="0"/>
      <w:sz w:val="24"/>
      <w:szCs w:val="20"/>
    </w:rPr>
  </w:style>
  <w:style w:type="paragraph" w:customStyle="1" w:styleId="171">
    <w:name w:val="样式 标题 1 + 黑体 三号 非加粗 居中 段前: 6 磅 段后: 6 磅 行距: 固定值 20 磅"/>
    <w:basedOn w:val="4"/>
    <w:autoRedefine/>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2">
    <w:name w:val="1"/>
    <w:basedOn w:val="1"/>
    <w:next w:val="1"/>
    <w:autoRedefine/>
    <w:qFormat/>
    <w:uiPriority w:val="0"/>
  </w:style>
  <w:style w:type="paragraph" w:customStyle="1" w:styleId="173">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4">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5">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6">
    <w:name w:val="正文文本 Char1"/>
    <w:autoRedefine/>
    <w:qFormat/>
    <w:uiPriority w:val="99"/>
    <w:rPr>
      <w:rFonts w:eastAsia="宋体"/>
      <w:kern w:val="2"/>
      <w:sz w:val="21"/>
      <w:szCs w:val="24"/>
      <w:lang w:val="en-US" w:eastAsia="zh-CN" w:bidi="ar-SA"/>
    </w:rPr>
  </w:style>
  <w:style w:type="character" w:customStyle="1" w:styleId="177">
    <w:name w:val="批注文字 Char2"/>
    <w:basedOn w:val="43"/>
    <w:autoRedefine/>
    <w:qFormat/>
    <w:uiPriority w:val="0"/>
    <w:rPr>
      <w:kern w:val="2"/>
      <w:sz w:val="21"/>
      <w:szCs w:val="24"/>
    </w:rPr>
  </w:style>
  <w:style w:type="paragraph" w:customStyle="1" w:styleId="178">
    <w:name w:val="列出段落"/>
    <w:basedOn w:val="1"/>
    <w:autoRedefine/>
    <w:qFormat/>
    <w:uiPriority w:val="0"/>
    <w:pPr>
      <w:widowControl/>
      <w:suppressAutoHyphens/>
      <w:autoSpaceDE/>
      <w:autoSpaceDN/>
      <w:adjustRightInd/>
      <w:spacing w:after="200" w:line="276" w:lineRule="auto"/>
      <w:ind w:left="720"/>
      <w:contextualSpacing/>
      <w:jc w:val="left"/>
      <w:textAlignment w:val="auto"/>
    </w:pPr>
    <w:rPr>
      <w:rFonts w:ascii="Calibri" w:hAnsi="Calibri" w:cs="Calibri"/>
      <w:sz w:val="22"/>
      <w:szCs w:val="22"/>
      <w:lang w:bidi="en-US"/>
    </w:rPr>
  </w:style>
  <w:style w:type="paragraph" w:customStyle="1" w:styleId="179">
    <w:name w:val="WW-正文缩进"/>
    <w:basedOn w:val="1"/>
    <w:autoRedefine/>
    <w:qFormat/>
    <w:uiPriority w:val="0"/>
    <w:pPr>
      <w:suppressAutoHyphens/>
      <w:autoSpaceDN/>
      <w:adjustRightInd/>
      <w:ind w:firstLine="488"/>
    </w:pPr>
  </w:style>
  <w:style w:type="character" w:customStyle="1" w:styleId="180">
    <w:name w:val="标题 4 Char Char Char Char1"/>
    <w:autoRedefine/>
    <w:qFormat/>
    <w:uiPriority w:val="0"/>
    <w:rPr>
      <w:rFonts w:ascii="Arial Unicode MS" w:hAnsi="Arial Unicode MS" w:eastAsia="ˎ̥"/>
      <w:b/>
      <w:snapToGrid w:val="0"/>
      <w:sz w:val="21"/>
      <w:lang w:val="en-US" w:eastAsia="zh-CN" w:bidi="ar-SA"/>
    </w:rPr>
  </w:style>
  <w:style w:type="paragraph" w:customStyle="1" w:styleId="181">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29D9A-8A52-47C3-B6F8-EDF8FECFD0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35072</Words>
  <Characters>36867</Characters>
  <Lines>407</Lines>
  <Paragraphs>114</Paragraphs>
  <TotalTime>8</TotalTime>
  <ScaleCrop>false</ScaleCrop>
  <LinksUpToDate>false</LinksUpToDate>
  <CharactersWithSpaces>38374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2023-04-20T08:49:00Z</dcterms:created>
  <dc:creator>Thorpe521</dc:creator>
  <cp:lastModifiedBy>吴越</cp:lastModifiedBy>
  <cp:lastPrinted>2023-09-26T04:06:00Z</cp:lastPrinted>
  <dcterms:modified xsi:type="dcterms:W3CDTF">2024-04-11T01:50:46Z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7B86358A85034B4BAD0E3074495C648F_13</vt:lpwstr>
  </property>
</Properties>
</file>